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07267_73709187">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907269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907271_73709187">
            <w:r>
              <w:rPr>
                <w:webHidden/>
                <w:rStyle w:val="IndexLink"/>
                <w:rtl w:val="true"/>
              </w:rPr>
              <w:t>تمهيد</w:t>
            </w:r>
            <w:r>
              <w:rPr>
                <w:rStyle w:val="IndexLink"/>
                <w:rtl w:val="true"/>
              </w:rPr>
              <w:tab/>
            </w:r>
            <w:r>
              <w:rPr>
                <w:rStyle w:val="IndexLink"/>
              </w:rPr>
              <w:t>16</w:t>
            </w:r>
          </w:hyperlink>
        </w:p>
        <w:p>
          <w:pPr>
            <w:pStyle w:val="Contents2"/>
            <w:tabs>
              <w:tab w:val="clear" w:pos="8743"/>
              <w:tab w:val="right" w:pos="9026" w:leader="dot"/>
            </w:tabs>
            <w:rPr/>
          </w:pPr>
          <w:hyperlink w:anchor="__RefHeading___Toc3907273_73709187">
            <w:r>
              <w:rPr>
                <w:webHidden/>
                <w:rStyle w:val="IndexLink"/>
              </w:rPr>
              <w:t>1</w:t>
            </w:r>
            <w:r>
              <w:rPr>
                <w:rStyle w:val="IndexLink"/>
                <w:rtl w:val="true"/>
              </w:rPr>
              <w:t xml:space="preserve"> - </w:t>
            </w:r>
            <w:r>
              <w:rPr>
                <w:rStyle w:val="IndexLink"/>
                <w:rtl w:val="true"/>
              </w:rPr>
              <w:t>الماتريدية</w:t>
            </w:r>
            <w:r>
              <w:rPr>
                <w:rStyle w:val="IndexLink"/>
                <w:rtl w:val="true"/>
              </w:rPr>
              <w:tab/>
            </w:r>
            <w:r>
              <w:rPr>
                <w:rStyle w:val="IndexLink"/>
              </w:rPr>
              <w:t>18</w:t>
            </w:r>
          </w:hyperlink>
        </w:p>
        <w:p>
          <w:pPr>
            <w:pStyle w:val="Contents3"/>
            <w:tabs>
              <w:tab w:val="clear" w:pos="8459"/>
              <w:tab w:val="right" w:pos="9026" w:leader="dot"/>
            </w:tabs>
            <w:rPr/>
          </w:pPr>
          <w:hyperlink w:anchor="__RefHeading___Toc3907275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907277_73709187">
            <w:r>
              <w:rPr>
                <w:webHidden/>
                <w:rStyle w:val="IndexLink"/>
                <w:rtl w:val="true"/>
              </w:rPr>
              <w:t>الداعيان إلى منهج أهل الحديث متعاصران</w:t>
            </w:r>
            <w:r>
              <w:rPr>
                <w:rStyle w:val="IndexLink"/>
                <w:rtl w:val="true"/>
              </w:rPr>
              <w:tab/>
            </w:r>
            <w:r>
              <w:rPr>
                <w:rStyle w:val="IndexLink"/>
              </w:rPr>
              <w:t>19</w:t>
            </w:r>
          </w:hyperlink>
        </w:p>
        <w:p>
          <w:pPr>
            <w:pStyle w:val="Contents3"/>
            <w:tabs>
              <w:tab w:val="clear" w:pos="8459"/>
              <w:tab w:val="right" w:pos="9026" w:leader="dot"/>
            </w:tabs>
            <w:rPr/>
          </w:pPr>
          <w:hyperlink w:anchor="__RefHeading___Toc3907279_73709187">
            <w:r>
              <w:rPr>
                <w:webHidden/>
                <w:rStyle w:val="IndexLink"/>
                <w:rtl w:val="true"/>
              </w:rPr>
              <w:t>منهج الماتريدي موروث من أبي حنيفة</w:t>
            </w:r>
            <w:r>
              <w:rPr>
                <w:rStyle w:val="IndexLink"/>
                <w:rtl w:val="true"/>
              </w:rPr>
              <w:tab/>
            </w:r>
            <w:r>
              <w:rPr>
                <w:rStyle w:val="IndexLink"/>
              </w:rPr>
              <w:t>22</w:t>
            </w:r>
          </w:hyperlink>
        </w:p>
        <w:p>
          <w:pPr>
            <w:pStyle w:val="Contents3"/>
            <w:tabs>
              <w:tab w:val="clear" w:pos="8459"/>
              <w:tab w:val="right" w:pos="9026" w:leader="dot"/>
            </w:tabs>
            <w:rPr/>
          </w:pPr>
          <w:hyperlink w:anchor="__RefHeading___Toc3907281_73709187">
            <w:r>
              <w:rPr>
                <w:webHidden/>
                <w:rStyle w:val="IndexLink"/>
                <w:rtl w:val="true"/>
              </w:rPr>
              <w:t>لمحة عن حياة الماتريدي</w:t>
            </w:r>
            <w:r>
              <w:rPr>
                <w:rStyle w:val="IndexLink"/>
                <w:rtl w:val="true"/>
              </w:rPr>
              <w:tab/>
            </w:r>
            <w:r>
              <w:rPr>
                <w:rStyle w:val="IndexLink"/>
              </w:rPr>
              <w:t>24</w:t>
            </w:r>
          </w:hyperlink>
        </w:p>
        <w:p>
          <w:pPr>
            <w:pStyle w:val="Contents4"/>
            <w:tabs>
              <w:tab w:val="clear" w:pos="8176"/>
              <w:tab w:val="right" w:pos="9026" w:leader="dot"/>
            </w:tabs>
            <w:rPr/>
          </w:pPr>
          <w:hyperlink w:anchor="__RefHeading___Toc3907283_73709187">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907285_73709187">
            <w:r>
              <w:rPr>
                <w:webHidden/>
                <w:rStyle w:val="IndexLink"/>
              </w:rPr>
              <w:t>1</w:t>
            </w:r>
            <w:r>
              <w:rPr>
                <w:rStyle w:val="IndexLink"/>
                <w:rtl w:val="true"/>
              </w:rPr>
              <w:t xml:space="preserve"> - </w:t>
            </w:r>
            <w:r>
              <w:rPr>
                <w:rStyle w:val="IndexLink"/>
                <w:rtl w:val="true"/>
              </w:rPr>
              <w:t>ميلاده</w:t>
            </w:r>
            <w:r>
              <w:rPr>
                <w:rStyle w:val="IndexLink"/>
                <w:rtl w:val="true"/>
              </w:rPr>
              <w:t>:</w:t>
              <w:tab/>
            </w:r>
            <w:r>
              <w:rPr>
                <w:rStyle w:val="IndexLink"/>
              </w:rPr>
              <w:t>25</w:t>
            </w:r>
          </w:hyperlink>
        </w:p>
        <w:p>
          <w:pPr>
            <w:pStyle w:val="Contents4"/>
            <w:tabs>
              <w:tab w:val="clear" w:pos="8176"/>
              <w:tab w:val="right" w:pos="9026" w:leader="dot"/>
            </w:tabs>
            <w:rPr/>
          </w:pPr>
          <w:hyperlink w:anchor="__RefHeading___Toc3907287_73709187">
            <w:r>
              <w:rPr>
                <w:webHidden/>
                <w:rStyle w:val="IndexLink"/>
              </w:rPr>
              <w:t>2</w:t>
            </w:r>
            <w:r>
              <w:rPr>
                <w:rStyle w:val="IndexLink"/>
                <w:rtl w:val="true"/>
              </w:rPr>
              <w:t xml:space="preserve"> - </w:t>
            </w:r>
            <w:r>
              <w:rPr>
                <w:rStyle w:val="IndexLink"/>
                <w:rtl w:val="true"/>
              </w:rPr>
              <w:t>موطنه</w:t>
            </w:r>
            <w:r>
              <w:rPr>
                <w:rStyle w:val="IndexLink"/>
                <w:rtl w:val="true"/>
              </w:rPr>
              <w:t>:</w:t>
              <w:tab/>
            </w:r>
            <w:r>
              <w:rPr>
                <w:rStyle w:val="IndexLink"/>
              </w:rPr>
              <w:t>26</w:t>
            </w:r>
          </w:hyperlink>
        </w:p>
        <w:p>
          <w:pPr>
            <w:pStyle w:val="Contents4"/>
            <w:tabs>
              <w:tab w:val="clear" w:pos="8176"/>
              <w:tab w:val="right" w:pos="9026" w:leader="dot"/>
            </w:tabs>
            <w:rPr/>
          </w:pPr>
          <w:hyperlink w:anchor="__RefHeading___Toc3907289_73709187">
            <w:r>
              <w:rPr>
                <w:webHidden/>
                <w:rStyle w:val="IndexLink"/>
              </w:rPr>
              <w:t>3</w:t>
            </w:r>
            <w:r>
              <w:rPr>
                <w:rStyle w:val="IndexLink"/>
                <w:rtl w:val="true"/>
              </w:rPr>
              <w:t xml:space="preserve"> - </w:t>
            </w:r>
            <w:r>
              <w:rPr>
                <w:rStyle w:val="IndexLink"/>
                <w:rtl w:val="true"/>
              </w:rPr>
              <w:t>نسبه</w:t>
            </w:r>
            <w:r>
              <w:rPr>
                <w:rStyle w:val="IndexLink"/>
                <w:rtl w:val="true"/>
              </w:rPr>
              <w:tab/>
            </w:r>
            <w:r>
              <w:rPr>
                <w:rStyle w:val="IndexLink"/>
              </w:rPr>
              <w:t>26</w:t>
            </w:r>
          </w:hyperlink>
        </w:p>
        <w:p>
          <w:pPr>
            <w:pStyle w:val="Contents4"/>
            <w:tabs>
              <w:tab w:val="clear" w:pos="8176"/>
              <w:tab w:val="right" w:pos="9026" w:leader="dot"/>
            </w:tabs>
            <w:rPr/>
          </w:pPr>
          <w:hyperlink w:anchor="__RefHeading___Toc3907291_73709187">
            <w:r>
              <w:rPr>
                <w:webHidden/>
                <w:rStyle w:val="IndexLink"/>
              </w:rPr>
              <w:t>4</w:t>
            </w:r>
            <w:r>
              <w:rPr>
                <w:rStyle w:val="IndexLink"/>
                <w:rtl w:val="true"/>
              </w:rPr>
              <w:t xml:space="preserve"> - </w:t>
            </w:r>
            <w:r>
              <w:rPr>
                <w:rStyle w:val="IndexLink"/>
                <w:rtl w:val="true"/>
              </w:rPr>
              <w:t>مشايخه و أساتذته</w:t>
            </w:r>
            <w:r>
              <w:rPr>
                <w:rStyle w:val="IndexLink"/>
                <w:rtl w:val="true"/>
              </w:rPr>
              <w:t>:</w:t>
              <w:tab/>
            </w:r>
            <w:r>
              <w:rPr>
                <w:rStyle w:val="IndexLink"/>
              </w:rPr>
              <w:t>26</w:t>
            </w:r>
          </w:hyperlink>
        </w:p>
        <w:p>
          <w:pPr>
            <w:pStyle w:val="Contents4"/>
            <w:tabs>
              <w:tab w:val="clear" w:pos="8176"/>
              <w:tab w:val="right" w:pos="9026" w:leader="dot"/>
            </w:tabs>
            <w:rPr/>
          </w:pPr>
          <w:hyperlink w:anchor="__RefHeading___Toc3907293_73709187">
            <w:r>
              <w:rPr>
                <w:webHidden/>
                <w:rStyle w:val="IndexLink"/>
              </w:rPr>
              <w:t>5</w:t>
            </w:r>
            <w:r>
              <w:rPr>
                <w:rStyle w:val="IndexLink"/>
                <w:rtl w:val="true"/>
              </w:rPr>
              <w:t xml:space="preserve"> - </w:t>
            </w:r>
            <w:r>
              <w:rPr>
                <w:rStyle w:val="IndexLink"/>
                <w:rtl w:val="true"/>
              </w:rPr>
              <w:t>ثقافته</w:t>
            </w:r>
            <w:r>
              <w:rPr>
                <w:rStyle w:val="IndexLink"/>
                <w:rtl w:val="true"/>
              </w:rPr>
              <w:t>:</w:t>
              <w:tab/>
            </w:r>
            <w:r>
              <w:rPr>
                <w:rStyle w:val="IndexLink"/>
              </w:rPr>
              <w:t>27</w:t>
            </w:r>
          </w:hyperlink>
        </w:p>
        <w:p>
          <w:pPr>
            <w:pStyle w:val="Contents4"/>
            <w:tabs>
              <w:tab w:val="clear" w:pos="8176"/>
              <w:tab w:val="right" w:pos="9026" w:leader="dot"/>
            </w:tabs>
            <w:rPr/>
          </w:pPr>
          <w:hyperlink w:anchor="__RefHeading___Toc3907295_73709187">
            <w:r>
              <w:rPr>
                <w:webHidden/>
                <w:rStyle w:val="IndexLink"/>
              </w:rPr>
              <w:t>6</w:t>
            </w:r>
            <w:r>
              <w:rPr>
                <w:rStyle w:val="IndexLink"/>
                <w:rtl w:val="true"/>
              </w:rPr>
              <w:t xml:space="preserve"> - </w:t>
            </w:r>
            <w:r>
              <w:rPr>
                <w:rStyle w:val="IndexLink"/>
                <w:rtl w:val="true"/>
              </w:rPr>
              <w:t>المتخرّجون عليه</w:t>
            </w:r>
            <w:r>
              <w:rPr>
                <w:rStyle w:val="IndexLink"/>
                <w:rtl w:val="true"/>
              </w:rPr>
              <w:t>:</w:t>
              <w:tab/>
            </w:r>
            <w:r>
              <w:rPr>
                <w:rStyle w:val="IndexLink"/>
              </w:rPr>
              <w:t>31</w:t>
            </w:r>
          </w:hyperlink>
        </w:p>
        <w:p>
          <w:pPr>
            <w:pStyle w:val="Contents4"/>
            <w:tabs>
              <w:tab w:val="clear" w:pos="8176"/>
              <w:tab w:val="right" w:pos="9026" w:leader="dot"/>
            </w:tabs>
            <w:rPr/>
          </w:pPr>
          <w:hyperlink w:anchor="__RefHeading___Toc3907297_73709187">
            <w:r>
              <w:rPr>
                <w:webHidden/>
                <w:rStyle w:val="IndexLink"/>
              </w:rPr>
              <w:t>7</w:t>
            </w:r>
            <w:r>
              <w:rPr>
                <w:rStyle w:val="IndexLink"/>
                <w:rtl w:val="true"/>
              </w:rPr>
              <w:t xml:space="preserve"> - </w:t>
            </w:r>
            <w:r>
              <w:rPr>
                <w:rStyle w:val="IndexLink"/>
                <w:rtl w:val="true"/>
              </w:rPr>
              <w:t>أنصار مذهبه في الأجيال اللاحقة</w:t>
            </w:r>
            <w:r>
              <w:rPr>
                <w:rStyle w:val="IndexLink"/>
                <w:rtl w:val="true"/>
              </w:rPr>
              <w:t>:</w:t>
              <w:tab/>
            </w:r>
            <w:r>
              <w:rPr>
                <w:rStyle w:val="IndexLink"/>
              </w:rPr>
              <w:t>32</w:t>
            </w:r>
          </w:hyperlink>
        </w:p>
        <w:p>
          <w:pPr>
            <w:pStyle w:val="Contents4"/>
            <w:tabs>
              <w:tab w:val="clear" w:pos="8176"/>
              <w:tab w:val="right" w:pos="9026" w:leader="dot"/>
            </w:tabs>
            <w:rPr/>
          </w:pPr>
          <w:hyperlink w:anchor="__RefHeading___Toc3907299_73709187">
            <w:r>
              <w:rPr>
                <w:webHidden/>
                <w:rStyle w:val="IndexLink"/>
              </w:rPr>
              <w:t>8</w:t>
            </w:r>
            <w:r>
              <w:rPr>
                <w:rStyle w:val="IndexLink"/>
                <w:rtl w:val="true"/>
              </w:rPr>
              <w:t xml:space="preserve"> - </w:t>
            </w:r>
            <w:r>
              <w:rPr>
                <w:rStyle w:val="IndexLink"/>
                <w:rtl w:val="true"/>
              </w:rPr>
              <w:t>مؤلّفاته و آثاره العلميّة</w:t>
            </w:r>
            <w:r>
              <w:rPr>
                <w:rStyle w:val="IndexLink"/>
                <w:rtl w:val="true"/>
              </w:rPr>
              <w:t>:</w:t>
              <w:tab/>
            </w:r>
            <w:r>
              <w:rPr>
                <w:rStyle w:val="IndexLink"/>
              </w:rPr>
              <w:t>34</w:t>
            </w:r>
          </w:hyperlink>
        </w:p>
        <w:p>
          <w:pPr>
            <w:pStyle w:val="Contents4"/>
            <w:tabs>
              <w:tab w:val="clear" w:pos="8176"/>
              <w:tab w:val="right" w:pos="9026" w:leader="dot"/>
            </w:tabs>
            <w:rPr/>
          </w:pPr>
          <w:hyperlink w:anchor="__RefHeading___Toc3907301_73709187">
            <w:r>
              <w:rPr>
                <w:webHidden/>
                <w:rStyle w:val="IndexLink"/>
              </w:rPr>
              <w:t>9</w:t>
            </w:r>
            <w:r>
              <w:rPr>
                <w:rStyle w:val="IndexLink"/>
                <w:rtl w:val="true"/>
              </w:rPr>
              <w:t xml:space="preserve"> - </w:t>
            </w:r>
            <w:r>
              <w:rPr>
                <w:rStyle w:val="IndexLink"/>
                <w:rtl w:val="true"/>
              </w:rPr>
              <w:t>الفرق بين المنهجين</w:t>
            </w:r>
            <w:r>
              <w:rPr>
                <w:rStyle w:val="IndexLink"/>
                <w:rtl w:val="true"/>
              </w:rPr>
              <w:t xml:space="preserve">: </w:t>
            </w:r>
            <w:r>
              <w:rPr>
                <w:rStyle w:val="IndexLink"/>
                <w:rtl w:val="true"/>
              </w:rPr>
              <w:t>الأشعرية و الماتريدية</w:t>
            </w:r>
            <w:r>
              <w:rPr>
                <w:rStyle w:val="IndexLink"/>
                <w:rtl w:val="true"/>
              </w:rPr>
              <w:t>:</w:t>
              <w:tab/>
            </w:r>
            <w:r>
              <w:rPr>
                <w:rStyle w:val="IndexLink"/>
              </w:rPr>
              <w:t>36</w:t>
            </w:r>
          </w:hyperlink>
        </w:p>
        <w:p>
          <w:pPr>
            <w:pStyle w:val="Contents4"/>
            <w:tabs>
              <w:tab w:val="clear" w:pos="8176"/>
              <w:tab w:val="right" w:pos="9026" w:leader="dot"/>
            </w:tabs>
            <w:rPr/>
          </w:pPr>
          <w:hyperlink w:anchor="__RefHeading___Toc3907303_73709187">
            <w:r>
              <w:rPr>
                <w:webHidden/>
                <w:rStyle w:val="IndexLink"/>
              </w:rPr>
              <w:t>10</w:t>
            </w:r>
            <w:r>
              <w:rPr>
                <w:rStyle w:val="IndexLink"/>
                <w:rtl w:val="true"/>
              </w:rPr>
              <w:t xml:space="preserve"> - </w:t>
            </w:r>
            <w:r>
              <w:rPr>
                <w:rStyle w:val="IndexLink"/>
                <w:rtl w:val="true"/>
              </w:rPr>
              <w:t>عرض مذهب الماتريدي</w:t>
            </w:r>
            <w:r>
              <w:rPr>
                <w:rStyle w:val="IndexLink"/>
                <w:rtl w:val="true"/>
              </w:rPr>
              <w:t>:</w:t>
              <w:tab/>
            </w:r>
            <w:r>
              <w:rPr>
                <w:rStyle w:val="IndexLink"/>
              </w:rPr>
              <w:t>43</w:t>
            </w:r>
          </w:hyperlink>
        </w:p>
        <w:p>
          <w:pPr>
            <w:pStyle w:val="Contents5"/>
            <w:tabs>
              <w:tab w:val="clear" w:pos="7892"/>
              <w:tab w:val="right" w:pos="9026" w:leader="dot"/>
            </w:tabs>
            <w:rPr/>
          </w:pPr>
          <w:hyperlink w:anchor="__RefHeading___Toc3907305_7370918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3907307_73709187">
            <w:r>
              <w:rPr>
                <w:webHidden/>
                <w:rStyle w:val="IndexLink"/>
              </w:rPr>
              <w:t>1</w:t>
            </w:r>
            <w:r>
              <w:rPr>
                <w:rStyle w:val="IndexLink"/>
                <w:rtl w:val="true"/>
              </w:rPr>
              <w:t xml:space="preserve"> - </w:t>
            </w:r>
            <w:r>
              <w:rPr>
                <w:rStyle w:val="IndexLink"/>
                <w:rtl w:val="true"/>
              </w:rPr>
              <w:t>استيلاؤه على العرش</w:t>
            </w:r>
            <w:r>
              <w:rPr>
                <w:rStyle w:val="IndexLink"/>
                <w:rtl w:val="true"/>
              </w:rPr>
              <w:t>:</w:t>
              <w:tab/>
            </w:r>
            <w:r>
              <w:rPr>
                <w:rStyle w:val="IndexLink"/>
              </w:rPr>
              <w:t>46</w:t>
            </w:r>
          </w:hyperlink>
        </w:p>
        <w:p>
          <w:pPr>
            <w:pStyle w:val="Contents5"/>
            <w:tabs>
              <w:tab w:val="clear" w:pos="7892"/>
              <w:tab w:val="right" w:pos="9026" w:leader="dot"/>
            </w:tabs>
            <w:rPr/>
          </w:pPr>
          <w:hyperlink w:anchor="__RefHeading___Toc3907309_73709187">
            <w:r>
              <w:rPr>
                <w:webHidden/>
                <w:rStyle w:val="IndexLink"/>
              </w:rPr>
              <w:t>2</w:t>
            </w:r>
            <w:r>
              <w:rPr>
                <w:rStyle w:val="IndexLink"/>
                <w:rtl w:val="true"/>
              </w:rPr>
              <w:t xml:space="preserve"> - </w:t>
            </w:r>
            <w:r>
              <w:rPr>
                <w:rStyle w:val="IndexLink"/>
                <w:rtl w:val="true"/>
              </w:rPr>
              <w:t>معرفته سبحانه واجبة عقلاً</w:t>
            </w:r>
            <w:r>
              <w:rPr>
                <w:rStyle w:val="IndexLink"/>
                <w:rtl w:val="true"/>
              </w:rPr>
              <w:t>:</w:t>
              <w:tab/>
            </w:r>
            <w:r>
              <w:rPr>
                <w:rStyle w:val="IndexLink"/>
              </w:rPr>
              <w:t>47</w:t>
            </w:r>
          </w:hyperlink>
        </w:p>
        <w:p>
          <w:pPr>
            <w:pStyle w:val="Contents5"/>
            <w:tabs>
              <w:tab w:val="clear" w:pos="7892"/>
              <w:tab w:val="right" w:pos="9026" w:leader="dot"/>
            </w:tabs>
            <w:rPr/>
          </w:pPr>
          <w:hyperlink w:anchor="__RefHeading___Toc3907311_73709187">
            <w:r>
              <w:rPr>
                <w:webHidden/>
                <w:rStyle w:val="IndexLink"/>
              </w:rPr>
              <w:t>3</w:t>
            </w:r>
            <w:r>
              <w:rPr>
                <w:rStyle w:val="IndexLink"/>
                <w:rtl w:val="true"/>
              </w:rPr>
              <w:t xml:space="preserve"> - </w:t>
            </w:r>
            <w:r>
              <w:rPr>
                <w:rStyle w:val="IndexLink"/>
                <w:rtl w:val="true"/>
              </w:rPr>
              <w:t>الاعتراف بالتحسين و التقبيح العقليين</w:t>
            </w:r>
            <w:r>
              <w:rPr>
                <w:rStyle w:val="IndexLink"/>
                <w:rtl w:val="true"/>
              </w:rPr>
              <w:t>:</w:t>
              <w:tab/>
            </w:r>
            <w:r>
              <w:rPr>
                <w:rStyle w:val="IndexLink"/>
              </w:rPr>
              <w:t>49</w:t>
            </w:r>
          </w:hyperlink>
        </w:p>
        <w:p>
          <w:pPr>
            <w:pStyle w:val="Contents5"/>
            <w:tabs>
              <w:tab w:val="clear" w:pos="7892"/>
              <w:tab w:val="right" w:pos="9026" w:leader="dot"/>
            </w:tabs>
            <w:rPr/>
          </w:pPr>
          <w:hyperlink w:anchor="__RefHeading___Toc3907313_73709187">
            <w:r>
              <w:rPr>
                <w:webHidden/>
                <w:rStyle w:val="IndexLink"/>
              </w:rPr>
              <w:t>4</w:t>
            </w:r>
            <w:r>
              <w:rPr>
                <w:rStyle w:val="IndexLink"/>
                <w:rtl w:val="true"/>
              </w:rPr>
              <w:t xml:space="preserve"> - </w:t>
            </w:r>
            <w:r>
              <w:rPr>
                <w:rStyle w:val="IndexLink"/>
                <w:rtl w:val="true"/>
              </w:rPr>
              <w:t>التكليف بما لا يطاق غير جائز</w:t>
            </w:r>
            <w:r>
              <w:rPr>
                <w:rStyle w:val="IndexLink"/>
                <w:rtl w:val="true"/>
              </w:rPr>
              <w:t>:</w:t>
              <w:tab/>
            </w:r>
            <w:r>
              <w:rPr>
                <w:rStyle w:val="IndexLink"/>
              </w:rPr>
              <w:t>52</w:t>
            </w:r>
          </w:hyperlink>
        </w:p>
        <w:p>
          <w:pPr>
            <w:pStyle w:val="Contents5"/>
            <w:tabs>
              <w:tab w:val="clear" w:pos="7892"/>
              <w:tab w:val="right" w:pos="9026" w:leader="dot"/>
            </w:tabs>
            <w:rPr/>
          </w:pPr>
          <w:hyperlink w:anchor="__RefHeading___Toc3907315_73709187">
            <w:r>
              <w:rPr>
                <w:webHidden/>
                <w:rStyle w:val="IndexLink"/>
              </w:rPr>
              <w:t>5</w:t>
            </w:r>
            <w:r>
              <w:rPr>
                <w:rStyle w:val="IndexLink"/>
                <w:rtl w:val="true"/>
              </w:rPr>
              <w:t xml:space="preserve"> - </w:t>
            </w:r>
            <w:r>
              <w:rPr>
                <w:rStyle w:val="IndexLink"/>
                <w:rtl w:val="true"/>
              </w:rPr>
              <w:t>أفعال اللّٰه سبحانه معلّلة بالغايات</w:t>
            </w:r>
            <w:r>
              <w:rPr>
                <w:rStyle w:val="IndexLink"/>
                <w:rtl w:val="true"/>
              </w:rPr>
              <w:t>:</w:t>
              <w:tab/>
            </w:r>
            <w:r>
              <w:rPr>
                <w:rStyle w:val="IndexLink"/>
              </w:rPr>
              <w:t>54</w:t>
            </w:r>
          </w:hyperlink>
        </w:p>
        <w:p>
          <w:pPr>
            <w:pStyle w:val="Contents6"/>
            <w:tabs>
              <w:tab w:val="clear" w:pos="7609"/>
              <w:tab w:val="right" w:pos="9026" w:leader="dot"/>
            </w:tabs>
            <w:rPr/>
          </w:pPr>
          <w:hyperlink w:anchor="__RefHeading___Toc3907317_73709187">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907319_73709187">
            <w:r>
              <w:rPr>
                <w:webHidden/>
                <w:rStyle w:val="IndexLink"/>
                <w:rtl w:val="true"/>
              </w:rPr>
              <w:t>هل الغاية، غاية للفاعل أو للفعل؟</w:t>
            </w:r>
            <w:r>
              <w:rPr>
                <w:rStyle w:val="IndexLink"/>
                <w:rtl w:val="true"/>
              </w:rPr>
              <w:tab/>
            </w:r>
            <w:r>
              <w:rPr>
                <w:rStyle w:val="IndexLink"/>
              </w:rPr>
              <w:t>54</w:t>
            </w:r>
          </w:hyperlink>
        </w:p>
        <w:p>
          <w:pPr>
            <w:pStyle w:val="Contents6"/>
            <w:tabs>
              <w:tab w:val="clear" w:pos="7609"/>
              <w:tab w:val="right" w:pos="9026" w:leader="dot"/>
            </w:tabs>
            <w:rPr/>
          </w:pPr>
          <w:hyperlink w:anchor="__RefHeading___Toc3907321_73709187">
            <w:r>
              <w:rPr>
                <w:webHidden/>
                <w:rStyle w:val="IndexLink"/>
                <w:rtl w:val="true"/>
              </w:rPr>
              <w:t>تفسير العلّة الغائية</w:t>
            </w:r>
            <w:r>
              <w:rPr>
                <w:rStyle w:val="IndexLink"/>
                <w:rtl w:val="true"/>
              </w:rPr>
              <w:t>:</w:t>
              <w:tab/>
            </w:r>
            <w:r>
              <w:rPr>
                <w:rStyle w:val="IndexLink"/>
              </w:rPr>
              <w:t>55</w:t>
            </w:r>
          </w:hyperlink>
        </w:p>
        <w:p>
          <w:pPr>
            <w:pStyle w:val="Contents6"/>
            <w:tabs>
              <w:tab w:val="clear" w:pos="7609"/>
              <w:tab w:val="right" w:pos="9026" w:leader="dot"/>
            </w:tabs>
            <w:rPr/>
          </w:pPr>
          <w:hyperlink w:anchor="__RefHeading___Toc3907323_73709187">
            <w:r>
              <w:rPr>
                <w:webHidden/>
                <w:rStyle w:val="IndexLink"/>
                <w:rtl w:val="true"/>
              </w:rPr>
              <w:t>دليل ثان للأشاعرة</w:t>
            </w:r>
            <w:r>
              <w:rPr>
                <w:rStyle w:val="IndexLink"/>
                <w:rtl w:val="true"/>
              </w:rPr>
              <w:t>:</w:t>
              <w:tab/>
            </w:r>
            <w:r>
              <w:rPr>
                <w:rStyle w:val="IndexLink"/>
              </w:rPr>
              <w:t>57</w:t>
            </w:r>
          </w:hyperlink>
        </w:p>
        <w:p>
          <w:pPr>
            <w:pStyle w:val="Contents6"/>
            <w:tabs>
              <w:tab w:val="clear" w:pos="7609"/>
              <w:tab w:val="right" w:pos="9026" w:leader="dot"/>
            </w:tabs>
            <w:rPr/>
          </w:pPr>
          <w:hyperlink w:anchor="__RefHeading___Toc3907325_73709187">
            <w:r>
              <w:rPr>
                <w:webHidden/>
                <w:rStyle w:val="IndexLink"/>
                <w:rtl w:val="true"/>
              </w:rPr>
              <w:t>دليل ثالث للأشاعرة</w:t>
            </w:r>
            <w:r>
              <w:rPr>
                <w:rStyle w:val="IndexLink"/>
                <w:rtl w:val="true"/>
              </w:rPr>
              <w:t>:</w:t>
              <w:tab/>
            </w:r>
            <w:r>
              <w:rPr>
                <w:rStyle w:val="IndexLink"/>
              </w:rPr>
              <w:t>59</w:t>
            </w:r>
          </w:hyperlink>
        </w:p>
        <w:p>
          <w:pPr>
            <w:pStyle w:val="Contents6"/>
            <w:tabs>
              <w:tab w:val="clear" w:pos="7609"/>
              <w:tab w:val="right" w:pos="9026" w:leader="dot"/>
            </w:tabs>
            <w:rPr/>
          </w:pPr>
          <w:hyperlink w:anchor="__RefHeading___Toc3907327_73709187">
            <w:r>
              <w:rPr>
                <w:webHidden/>
                <w:rStyle w:val="IndexLink"/>
                <w:rtl w:val="true"/>
              </w:rPr>
              <w:t>القرآن و أفعاله سبحانه الحكيمة</w:t>
            </w:r>
            <w:r>
              <w:rPr>
                <w:rStyle w:val="IndexLink"/>
                <w:rtl w:val="true"/>
              </w:rPr>
              <w:t>:</w:t>
              <w:tab/>
            </w:r>
            <w:r>
              <w:rPr>
                <w:rStyle w:val="IndexLink"/>
              </w:rPr>
              <w:t>62</w:t>
            </w:r>
          </w:hyperlink>
        </w:p>
        <w:p>
          <w:pPr>
            <w:pStyle w:val="Contents6"/>
            <w:tabs>
              <w:tab w:val="clear" w:pos="7609"/>
              <w:tab w:val="right" w:pos="9026" w:leader="dot"/>
            </w:tabs>
            <w:rPr/>
          </w:pPr>
          <w:hyperlink w:anchor="__RefHeading___Toc3907329_73709187">
            <w:r>
              <w:rPr>
                <w:webHidden/>
                <w:rStyle w:val="IndexLink"/>
                <w:rtl w:val="true"/>
              </w:rPr>
              <w:t>عطف مذهب الحكماء على مذهب الأشاعرة</w:t>
            </w:r>
            <w:r>
              <w:rPr>
                <w:rStyle w:val="IndexLink"/>
                <w:rtl w:val="true"/>
              </w:rPr>
              <w:t>:</w:t>
              <w:tab/>
            </w:r>
            <w:r>
              <w:rPr>
                <w:rStyle w:val="IndexLink"/>
              </w:rPr>
              <w:t>63</w:t>
            </w:r>
          </w:hyperlink>
        </w:p>
        <w:p>
          <w:pPr>
            <w:pStyle w:val="Contents5"/>
            <w:tabs>
              <w:tab w:val="clear" w:pos="7892"/>
              <w:tab w:val="right" w:pos="9026" w:leader="dot"/>
            </w:tabs>
            <w:rPr/>
          </w:pPr>
          <w:hyperlink w:anchor="__RefHeading___Toc3907331_73709187">
            <w:r>
              <w:rPr>
                <w:webHidden/>
                <w:rStyle w:val="IndexLink"/>
              </w:rPr>
              <w:t>6</w:t>
            </w:r>
            <w:r>
              <w:rPr>
                <w:rStyle w:val="IndexLink"/>
                <w:rtl w:val="true"/>
              </w:rPr>
              <w:t xml:space="preserve"> - </w:t>
            </w:r>
            <w:r>
              <w:rPr>
                <w:rStyle w:val="IndexLink"/>
                <w:rtl w:val="true"/>
              </w:rPr>
              <w:t>الماتريدية و الصفات الخبرية</w:t>
            </w:r>
            <w:r>
              <w:rPr>
                <w:rStyle w:val="IndexLink"/>
                <w:rtl w:val="true"/>
              </w:rPr>
              <w:t>:</w:t>
              <w:tab/>
            </w:r>
            <w:r>
              <w:rPr>
                <w:rStyle w:val="IndexLink"/>
              </w:rPr>
              <w:t>65</w:t>
            </w:r>
          </w:hyperlink>
        </w:p>
        <w:p>
          <w:pPr>
            <w:pStyle w:val="Contents6"/>
            <w:tabs>
              <w:tab w:val="clear" w:pos="7609"/>
              <w:tab w:val="right" w:pos="9026" w:leader="dot"/>
            </w:tabs>
            <w:rPr/>
          </w:pPr>
          <w:hyperlink w:anchor="__RefHeading___Toc3907333_73709187">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3907335_73709187">
            <w:r>
              <w:rPr>
                <w:webHidden/>
                <w:rStyle w:val="IndexLink"/>
                <w:rtl w:val="true"/>
              </w:rPr>
              <w:t xml:space="preserve">أ </w:t>
            </w:r>
            <w:r>
              <w:rPr>
                <w:rStyle w:val="IndexLink"/>
                <w:rtl w:val="true"/>
              </w:rPr>
              <w:t xml:space="preserve">- </w:t>
            </w:r>
            <w:r>
              <w:rPr>
                <w:rStyle w:val="IndexLink"/>
                <w:rtl w:val="true"/>
              </w:rPr>
              <w:t>كلام الإمام الأشعري</w:t>
            </w:r>
            <w:r>
              <w:rPr>
                <w:rStyle w:val="IndexLink"/>
                <w:rtl w:val="true"/>
              </w:rPr>
              <w:t>:</w:t>
              <w:tab/>
            </w:r>
            <w:r>
              <w:rPr>
                <w:rStyle w:val="IndexLink"/>
              </w:rPr>
              <w:t>65</w:t>
            </w:r>
          </w:hyperlink>
        </w:p>
        <w:p>
          <w:pPr>
            <w:pStyle w:val="Contents6"/>
            <w:tabs>
              <w:tab w:val="clear" w:pos="7609"/>
              <w:tab w:val="right" w:pos="9026" w:leader="dot"/>
            </w:tabs>
            <w:rPr/>
          </w:pPr>
          <w:hyperlink w:anchor="__RefHeading___Toc3907337_73709187">
            <w:r>
              <w:rPr>
                <w:webHidden/>
                <w:rStyle w:val="IndexLink"/>
                <w:rtl w:val="true"/>
              </w:rPr>
              <w:t xml:space="preserve">ب </w:t>
            </w:r>
            <w:r>
              <w:rPr>
                <w:rStyle w:val="IndexLink"/>
                <w:rtl w:val="true"/>
              </w:rPr>
              <w:t xml:space="preserve">- </w:t>
            </w:r>
            <w:r>
              <w:rPr>
                <w:rStyle w:val="IndexLink"/>
                <w:rtl w:val="true"/>
              </w:rPr>
              <w:t>كلام الماتريدي</w:t>
            </w:r>
            <w:r>
              <w:rPr>
                <w:rStyle w:val="IndexLink"/>
                <w:rtl w:val="true"/>
              </w:rPr>
              <w:t>:</w:t>
              <w:tab/>
            </w:r>
            <w:r>
              <w:rPr>
                <w:rStyle w:val="IndexLink"/>
              </w:rPr>
              <w:t>68</w:t>
            </w:r>
          </w:hyperlink>
        </w:p>
        <w:p>
          <w:pPr>
            <w:pStyle w:val="Contents5"/>
            <w:tabs>
              <w:tab w:val="clear" w:pos="7892"/>
              <w:tab w:val="right" w:pos="9026" w:leader="dot"/>
            </w:tabs>
            <w:rPr/>
          </w:pPr>
          <w:hyperlink w:anchor="__RefHeading___Toc3907339_73709187">
            <w:r>
              <w:rPr>
                <w:webHidden/>
                <w:rStyle w:val="IndexLink"/>
              </w:rPr>
              <w:t>7</w:t>
            </w:r>
            <w:r>
              <w:rPr>
                <w:rStyle w:val="IndexLink"/>
                <w:rtl w:val="true"/>
              </w:rPr>
              <w:t xml:space="preserve"> - </w:t>
            </w:r>
            <w:r>
              <w:rPr>
                <w:rStyle w:val="IndexLink"/>
                <w:rtl w:val="true"/>
              </w:rPr>
              <w:t>الاستطاعة قبل الفعل أو بعده</w:t>
            </w:r>
            <w:r>
              <w:rPr>
                <w:rStyle w:val="IndexLink"/>
                <w:rtl w:val="true"/>
              </w:rPr>
              <w:t>:</w:t>
              <w:tab/>
            </w:r>
            <w:r>
              <w:rPr>
                <w:rStyle w:val="IndexLink"/>
              </w:rPr>
              <w:t>73</w:t>
            </w:r>
          </w:hyperlink>
        </w:p>
        <w:p>
          <w:pPr>
            <w:pStyle w:val="Contents5"/>
            <w:tabs>
              <w:tab w:val="clear" w:pos="7892"/>
              <w:tab w:val="right" w:pos="9026" w:leader="dot"/>
            </w:tabs>
            <w:rPr/>
          </w:pPr>
          <w:hyperlink w:anchor="__RefHeading___Toc3907341_73709187">
            <w:r>
              <w:rPr>
                <w:webHidden/>
                <w:rStyle w:val="IndexLink"/>
              </w:rPr>
              <w:t>8</w:t>
            </w:r>
            <w:r>
              <w:rPr>
                <w:rStyle w:val="IndexLink"/>
                <w:rtl w:val="true"/>
              </w:rPr>
              <w:t xml:space="preserve"> - </w:t>
            </w:r>
            <w:r>
              <w:rPr>
                <w:rStyle w:val="IndexLink"/>
                <w:rtl w:val="true"/>
              </w:rPr>
              <w:t>القدرة صالحة للضدّين</w:t>
            </w:r>
            <w:r>
              <w:rPr>
                <w:rStyle w:val="IndexLink"/>
                <w:rtl w:val="true"/>
              </w:rPr>
              <w:t>:</w:t>
              <w:tab/>
            </w:r>
            <w:r>
              <w:rPr>
                <w:rStyle w:val="IndexLink"/>
              </w:rPr>
              <w:t>74</w:t>
            </w:r>
          </w:hyperlink>
        </w:p>
        <w:p>
          <w:pPr>
            <w:pStyle w:val="Contents5"/>
            <w:tabs>
              <w:tab w:val="clear" w:pos="7892"/>
              <w:tab w:val="right" w:pos="9026" w:leader="dot"/>
            </w:tabs>
            <w:rPr/>
          </w:pPr>
          <w:hyperlink w:anchor="__RefHeading___Toc3907343_73709187">
            <w:r>
              <w:rPr>
                <w:webHidden/>
                <w:rStyle w:val="IndexLink"/>
              </w:rPr>
              <w:t>9</w:t>
            </w:r>
            <w:r>
              <w:rPr>
                <w:rStyle w:val="IndexLink"/>
                <w:rtl w:val="true"/>
              </w:rPr>
              <w:t xml:space="preserve"> - </w:t>
            </w:r>
            <w:r>
              <w:rPr>
                <w:rStyle w:val="IndexLink"/>
                <w:rtl w:val="true"/>
              </w:rPr>
              <w:t>الماتريدي و أفعال العباد</w:t>
            </w:r>
            <w:r>
              <w:rPr>
                <w:rStyle w:val="IndexLink"/>
                <w:rtl w:val="true"/>
              </w:rPr>
              <w:t>:</w:t>
              <w:tab/>
            </w:r>
            <w:r>
              <w:rPr>
                <w:rStyle w:val="IndexLink"/>
              </w:rPr>
              <w:t>75</w:t>
            </w:r>
          </w:hyperlink>
        </w:p>
        <w:p>
          <w:pPr>
            <w:pStyle w:val="Contents6"/>
            <w:tabs>
              <w:tab w:val="clear" w:pos="7609"/>
              <w:tab w:val="right" w:pos="9026" w:leader="dot"/>
            </w:tabs>
            <w:rPr/>
          </w:pPr>
          <w:hyperlink w:anchor="__RefHeading___Toc3907345_73709187">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907347_73709187">
            <w:r>
              <w:rPr>
                <w:webHidden/>
                <w:rStyle w:val="IndexLink"/>
                <w:rtl w:val="true"/>
              </w:rPr>
              <w:t>معنى الكسب عند الأشعري</w:t>
            </w:r>
            <w:r>
              <w:rPr>
                <w:rStyle w:val="IndexLink"/>
                <w:rtl w:val="true"/>
              </w:rPr>
              <w:t>:</w:t>
              <w:tab/>
            </w:r>
            <w:r>
              <w:rPr>
                <w:rStyle w:val="IndexLink"/>
              </w:rPr>
              <w:t>76</w:t>
            </w:r>
          </w:hyperlink>
        </w:p>
        <w:p>
          <w:pPr>
            <w:pStyle w:val="Contents6"/>
            <w:tabs>
              <w:tab w:val="clear" w:pos="7609"/>
              <w:tab w:val="right" w:pos="9026" w:leader="dot"/>
            </w:tabs>
            <w:rPr/>
          </w:pPr>
          <w:hyperlink w:anchor="__RefHeading___Toc3907349_73709187">
            <w:r>
              <w:rPr>
                <w:webHidden/>
                <w:rStyle w:val="IndexLink"/>
                <w:rtl w:val="true"/>
              </w:rPr>
              <w:t xml:space="preserve">نظريّة أبي حنيفة </w:t>
            </w:r>
            <w:r>
              <w:rPr>
                <w:rStyle w:val="IndexLink"/>
                <w:rtl w:val="true"/>
              </w:rPr>
              <w:t>(</w:t>
            </w:r>
            <w:r>
              <w:rPr>
                <w:rStyle w:val="IndexLink"/>
                <w:rtl w:val="true"/>
              </w:rPr>
              <w:t>شيخ الماتريدي</w:t>
            </w:r>
            <w:r>
              <w:rPr>
                <w:rStyle w:val="IndexLink"/>
                <w:rtl w:val="true"/>
              </w:rPr>
              <w:t xml:space="preserve">) </w:t>
            </w:r>
            <w:r>
              <w:rPr>
                <w:rStyle w:val="IndexLink"/>
                <w:rtl w:val="true"/>
              </w:rPr>
              <w:t>في الكسب</w:t>
            </w:r>
            <w:r>
              <w:rPr>
                <w:rStyle w:val="IndexLink"/>
                <w:rtl w:val="true"/>
              </w:rPr>
              <w:t>:</w:t>
              <w:tab/>
            </w:r>
            <w:r>
              <w:rPr>
                <w:rStyle w:val="IndexLink"/>
              </w:rPr>
              <w:t>78</w:t>
            </w:r>
          </w:hyperlink>
        </w:p>
        <w:p>
          <w:pPr>
            <w:pStyle w:val="Contents6"/>
            <w:tabs>
              <w:tab w:val="clear" w:pos="7609"/>
              <w:tab w:val="right" w:pos="9026" w:leader="dot"/>
            </w:tabs>
            <w:rPr/>
          </w:pPr>
          <w:hyperlink w:anchor="__RefHeading___Toc3907351_73709187">
            <w:r>
              <w:rPr>
                <w:webHidden/>
                <w:rStyle w:val="IndexLink"/>
                <w:rtl w:val="true"/>
              </w:rPr>
              <w:t>كلام الماتريدي في أفعال العباد</w:t>
            </w:r>
            <w:r>
              <w:rPr>
                <w:rStyle w:val="IndexLink"/>
                <w:rtl w:val="true"/>
              </w:rPr>
              <w:t>:</w:t>
              <w:tab/>
            </w:r>
            <w:r>
              <w:rPr>
                <w:rStyle w:val="IndexLink"/>
              </w:rPr>
              <w:t>79</w:t>
            </w:r>
          </w:hyperlink>
        </w:p>
        <w:p>
          <w:pPr>
            <w:pStyle w:val="Contents5"/>
            <w:tabs>
              <w:tab w:val="clear" w:pos="7892"/>
              <w:tab w:val="right" w:pos="9026" w:leader="dot"/>
            </w:tabs>
            <w:rPr/>
          </w:pPr>
          <w:hyperlink w:anchor="__RefHeading___Toc3907353_73709187">
            <w:r>
              <w:rPr>
                <w:webHidden/>
                <w:rStyle w:val="IndexLink"/>
              </w:rPr>
              <w:t>10</w:t>
            </w:r>
            <w:r>
              <w:rPr>
                <w:rStyle w:val="IndexLink"/>
                <w:rtl w:val="true"/>
              </w:rPr>
              <w:t xml:space="preserve"> - </w:t>
            </w:r>
            <w:r>
              <w:rPr>
                <w:rStyle w:val="IndexLink"/>
                <w:rtl w:val="true"/>
              </w:rPr>
              <w:t>صفاته عين ذاته</w:t>
            </w:r>
            <w:r>
              <w:rPr>
                <w:rStyle w:val="IndexLink"/>
                <w:rtl w:val="true"/>
              </w:rPr>
              <w:t>:</w:t>
              <w:tab/>
            </w:r>
            <w:r>
              <w:rPr>
                <w:rStyle w:val="IndexLink"/>
              </w:rPr>
              <w:t>83</w:t>
            </w:r>
          </w:hyperlink>
        </w:p>
        <w:p>
          <w:pPr>
            <w:pStyle w:val="Contents4"/>
            <w:tabs>
              <w:tab w:val="clear" w:pos="8176"/>
              <w:tab w:val="right" w:pos="9026" w:leader="dot"/>
            </w:tabs>
            <w:rPr/>
          </w:pPr>
          <w:hyperlink w:anchor="__RefHeading___Toc3907355_73709187">
            <w:r>
              <w:rPr>
                <w:webHidden/>
                <w:rStyle w:val="IndexLink"/>
                <w:rtl w:val="true"/>
              </w:rPr>
              <w:t>حصيلة البحث</w:t>
            </w:r>
            <w:r>
              <w:rPr>
                <w:rStyle w:val="IndexLink"/>
                <w:rtl w:val="true"/>
              </w:rPr>
              <w:t>:</w:t>
              <w:tab/>
            </w:r>
            <w:r>
              <w:rPr>
                <w:rStyle w:val="IndexLink"/>
              </w:rPr>
              <w:t>84</w:t>
            </w:r>
          </w:hyperlink>
        </w:p>
        <w:p>
          <w:pPr>
            <w:pStyle w:val="Contents5"/>
            <w:tabs>
              <w:tab w:val="clear" w:pos="7892"/>
              <w:tab w:val="right" w:pos="9026" w:leader="dot"/>
            </w:tabs>
            <w:rPr/>
          </w:pPr>
          <w:hyperlink w:anchor="__RefHeading___Toc3907357_7370918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3907359_73709187">
            <w:r>
              <w:rPr>
                <w:webHidden/>
                <w:rStyle w:val="IndexLink"/>
              </w:rPr>
              <w:t>1</w:t>
            </w:r>
            <w:r>
              <w:rPr>
                <w:rStyle w:val="IndexLink"/>
                <w:rtl w:val="true"/>
              </w:rPr>
              <w:t xml:space="preserve"> - </w:t>
            </w:r>
            <w:r>
              <w:rPr>
                <w:rStyle w:val="IndexLink"/>
                <w:rtl w:val="true"/>
              </w:rPr>
              <w:t>الوجود نفس الماهية أو غيرها؟</w:t>
            </w:r>
            <w:r>
              <w:rPr>
                <w:rStyle w:val="IndexLink"/>
                <w:rtl w:val="true"/>
              </w:rPr>
              <w:tab/>
            </w:r>
            <w:r>
              <w:rPr>
                <w:rStyle w:val="IndexLink"/>
              </w:rPr>
              <w:t>85</w:t>
            </w:r>
          </w:hyperlink>
        </w:p>
        <w:p>
          <w:pPr>
            <w:pStyle w:val="Contents5"/>
            <w:tabs>
              <w:tab w:val="clear" w:pos="7892"/>
              <w:tab w:val="right" w:pos="9026" w:leader="dot"/>
            </w:tabs>
            <w:rPr/>
          </w:pPr>
          <w:hyperlink w:anchor="__RefHeading___Toc3907361_73709187">
            <w:r>
              <w:rPr>
                <w:webHidden/>
                <w:rStyle w:val="IndexLink"/>
              </w:rPr>
              <w:t>2</w:t>
            </w:r>
            <w:r>
              <w:rPr>
                <w:rStyle w:val="IndexLink"/>
                <w:rtl w:val="true"/>
              </w:rPr>
              <w:t xml:space="preserve"> - </w:t>
            </w:r>
            <w:r>
              <w:rPr>
                <w:rStyle w:val="IndexLink"/>
                <w:rtl w:val="true"/>
              </w:rPr>
              <w:t>البقاء هو الوجود المستمر أو وصف زائد؟</w:t>
            </w:r>
            <w:r>
              <w:rPr>
                <w:rStyle w:val="IndexLink"/>
                <w:rtl w:val="true"/>
              </w:rPr>
              <w:tab/>
            </w:r>
            <w:r>
              <w:rPr>
                <w:rStyle w:val="IndexLink"/>
              </w:rPr>
              <w:t>86</w:t>
            </w:r>
          </w:hyperlink>
        </w:p>
        <w:p>
          <w:pPr>
            <w:pStyle w:val="Contents5"/>
            <w:tabs>
              <w:tab w:val="clear" w:pos="7892"/>
              <w:tab w:val="right" w:pos="9026" w:leader="dot"/>
            </w:tabs>
            <w:rPr/>
          </w:pPr>
          <w:hyperlink w:anchor="__RefHeading___Toc3907363_73709187">
            <w:r>
              <w:rPr>
                <w:webHidden/>
                <w:rStyle w:val="IndexLink"/>
              </w:rPr>
              <w:t>3</w:t>
            </w:r>
            <w:r>
              <w:rPr>
                <w:rStyle w:val="IndexLink"/>
                <w:rtl w:val="true"/>
              </w:rPr>
              <w:t xml:space="preserve"> - </w:t>
            </w:r>
            <w:r>
              <w:rPr>
                <w:rStyle w:val="IndexLink"/>
                <w:rtl w:val="true"/>
              </w:rPr>
              <w:t>القدرة غير التكوين، و التكوين غير المكوِّن</w:t>
            </w:r>
            <w:r>
              <w:rPr>
                <w:rStyle w:val="IndexLink"/>
                <w:rtl w:val="true"/>
              </w:rPr>
              <w:t>:</w:t>
              <w:tab/>
            </w:r>
            <w:r>
              <w:rPr>
                <w:rStyle w:val="IndexLink"/>
              </w:rPr>
              <w:t>86</w:t>
            </w:r>
          </w:hyperlink>
        </w:p>
        <w:p>
          <w:pPr>
            <w:pStyle w:val="Contents5"/>
            <w:tabs>
              <w:tab w:val="clear" w:pos="7892"/>
              <w:tab w:val="right" w:pos="9026" w:leader="dot"/>
            </w:tabs>
            <w:rPr/>
          </w:pPr>
          <w:hyperlink w:anchor="__RefHeading___Toc3907365_73709187">
            <w:r>
              <w:rPr>
                <w:webHidden/>
                <w:rStyle w:val="IndexLink"/>
              </w:rPr>
              <w:t>4</w:t>
            </w:r>
            <w:r>
              <w:rPr>
                <w:rStyle w:val="IndexLink"/>
                <w:rtl w:val="true"/>
              </w:rPr>
              <w:t xml:space="preserve"> - </w:t>
            </w:r>
            <w:r>
              <w:rPr>
                <w:rStyle w:val="IndexLink"/>
                <w:rtl w:val="true"/>
              </w:rPr>
              <w:t>الكلام النفسي لا يسمع</w:t>
            </w:r>
            <w:r>
              <w:rPr>
                <w:rStyle w:val="IndexLink"/>
                <w:rtl w:val="true"/>
              </w:rPr>
              <w:t>:</w:t>
              <w:tab/>
            </w:r>
            <w:r>
              <w:rPr>
                <w:rStyle w:val="IndexLink"/>
              </w:rPr>
              <w:t>90</w:t>
            </w:r>
          </w:hyperlink>
        </w:p>
        <w:p>
          <w:pPr>
            <w:pStyle w:val="Contents3"/>
            <w:tabs>
              <w:tab w:val="clear" w:pos="8459"/>
              <w:tab w:val="right" w:pos="9026" w:leader="dot"/>
            </w:tabs>
            <w:rPr/>
          </w:pPr>
          <w:hyperlink w:anchor="__RefHeading___Toc3907367_73709187">
            <w:r>
              <w:rPr>
                <w:webHidden/>
                <w:rStyle w:val="IndexLink"/>
                <w:rtl w:val="true"/>
              </w:rPr>
              <w:t>أنصاره و أتباعه في الأجيال المتأخِّرة</w:t>
            </w:r>
            <w:r>
              <w:rPr>
                <w:rStyle w:val="IndexLink"/>
                <w:rtl w:val="true"/>
              </w:rPr>
              <w:t>:</w:t>
              <w:tab/>
            </w:r>
            <w:r>
              <w:rPr>
                <w:rStyle w:val="IndexLink"/>
              </w:rPr>
              <w:t>91</w:t>
            </w:r>
          </w:hyperlink>
        </w:p>
        <w:p>
          <w:pPr>
            <w:pStyle w:val="Contents4"/>
            <w:tabs>
              <w:tab w:val="clear" w:pos="8176"/>
              <w:tab w:val="right" w:pos="9026" w:leader="dot"/>
            </w:tabs>
            <w:rPr/>
          </w:pPr>
          <w:hyperlink w:anchor="__RefHeading___Toc3907369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907371_73709187">
            <w:r>
              <w:rPr>
                <w:webHidden/>
                <w:rStyle w:val="IndexLink"/>
              </w:rPr>
              <w:t>1</w:t>
            </w:r>
            <w:r>
              <w:rPr>
                <w:rStyle w:val="IndexLink"/>
                <w:rtl w:val="true"/>
              </w:rPr>
              <w:t xml:space="preserve"> - </w:t>
            </w:r>
            <w:r>
              <w:rPr>
                <w:rStyle w:val="IndexLink"/>
                <w:rtl w:val="true"/>
              </w:rPr>
              <w:t xml:space="preserve">أبو اليسر محمّد البزدوي </w:t>
            </w:r>
            <w:r>
              <w:rPr>
                <w:rStyle w:val="IndexLink"/>
                <w:rtl w:val="true"/>
              </w:rPr>
              <w:t>(</w:t>
            </w:r>
            <w:r>
              <w:rPr>
                <w:rStyle w:val="IndexLink"/>
              </w:rPr>
              <w:t>421</w:t>
            </w:r>
            <w:r>
              <w:rPr>
                <w:rStyle w:val="IndexLink"/>
                <w:rtl w:val="true"/>
              </w:rPr>
              <w:t>-</w:t>
            </w:r>
            <w:r>
              <w:rPr>
                <w:rStyle w:val="IndexLink"/>
              </w:rPr>
              <w:t>493</w:t>
            </w:r>
            <w:r>
              <w:rPr>
                <w:rStyle w:val="IndexLink"/>
                <w:rtl w:val="true"/>
              </w:rPr>
              <w:t xml:space="preserve"> </w:t>
            </w:r>
            <w:r>
              <w:rPr>
                <w:rStyle w:val="IndexLink"/>
                <w:rtl w:val="true"/>
              </w:rPr>
              <w:t>ه</w:t>
            </w:r>
            <w:r>
              <w:rPr>
                <w:rStyle w:val="IndexLink"/>
                <w:rtl w:val="true"/>
              </w:rPr>
              <w:t>)</w:t>
              <w:tab/>
            </w:r>
            <w:r>
              <w:rPr>
                <w:rStyle w:val="IndexLink"/>
              </w:rPr>
              <w:t>92</w:t>
            </w:r>
          </w:hyperlink>
        </w:p>
        <w:p>
          <w:pPr>
            <w:pStyle w:val="Contents5"/>
            <w:tabs>
              <w:tab w:val="clear" w:pos="7892"/>
              <w:tab w:val="right" w:pos="9026" w:leader="dot"/>
            </w:tabs>
            <w:rPr/>
          </w:pPr>
          <w:hyperlink w:anchor="__RefHeading___Toc3907373_7370918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907375_73709187">
            <w:r>
              <w:rPr>
                <w:webHidden/>
                <w:rStyle w:val="IndexLink"/>
                <w:rtl w:val="true"/>
              </w:rPr>
              <w:t>ثقافته</w:t>
            </w:r>
            <w:r>
              <w:rPr>
                <w:rStyle w:val="IndexLink"/>
                <w:rtl w:val="true"/>
              </w:rPr>
              <w:t>:</w:t>
              <w:tab/>
            </w:r>
            <w:r>
              <w:rPr>
                <w:rStyle w:val="IndexLink"/>
              </w:rPr>
              <w:t>93</w:t>
            </w:r>
          </w:hyperlink>
        </w:p>
        <w:p>
          <w:pPr>
            <w:pStyle w:val="Contents5"/>
            <w:tabs>
              <w:tab w:val="clear" w:pos="7892"/>
              <w:tab w:val="right" w:pos="9026" w:leader="dot"/>
            </w:tabs>
            <w:rPr/>
          </w:pPr>
          <w:hyperlink w:anchor="__RefHeading___Toc3907377_73709187">
            <w:r>
              <w:rPr>
                <w:webHidden/>
                <w:rStyle w:val="IndexLink"/>
                <w:rtl w:val="true"/>
              </w:rPr>
              <w:t>تلاميذه</w:t>
            </w:r>
            <w:r>
              <w:rPr>
                <w:rStyle w:val="IndexLink"/>
                <w:rtl w:val="true"/>
              </w:rPr>
              <w:t>:</w:t>
              <w:tab/>
            </w:r>
            <w:r>
              <w:rPr>
                <w:rStyle w:val="IndexLink"/>
              </w:rPr>
              <w:t>95</w:t>
            </w:r>
          </w:hyperlink>
        </w:p>
        <w:p>
          <w:pPr>
            <w:pStyle w:val="Contents5"/>
            <w:tabs>
              <w:tab w:val="clear" w:pos="7892"/>
              <w:tab w:val="right" w:pos="9026" w:leader="dot"/>
            </w:tabs>
            <w:rPr/>
          </w:pPr>
          <w:hyperlink w:anchor="__RefHeading___Toc3907379_73709187">
            <w:r>
              <w:rPr>
                <w:webHidden/>
                <w:rStyle w:val="IndexLink"/>
                <w:rtl w:val="true"/>
              </w:rPr>
              <w:t>مؤلفاته</w:t>
            </w:r>
            <w:r>
              <w:rPr>
                <w:rStyle w:val="IndexLink"/>
                <w:rtl w:val="true"/>
              </w:rPr>
              <w:t>:</w:t>
              <w:tab/>
            </w:r>
            <w:r>
              <w:rPr>
                <w:rStyle w:val="IndexLink"/>
              </w:rPr>
              <w:t>96</w:t>
            </w:r>
          </w:hyperlink>
        </w:p>
        <w:p>
          <w:pPr>
            <w:pStyle w:val="Contents4"/>
            <w:tabs>
              <w:tab w:val="clear" w:pos="8176"/>
              <w:tab w:val="right" w:pos="9026" w:leader="dot"/>
            </w:tabs>
            <w:rPr/>
          </w:pPr>
          <w:hyperlink w:anchor="__RefHeading___Toc3907381_73709187">
            <w:r>
              <w:rPr>
                <w:webHidden/>
                <w:rStyle w:val="IndexLink"/>
              </w:rPr>
              <w:t>2</w:t>
            </w:r>
            <w:r>
              <w:rPr>
                <w:rStyle w:val="IndexLink"/>
                <w:rtl w:val="true"/>
              </w:rPr>
              <w:t xml:space="preserve"> - </w:t>
            </w:r>
            <w:r>
              <w:rPr>
                <w:rStyle w:val="IndexLink"/>
                <w:rtl w:val="true"/>
              </w:rPr>
              <w:t xml:space="preserve">النسفي ميمون بن محمّد </w:t>
            </w:r>
            <w:r>
              <w:rPr>
                <w:rStyle w:val="IndexLink"/>
                <w:rtl w:val="true"/>
              </w:rPr>
              <w:t>(</w:t>
            </w:r>
            <w:r>
              <w:rPr>
                <w:rStyle w:val="IndexLink"/>
              </w:rPr>
              <w:t>418</w:t>
            </w:r>
            <w:r>
              <w:rPr>
                <w:rStyle w:val="IndexLink"/>
                <w:rtl w:val="true"/>
              </w:rPr>
              <w:t>-</w:t>
            </w:r>
            <w:r>
              <w:rPr>
                <w:rStyle w:val="IndexLink"/>
              </w:rPr>
              <w:t>508</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4"/>
            <w:tabs>
              <w:tab w:val="clear" w:pos="8176"/>
              <w:tab w:val="right" w:pos="9026" w:leader="dot"/>
            </w:tabs>
            <w:rPr/>
          </w:pPr>
          <w:hyperlink w:anchor="__RefHeading___Toc3907383_73709187">
            <w:r>
              <w:rPr>
                <w:webHidden/>
                <w:rStyle w:val="IndexLink"/>
              </w:rPr>
              <w:t>3</w:t>
            </w:r>
            <w:r>
              <w:rPr>
                <w:rStyle w:val="IndexLink"/>
                <w:rtl w:val="true"/>
              </w:rPr>
              <w:t xml:space="preserve"> - </w:t>
            </w:r>
            <w:r>
              <w:rPr>
                <w:rStyle w:val="IndexLink"/>
                <w:rtl w:val="true"/>
              </w:rPr>
              <w:t xml:space="preserve">النسفي عمر بن محمّد </w:t>
            </w:r>
            <w:r>
              <w:rPr>
                <w:rStyle w:val="IndexLink"/>
                <w:rtl w:val="true"/>
              </w:rPr>
              <w:t>(</w:t>
            </w:r>
            <w:r>
              <w:rPr>
                <w:rStyle w:val="IndexLink"/>
              </w:rPr>
              <w:t>460</w:t>
            </w:r>
            <w:r>
              <w:rPr>
                <w:rStyle w:val="IndexLink"/>
                <w:rtl w:val="true"/>
              </w:rPr>
              <w:t>-</w:t>
            </w:r>
            <w:r>
              <w:rPr>
                <w:rStyle w:val="IndexLink"/>
              </w:rPr>
              <w:t>537</w:t>
            </w:r>
            <w:r>
              <w:rPr>
                <w:rStyle w:val="IndexLink"/>
                <w:rtl w:val="true"/>
              </w:rPr>
              <w:t xml:space="preserve"> </w:t>
            </w:r>
            <w:r>
              <w:rPr>
                <w:rStyle w:val="IndexLink"/>
                <w:rtl w:val="true"/>
              </w:rPr>
              <w:t>ه</w:t>
            </w:r>
            <w:r>
              <w:rPr>
                <w:rStyle w:val="IndexLink"/>
                <w:rtl w:val="true"/>
              </w:rPr>
              <w:t>):</w:t>
              <w:tab/>
            </w:r>
            <w:r>
              <w:rPr>
                <w:rStyle w:val="IndexLink"/>
              </w:rPr>
              <w:t>97</w:t>
            </w:r>
          </w:hyperlink>
        </w:p>
        <w:p>
          <w:pPr>
            <w:pStyle w:val="Contents4"/>
            <w:tabs>
              <w:tab w:val="clear" w:pos="8176"/>
              <w:tab w:val="right" w:pos="9026" w:leader="dot"/>
            </w:tabs>
            <w:rPr/>
          </w:pPr>
          <w:hyperlink w:anchor="__RefHeading___Toc3907385_73709187">
            <w:r>
              <w:rPr>
                <w:webHidden/>
                <w:rStyle w:val="IndexLink"/>
              </w:rPr>
              <w:t>4</w:t>
            </w:r>
            <w:r>
              <w:rPr>
                <w:rStyle w:val="IndexLink"/>
                <w:rtl w:val="true"/>
              </w:rPr>
              <w:t xml:space="preserve"> - </w:t>
            </w:r>
            <w:r>
              <w:rPr>
                <w:rStyle w:val="IndexLink"/>
                <w:rtl w:val="true"/>
              </w:rPr>
              <w:t>ابن الهمام</w:t>
            </w:r>
            <w:r>
              <w:rPr>
                <w:rStyle w:val="IndexLink"/>
                <w:rtl w:val="true"/>
              </w:rPr>
              <w:t xml:space="preserve">: </w:t>
            </w:r>
            <w:r>
              <w:rPr>
                <w:rStyle w:val="IndexLink"/>
                <w:rtl w:val="true"/>
              </w:rPr>
              <w:t xml:space="preserve">محمد بن عبد الواحد </w:t>
            </w:r>
            <w:r>
              <w:rPr>
                <w:rStyle w:val="IndexLink"/>
                <w:rtl w:val="true"/>
              </w:rPr>
              <w:t>(</w:t>
            </w:r>
            <w:r>
              <w:rPr>
                <w:rStyle w:val="IndexLink"/>
              </w:rPr>
              <w:t>790</w:t>
            </w:r>
            <w:r>
              <w:rPr>
                <w:rStyle w:val="IndexLink"/>
                <w:rtl w:val="true"/>
              </w:rPr>
              <w:t>-</w:t>
            </w:r>
            <w:r>
              <w:rPr>
                <w:rStyle w:val="IndexLink"/>
              </w:rPr>
              <w:t>816</w:t>
            </w:r>
            <w:r>
              <w:rPr>
                <w:rStyle w:val="IndexLink"/>
                <w:rtl w:val="true"/>
              </w:rPr>
              <w:t xml:space="preserve"> </w:t>
            </w:r>
            <w:r>
              <w:rPr>
                <w:rStyle w:val="IndexLink"/>
                <w:rtl w:val="true"/>
              </w:rPr>
              <w:t>ه</w:t>
            </w:r>
            <w:r>
              <w:rPr>
                <w:rStyle w:val="IndexLink"/>
                <w:rtl w:val="true"/>
              </w:rPr>
              <w:t>):</w:t>
              <w:tab/>
            </w:r>
            <w:r>
              <w:rPr>
                <w:rStyle w:val="IndexLink"/>
              </w:rPr>
              <w:t>98</w:t>
            </w:r>
          </w:hyperlink>
        </w:p>
        <w:p>
          <w:pPr>
            <w:pStyle w:val="Contents4"/>
            <w:tabs>
              <w:tab w:val="clear" w:pos="8176"/>
              <w:tab w:val="right" w:pos="9026" w:leader="dot"/>
            </w:tabs>
            <w:rPr/>
          </w:pPr>
          <w:hyperlink w:anchor="__RefHeading___Toc3907387_73709187">
            <w:r>
              <w:rPr>
                <w:webHidden/>
                <w:rStyle w:val="IndexLink"/>
              </w:rPr>
              <w:t>5</w:t>
            </w:r>
            <w:r>
              <w:rPr>
                <w:rStyle w:val="IndexLink"/>
                <w:rtl w:val="true"/>
              </w:rPr>
              <w:t xml:space="preserve"> - </w:t>
            </w:r>
            <w:r>
              <w:rPr>
                <w:rStyle w:val="IndexLink"/>
                <w:rtl w:val="true"/>
              </w:rPr>
              <w:t>البياضي</w:t>
            </w:r>
            <w:r>
              <w:rPr>
                <w:rStyle w:val="IndexLink"/>
                <w:rtl w:val="true"/>
              </w:rPr>
              <w:t xml:space="preserve">: </w:t>
            </w:r>
            <w:r>
              <w:rPr>
                <w:rStyle w:val="IndexLink"/>
                <w:rtl w:val="true"/>
              </w:rPr>
              <w:t xml:space="preserve">كمال الدين أحمد بن حسن الرومي الحنفي </w:t>
            </w:r>
            <w:r>
              <w:rPr>
                <w:rStyle w:val="IndexLink"/>
                <w:rtl w:val="true"/>
              </w:rPr>
              <w:t>- (</w:t>
            </w:r>
            <w:r>
              <w:rPr>
                <w:rStyle w:val="IndexLink"/>
                <w:rtl w:val="true"/>
              </w:rPr>
              <w:t xml:space="preserve">القرن </w:t>
            </w:r>
            <w:r>
              <w:rPr>
                <w:rStyle w:val="IndexLink"/>
              </w:rPr>
              <w:t>11</w:t>
            </w:r>
            <w:r>
              <w:rPr>
                <w:rStyle w:val="IndexLink"/>
                <w:rtl w:val="true"/>
              </w:rPr>
              <w:t>):</w:t>
              <w:tab/>
            </w:r>
            <w:r>
              <w:rPr>
                <w:rStyle w:val="IndexLink"/>
              </w:rPr>
              <w:t>98</w:t>
            </w:r>
          </w:hyperlink>
        </w:p>
        <w:p>
          <w:pPr>
            <w:pStyle w:val="Contents5"/>
            <w:tabs>
              <w:tab w:val="clear" w:pos="7892"/>
              <w:tab w:val="right" w:pos="9026" w:leader="dot"/>
            </w:tabs>
            <w:rPr/>
          </w:pPr>
          <w:hyperlink w:anchor="__RefHeading___Toc3907389_73709187">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3907391_73709187">
            <w:r>
              <w:rPr>
                <w:webHidden/>
                <w:rStyle w:val="IndexLink"/>
                <w:rtl w:val="true"/>
              </w:rPr>
              <w:t>بيان لقادة الفكر في الأُمّة</w:t>
            </w:r>
            <w:r>
              <w:rPr>
                <w:rStyle w:val="IndexLink"/>
                <w:rtl w:val="true"/>
              </w:rPr>
              <w:t>:</w:t>
              <w:tab/>
            </w:r>
            <w:r>
              <w:rPr>
                <w:rStyle w:val="IndexLink"/>
              </w:rPr>
              <w:t>100</w:t>
            </w:r>
          </w:hyperlink>
        </w:p>
        <w:p>
          <w:pPr>
            <w:pStyle w:val="Contents5"/>
            <w:tabs>
              <w:tab w:val="clear" w:pos="7892"/>
              <w:tab w:val="right" w:pos="9026" w:leader="dot"/>
            </w:tabs>
            <w:rPr/>
          </w:pPr>
          <w:hyperlink w:anchor="__RefHeading___Toc3907393_73709187">
            <w:r>
              <w:rPr>
                <w:webHidden/>
                <w:rStyle w:val="IndexLink"/>
                <w:rtl w:val="true"/>
              </w:rPr>
              <w:t>يا أُمّه اثكليه</w:t>
            </w:r>
            <w:r>
              <w:rPr>
                <w:rStyle w:val="IndexLink"/>
                <w:rtl w:val="true"/>
              </w:rPr>
              <w:t>:</w:t>
              <w:tab/>
            </w:r>
            <w:r>
              <w:rPr>
                <w:rStyle w:val="IndexLink"/>
              </w:rPr>
              <w:t>104</w:t>
            </w:r>
          </w:hyperlink>
        </w:p>
        <w:p>
          <w:pPr>
            <w:pStyle w:val="Contents2"/>
            <w:tabs>
              <w:tab w:val="clear" w:pos="8743"/>
              <w:tab w:val="right" w:pos="9026" w:leader="dot"/>
            </w:tabs>
            <w:rPr/>
          </w:pPr>
          <w:hyperlink w:anchor="__RefHeading___Toc3907395_73709187">
            <w:r>
              <w:rPr>
                <w:webHidden/>
                <w:rStyle w:val="IndexLink"/>
              </w:rPr>
              <w:t>2</w:t>
            </w:r>
            <w:r>
              <w:rPr>
                <w:rStyle w:val="IndexLink"/>
                <w:rtl w:val="true"/>
              </w:rPr>
              <w:t xml:space="preserve"> - </w:t>
            </w:r>
            <w:r>
              <w:rPr>
                <w:rStyle w:val="IndexLink"/>
                <w:rtl w:val="true"/>
              </w:rPr>
              <w:t>المرجئة</w:t>
            </w:r>
            <w:r>
              <w:rPr>
                <w:rStyle w:val="IndexLink"/>
                <w:rtl w:val="true"/>
              </w:rPr>
              <w:tab/>
            </w:r>
            <w:r>
              <w:rPr>
                <w:rStyle w:val="IndexLink"/>
              </w:rPr>
              <w:t>108</w:t>
            </w:r>
          </w:hyperlink>
        </w:p>
        <w:p>
          <w:pPr>
            <w:pStyle w:val="Contents3"/>
            <w:tabs>
              <w:tab w:val="clear" w:pos="8459"/>
              <w:tab w:val="right" w:pos="9026" w:leader="dot"/>
            </w:tabs>
            <w:rPr/>
          </w:pPr>
          <w:hyperlink w:anchor="__RefHeading___Toc3907397_73709187">
            <w:r>
              <w:rPr>
                <w:webHidden/>
                <w:rStyle w:val="IndexLink"/>
                <w:rtl w:val="true"/>
              </w:rPr>
              <w:t>اشارة</w:t>
            </w:r>
            <w:r>
              <w:rPr>
                <w:rStyle w:val="IndexLink"/>
                <w:rtl w:val="true"/>
              </w:rPr>
              <w:tab/>
            </w:r>
            <w:r>
              <w:rPr>
                <w:rStyle w:val="IndexLink"/>
              </w:rPr>
              <w:t>108</w:t>
            </w:r>
          </w:hyperlink>
        </w:p>
        <w:p>
          <w:pPr>
            <w:pStyle w:val="Contents3"/>
            <w:tabs>
              <w:tab w:val="clear" w:pos="8459"/>
              <w:tab w:val="right" w:pos="9026" w:leader="dot"/>
            </w:tabs>
            <w:rPr/>
          </w:pPr>
          <w:hyperlink w:anchor="__RefHeading___Toc3907399_73709187">
            <w:r>
              <w:rPr>
                <w:webHidden/>
                <w:rStyle w:val="IndexLink"/>
                <w:rtl w:val="true"/>
              </w:rPr>
              <w:t>هذا التاريخ المتضافر يدلّنا على أُمور</w:t>
            </w:r>
            <w:r>
              <w:rPr>
                <w:rStyle w:val="IndexLink"/>
                <w:rtl w:val="true"/>
              </w:rPr>
              <w:t>:</w:t>
              <w:tab/>
            </w:r>
            <w:r>
              <w:rPr>
                <w:rStyle w:val="IndexLink"/>
              </w:rPr>
              <w:t>113</w:t>
            </w:r>
          </w:hyperlink>
        </w:p>
        <w:p>
          <w:pPr>
            <w:pStyle w:val="Contents3"/>
            <w:tabs>
              <w:tab w:val="clear" w:pos="8459"/>
              <w:tab w:val="right" w:pos="9026" w:leader="dot"/>
            </w:tabs>
            <w:rPr/>
          </w:pPr>
          <w:hyperlink w:anchor="__RefHeading___Toc3907401_73709187">
            <w:r>
              <w:rPr>
                <w:webHidden/>
                <w:rStyle w:val="IndexLink"/>
                <w:rtl w:val="true"/>
              </w:rPr>
              <w:t>عقيدة المرجئة</w:t>
            </w:r>
            <w:r>
              <w:rPr>
                <w:rStyle w:val="IndexLink"/>
                <w:rtl w:val="true"/>
              </w:rPr>
              <w:t>:</w:t>
              <w:tab/>
            </w:r>
            <w:r>
              <w:rPr>
                <w:rStyle w:val="IndexLink"/>
              </w:rPr>
              <w:t>119</w:t>
            </w:r>
          </w:hyperlink>
        </w:p>
        <w:p>
          <w:pPr>
            <w:pStyle w:val="Contents3"/>
            <w:tabs>
              <w:tab w:val="clear" w:pos="8459"/>
              <w:tab w:val="right" w:pos="9026" w:leader="dot"/>
            </w:tabs>
            <w:rPr/>
          </w:pPr>
          <w:hyperlink w:anchor="__RefHeading___Toc3907403_73709187">
            <w:r>
              <w:rPr>
                <w:webHidden/>
                <w:rStyle w:val="IndexLink"/>
                <w:rtl w:val="true"/>
              </w:rPr>
              <w:t>آراء و نظريات حول الإيمان</w:t>
            </w:r>
            <w:r>
              <w:rPr>
                <w:rStyle w:val="IndexLink"/>
                <w:rtl w:val="true"/>
              </w:rPr>
              <w:t>:</w:t>
              <w:tab/>
            </w:r>
            <w:r>
              <w:rPr>
                <w:rStyle w:val="IndexLink"/>
              </w:rPr>
              <w:t>123</w:t>
            </w:r>
          </w:hyperlink>
        </w:p>
        <w:p>
          <w:pPr>
            <w:pStyle w:val="Contents3"/>
            <w:tabs>
              <w:tab w:val="clear" w:pos="8459"/>
              <w:tab w:val="right" w:pos="9026" w:leader="dot"/>
            </w:tabs>
            <w:rPr/>
          </w:pPr>
          <w:hyperlink w:anchor="__RefHeading___Toc3907405_73709187">
            <w:r>
              <w:rPr>
                <w:webHidden/>
                <w:rStyle w:val="IndexLink"/>
                <w:rtl w:val="true"/>
              </w:rPr>
              <w:t>ما هو الإيمان لغةً و كتاباً</w:t>
            </w:r>
            <w:r>
              <w:rPr>
                <w:rStyle w:val="IndexLink"/>
                <w:rtl w:val="true"/>
              </w:rPr>
              <w:t>:</w:t>
              <w:tab/>
            </w:r>
            <w:r>
              <w:rPr>
                <w:rStyle w:val="IndexLink"/>
              </w:rPr>
              <w:t>124</w:t>
            </w:r>
          </w:hyperlink>
        </w:p>
        <w:p>
          <w:pPr>
            <w:pStyle w:val="Contents3"/>
            <w:tabs>
              <w:tab w:val="clear" w:pos="8459"/>
              <w:tab w:val="right" w:pos="9026" w:leader="dot"/>
            </w:tabs>
            <w:rPr/>
          </w:pPr>
          <w:hyperlink w:anchor="__RefHeading___Toc3907407_73709187">
            <w:r>
              <w:rPr>
                <w:webHidden/>
                <w:rStyle w:val="IndexLink"/>
                <w:rtl w:val="true"/>
              </w:rPr>
              <w:t>هل الإيمان هو التصديق القلبي؟</w:t>
            </w:r>
            <w:r>
              <w:rPr>
                <w:rStyle w:val="IndexLink"/>
                <w:rtl w:val="true"/>
              </w:rPr>
              <w:tab/>
            </w:r>
            <w:r>
              <w:rPr>
                <w:rStyle w:val="IndexLink"/>
              </w:rPr>
              <w:t>127</w:t>
            </w:r>
          </w:hyperlink>
        </w:p>
        <w:p>
          <w:pPr>
            <w:pStyle w:val="Contents3"/>
            <w:tabs>
              <w:tab w:val="clear" w:pos="8459"/>
              <w:tab w:val="right" w:pos="9026" w:leader="dot"/>
            </w:tabs>
            <w:rPr/>
          </w:pPr>
          <w:hyperlink w:anchor="__RefHeading___Toc3907409_73709187">
            <w:r>
              <w:rPr>
                <w:webHidden/>
                <w:rStyle w:val="IndexLink"/>
                <w:rtl w:val="true"/>
              </w:rPr>
              <w:t>هل الإيمان هو الإقرار باللسان؟</w:t>
            </w:r>
            <w:r>
              <w:rPr>
                <w:rStyle w:val="IndexLink"/>
                <w:rtl w:val="true"/>
              </w:rPr>
              <w:tab/>
            </w:r>
            <w:r>
              <w:rPr>
                <w:rStyle w:val="IndexLink"/>
              </w:rPr>
              <w:t>128</w:t>
            </w:r>
          </w:hyperlink>
        </w:p>
        <w:p>
          <w:pPr>
            <w:pStyle w:val="Contents4"/>
            <w:tabs>
              <w:tab w:val="clear" w:pos="8176"/>
              <w:tab w:val="right" w:pos="9026" w:leader="dot"/>
            </w:tabs>
            <w:rPr/>
          </w:pPr>
          <w:hyperlink w:anchor="__RefHeading___Toc3907411_73709187">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3907413_73709187">
            <w:r>
              <w:rPr>
                <w:webHidden/>
                <w:rStyle w:val="IndexLink"/>
                <w:rtl w:val="true"/>
              </w:rPr>
              <w:t>ليس العمل جزءاً من الايمان</w:t>
            </w:r>
            <w:r>
              <w:rPr>
                <w:rStyle w:val="IndexLink"/>
                <w:rtl w:val="true"/>
              </w:rPr>
              <w:t>:</w:t>
              <w:tab/>
            </w:r>
            <w:r>
              <w:rPr>
                <w:rStyle w:val="IndexLink"/>
              </w:rPr>
              <w:t>129</w:t>
            </w:r>
          </w:hyperlink>
        </w:p>
        <w:p>
          <w:pPr>
            <w:pStyle w:val="Contents3"/>
            <w:tabs>
              <w:tab w:val="clear" w:pos="8459"/>
              <w:tab w:val="right" w:pos="9026" w:leader="dot"/>
            </w:tabs>
            <w:rPr/>
          </w:pPr>
          <w:hyperlink w:anchor="__RefHeading___Toc3907415_73709187">
            <w:r>
              <w:rPr>
                <w:webHidden/>
                <w:rStyle w:val="IndexLink"/>
                <w:rtl w:val="true"/>
              </w:rPr>
              <w:t>هل العمل جزء من الايمان؟</w:t>
            </w:r>
            <w:r>
              <w:rPr>
                <w:rStyle w:val="IndexLink"/>
                <w:rtl w:val="true"/>
              </w:rPr>
              <w:tab/>
            </w:r>
            <w:r>
              <w:rPr>
                <w:rStyle w:val="IndexLink"/>
              </w:rPr>
              <w:t>134</w:t>
            </w:r>
          </w:hyperlink>
        </w:p>
        <w:p>
          <w:pPr>
            <w:pStyle w:val="Contents3"/>
            <w:tabs>
              <w:tab w:val="clear" w:pos="8459"/>
              <w:tab w:val="right" w:pos="9026" w:leader="dot"/>
            </w:tabs>
            <w:rPr/>
          </w:pPr>
          <w:hyperlink w:anchor="__RefHeading___Toc3907417_73709187">
            <w:r>
              <w:rPr>
                <w:webHidden/>
                <w:rStyle w:val="IndexLink"/>
                <w:rtl w:val="true"/>
              </w:rPr>
              <w:t>خاتمة المطاف</w:t>
            </w:r>
            <w:r>
              <w:rPr>
                <w:rStyle w:val="IndexLink"/>
                <w:rtl w:val="true"/>
              </w:rPr>
              <w:tab/>
            </w:r>
            <w:r>
              <w:rPr>
                <w:rStyle w:val="IndexLink"/>
              </w:rPr>
              <w:t>145</w:t>
            </w:r>
          </w:hyperlink>
        </w:p>
        <w:p>
          <w:pPr>
            <w:pStyle w:val="Contents4"/>
            <w:tabs>
              <w:tab w:val="clear" w:pos="8176"/>
              <w:tab w:val="right" w:pos="9026" w:leader="dot"/>
            </w:tabs>
            <w:rPr/>
          </w:pPr>
          <w:hyperlink w:anchor="__RefHeading___Toc3907419_7370918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3907421_73709187">
            <w:r>
              <w:rPr>
                <w:webHidden/>
                <w:rStyle w:val="IndexLink"/>
                <w:rtl w:val="true"/>
              </w:rPr>
              <w:t>المرجئة و الفرق الأُخرى</w:t>
            </w:r>
            <w:r>
              <w:rPr>
                <w:rStyle w:val="IndexLink"/>
                <w:rtl w:val="true"/>
              </w:rPr>
              <w:t>:</w:t>
              <w:tab/>
            </w:r>
            <w:r>
              <w:rPr>
                <w:rStyle w:val="IndexLink"/>
              </w:rPr>
              <w:t>147</w:t>
            </w:r>
          </w:hyperlink>
        </w:p>
        <w:p>
          <w:pPr>
            <w:pStyle w:val="Contents4"/>
            <w:tabs>
              <w:tab w:val="clear" w:pos="8176"/>
              <w:tab w:val="right" w:pos="9026" w:leader="dot"/>
            </w:tabs>
            <w:rPr/>
          </w:pPr>
          <w:hyperlink w:anchor="__RefHeading___Toc3907423_73709187">
            <w:r>
              <w:rPr>
                <w:webHidden/>
                <w:rStyle w:val="IndexLink"/>
                <w:rtl w:val="true"/>
              </w:rPr>
              <w:t>شعراء المرجئة</w:t>
            </w:r>
            <w:r>
              <w:rPr>
                <w:rStyle w:val="IndexLink"/>
                <w:rtl w:val="true"/>
              </w:rPr>
              <w:t>:</w:t>
              <w:tab/>
            </w:r>
            <w:r>
              <w:rPr>
                <w:rStyle w:val="IndexLink"/>
              </w:rPr>
              <w:t>149</w:t>
            </w:r>
          </w:hyperlink>
        </w:p>
        <w:p>
          <w:pPr>
            <w:pStyle w:val="Contents4"/>
            <w:tabs>
              <w:tab w:val="clear" w:pos="8176"/>
              <w:tab w:val="right" w:pos="9026" w:leader="dot"/>
            </w:tabs>
            <w:rPr/>
          </w:pPr>
          <w:hyperlink w:anchor="__RefHeading___Toc3907425_73709187">
            <w:r>
              <w:rPr>
                <w:webHidden/>
                <w:rStyle w:val="IndexLink"/>
                <w:rtl w:val="true"/>
              </w:rPr>
              <w:t>خطر المرجئة على أخلاق المجتمع</w:t>
            </w:r>
            <w:r>
              <w:rPr>
                <w:rStyle w:val="IndexLink"/>
                <w:rtl w:val="true"/>
              </w:rPr>
              <w:t>:</w:t>
              <w:tab/>
            </w:r>
            <w:r>
              <w:rPr>
                <w:rStyle w:val="IndexLink"/>
              </w:rPr>
              <w:t>150</w:t>
            </w:r>
          </w:hyperlink>
        </w:p>
        <w:p>
          <w:pPr>
            <w:pStyle w:val="Contents4"/>
            <w:tabs>
              <w:tab w:val="clear" w:pos="8176"/>
              <w:tab w:val="right" w:pos="9026" w:leader="dot"/>
            </w:tabs>
            <w:rPr/>
          </w:pPr>
          <w:hyperlink w:anchor="__RefHeading___Toc3907427_73709187">
            <w:r>
              <w:rPr>
                <w:webHidden/>
                <w:rStyle w:val="IndexLink"/>
                <w:rtl w:val="true"/>
              </w:rPr>
              <w:t>المرجئة و علماء الشيعة</w:t>
            </w:r>
            <w:r>
              <w:rPr>
                <w:rStyle w:val="IndexLink"/>
                <w:rtl w:val="true"/>
              </w:rPr>
              <w:tab/>
            </w:r>
            <w:r>
              <w:rPr>
                <w:rStyle w:val="IndexLink"/>
              </w:rPr>
              <w:t>153</w:t>
            </w:r>
          </w:hyperlink>
        </w:p>
        <w:p>
          <w:pPr>
            <w:pStyle w:val="Contents4"/>
            <w:tabs>
              <w:tab w:val="clear" w:pos="8176"/>
              <w:tab w:val="right" w:pos="9026" w:leader="dot"/>
            </w:tabs>
            <w:rPr/>
          </w:pPr>
          <w:hyperlink w:anchor="__RefHeading___Toc3907429_73709187">
            <w:r>
              <w:rPr>
                <w:webHidden/>
                <w:rStyle w:val="IndexLink"/>
                <w:rtl w:val="true"/>
              </w:rPr>
              <w:t>هل كان أبو حنيفة مرجئياً؟</w:t>
            </w:r>
            <w:r>
              <w:rPr>
                <w:rStyle w:val="IndexLink"/>
                <w:rtl w:val="true"/>
              </w:rPr>
              <w:tab/>
            </w:r>
            <w:r>
              <w:rPr>
                <w:rStyle w:val="IndexLink"/>
              </w:rPr>
              <w:t>155</w:t>
            </w:r>
          </w:hyperlink>
        </w:p>
        <w:p>
          <w:pPr>
            <w:pStyle w:val="Contents4"/>
            <w:tabs>
              <w:tab w:val="clear" w:pos="8176"/>
              <w:tab w:val="right" w:pos="9026" w:leader="dot"/>
            </w:tabs>
            <w:rPr/>
          </w:pPr>
          <w:hyperlink w:anchor="__RefHeading___Toc3907431_73709187">
            <w:r>
              <w:rPr>
                <w:webHidden/>
                <w:rStyle w:val="IndexLink"/>
                <w:rtl w:val="true"/>
              </w:rPr>
              <w:t>إكمال</w:t>
            </w:r>
            <w:r>
              <w:rPr>
                <w:rStyle w:val="IndexLink"/>
                <w:rtl w:val="true"/>
              </w:rPr>
              <w:t>:</w:t>
              <w:tab/>
            </w:r>
            <w:r>
              <w:rPr>
                <w:rStyle w:val="IndexLink"/>
              </w:rPr>
              <w:t>159</w:t>
            </w:r>
          </w:hyperlink>
        </w:p>
        <w:p>
          <w:pPr>
            <w:pStyle w:val="Contents2"/>
            <w:tabs>
              <w:tab w:val="clear" w:pos="8743"/>
              <w:tab w:val="right" w:pos="9026" w:leader="dot"/>
            </w:tabs>
            <w:rPr/>
          </w:pPr>
          <w:hyperlink w:anchor="__RefHeading___Toc3907433_73709187">
            <w:r>
              <w:rPr>
                <w:webHidden/>
                <w:rStyle w:val="IndexLink"/>
              </w:rPr>
              <w:t>3</w:t>
            </w:r>
            <w:r>
              <w:rPr>
                <w:rStyle w:val="IndexLink"/>
                <w:rtl w:val="true"/>
              </w:rPr>
              <w:t xml:space="preserve"> - </w:t>
            </w:r>
            <w:r>
              <w:rPr>
                <w:rStyle w:val="IndexLink"/>
                <w:rtl w:val="true"/>
              </w:rPr>
              <w:t>القدريّة</w:t>
            </w:r>
            <w:r>
              <w:rPr>
                <w:rStyle w:val="IndexLink"/>
                <w:rtl w:val="true"/>
              </w:rPr>
              <w:tab/>
            </w:r>
            <w:r>
              <w:rPr>
                <w:rStyle w:val="IndexLink"/>
              </w:rPr>
              <w:t>160</w:t>
            </w:r>
          </w:hyperlink>
        </w:p>
        <w:p>
          <w:pPr>
            <w:pStyle w:val="Contents3"/>
            <w:tabs>
              <w:tab w:val="clear" w:pos="8459"/>
              <w:tab w:val="right" w:pos="9026" w:leader="dot"/>
            </w:tabs>
            <w:rPr/>
          </w:pPr>
          <w:hyperlink w:anchor="__RefHeading___Toc3907435_73709187">
            <w:r>
              <w:rPr>
                <w:webHidden/>
                <w:rStyle w:val="IndexLink"/>
                <w:rtl w:val="true"/>
              </w:rPr>
              <w:t>القدريّة أسلاف المعتزلة</w:t>
            </w:r>
            <w:r>
              <w:rPr>
                <w:rStyle w:val="IndexLink"/>
                <w:rtl w:val="true"/>
              </w:rPr>
              <w:tab/>
            </w:r>
            <w:r>
              <w:rPr>
                <w:rStyle w:val="IndexLink"/>
              </w:rPr>
              <w:t>160</w:t>
            </w:r>
          </w:hyperlink>
        </w:p>
        <w:p>
          <w:pPr>
            <w:pStyle w:val="Contents3"/>
            <w:tabs>
              <w:tab w:val="clear" w:pos="8459"/>
              <w:tab w:val="right" w:pos="9026" w:leader="dot"/>
            </w:tabs>
            <w:rPr/>
          </w:pPr>
          <w:hyperlink w:anchor="__RefHeading___Toc3907437_73709187">
            <w:r>
              <w:rPr>
                <w:webHidden/>
                <w:rStyle w:val="IndexLink"/>
                <w:rtl w:val="true"/>
              </w:rPr>
              <w:t>دعاة الحرية</w:t>
            </w:r>
            <w:r>
              <w:rPr>
                <w:rStyle w:val="IndexLink"/>
                <w:rtl w:val="true"/>
              </w:rPr>
              <w:tab/>
            </w:r>
            <w:r>
              <w:rPr>
                <w:rStyle w:val="IndexLink"/>
              </w:rPr>
              <w:t>166</w:t>
            </w:r>
          </w:hyperlink>
        </w:p>
        <w:p>
          <w:pPr>
            <w:pStyle w:val="Contents3"/>
            <w:tabs>
              <w:tab w:val="clear" w:pos="8459"/>
              <w:tab w:val="right" w:pos="9026" w:leader="dot"/>
            </w:tabs>
            <w:rPr/>
          </w:pPr>
          <w:hyperlink w:anchor="__RefHeading___Toc3907439_73709187">
            <w:r>
              <w:rPr>
                <w:webHidden/>
                <w:rStyle w:val="IndexLink"/>
                <w:rtl w:val="true"/>
              </w:rPr>
              <w:t>رسالة غيلان إلى عمر بن عبد العزيز</w:t>
            </w:r>
            <w:r>
              <w:rPr>
                <w:rStyle w:val="IndexLink"/>
                <w:rtl w:val="true"/>
              </w:rPr>
              <w:tab/>
            </w:r>
            <w:r>
              <w:rPr>
                <w:rStyle w:val="IndexLink"/>
              </w:rPr>
              <w:t>172</w:t>
            </w:r>
          </w:hyperlink>
        </w:p>
        <w:p>
          <w:pPr>
            <w:pStyle w:val="Contents3"/>
            <w:tabs>
              <w:tab w:val="clear" w:pos="8459"/>
              <w:tab w:val="right" w:pos="9026" w:leader="dot"/>
            </w:tabs>
            <w:rPr/>
          </w:pPr>
          <w:hyperlink w:anchor="__RefHeading___Toc3907441_73709187">
            <w:r>
              <w:rPr>
                <w:webHidden/>
                <w:rStyle w:val="IndexLink"/>
                <w:rtl w:val="true"/>
              </w:rPr>
              <w:t>محاكمة غيلان</w:t>
            </w:r>
            <w:r>
              <w:rPr>
                <w:rStyle w:val="IndexLink"/>
                <w:rtl w:val="true"/>
              </w:rPr>
              <w:tab/>
            </w:r>
            <w:r>
              <w:rPr>
                <w:rStyle w:val="IndexLink"/>
              </w:rPr>
              <w:t>174</w:t>
            </w:r>
          </w:hyperlink>
        </w:p>
        <w:p>
          <w:pPr>
            <w:pStyle w:val="Contents3"/>
            <w:tabs>
              <w:tab w:val="clear" w:pos="8459"/>
              <w:tab w:val="right" w:pos="9026" w:leader="dot"/>
            </w:tabs>
            <w:rPr/>
          </w:pPr>
          <w:hyperlink w:anchor="__RefHeading___Toc3907443_73709187">
            <w:r>
              <w:rPr>
                <w:webHidden/>
                <w:rStyle w:val="IndexLink"/>
                <w:rtl w:val="true"/>
              </w:rPr>
              <w:t>خاتمة المطاف</w:t>
            </w:r>
            <w:r>
              <w:rPr>
                <w:rStyle w:val="IndexLink"/>
                <w:rtl w:val="true"/>
              </w:rPr>
              <w:tab/>
            </w:r>
            <w:r>
              <w:rPr>
                <w:rStyle w:val="IndexLink"/>
              </w:rPr>
              <w:t>178</w:t>
            </w:r>
          </w:hyperlink>
        </w:p>
        <w:p>
          <w:pPr>
            <w:pStyle w:val="Contents4"/>
            <w:tabs>
              <w:tab w:val="clear" w:pos="8176"/>
              <w:tab w:val="right" w:pos="9026" w:leader="dot"/>
            </w:tabs>
            <w:rPr/>
          </w:pPr>
          <w:hyperlink w:anchor="__RefHeading___Toc3907445_7370918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3907447_73709187">
            <w:r>
              <w:rPr>
                <w:webHidden/>
                <w:rStyle w:val="IndexLink"/>
                <w:rtl w:val="true"/>
              </w:rPr>
              <w:t>رسائل ثلاث حول القدر</w:t>
            </w:r>
            <w:r>
              <w:rPr>
                <w:rStyle w:val="IndexLink"/>
                <w:rtl w:val="true"/>
              </w:rPr>
              <w:tab/>
            </w:r>
            <w:r>
              <w:rPr>
                <w:rStyle w:val="IndexLink"/>
              </w:rPr>
              <w:t>187</w:t>
            </w:r>
          </w:hyperlink>
        </w:p>
        <w:p>
          <w:pPr>
            <w:pStyle w:val="Contents4"/>
            <w:tabs>
              <w:tab w:val="clear" w:pos="8176"/>
              <w:tab w:val="right" w:pos="9026" w:leader="dot"/>
            </w:tabs>
            <w:rPr/>
          </w:pPr>
          <w:hyperlink w:anchor="__RefHeading___Toc3907449_73709187">
            <w:r>
              <w:rPr>
                <w:webHidden/>
                <w:rStyle w:val="IndexLink"/>
                <w:rtl w:val="true"/>
              </w:rPr>
              <w:t xml:space="preserve">رسالة الصاحب في الرد على القدريّة </w:t>
            </w:r>
            <w:r>
              <w:rPr>
                <w:rStyle w:val="IndexLink"/>
                <w:rtl w:val="true"/>
              </w:rPr>
              <w:t>(</w:t>
            </w:r>
            <w:r>
              <w:rPr>
                <w:rStyle w:val="IndexLink"/>
                <w:rtl w:val="true"/>
              </w:rPr>
              <w:t>المجبّرة</w:t>
            </w:r>
            <w:r>
              <w:rPr>
                <w:rStyle w:val="IndexLink"/>
                <w:rtl w:val="true"/>
              </w:rPr>
              <w:t>)</w:t>
              <w:tab/>
            </w:r>
            <w:r>
              <w:rPr>
                <w:rStyle w:val="IndexLink"/>
              </w:rPr>
              <w:t>189</w:t>
            </w:r>
          </w:hyperlink>
        </w:p>
        <w:p>
          <w:pPr>
            <w:pStyle w:val="Contents2"/>
            <w:tabs>
              <w:tab w:val="clear" w:pos="8743"/>
              <w:tab w:val="right" w:pos="9026" w:leader="dot"/>
            </w:tabs>
            <w:rPr/>
          </w:pPr>
          <w:hyperlink w:anchor="__RefHeading___Toc3907451_73709187">
            <w:r>
              <w:rPr>
                <w:webHidden/>
                <w:rStyle w:val="IndexLink"/>
              </w:rPr>
              <w:t>4</w:t>
            </w:r>
            <w:r>
              <w:rPr>
                <w:rStyle w:val="IndexLink"/>
                <w:rtl w:val="true"/>
              </w:rPr>
              <w:t xml:space="preserve"> - </w:t>
            </w:r>
            <w:r>
              <w:rPr>
                <w:rStyle w:val="IndexLink"/>
                <w:rtl w:val="true"/>
              </w:rPr>
              <w:t>الجهميّة</w:t>
            </w:r>
            <w:r>
              <w:rPr>
                <w:rStyle w:val="IndexLink"/>
                <w:rtl w:val="true"/>
              </w:rPr>
              <w:tab/>
            </w:r>
            <w:r>
              <w:rPr>
                <w:rStyle w:val="IndexLink"/>
              </w:rPr>
              <w:t>198</w:t>
            </w:r>
          </w:hyperlink>
        </w:p>
        <w:p>
          <w:pPr>
            <w:pStyle w:val="Contents3"/>
            <w:tabs>
              <w:tab w:val="clear" w:pos="8459"/>
              <w:tab w:val="right" w:pos="9026" w:leader="dot"/>
            </w:tabs>
            <w:rPr/>
          </w:pPr>
          <w:hyperlink w:anchor="__RefHeading___Toc3907453_73709187">
            <w:r>
              <w:rPr>
                <w:webHidden/>
                <w:rStyle w:val="IndexLink"/>
                <w:rtl w:val="true"/>
              </w:rPr>
              <w:t>الحركات الرجعية</w:t>
            </w:r>
            <w:r>
              <w:rPr>
                <w:rStyle w:val="IndexLink"/>
                <w:rtl w:val="true"/>
              </w:rPr>
              <w:tab/>
            </w:r>
            <w:r>
              <w:rPr>
                <w:rStyle w:val="IndexLink"/>
              </w:rPr>
              <w:t>198</w:t>
            </w:r>
          </w:hyperlink>
        </w:p>
        <w:p>
          <w:pPr>
            <w:pStyle w:val="Contents3"/>
            <w:tabs>
              <w:tab w:val="clear" w:pos="8459"/>
              <w:tab w:val="right" w:pos="9026" w:leader="dot"/>
            </w:tabs>
            <w:rPr/>
          </w:pPr>
          <w:hyperlink w:anchor="__RefHeading___Toc3907455_73709187">
            <w:r>
              <w:rPr>
                <w:webHidden/>
                <w:rStyle w:val="IndexLink"/>
                <w:rtl w:val="true"/>
              </w:rPr>
              <w:t>الجهميّة و سماتها</w:t>
            </w:r>
            <w:r>
              <w:rPr>
                <w:rStyle w:val="IndexLink"/>
                <w:rtl w:val="true"/>
              </w:rPr>
              <w:t xml:space="preserve">: </w:t>
            </w:r>
            <w:r>
              <w:rPr>
                <w:rStyle w:val="IndexLink"/>
                <w:rtl w:val="true"/>
              </w:rPr>
              <w:t>الجبر و التعطيل</w:t>
            </w:r>
            <w:r>
              <w:rPr>
                <w:rStyle w:val="IndexLink"/>
                <w:rtl w:val="true"/>
              </w:rPr>
              <w:tab/>
            </w:r>
            <w:r>
              <w:rPr>
                <w:rStyle w:val="IndexLink"/>
              </w:rPr>
              <w:t>199</w:t>
            </w:r>
          </w:hyperlink>
        </w:p>
        <w:p>
          <w:pPr>
            <w:pStyle w:val="Contents3"/>
            <w:tabs>
              <w:tab w:val="clear" w:pos="8459"/>
              <w:tab w:val="right" w:pos="9026" w:leader="dot"/>
            </w:tabs>
            <w:rPr/>
          </w:pPr>
          <w:hyperlink w:anchor="__RefHeading___Toc3907457_73709187">
            <w:r>
              <w:rPr>
                <w:webHidden/>
                <w:rStyle w:val="IndexLink"/>
                <w:rtl w:val="true"/>
              </w:rPr>
              <w:t xml:space="preserve">التطوير في لفظ </w:t>
            </w:r>
            <w:r>
              <w:rPr>
                <w:rStyle w:val="IndexLink"/>
                <w:rtl w:val="true"/>
              </w:rPr>
              <w:t>«</w:t>
            </w:r>
            <w:r>
              <w:rPr>
                <w:rStyle w:val="IndexLink"/>
                <w:rtl w:val="true"/>
              </w:rPr>
              <w:t>الجهمي</w:t>
            </w:r>
            <w:r>
              <w:rPr>
                <w:rStyle w:val="IndexLink"/>
                <w:rtl w:val="true"/>
              </w:rPr>
              <w:t>»</w:t>
              <w:tab/>
            </w:r>
            <w:r>
              <w:rPr>
                <w:rStyle w:val="IndexLink"/>
              </w:rPr>
              <w:t>206</w:t>
            </w:r>
          </w:hyperlink>
        </w:p>
        <w:p>
          <w:pPr>
            <w:pStyle w:val="Contents3"/>
            <w:tabs>
              <w:tab w:val="clear" w:pos="8459"/>
              <w:tab w:val="right" w:pos="9026" w:leader="dot"/>
            </w:tabs>
            <w:rPr/>
          </w:pPr>
          <w:hyperlink w:anchor="__RefHeading___Toc3907459_73709187">
            <w:r>
              <w:rPr>
                <w:webHidden/>
                <w:rStyle w:val="IndexLink"/>
                <w:rtl w:val="true"/>
              </w:rPr>
              <w:t>مقاتل بن سليمان المجسِّم</w:t>
            </w:r>
            <w:r>
              <w:rPr>
                <w:rStyle w:val="IndexLink"/>
                <w:rtl w:val="true"/>
              </w:rPr>
              <w:tab/>
            </w:r>
            <w:r>
              <w:rPr>
                <w:rStyle w:val="IndexLink"/>
              </w:rPr>
              <w:t>208</w:t>
            </w:r>
          </w:hyperlink>
        </w:p>
        <w:p>
          <w:pPr>
            <w:pStyle w:val="Contents2"/>
            <w:tabs>
              <w:tab w:val="clear" w:pos="8743"/>
              <w:tab w:val="right" w:pos="9026" w:leader="dot"/>
            </w:tabs>
            <w:rPr/>
          </w:pPr>
          <w:hyperlink w:anchor="__RefHeading___Toc3907461_73709187">
            <w:r>
              <w:rPr>
                <w:webHidden/>
                <w:rStyle w:val="IndexLink"/>
              </w:rPr>
              <w:t>5</w:t>
            </w:r>
            <w:r>
              <w:rPr>
                <w:rStyle w:val="IndexLink"/>
                <w:rtl w:val="true"/>
              </w:rPr>
              <w:t xml:space="preserve"> - </w:t>
            </w:r>
            <w:r>
              <w:rPr>
                <w:rStyle w:val="IndexLink"/>
                <w:rtl w:val="true"/>
              </w:rPr>
              <w:t>الكراميّة</w:t>
            </w:r>
            <w:r>
              <w:rPr>
                <w:rStyle w:val="IndexLink"/>
                <w:rtl w:val="true"/>
              </w:rPr>
              <w:tab/>
            </w:r>
            <w:r>
              <w:rPr>
                <w:rStyle w:val="IndexLink"/>
              </w:rPr>
              <w:t>210</w:t>
            </w:r>
          </w:hyperlink>
        </w:p>
        <w:p>
          <w:pPr>
            <w:pStyle w:val="Contents2"/>
            <w:tabs>
              <w:tab w:val="clear" w:pos="8743"/>
              <w:tab w:val="right" w:pos="9026" w:leader="dot"/>
            </w:tabs>
            <w:rPr/>
          </w:pPr>
          <w:hyperlink w:anchor="__RefHeading___Toc3907463_73709187">
            <w:r>
              <w:rPr>
                <w:webHidden/>
                <w:rStyle w:val="IndexLink"/>
              </w:rPr>
              <w:t>6</w:t>
            </w:r>
            <w:r>
              <w:rPr>
                <w:rStyle w:val="IndexLink"/>
                <w:rtl w:val="true"/>
              </w:rPr>
              <w:t xml:space="preserve"> - </w:t>
            </w:r>
            <w:r>
              <w:rPr>
                <w:rStyle w:val="IndexLink"/>
                <w:rtl w:val="true"/>
              </w:rPr>
              <w:t>الظاهرية</w:t>
            </w:r>
            <w:r>
              <w:rPr>
                <w:rStyle w:val="IndexLink"/>
                <w:rtl w:val="true"/>
              </w:rPr>
              <w:tab/>
            </w:r>
            <w:r>
              <w:rPr>
                <w:rStyle w:val="IndexLink"/>
              </w:rPr>
              <w:t>213</w:t>
            </w:r>
          </w:hyperlink>
        </w:p>
        <w:p>
          <w:pPr>
            <w:pStyle w:val="Contents3"/>
            <w:tabs>
              <w:tab w:val="clear" w:pos="8459"/>
              <w:tab w:val="right" w:pos="9026" w:leader="dot"/>
            </w:tabs>
            <w:rPr/>
          </w:pPr>
          <w:hyperlink w:anchor="__RefHeading___Toc3907465_73709187">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3907467_73709187">
            <w:r>
              <w:rPr>
                <w:webHidden/>
                <w:rStyle w:val="IndexLink"/>
                <w:rtl w:val="true"/>
              </w:rPr>
              <w:t>تلاميذه و مدى سلطان مذهبه</w:t>
            </w:r>
            <w:r>
              <w:rPr>
                <w:rStyle w:val="IndexLink"/>
                <w:rtl w:val="true"/>
              </w:rPr>
              <w:tab/>
            </w:r>
            <w:r>
              <w:rPr>
                <w:rStyle w:val="IndexLink"/>
              </w:rPr>
              <w:t>218</w:t>
            </w:r>
          </w:hyperlink>
        </w:p>
        <w:p>
          <w:pPr>
            <w:pStyle w:val="Contents3"/>
            <w:tabs>
              <w:tab w:val="clear" w:pos="8459"/>
              <w:tab w:val="right" w:pos="9026" w:leader="dot"/>
            </w:tabs>
            <w:rPr/>
          </w:pPr>
          <w:hyperlink w:anchor="__RefHeading___Toc3907469_73709187">
            <w:r>
              <w:rPr>
                <w:webHidden/>
                <w:rStyle w:val="IndexLink"/>
                <w:rtl w:val="true"/>
              </w:rPr>
              <w:t xml:space="preserve">ابن حزم </w:t>
            </w:r>
            <w:r>
              <w:rPr>
                <w:rStyle w:val="IndexLink"/>
                <w:rtl w:val="true"/>
              </w:rPr>
              <w:t>(</w:t>
            </w:r>
            <w:r>
              <w:rPr>
                <w:rStyle w:val="IndexLink"/>
              </w:rPr>
              <w:t>384</w:t>
            </w:r>
            <w:r>
              <w:rPr>
                <w:rStyle w:val="IndexLink"/>
                <w:rtl w:val="true"/>
              </w:rPr>
              <w:t>-</w:t>
            </w:r>
            <w:r>
              <w:rPr>
                <w:rStyle w:val="IndexLink"/>
              </w:rPr>
              <w:t>458</w:t>
            </w:r>
            <w:r>
              <w:rPr>
                <w:rStyle w:val="IndexLink"/>
                <w:rtl w:val="true"/>
              </w:rPr>
              <w:t xml:space="preserve"> </w:t>
            </w:r>
            <w:r>
              <w:rPr>
                <w:rStyle w:val="IndexLink"/>
                <w:rtl w:val="true"/>
              </w:rPr>
              <w:t>ه</w:t>
            </w:r>
            <w:r>
              <w:rPr>
                <w:rStyle w:val="IndexLink"/>
                <w:rtl w:val="true"/>
              </w:rPr>
              <w:t xml:space="preserve">) </w:t>
            </w:r>
            <w:r>
              <w:rPr>
                <w:rStyle w:val="IndexLink"/>
                <w:rtl w:val="true"/>
              </w:rPr>
              <w:t>آخر تلميذ فكري لداود الظاهري</w:t>
            </w:r>
            <w:r>
              <w:rPr>
                <w:rStyle w:val="IndexLink"/>
                <w:rtl w:val="true"/>
              </w:rPr>
              <w:tab/>
            </w:r>
            <w:r>
              <w:rPr>
                <w:rStyle w:val="IndexLink"/>
              </w:rPr>
              <w:t>218</w:t>
            </w:r>
          </w:hyperlink>
        </w:p>
        <w:p>
          <w:pPr>
            <w:pStyle w:val="Contents3"/>
            <w:tabs>
              <w:tab w:val="clear" w:pos="8459"/>
              <w:tab w:val="right" w:pos="9026" w:leader="dot"/>
            </w:tabs>
            <w:rPr/>
          </w:pPr>
          <w:hyperlink w:anchor="__RefHeading___Toc3907471_73709187">
            <w:r>
              <w:rPr>
                <w:webHidden/>
                <w:rStyle w:val="IndexLink"/>
                <w:rtl w:val="true"/>
              </w:rPr>
              <w:t>نزر من آرائه الشاذّة</w:t>
            </w:r>
            <w:r>
              <w:rPr>
                <w:rStyle w:val="IndexLink"/>
                <w:rtl w:val="true"/>
              </w:rPr>
              <w:tab/>
            </w:r>
            <w:r>
              <w:rPr>
                <w:rStyle w:val="IndexLink"/>
              </w:rPr>
              <w:t>219</w:t>
            </w:r>
          </w:hyperlink>
        </w:p>
        <w:p>
          <w:pPr>
            <w:pStyle w:val="Contents4"/>
            <w:tabs>
              <w:tab w:val="clear" w:pos="8176"/>
              <w:tab w:val="right" w:pos="9026" w:leader="dot"/>
            </w:tabs>
            <w:rPr/>
          </w:pPr>
          <w:hyperlink w:anchor="__RefHeading___Toc3907473_73709187">
            <w:r>
              <w:rPr>
                <w:webHidden/>
                <w:rStyle w:val="IndexLink"/>
              </w:rPr>
              <w:t>1</w:t>
            </w:r>
            <w:r>
              <w:rPr>
                <w:rStyle w:val="IndexLink"/>
                <w:rtl w:val="true"/>
              </w:rPr>
              <w:t xml:space="preserve"> - </w:t>
            </w:r>
            <w:r>
              <w:rPr>
                <w:rStyle w:val="IndexLink"/>
                <w:rtl w:val="true"/>
              </w:rPr>
              <w:t>بطلان الاجتهاد</w:t>
            </w:r>
            <w:r>
              <w:rPr>
                <w:rStyle w:val="IndexLink"/>
                <w:rtl w:val="true"/>
              </w:rPr>
              <w:t>:</w:t>
              <w:tab/>
            </w:r>
            <w:r>
              <w:rPr>
                <w:rStyle w:val="IndexLink"/>
              </w:rPr>
              <w:t>219</w:t>
            </w:r>
          </w:hyperlink>
        </w:p>
        <w:p>
          <w:pPr>
            <w:pStyle w:val="Contents4"/>
            <w:tabs>
              <w:tab w:val="clear" w:pos="8176"/>
              <w:tab w:val="right" w:pos="9026" w:leader="dot"/>
            </w:tabs>
            <w:rPr/>
          </w:pPr>
          <w:hyperlink w:anchor="__RefHeading___Toc3907475_73709187">
            <w:r>
              <w:rPr>
                <w:webHidden/>
                <w:rStyle w:val="IndexLink"/>
              </w:rPr>
              <w:t>2</w:t>
            </w:r>
            <w:r>
              <w:rPr>
                <w:rStyle w:val="IndexLink"/>
                <w:rtl w:val="true"/>
              </w:rPr>
              <w:t xml:space="preserve"> - </w:t>
            </w:r>
            <w:r>
              <w:rPr>
                <w:rStyle w:val="IndexLink"/>
                <w:rtl w:val="true"/>
              </w:rPr>
              <w:t>يجوز للجنب مسُّ المصحف</w:t>
            </w:r>
            <w:r>
              <w:rPr>
                <w:rStyle w:val="IndexLink"/>
                <w:rtl w:val="true"/>
              </w:rPr>
              <w:tab/>
            </w:r>
            <w:r>
              <w:rPr>
                <w:rStyle w:val="IndexLink"/>
              </w:rPr>
              <w:t>221</w:t>
            </w:r>
          </w:hyperlink>
        </w:p>
        <w:p>
          <w:pPr>
            <w:pStyle w:val="Contents4"/>
            <w:tabs>
              <w:tab w:val="clear" w:pos="8176"/>
              <w:tab w:val="right" w:pos="9026" w:leader="dot"/>
            </w:tabs>
            <w:rPr/>
          </w:pPr>
          <w:hyperlink w:anchor="__RefHeading___Toc3907477_73709187">
            <w:r>
              <w:rPr>
                <w:webHidden/>
                <w:rStyle w:val="IndexLink"/>
              </w:rPr>
              <w:t>3</w:t>
            </w:r>
            <w:r>
              <w:rPr>
                <w:rStyle w:val="IndexLink"/>
                <w:rtl w:val="true"/>
              </w:rPr>
              <w:t xml:space="preserve"> - </w:t>
            </w:r>
            <w:r>
              <w:rPr>
                <w:rStyle w:val="IndexLink"/>
                <w:rtl w:val="true"/>
              </w:rPr>
              <w:t>قاتل الإمام عليّ عليه السلام كان مجتهدا</w:t>
            </w:r>
            <w:r>
              <w:rPr>
                <w:rStyle w:val="IndexLink"/>
                <w:rtl w:val="true"/>
              </w:rPr>
              <w:tab/>
            </w:r>
            <w:r>
              <w:rPr>
                <w:rStyle w:val="IndexLink"/>
              </w:rPr>
              <w:t>224</w:t>
            </w:r>
          </w:hyperlink>
        </w:p>
        <w:p>
          <w:pPr>
            <w:pStyle w:val="Contents2"/>
            <w:tabs>
              <w:tab w:val="clear" w:pos="8743"/>
              <w:tab w:val="right" w:pos="9026" w:leader="dot"/>
            </w:tabs>
            <w:rPr/>
          </w:pPr>
          <w:hyperlink w:anchor="__RefHeading___Toc3907479_73709187">
            <w:r>
              <w:rPr>
                <w:webHidden/>
                <w:rStyle w:val="IndexLink"/>
              </w:rPr>
              <w:t>7</w:t>
            </w:r>
            <w:r>
              <w:rPr>
                <w:rStyle w:val="IndexLink"/>
                <w:rtl w:val="true"/>
              </w:rPr>
              <w:t xml:space="preserve"> - </w:t>
            </w:r>
            <w:r>
              <w:rPr>
                <w:rStyle w:val="IndexLink"/>
                <w:rtl w:val="true"/>
              </w:rPr>
              <w:t>المعتزلة</w:t>
            </w:r>
            <w:r>
              <w:rPr>
                <w:rStyle w:val="IndexLink"/>
                <w:rtl w:val="true"/>
              </w:rPr>
              <w:tab/>
            </w:r>
            <w:r>
              <w:rPr>
                <w:rStyle w:val="IndexLink"/>
              </w:rPr>
              <w:t>228</w:t>
            </w:r>
          </w:hyperlink>
        </w:p>
        <w:p>
          <w:pPr>
            <w:pStyle w:val="Contents3"/>
            <w:tabs>
              <w:tab w:val="clear" w:pos="8459"/>
              <w:tab w:val="right" w:pos="9026" w:leader="dot"/>
            </w:tabs>
            <w:rPr/>
          </w:pPr>
          <w:hyperlink w:anchor="__RefHeading___Toc3907481_73709187">
            <w:r>
              <w:rPr>
                <w:webHidden/>
                <w:rStyle w:val="IndexLink"/>
                <w:rtl w:val="true"/>
              </w:rPr>
              <w:t>[</w:t>
            </w:r>
            <w:r>
              <w:rPr>
                <w:rStyle w:val="IndexLink"/>
                <w:rtl w:val="true"/>
              </w:rPr>
              <w:t>تمهيد</w:t>
            </w:r>
            <w:r>
              <w:rPr>
                <w:rStyle w:val="IndexLink"/>
                <w:rtl w:val="true"/>
              </w:rPr>
              <w:t>]</w:t>
              <w:tab/>
            </w:r>
            <w:r>
              <w:rPr>
                <w:rStyle w:val="IndexLink"/>
              </w:rPr>
              <w:t>228</w:t>
            </w:r>
          </w:hyperlink>
        </w:p>
        <w:p>
          <w:pPr>
            <w:pStyle w:val="Contents4"/>
            <w:tabs>
              <w:tab w:val="clear" w:pos="8176"/>
              <w:tab w:val="right" w:pos="9026" w:leader="dot"/>
            </w:tabs>
            <w:rPr/>
          </w:pPr>
          <w:hyperlink w:anchor="__RefHeading___Toc3907483_7370918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907485_73709187">
            <w:r>
              <w:rPr>
                <w:webHidden/>
                <w:rStyle w:val="IndexLink"/>
                <w:rtl w:val="true"/>
              </w:rPr>
              <w:t>اهتمام المستشرقين بتراث المعتزلة</w:t>
            </w:r>
            <w:r>
              <w:rPr>
                <w:rStyle w:val="IndexLink"/>
                <w:rtl w:val="true"/>
              </w:rPr>
              <w:tab/>
            </w:r>
            <w:r>
              <w:rPr>
                <w:rStyle w:val="IndexLink"/>
              </w:rPr>
              <w:t>231</w:t>
            </w:r>
          </w:hyperlink>
        </w:p>
        <w:p>
          <w:pPr>
            <w:pStyle w:val="Contents4"/>
            <w:tabs>
              <w:tab w:val="clear" w:pos="8176"/>
              <w:tab w:val="right" w:pos="9026" w:leader="dot"/>
            </w:tabs>
            <w:rPr/>
          </w:pPr>
          <w:hyperlink w:anchor="__RefHeading___Toc3907487_73709187">
            <w:r>
              <w:rPr>
                <w:webHidden/>
                <w:rStyle w:val="IndexLink"/>
                <w:rtl w:val="true"/>
              </w:rPr>
              <w:t>أحمد أمين و مدرسة الاعتزال</w:t>
            </w:r>
            <w:r>
              <w:rPr>
                <w:rStyle w:val="IndexLink"/>
                <w:rtl w:val="true"/>
              </w:rPr>
              <w:tab/>
            </w:r>
            <w:r>
              <w:rPr>
                <w:rStyle w:val="IndexLink"/>
              </w:rPr>
              <w:t>234</w:t>
            </w:r>
          </w:hyperlink>
        </w:p>
        <w:p>
          <w:pPr>
            <w:pStyle w:val="Contents3"/>
            <w:tabs>
              <w:tab w:val="clear" w:pos="8459"/>
              <w:tab w:val="right" w:pos="9026" w:leader="dot"/>
            </w:tabs>
            <w:rPr/>
          </w:pPr>
          <w:hyperlink w:anchor="__RefHeading___Toc3907489_73709187">
            <w:r>
              <w:rPr>
                <w:webHidden/>
                <w:rStyle w:val="IndexLink"/>
                <w:rtl w:val="true"/>
              </w:rPr>
              <w:t>الفصل الأوّل</w:t>
            </w:r>
            <w:r>
              <w:rPr>
                <w:rStyle w:val="IndexLink"/>
                <w:rtl w:val="true"/>
              </w:rPr>
              <w:t xml:space="preserve">: </w:t>
            </w:r>
            <w:r>
              <w:rPr>
                <w:rStyle w:val="IndexLink"/>
                <w:rtl w:val="true"/>
              </w:rPr>
              <w:t>سبب تسميتهم بالمعتزلة</w:t>
            </w:r>
            <w:r>
              <w:rPr>
                <w:rStyle w:val="IndexLink"/>
                <w:rtl w:val="true"/>
              </w:rPr>
              <w:tab/>
            </w:r>
            <w:r>
              <w:rPr>
                <w:rStyle w:val="IndexLink"/>
              </w:rPr>
              <w:t>240</w:t>
            </w:r>
          </w:hyperlink>
        </w:p>
        <w:p>
          <w:pPr>
            <w:pStyle w:val="Contents4"/>
            <w:tabs>
              <w:tab w:val="clear" w:pos="8176"/>
              <w:tab w:val="right" w:pos="9026" w:leader="dot"/>
            </w:tabs>
            <w:rPr/>
          </w:pPr>
          <w:hyperlink w:anchor="__RefHeading___Toc3907491_7370918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3907493_73709187">
            <w:r>
              <w:rPr>
                <w:webHidden/>
                <w:rStyle w:val="IndexLink"/>
              </w:rPr>
              <w:t>1</w:t>
            </w:r>
            <w:r>
              <w:rPr>
                <w:rStyle w:val="IndexLink"/>
                <w:rtl w:val="true"/>
              </w:rPr>
              <w:t xml:space="preserve"> - </w:t>
            </w:r>
            <w:r>
              <w:rPr>
                <w:rStyle w:val="IndexLink"/>
                <w:rtl w:val="true"/>
              </w:rPr>
              <w:t>اعتزالهم عن علي عليه السلام في محاربته لمخالفيه</w:t>
            </w:r>
            <w:r>
              <w:rPr>
                <w:rStyle w:val="IndexLink"/>
                <w:rtl w:val="true"/>
              </w:rPr>
              <w:tab/>
            </w:r>
            <w:r>
              <w:rPr>
                <w:rStyle w:val="IndexLink"/>
              </w:rPr>
              <w:t>240</w:t>
            </w:r>
          </w:hyperlink>
        </w:p>
        <w:p>
          <w:pPr>
            <w:pStyle w:val="Contents4"/>
            <w:tabs>
              <w:tab w:val="clear" w:pos="8176"/>
              <w:tab w:val="right" w:pos="9026" w:leader="dot"/>
            </w:tabs>
            <w:rPr/>
          </w:pPr>
          <w:hyperlink w:anchor="__RefHeading___Toc3907495_73709187">
            <w:r>
              <w:rPr>
                <w:webHidden/>
                <w:rStyle w:val="IndexLink"/>
              </w:rPr>
              <w:t>2</w:t>
            </w:r>
            <w:r>
              <w:rPr>
                <w:rStyle w:val="IndexLink"/>
                <w:rtl w:val="true"/>
              </w:rPr>
              <w:t xml:space="preserve"> - </w:t>
            </w:r>
            <w:r>
              <w:rPr>
                <w:rStyle w:val="IndexLink"/>
                <w:rtl w:val="true"/>
              </w:rPr>
              <w:t>اعتزالهم عن الحسن بن علي عليهما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907497_73709187">
            <w:r>
              <w:rPr>
                <w:webHidden/>
                <w:rStyle w:val="IndexLink"/>
              </w:rPr>
              <w:t>3</w:t>
            </w:r>
            <w:r>
              <w:rPr>
                <w:rStyle w:val="IndexLink"/>
                <w:rtl w:val="true"/>
              </w:rPr>
              <w:t xml:space="preserve"> - </w:t>
            </w:r>
            <w:r>
              <w:rPr>
                <w:rStyle w:val="IndexLink"/>
                <w:rtl w:val="true"/>
              </w:rPr>
              <w:t>اعتزال عامر عن مجلس الحسن البصري</w:t>
            </w:r>
            <w:r>
              <w:rPr>
                <w:rStyle w:val="IndexLink"/>
                <w:rtl w:val="true"/>
              </w:rPr>
              <w:tab/>
            </w:r>
            <w:r>
              <w:rPr>
                <w:rStyle w:val="IndexLink"/>
              </w:rPr>
              <w:t>244</w:t>
            </w:r>
          </w:hyperlink>
        </w:p>
        <w:p>
          <w:pPr>
            <w:pStyle w:val="Contents4"/>
            <w:tabs>
              <w:tab w:val="clear" w:pos="8176"/>
              <w:tab w:val="right" w:pos="9026" w:leader="dot"/>
            </w:tabs>
            <w:rPr/>
          </w:pPr>
          <w:hyperlink w:anchor="__RefHeading___Toc3907499_73709187">
            <w:r>
              <w:rPr>
                <w:webHidden/>
                <w:rStyle w:val="IndexLink"/>
              </w:rPr>
              <w:t>4</w:t>
            </w:r>
            <w:r>
              <w:rPr>
                <w:rStyle w:val="IndexLink"/>
                <w:rtl w:val="true"/>
              </w:rPr>
              <w:t xml:space="preserve"> - </w:t>
            </w:r>
            <w:r>
              <w:rPr>
                <w:rStyle w:val="IndexLink"/>
                <w:rtl w:val="true"/>
              </w:rPr>
              <w:t>اعتزال واصل عن مجلس الحسن البصري</w:t>
            </w:r>
            <w:r>
              <w:rPr>
                <w:rStyle w:val="IndexLink"/>
                <w:rtl w:val="true"/>
              </w:rPr>
              <w:tab/>
            </w:r>
            <w:r>
              <w:rPr>
                <w:rStyle w:val="IndexLink"/>
              </w:rPr>
              <w:t>246</w:t>
            </w:r>
          </w:hyperlink>
        </w:p>
        <w:p>
          <w:pPr>
            <w:pStyle w:val="Contents4"/>
            <w:tabs>
              <w:tab w:val="clear" w:pos="8176"/>
              <w:tab w:val="right" w:pos="9026" w:leader="dot"/>
            </w:tabs>
            <w:rPr/>
          </w:pPr>
          <w:hyperlink w:anchor="__RefHeading___Toc3907501_73709187">
            <w:r>
              <w:rPr>
                <w:webHidden/>
                <w:rStyle w:val="IndexLink"/>
              </w:rPr>
              <w:t>5</w:t>
            </w:r>
            <w:r>
              <w:rPr>
                <w:rStyle w:val="IndexLink"/>
                <w:rtl w:val="true"/>
              </w:rPr>
              <w:t xml:space="preserve"> - </w:t>
            </w:r>
            <w:r>
              <w:rPr>
                <w:rStyle w:val="IndexLink"/>
                <w:rtl w:val="true"/>
              </w:rPr>
              <w:t>الاعتزال عن القولين السائدين في ذلك العصر</w:t>
            </w:r>
            <w:r>
              <w:rPr>
                <w:rStyle w:val="IndexLink"/>
                <w:rtl w:val="true"/>
              </w:rPr>
              <w:tab/>
            </w:r>
            <w:r>
              <w:rPr>
                <w:rStyle w:val="IndexLink"/>
              </w:rPr>
              <w:t>249</w:t>
            </w:r>
          </w:hyperlink>
        </w:p>
        <w:p>
          <w:pPr>
            <w:pStyle w:val="Contents4"/>
            <w:tabs>
              <w:tab w:val="clear" w:pos="8176"/>
              <w:tab w:val="right" w:pos="9026" w:leader="dot"/>
            </w:tabs>
            <w:rPr/>
          </w:pPr>
          <w:hyperlink w:anchor="__RefHeading___Toc3907503_73709187">
            <w:r>
              <w:rPr>
                <w:webHidden/>
                <w:rStyle w:val="IndexLink"/>
              </w:rPr>
              <w:t>6</w:t>
            </w:r>
            <w:r>
              <w:rPr>
                <w:rStyle w:val="IndexLink"/>
                <w:rtl w:val="true"/>
              </w:rPr>
              <w:t xml:space="preserve"> - </w:t>
            </w:r>
            <w:r>
              <w:rPr>
                <w:rStyle w:val="IndexLink"/>
                <w:rtl w:val="true"/>
              </w:rPr>
              <w:t>جعل الفاسق معتزلاً عن الإيمان و الكفر</w:t>
            </w:r>
            <w:r>
              <w:rPr>
                <w:rStyle w:val="IndexLink"/>
                <w:rtl w:val="true"/>
              </w:rPr>
              <w:tab/>
            </w:r>
            <w:r>
              <w:rPr>
                <w:rStyle w:val="IndexLink"/>
              </w:rPr>
              <w:t>251</w:t>
            </w:r>
          </w:hyperlink>
        </w:p>
        <w:p>
          <w:pPr>
            <w:pStyle w:val="Contents5"/>
            <w:tabs>
              <w:tab w:val="clear" w:pos="7892"/>
              <w:tab w:val="right" w:pos="9026" w:leader="dot"/>
            </w:tabs>
            <w:rPr/>
          </w:pPr>
          <w:hyperlink w:anchor="__RefHeading___Toc3907505_73709187">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3907507_73709187">
            <w:r>
              <w:rPr>
                <w:webHidden/>
                <w:rStyle w:val="IndexLink"/>
                <w:rtl w:val="true"/>
              </w:rPr>
              <w:t>سائر ألقاب المعتزلة</w:t>
            </w:r>
            <w:r>
              <w:rPr>
                <w:rStyle w:val="IndexLink"/>
                <w:rtl w:val="true"/>
              </w:rPr>
              <w:tab/>
            </w:r>
            <w:r>
              <w:rPr>
                <w:rStyle w:val="IndexLink"/>
              </w:rPr>
              <w:t>253</w:t>
            </w:r>
          </w:hyperlink>
        </w:p>
        <w:p>
          <w:pPr>
            <w:pStyle w:val="Contents3"/>
            <w:tabs>
              <w:tab w:val="clear" w:pos="8459"/>
              <w:tab w:val="right" w:pos="9026" w:leader="dot"/>
            </w:tabs>
            <w:rPr/>
          </w:pPr>
          <w:hyperlink w:anchor="__RefHeading___Toc3907509_73709187">
            <w:r>
              <w:rPr>
                <w:webHidden/>
                <w:rStyle w:val="IndexLink"/>
                <w:rtl w:val="true"/>
              </w:rPr>
              <w:t>الفصل الثاني</w:t>
            </w:r>
            <w:r>
              <w:rPr>
                <w:rStyle w:val="IndexLink"/>
                <w:rtl w:val="true"/>
              </w:rPr>
              <w:t xml:space="preserve">: </w:t>
            </w:r>
            <w:r>
              <w:rPr>
                <w:rStyle w:val="IndexLink"/>
                <w:rtl w:val="true"/>
              </w:rPr>
              <w:t>المبادئ الفكرية للاعتزال و خطب الإمام عليّ عليه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3907511_73709187">
            <w:r>
              <w:rPr>
                <w:webHidden/>
                <w:rStyle w:val="IndexLink"/>
                <w:rtl w:val="true"/>
              </w:rPr>
              <w:t>الفصل الثالث</w:t>
            </w:r>
            <w:r>
              <w:rPr>
                <w:rStyle w:val="IndexLink"/>
                <w:rtl w:val="true"/>
              </w:rPr>
              <w:t xml:space="preserve">: </w:t>
            </w:r>
            <w:r>
              <w:rPr>
                <w:rStyle w:val="IndexLink"/>
                <w:rtl w:val="true"/>
              </w:rPr>
              <w:t>الشيعة و المعتزلة أيّتهما أصل للآخر</w:t>
            </w:r>
            <w:r>
              <w:rPr>
                <w:rStyle w:val="IndexLink"/>
                <w:rtl w:val="true"/>
              </w:rPr>
              <w:tab/>
            </w:r>
            <w:r>
              <w:rPr>
                <w:rStyle w:val="IndexLink"/>
              </w:rPr>
              <w:t>266</w:t>
            </w:r>
          </w:hyperlink>
        </w:p>
        <w:p>
          <w:pPr>
            <w:pStyle w:val="Contents4"/>
            <w:tabs>
              <w:tab w:val="clear" w:pos="8176"/>
              <w:tab w:val="right" w:pos="9026" w:leader="dot"/>
            </w:tabs>
            <w:rPr/>
          </w:pPr>
          <w:hyperlink w:anchor="__RefHeading___Toc3907513_73709187">
            <w:r>
              <w:rPr>
                <w:webHidden/>
                <w:rStyle w:val="IndexLink"/>
                <w:rtl w:val="true"/>
              </w:rPr>
              <w:t>اشارة</w:t>
            </w:r>
            <w:r>
              <w:rPr>
                <w:rStyle w:val="IndexLink"/>
                <w:rtl w:val="true"/>
              </w:rPr>
              <w:tab/>
            </w:r>
            <w:r>
              <w:rPr>
                <w:rStyle w:val="IndexLink"/>
              </w:rPr>
              <w:t>266</w:t>
            </w:r>
          </w:hyperlink>
        </w:p>
        <w:p>
          <w:pPr>
            <w:pStyle w:val="Contents4"/>
            <w:tabs>
              <w:tab w:val="clear" w:pos="8176"/>
              <w:tab w:val="right" w:pos="9026" w:leader="dot"/>
            </w:tabs>
            <w:rPr/>
          </w:pPr>
          <w:hyperlink w:anchor="__RefHeading___Toc3907515_73709187">
            <w:r>
              <w:rPr>
                <w:webHidden/>
                <w:rStyle w:val="IndexLink"/>
                <w:rtl w:val="true"/>
              </w:rPr>
              <w:t>نظريّة أحمد أمين و مناقشتها</w:t>
            </w:r>
            <w:r>
              <w:rPr>
                <w:rStyle w:val="IndexLink"/>
                <w:rtl w:val="true"/>
              </w:rPr>
              <w:tab/>
            </w:r>
            <w:r>
              <w:rPr>
                <w:rStyle w:val="IndexLink"/>
              </w:rPr>
              <w:t>266</w:t>
            </w:r>
          </w:hyperlink>
        </w:p>
        <w:p>
          <w:pPr>
            <w:pStyle w:val="Contents4"/>
            <w:tabs>
              <w:tab w:val="clear" w:pos="8176"/>
              <w:tab w:val="right" w:pos="9026" w:leader="dot"/>
            </w:tabs>
            <w:rPr/>
          </w:pPr>
          <w:hyperlink w:anchor="__RefHeading___Toc3907517_73709187">
            <w:r>
              <w:rPr>
                <w:webHidden/>
                <w:rStyle w:val="IndexLink"/>
                <w:rtl w:val="true"/>
              </w:rPr>
              <w:t>نظريّة بعض المستشرقين و مناقشتها</w:t>
            </w:r>
            <w:r>
              <w:rPr>
                <w:rStyle w:val="IndexLink"/>
                <w:rtl w:val="true"/>
              </w:rPr>
              <w:tab/>
            </w:r>
            <w:r>
              <w:rPr>
                <w:rStyle w:val="IndexLink"/>
              </w:rPr>
              <w:t>269</w:t>
            </w:r>
          </w:hyperlink>
        </w:p>
        <w:p>
          <w:pPr>
            <w:pStyle w:val="Contents5"/>
            <w:tabs>
              <w:tab w:val="clear" w:pos="7892"/>
              <w:tab w:val="right" w:pos="9026" w:leader="dot"/>
            </w:tabs>
            <w:rPr/>
          </w:pPr>
          <w:hyperlink w:anchor="__RefHeading___Toc3907519_73709187">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3907521_73709187">
            <w:r>
              <w:rPr>
                <w:webHidden/>
                <w:rStyle w:val="IndexLink"/>
              </w:rPr>
              <w:t>1</w:t>
            </w:r>
            <w:r>
              <w:rPr>
                <w:rStyle w:val="IndexLink"/>
                <w:rtl w:val="true"/>
              </w:rPr>
              <w:t xml:space="preserve"> - </w:t>
            </w:r>
            <w:r>
              <w:rPr>
                <w:rStyle w:val="IndexLink"/>
                <w:rtl w:val="true"/>
              </w:rPr>
              <w:t>عيسى بن روضة</w:t>
            </w:r>
            <w:r>
              <w:rPr>
                <w:rStyle w:val="IndexLink"/>
                <w:rtl w:val="true"/>
              </w:rPr>
              <w:tab/>
            </w:r>
            <w:r>
              <w:rPr>
                <w:rStyle w:val="IndexLink"/>
              </w:rPr>
              <w:t>270</w:t>
            </w:r>
          </w:hyperlink>
        </w:p>
        <w:p>
          <w:pPr>
            <w:pStyle w:val="Contents5"/>
            <w:tabs>
              <w:tab w:val="clear" w:pos="7892"/>
              <w:tab w:val="right" w:pos="9026" w:leader="dot"/>
            </w:tabs>
            <w:rPr/>
          </w:pPr>
          <w:hyperlink w:anchor="__RefHeading___Toc3907523_73709187">
            <w:r>
              <w:rPr>
                <w:webHidden/>
                <w:rStyle w:val="IndexLink"/>
              </w:rPr>
              <w:t>2</w:t>
            </w:r>
            <w:r>
              <w:rPr>
                <w:rStyle w:val="IndexLink"/>
                <w:rtl w:val="true"/>
              </w:rPr>
              <w:t xml:space="preserve"> - </w:t>
            </w:r>
            <w:r>
              <w:rPr>
                <w:rStyle w:val="IndexLink"/>
                <w:rtl w:val="true"/>
              </w:rPr>
              <w:t>علي بن إسماعيل بن ميثم التمّار البغداديّ‌</w:t>
            </w:r>
            <w:r>
              <w:rPr>
                <w:rStyle w:val="IndexLink"/>
                <w:rtl w:val="true"/>
              </w:rPr>
              <w:tab/>
            </w:r>
            <w:r>
              <w:rPr>
                <w:rStyle w:val="IndexLink"/>
              </w:rPr>
              <w:t>270</w:t>
            </w:r>
          </w:hyperlink>
        </w:p>
        <w:p>
          <w:pPr>
            <w:pStyle w:val="Contents5"/>
            <w:tabs>
              <w:tab w:val="clear" w:pos="7892"/>
              <w:tab w:val="right" w:pos="9026" w:leader="dot"/>
            </w:tabs>
            <w:rPr/>
          </w:pPr>
          <w:hyperlink w:anchor="__RefHeading___Toc3907525_73709187">
            <w:r>
              <w:rPr>
                <w:webHidden/>
                <w:rStyle w:val="IndexLink"/>
              </w:rPr>
              <w:t>3</w:t>
            </w:r>
            <w:r>
              <w:rPr>
                <w:rStyle w:val="IndexLink"/>
                <w:rtl w:val="true"/>
              </w:rPr>
              <w:t xml:space="preserve"> - </w:t>
            </w:r>
            <w:r>
              <w:rPr>
                <w:rStyle w:val="IndexLink"/>
                <w:rtl w:val="true"/>
              </w:rPr>
              <w:t>أبو جعفر محمّد بن عليّ بن النعمان الملقّب بمؤمن الطاق</w:t>
            </w:r>
            <w:r>
              <w:rPr>
                <w:rStyle w:val="IndexLink"/>
                <w:rtl w:val="true"/>
              </w:rPr>
              <w:tab/>
            </w:r>
            <w:r>
              <w:rPr>
                <w:rStyle w:val="IndexLink"/>
              </w:rPr>
              <w:t>271</w:t>
            </w:r>
          </w:hyperlink>
        </w:p>
        <w:p>
          <w:pPr>
            <w:pStyle w:val="Contents5"/>
            <w:tabs>
              <w:tab w:val="clear" w:pos="7892"/>
              <w:tab w:val="right" w:pos="9026" w:leader="dot"/>
            </w:tabs>
            <w:rPr/>
          </w:pPr>
          <w:hyperlink w:anchor="__RefHeading___Toc3907527_73709187">
            <w:r>
              <w:rPr>
                <w:webHidden/>
                <w:rStyle w:val="IndexLink"/>
              </w:rPr>
              <w:t>4</w:t>
            </w:r>
            <w:r>
              <w:rPr>
                <w:rStyle w:val="IndexLink"/>
                <w:rtl w:val="true"/>
              </w:rPr>
              <w:t xml:space="preserve"> - </w:t>
            </w:r>
            <w:r>
              <w:rPr>
                <w:rStyle w:val="IndexLink"/>
                <w:rtl w:val="true"/>
              </w:rPr>
              <w:t>هشام بن الحكم</w:t>
            </w:r>
            <w:r>
              <w:rPr>
                <w:rStyle w:val="IndexLink"/>
                <w:rtl w:val="true"/>
              </w:rPr>
              <w:tab/>
            </w:r>
            <w:r>
              <w:rPr>
                <w:rStyle w:val="IndexLink"/>
              </w:rPr>
              <w:t>271</w:t>
            </w:r>
          </w:hyperlink>
        </w:p>
        <w:p>
          <w:pPr>
            <w:pStyle w:val="Contents4"/>
            <w:tabs>
              <w:tab w:val="clear" w:pos="8176"/>
              <w:tab w:val="right" w:pos="9026" w:leader="dot"/>
            </w:tabs>
            <w:rPr/>
          </w:pPr>
          <w:hyperlink w:anchor="__RefHeading___Toc3907529_73709187">
            <w:r>
              <w:rPr>
                <w:webHidden/>
                <w:rStyle w:val="IndexLink"/>
                <w:rtl w:val="true"/>
              </w:rPr>
              <w:t xml:space="preserve">نظرية مؤلف كتاب </w:t>
            </w:r>
            <w:r>
              <w:rPr>
                <w:rStyle w:val="IndexLink"/>
                <w:rtl w:val="true"/>
              </w:rPr>
              <w:t>«</w:t>
            </w:r>
            <w:r>
              <w:rPr>
                <w:rStyle w:val="IndexLink"/>
                <w:rtl w:val="true"/>
              </w:rPr>
              <w:t>المعتزلة</w:t>
            </w:r>
            <w:r>
              <w:rPr>
                <w:rStyle w:val="IndexLink"/>
                <w:rtl w:val="true"/>
              </w:rPr>
              <w:t xml:space="preserve">» </w:t>
            </w:r>
            <w:r>
              <w:rPr>
                <w:rStyle w:val="IndexLink"/>
                <w:rtl w:val="true"/>
              </w:rPr>
              <w:t>و مناقشتها</w:t>
            </w:r>
            <w:r>
              <w:rPr>
                <w:rStyle w:val="IndexLink"/>
                <w:rtl w:val="true"/>
              </w:rPr>
              <w:tab/>
            </w:r>
            <w:r>
              <w:rPr>
                <w:rStyle w:val="IndexLink"/>
              </w:rPr>
              <w:t>275</w:t>
            </w:r>
          </w:hyperlink>
        </w:p>
        <w:p>
          <w:pPr>
            <w:pStyle w:val="Contents5"/>
            <w:tabs>
              <w:tab w:val="clear" w:pos="7892"/>
              <w:tab w:val="right" w:pos="9026" w:leader="dot"/>
            </w:tabs>
            <w:rPr/>
          </w:pPr>
          <w:hyperlink w:anchor="__RefHeading___Toc3907531_73709187">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907533_73709187">
            <w:r>
              <w:rPr>
                <w:webHidden/>
                <w:rStyle w:val="IndexLink"/>
                <w:rtl w:val="true"/>
              </w:rPr>
              <w:t>الفوارق الفكرية بين الشيعة و المعتزلة</w:t>
            </w:r>
            <w:r>
              <w:rPr>
                <w:rStyle w:val="IndexLink"/>
                <w:rtl w:val="true"/>
              </w:rPr>
              <w:tab/>
            </w:r>
            <w:r>
              <w:rPr>
                <w:rStyle w:val="IndexLink"/>
              </w:rPr>
              <w:t>276</w:t>
            </w:r>
          </w:hyperlink>
        </w:p>
        <w:p>
          <w:pPr>
            <w:pStyle w:val="Contents6"/>
            <w:tabs>
              <w:tab w:val="clear" w:pos="7609"/>
              <w:tab w:val="right" w:pos="9026" w:leader="dot"/>
            </w:tabs>
            <w:rPr/>
          </w:pPr>
          <w:hyperlink w:anchor="__RefHeading___Toc3907535_73709187">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3907537_73709187">
            <w:r>
              <w:rPr>
                <w:webHidden/>
                <w:rStyle w:val="IndexLink"/>
              </w:rPr>
              <w:t>1</w:t>
            </w:r>
            <w:r>
              <w:rPr>
                <w:rStyle w:val="IndexLink"/>
                <w:rtl w:val="true"/>
              </w:rPr>
              <w:t xml:space="preserve"> - </w:t>
            </w:r>
            <w:r>
              <w:rPr>
                <w:rStyle w:val="IndexLink"/>
                <w:rtl w:val="true"/>
              </w:rPr>
              <w:t>عينية الصفات مع الذات</w:t>
            </w:r>
            <w:r>
              <w:rPr>
                <w:rStyle w:val="IndexLink"/>
                <w:rtl w:val="true"/>
              </w:rPr>
              <w:t>:</w:t>
              <w:tab/>
            </w:r>
            <w:r>
              <w:rPr>
                <w:rStyle w:val="IndexLink"/>
              </w:rPr>
              <w:t>277</w:t>
            </w:r>
          </w:hyperlink>
        </w:p>
        <w:p>
          <w:pPr>
            <w:pStyle w:val="Contents6"/>
            <w:tabs>
              <w:tab w:val="clear" w:pos="7609"/>
              <w:tab w:val="right" w:pos="9026" w:leader="dot"/>
            </w:tabs>
            <w:rPr/>
          </w:pPr>
          <w:hyperlink w:anchor="__RefHeading___Toc3907539_73709187">
            <w:r>
              <w:rPr>
                <w:webHidden/>
                <w:rStyle w:val="IndexLink"/>
              </w:rPr>
              <w:t>2</w:t>
            </w:r>
            <w:r>
              <w:rPr>
                <w:rStyle w:val="IndexLink"/>
                <w:rtl w:val="true"/>
              </w:rPr>
              <w:t xml:space="preserve"> - </w:t>
            </w:r>
            <w:r>
              <w:rPr>
                <w:rStyle w:val="IndexLink"/>
                <w:rtl w:val="true"/>
              </w:rPr>
              <w:t>إحباط الأعمال الصالحة بالطالحة</w:t>
            </w:r>
            <w:r>
              <w:rPr>
                <w:rStyle w:val="IndexLink"/>
                <w:rtl w:val="true"/>
              </w:rPr>
              <w:tab/>
            </w:r>
            <w:r>
              <w:rPr>
                <w:rStyle w:val="IndexLink"/>
              </w:rPr>
              <w:t>279</w:t>
            </w:r>
          </w:hyperlink>
        </w:p>
        <w:p>
          <w:pPr>
            <w:pStyle w:val="Contents6"/>
            <w:tabs>
              <w:tab w:val="clear" w:pos="7609"/>
              <w:tab w:val="right" w:pos="9026" w:leader="dot"/>
            </w:tabs>
            <w:rPr/>
          </w:pPr>
          <w:hyperlink w:anchor="__RefHeading___Toc3907541_73709187">
            <w:r>
              <w:rPr>
                <w:webHidden/>
                <w:rStyle w:val="IndexLink"/>
              </w:rPr>
              <w:t>3</w:t>
            </w:r>
            <w:r>
              <w:rPr>
                <w:rStyle w:val="IndexLink"/>
                <w:rtl w:val="true"/>
              </w:rPr>
              <w:t xml:space="preserve"> - </w:t>
            </w:r>
            <w:r>
              <w:rPr>
                <w:rStyle w:val="IndexLink"/>
                <w:rtl w:val="true"/>
              </w:rPr>
              <w:t>خلود مرتكب الكبيرة في النار</w:t>
            </w:r>
            <w:r>
              <w:rPr>
                <w:rStyle w:val="IndexLink"/>
                <w:rtl w:val="true"/>
              </w:rPr>
              <w:tab/>
            </w:r>
            <w:r>
              <w:rPr>
                <w:rStyle w:val="IndexLink"/>
              </w:rPr>
              <w:t>281</w:t>
            </w:r>
          </w:hyperlink>
        </w:p>
        <w:p>
          <w:pPr>
            <w:pStyle w:val="Contents6"/>
            <w:tabs>
              <w:tab w:val="clear" w:pos="7609"/>
              <w:tab w:val="right" w:pos="9026" w:leader="dot"/>
            </w:tabs>
            <w:rPr/>
          </w:pPr>
          <w:hyperlink w:anchor="__RefHeading___Toc3907543_73709187">
            <w:r>
              <w:rPr>
                <w:webHidden/>
                <w:rStyle w:val="IndexLink"/>
              </w:rPr>
              <w:t>4</w:t>
            </w:r>
            <w:r>
              <w:rPr>
                <w:rStyle w:val="IndexLink"/>
                <w:rtl w:val="true"/>
              </w:rPr>
              <w:t xml:space="preserve"> - </w:t>
            </w:r>
            <w:r>
              <w:rPr>
                <w:rStyle w:val="IndexLink"/>
                <w:rtl w:val="true"/>
              </w:rPr>
              <w:t>لزوم العمل بالوعيد و عدمه</w:t>
            </w:r>
            <w:r>
              <w:rPr>
                <w:rStyle w:val="IndexLink"/>
                <w:rtl w:val="true"/>
              </w:rPr>
              <w:tab/>
            </w:r>
            <w:r>
              <w:rPr>
                <w:rStyle w:val="IndexLink"/>
              </w:rPr>
              <w:t>282</w:t>
            </w:r>
          </w:hyperlink>
        </w:p>
        <w:p>
          <w:pPr>
            <w:pStyle w:val="Contents6"/>
            <w:tabs>
              <w:tab w:val="clear" w:pos="7609"/>
              <w:tab w:val="right" w:pos="9026" w:leader="dot"/>
            </w:tabs>
            <w:rPr/>
          </w:pPr>
          <w:hyperlink w:anchor="__RefHeading___Toc3907545_73709187">
            <w:r>
              <w:rPr>
                <w:webHidden/>
                <w:rStyle w:val="IndexLink"/>
              </w:rPr>
              <w:t>5</w:t>
            </w:r>
            <w:r>
              <w:rPr>
                <w:rStyle w:val="IndexLink"/>
                <w:rtl w:val="true"/>
              </w:rPr>
              <w:t xml:space="preserve"> - </w:t>
            </w:r>
            <w:r>
              <w:rPr>
                <w:rStyle w:val="IndexLink"/>
                <w:rtl w:val="true"/>
              </w:rPr>
              <w:t>الشفاعة حطّ الذنوب أو ترفيع الدرجة</w:t>
            </w:r>
            <w:r>
              <w:rPr>
                <w:rStyle w:val="IndexLink"/>
                <w:rtl w:val="true"/>
              </w:rPr>
              <w:t>:</w:t>
              <w:tab/>
            </w:r>
            <w:r>
              <w:rPr>
                <w:rStyle w:val="IndexLink"/>
              </w:rPr>
              <w:t>283</w:t>
            </w:r>
          </w:hyperlink>
        </w:p>
        <w:p>
          <w:pPr>
            <w:pStyle w:val="Contents6"/>
            <w:tabs>
              <w:tab w:val="clear" w:pos="7609"/>
              <w:tab w:val="right" w:pos="9026" w:leader="dot"/>
            </w:tabs>
            <w:rPr/>
          </w:pPr>
          <w:hyperlink w:anchor="__RefHeading___Toc3907547_73709187">
            <w:r>
              <w:rPr>
                <w:webHidden/>
                <w:rStyle w:val="IndexLink"/>
              </w:rPr>
              <w:t>6</w:t>
            </w:r>
            <w:r>
              <w:rPr>
                <w:rStyle w:val="IndexLink"/>
                <w:rtl w:val="true"/>
              </w:rPr>
              <w:t xml:space="preserve"> - </w:t>
            </w:r>
            <w:r>
              <w:rPr>
                <w:rStyle w:val="IndexLink"/>
                <w:rtl w:val="true"/>
              </w:rPr>
              <w:t>مرتكب الكبيرة لا مؤمن و لا كافر</w:t>
            </w:r>
            <w:r>
              <w:rPr>
                <w:rStyle w:val="IndexLink"/>
                <w:rtl w:val="true"/>
              </w:rPr>
              <w:tab/>
            </w:r>
            <w:r>
              <w:rPr>
                <w:rStyle w:val="IndexLink"/>
              </w:rPr>
              <w:t>284</w:t>
            </w:r>
          </w:hyperlink>
        </w:p>
        <w:p>
          <w:pPr>
            <w:pStyle w:val="Contents6"/>
            <w:tabs>
              <w:tab w:val="clear" w:pos="7609"/>
              <w:tab w:val="right" w:pos="9026" w:leader="dot"/>
            </w:tabs>
            <w:rPr/>
          </w:pPr>
          <w:hyperlink w:anchor="__RefHeading___Toc3907549_73709187">
            <w:r>
              <w:rPr>
                <w:webHidden/>
                <w:rStyle w:val="IndexLink"/>
              </w:rPr>
              <w:t>7</w:t>
            </w:r>
            <w:r>
              <w:rPr>
                <w:rStyle w:val="IndexLink"/>
                <w:rtl w:val="true"/>
              </w:rPr>
              <w:t xml:space="preserve"> - </w:t>
            </w:r>
            <w:r>
              <w:rPr>
                <w:rStyle w:val="IndexLink"/>
                <w:rtl w:val="true"/>
              </w:rPr>
              <w:t>النسخ جائزٌ و البداء ممتنع عند المعتزلة</w:t>
            </w:r>
            <w:r>
              <w:rPr>
                <w:rStyle w:val="IndexLink"/>
                <w:rtl w:val="true"/>
              </w:rPr>
              <w:tab/>
            </w:r>
            <w:r>
              <w:rPr>
                <w:rStyle w:val="IndexLink"/>
              </w:rPr>
              <w:t>285</w:t>
            </w:r>
          </w:hyperlink>
        </w:p>
        <w:p>
          <w:pPr>
            <w:pStyle w:val="Contents6"/>
            <w:tabs>
              <w:tab w:val="clear" w:pos="7609"/>
              <w:tab w:val="right" w:pos="9026" w:leader="dot"/>
            </w:tabs>
            <w:rPr/>
          </w:pPr>
          <w:hyperlink w:anchor="__RefHeading___Toc3907551_73709187">
            <w:r>
              <w:rPr>
                <w:webHidden/>
                <w:rStyle w:val="IndexLink"/>
              </w:rPr>
              <w:t>8</w:t>
            </w:r>
            <w:r>
              <w:rPr>
                <w:rStyle w:val="IndexLink"/>
                <w:rtl w:val="true"/>
              </w:rPr>
              <w:t xml:space="preserve"> - </w:t>
            </w:r>
            <w:r>
              <w:rPr>
                <w:rStyle w:val="IndexLink"/>
                <w:rtl w:val="true"/>
              </w:rPr>
              <w:t>الواسطة بين الوجود و العدم</w:t>
            </w:r>
            <w:r>
              <w:rPr>
                <w:rStyle w:val="IndexLink"/>
                <w:rtl w:val="true"/>
              </w:rPr>
              <w:tab/>
            </w:r>
            <w:r>
              <w:rPr>
                <w:rStyle w:val="IndexLink"/>
              </w:rPr>
              <w:t>287</w:t>
            </w:r>
          </w:hyperlink>
        </w:p>
        <w:p>
          <w:pPr>
            <w:pStyle w:val="Contents6"/>
            <w:tabs>
              <w:tab w:val="clear" w:pos="7609"/>
              <w:tab w:val="right" w:pos="9026" w:leader="dot"/>
            </w:tabs>
            <w:rPr/>
          </w:pPr>
          <w:hyperlink w:anchor="__RefHeading___Toc3907553_73709187">
            <w:r>
              <w:rPr>
                <w:webHidden/>
                <w:rStyle w:val="IndexLink"/>
              </w:rPr>
              <w:t>9</w:t>
            </w:r>
            <w:r>
              <w:rPr>
                <w:rStyle w:val="IndexLink"/>
                <w:rtl w:val="true"/>
              </w:rPr>
              <w:t xml:space="preserve"> - </w:t>
            </w:r>
            <w:r>
              <w:rPr>
                <w:rStyle w:val="IndexLink"/>
                <w:rtl w:val="true"/>
              </w:rPr>
              <w:t>التفويض في الأفعال</w:t>
            </w:r>
            <w:r>
              <w:rPr>
                <w:rStyle w:val="IndexLink"/>
                <w:rtl w:val="true"/>
              </w:rPr>
              <w:tab/>
            </w:r>
            <w:r>
              <w:rPr>
                <w:rStyle w:val="IndexLink"/>
              </w:rPr>
              <w:t>288</w:t>
            </w:r>
          </w:hyperlink>
        </w:p>
        <w:p>
          <w:pPr>
            <w:pStyle w:val="Contents6"/>
            <w:tabs>
              <w:tab w:val="clear" w:pos="7609"/>
              <w:tab w:val="right" w:pos="9026" w:leader="dot"/>
            </w:tabs>
            <w:rPr/>
          </w:pPr>
          <w:hyperlink w:anchor="__RefHeading___Toc3907555_73709187">
            <w:r>
              <w:rPr>
                <w:webHidden/>
                <w:rStyle w:val="IndexLink"/>
              </w:rPr>
              <w:t>10</w:t>
            </w:r>
            <w:r>
              <w:rPr>
                <w:rStyle w:val="IndexLink"/>
                <w:rtl w:val="true"/>
              </w:rPr>
              <w:t xml:space="preserve"> - </w:t>
            </w:r>
            <w:r>
              <w:rPr>
                <w:rStyle w:val="IndexLink"/>
                <w:rtl w:val="true"/>
              </w:rPr>
              <w:t>قبول التوبة واجب على اللّٰه أو تفضّل منه؟</w:t>
            </w:r>
            <w:r>
              <w:rPr>
                <w:rStyle w:val="IndexLink"/>
                <w:rtl w:val="true"/>
              </w:rPr>
              <w:tab/>
            </w:r>
            <w:r>
              <w:rPr>
                <w:rStyle w:val="IndexLink"/>
              </w:rPr>
              <w:t>291</w:t>
            </w:r>
          </w:hyperlink>
        </w:p>
        <w:p>
          <w:pPr>
            <w:pStyle w:val="Contents6"/>
            <w:tabs>
              <w:tab w:val="clear" w:pos="7609"/>
              <w:tab w:val="right" w:pos="9026" w:leader="dot"/>
            </w:tabs>
            <w:rPr/>
          </w:pPr>
          <w:hyperlink w:anchor="__RefHeading___Toc3907557_73709187">
            <w:r>
              <w:rPr>
                <w:webHidden/>
                <w:rStyle w:val="IndexLink"/>
              </w:rPr>
              <w:t>11</w:t>
            </w:r>
            <w:r>
              <w:rPr>
                <w:rStyle w:val="IndexLink"/>
                <w:rtl w:val="true"/>
              </w:rPr>
              <w:t xml:space="preserve"> - </w:t>
            </w:r>
            <w:r>
              <w:rPr>
                <w:rStyle w:val="IndexLink"/>
                <w:rtl w:val="true"/>
              </w:rPr>
              <w:t>عصمة الأنبياء قبل البعثة و بعدها</w:t>
            </w:r>
            <w:r>
              <w:rPr>
                <w:rStyle w:val="IndexLink"/>
                <w:rtl w:val="true"/>
              </w:rPr>
              <w:tab/>
            </w:r>
            <w:r>
              <w:rPr>
                <w:rStyle w:val="IndexLink"/>
              </w:rPr>
              <w:t>292</w:t>
            </w:r>
          </w:hyperlink>
        </w:p>
        <w:p>
          <w:pPr>
            <w:pStyle w:val="Contents6"/>
            <w:tabs>
              <w:tab w:val="clear" w:pos="7609"/>
              <w:tab w:val="right" w:pos="9026" w:leader="dot"/>
            </w:tabs>
            <w:rPr/>
          </w:pPr>
          <w:hyperlink w:anchor="__RefHeading___Toc3907559_73709187">
            <w:r>
              <w:rPr>
                <w:webHidden/>
                <w:rStyle w:val="IndexLink"/>
              </w:rPr>
              <w:t>12</w:t>
            </w:r>
            <w:r>
              <w:rPr>
                <w:rStyle w:val="IndexLink"/>
                <w:rtl w:val="true"/>
              </w:rPr>
              <w:t xml:space="preserve"> - </w:t>
            </w:r>
            <w:r>
              <w:rPr>
                <w:rStyle w:val="IndexLink"/>
                <w:rtl w:val="true"/>
              </w:rPr>
              <w:t>وجوب الأمر بالمعروف عقلاً و عدمه</w:t>
            </w:r>
            <w:r>
              <w:rPr>
                <w:rStyle w:val="IndexLink"/>
                <w:rtl w:val="true"/>
              </w:rPr>
              <w:tab/>
            </w:r>
            <w:r>
              <w:rPr>
                <w:rStyle w:val="IndexLink"/>
              </w:rPr>
              <w:t>293</w:t>
            </w:r>
          </w:hyperlink>
        </w:p>
        <w:p>
          <w:pPr>
            <w:pStyle w:val="Contents6"/>
            <w:tabs>
              <w:tab w:val="clear" w:pos="7609"/>
              <w:tab w:val="right" w:pos="9026" w:leader="dot"/>
            </w:tabs>
            <w:rPr/>
          </w:pPr>
          <w:hyperlink w:anchor="__RefHeading___Toc3907561_73709187">
            <w:r>
              <w:rPr>
                <w:webHidden/>
                <w:rStyle w:val="IndexLink"/>
              </w:rPr>
              <w:t>13</w:t>
            </w:r>
            <w:r>
              <w:rPr>
                <w:rStyle w:val="IndexLink"/>
                <w:rtl w:val="true"/>
              </w:rPr>
              <w:t xml:space="preserve"> - </w:t>
            </w:r>
            <w:r>
              <w:rPr>
                <w:rStyle w:val="IndexLink"/>
                <w:rtl w:val="true"/>
              </w:rPr>
              <w:t>آباء رسول اللّٰه كلّهم موحّدون</w:t>
            </w:r>
            <w:r>
              <w:rPr>
                <w:rStyle w:val="IndexLink"/>
                <w:rtl w:val="true"/>
              </w:rPr>
              <w:tab/>
            </w:r>
            <w:r>
              <w:rPr>
                <w:rStyle w:val="IndexLink"/>
              </w:rPr>
              <w:t>293</w:t>
            </w:r>
          </w:hyperlink>
        </w:p>
        <w:p>
          <w:pPr>
            <w:pStyle w:val="Contents6"/>
            <w:tabs>
              <w:tab w:val="clear" w:pos="7609"/>
              <w:tab w:val="right" w:pos="9026" w:leader="dot"/>
            </w:tabs>
            <w:rPr/>
          </w:pPr>
          <w:hyperlink w:anchor="__RefHeading___Toc3907563_73709187">
            <w:r>
              <w:rPr>
                <w:webHidden/>
                <w:rStyle w:val="IndexLink"/>
              </w:rPr>
              <w:t>14</w:t>
            </w:r>
            <w:r>
              <w:rPr>
                <w:rStyle w:val="IndexLink"/>
                <w:rtl w:val="true"/>
              </w:rPr>
              <w:t xml:space="preserve"> - </w:t>
            </w:r>
            <w:r>
              <w:rPr>
                <w:rStyle w:val="IndexLink"/>
                <w:rtl w:val="true"/>
              </w:rPr>
              <w:t>تفضيل الأنبياء على الملائكة</w:t>
            </w:r>
            <w:r>
              <w:rPr>
                <w:rStyle w:val="IndexLink"/>
                <w:rtl w:val="true"/>
              </w:rPr>
              <w:tab/>
            </w:r>
            <w:r>
              <w:rPr>
                <w:rStyle w:val="IndexLink"/>
              </w:rPr>
              <w:t>294</w:t>
            </w:r>
          </w:hyperlink>
        </w:p>
        <w:p>
          <w:pPr>
            <w:pStyle w:val="Contents6"/>
            <w:tabs>
              <w:tab w:val="clear" w:pos="7609"/>
              <w:tab w:val="right" w:pos="9026" w:leader="dot"/>
            </w:tabs>
            <w:rPr/>
          </w:pPr>
          <w:hyperlink w:anchor="__RefHeading___Toc3907565_73709187">
            <w:r>
              <w:rPr>
                <w:webHidden/>
                <w:rStyle w:val="IndexLink"/>
              </w:rPr>
              <w:t>15</w:t>
            </w:r>
            <w:r>
              <w:rPr>
                <w:rStyle w:val="IndexLink"/>
                <w:rtl w:val="true"/>
              </w:rPr>
              <w:t xml:space="preserve"> - </w:t>
            </w:r>
            <w:r>
              <w:rPr>
                <w:rStyle w:val="IndexLink"/>
                <w:rtl w:val="true"/>
              </w:rPr>
              <w:t>الرجعة</w:t>
            </w:r>
            <w:r>
              <w:rPr>
                <w:rStyle w:val="IndexLink"/>
                <w:rtl w:val="true"/>
              </w:rPr>
              <w:t xml:space="preserve">: </w:t>
            </w:r>
            <w:r>
              <w:rPr>
                <w:rStyle w:val="IndexLink"/>
                <w:rtl w:val="true"/>
              </w:rPr>
              <w:t>إمكانها و وقوعها</w:t>
            </w:r>
            <w:r>
              <w:rPr>
                <w:rStyle w:val="IndexLink"/>
                <w:rtl w:val="true"/>
              </w:rPr>
              <w:tab/>
            </w:r>
            <w:r>
              <w:rPr>
                <w:rStyle w:val="IndexLink"/>
              </w:rPr>
              <w:t>294</w:t>
            </w:r>
          </w:hyperlink>
        </w:p>
        <w:p>
          <w:pPr>
            <w:pStyle w:val="Contents6"/>
            <w:tabs>
              <w:tab w:val="clear" w:pos="7609"/>
              <w:tab w:val="right" w:pos="9026" w:leader="dot"/>
            </w:tabs>
            <w:rPr/>
          </w:pPr>
          <w:hyperlink w:anchor="__RefHeading___Toc3907567_73709187">
            <w:r>
              <w:rPr>
                <w:webHidden/>
                <w:rStyle w:val="IndexLink"/>
              </w:rPr>
              <w:t>16</w:t>
            </w:r>
            <w:r>
              <w:rPr>
                <w:rStyle w:val="IndexLink"/>
                <w:rtl w:val="true"/>
              </w:rPr>
              <w:t xml:space="preserve"> - </w:t>
            </w:r>
            <w:r>
              <w:rPr>
                <w:rStyle w:val="IndexLink"/>
                <w:rtl w:val="true"/>
              </w:rPr>
              <w:t>الجنّة و النار مخلوقتان أو لا؟</w:t>
            </w:r>
            <w:r>
              <w:rPr>
                <w:rStyle w:val="IndexLink"/>
                <w:rtl w:val="true"/>
              </w:rPr>
              <w:tab/>
            </w:r>
            <w:r>
              <w:rPr>
                <w:rStyle w:val="IndexLink"/>
              </w:rPr>
              <w:t>294</w:t>
            </w:r>
          </w:hyperlink>
        </w:p>
        <w:p>
          <w:pPr>
            <w:pStyle w:val="Contents6"/>
            <w:tabs>
              <w:tab w:val="clear" w:pos="7609"/>
              <w:tab w:val="right" w:pos="9026" w:leader="dot"/>
            </w:tabs>
            <w:rPr/>
          </w:pPr>
          <w:hyperlink w:anchor="__RefHeading___Toc3907569_73709187">
            <w:r>
              <w:rPr>
                <w:webHidden/>
                <w:rStyle w:val="IndexLink"/>
              </w:rPr>
              <w:t>17</w:t>
            </w:r>
            <w:r>
              <w:rPr>
                <w:rStyle w:val="IndexLink"/>
                <w:rtl w:val="true"/>
              </w:rPr>
              <w:t xml:space="preserve"> - </w:t>
            </w:r>
            <w:r>
              <w:rPr>
                <w:rStyle w:val="IndexLink"/>
                <w:rtl w:val="true"/>
              </w:rPr>
              <w:t>تأويل النصوص اعتماداً على القواعد العقلية</w:t>
            </w:r>
            <w:r>
              <w:rPr>
                <w:rStyle w:val="IndexLink"/>
                <w:rtl w:val="true"/>
              </w:rPr>
              <w:t>:</w:t>
              <w:tab/>
            </w:r>
            <w:r>
              <w:rPr>
                <w:rStyle w:val="IndexLink"/>
              </w:rPr>
              <w:t>295</w:t>
            </w:r>
          </w:hyperlink>
        </w:p>
        <w:p>
          <w:pPr>
            <w:pStyle w:val="Contents6"/>
            <w:tabs>
              <w:tab w:val="clear" w:pos="7609"/>
              <w:tab w:val="right" w:pos="9026" w:leader="dot"/>
            </w:tabs>
            <w:rPr/>
          </w:pPr>
          <w:hyperlink w:anchor="__RefHeading___Toc3907571_73709187">
            <w:r>
              <w:rPr>
                <w:webHidden/>
                <w:rStyle w:val="IndexLink"/>
              </w:rPr>
              <w:t>18</w:t>
            </w:r>
            <w:r>
              <w:rPr>
                <w:rStyle w:val="IndexLink"/>
                <w:rtl w:val="true"/>
              </w:rPr>
              <w:t xml:space="preserve"> - </w:t>
            </w:r>
            <w:r>
              <w:rPr>
                <w:rStyle w:val="IndexLink"/>
                <w:rtl w:val="true"/>
              </w:rPr>
              <w:t>الإمامة بالتنصيص أو بالشورى</w:t>
            </w:r>
            <w:r>
              <w:rPr>
                <w:rStyle w:val="IndexLink"/>
                <w:rtl w:val="true"/>
              </w:rPr>
              <w:t>:</w:t>
              <w:tab/>
            </w:r>
            <w:r>
              <w:rPr>
                <w:rStyle w:val="IndexLink"/>
              </w:rPr>
              <w:t>296</w:t>
            </w:r>
          </w:hyperlink>
        </w:p>
        <w:p>
          <w:pPr>
            <w:pStyle w:val="Contents6"/>
            <w:tabs>
              <w:tab w:val="clear" w:pos="7609"/>
              <w:tab w:val="right" w:pos="9026" w:leader="dot"/>
            </w:tabs>
            <w:rPr/>
          </w:pPr>
          <w:hyperlink w:anchor="__RefHeading___Toc3907573_73709187">
            <w:r>
              <w:rPr>
                <w:webHidden/>
                <w:rStyle w:val="IndexLink"/>
              </w:rPr>
              <w:t>19</w:t>
            </w:r>
            <w:r>
              <w:rPr>
                <w:rStyle w:val="IndexLink"/>
                <w:rtl w:val="true"/>
              </w:rPr>
              <w:t xml:space="preserve"> - </w:t>
            </w:r>
            <w:r>
              <w:rPr>
                <w:rStyle w:val="IndexLink"/>
                <w:rtl w:val="true"/>
              </w:rPr>
              <w:t>هل يشترط في الإمام كونه معصوماً</w:t>
            </w:r>
            <w:r>
              <w:rPr>
                <w:rStyle w:val="IndexLink"/>
                <w:rtl w:val="true"/>
              </w:rPr>
              <w:tab/>
            </w:r>
            <w:r>
              <w:rPr>
                <w:rStyle w:val="IndexLink"/>
              </w:rPr>
              <w:t>296</w:t>
            </w:r>
          </w:hyperlink>
        </w:p>
        <w:p>
          <w:pPr>
            <w:pStyle w:val="Contents6"/>
            <w:tabs>
              <w:tab w:val="clear" w:pos="7609"/>
              <w:tab w:val="right" w:pos="9026" w:leader="dot"/>
            </w:tabs>
            <w:rPr/>
          </w:pPr>
          <w:hyperlink w:anchor="__RefHeading___Toc3907575_73709187">
            <w:r>
              <w:rPr>
                <w:webHidden/>
                <w:rStyle w:val="IndexLink"/>
              </w:rPr>
              <w:t>20</w:t>
            </w:r>
            <w:r>
              <w:rPr>
                <w:rStyle w:val="IndexLink"/>
                <w:rtl w:val="true"/>
              </w:rPr>
              <w:t xml:space="preserve"> - </w:t>
            </w:r>
            <w:r>
              <w:rPr>
                <w:rStyle w:val="IndexLink"/>
                <w:rtl w:val="true"/>
              </w:rPr>
              <w:t>حكم محارب الإمام علي أمير المؤمنين</w:t>
            </w:r>
            <w:r>
              <w:rPr>
                <w:rStyle w:val="IndexLink"/>
                <w:rtl w:val="true"/>
              </w:rPr>
              <w:t>:</w:t>
              <w:tab/>
            </w:r>
            <w:r>
              <w:rPr>
                <w:rStyle w:val="IndexLink"/>
              </w:rPr>
              <w:t>297</w:t>
            </w:r>
          </w:hyperlink>
        </w:p>
        <w:p>
          <w:pPr>
            <w:pStyle w:val="Contents5"/>
            <w:tabs>
              <w:tab w:val="clear" w:pos="7892"/>
              <w:tab w:val="right" w:pos="9026" w:leader="dot"/>
            </w:tabs>
            <w:rPr/>
          </w:pPr>
          <w:hyperlink w:anchor="__RefHeading___Toc3907577_73709187">
            <w:r>
              <w:rPr>
                <w:webHidden/>
                <w:rStyle w:val="IndexLink"/>
                <w:rtl w:val="true"/>
              </w:rPr>
              <w:t>رمي الاعتزال بالتشيّع</w:t>
            </w:r>
            <w:r>
              <w:rPr>
                <w:rStyle w:val="IndexLink"/>
                <w:rtl w:val="true"/>
              </w:rPr>
              <w:tab/>
            </w:r>
            <w:r>
              <w:rPr>
                <w:rStyle w:val="IndexLink"/>
              </w:rPr>
              <w:t>299</w:t>
            </w:r>
          </w:hyperlink>
        </w:p>
        <w:p>
          <w:pPr>
            <w:pStyle w:val="Contents3"/>
            <w:tabs>
              <w:tab w:val="clear" w:pos="8459"/>
              <w:tab w:val="right" w:pos="9026" w:leader="dot"/>
            </w:tabs>
            <w:rPr/>
          </w:pPr>
          <w:hyperlink w:anchor="__RefHeading___Toc3907579_73709187">
            <w:r>
              <w:rPr>
                <w:webHidden/>
                <w:rStyle w:val="IndexLink"/>
                <w:rtl w:val="true"/>
              </w:rPr>
              <w:t>الفصل الرابع</w:t>
            </w:r>
            <w:r>
              <w:rPr>
                <w:rStyle w:val="IndexLink"/>
                <w:rtl w:val="true"/>
              </w:rPr>
              <w:t xml:space="preserve">: </w:t>
            </w:r>
            <w:r>
              <w:rPr>
                <w:rStyle w:val="IndexLink"/>
                <w:rtl w:val="true"/>
              </w:rPr>
              <w:t>أئمّة المعتزلة</w:t>
            </w:r>
            <w:r>
              <w:rPr>
                <w:rStyle w:val="IndexLink"/>
                <w:rtl w:val="true"/>
              </w:rPr>
              <w:tab/>
            </w:r>
            <w:r>
              <w:rPr>
                <w:rStyle w:val="IndexLink"/>
              </w:rPr>
              <w:t>302</w:t>
            </w:r>
          </w:hyperlink>
        </w:p>
        <w:p>
          <w:pPr>
            <w:pStyle w:val="Contents4"/>
            <w:tabs>
              <w:tab w:val="clear" w:pos="8176"/>
              <w:tab w:val="right" w:pos="9026" w:leader="dot"/>
            </w:tabs>
            <w:rPr/>
          </w:pPr>
          <w:hyperlink w:anchor="__RefHeading___Toc3907581_73709187">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3907583_73709187">
            <w:r>
              <w:rPr>
                <w:webHidden/>
                <w:rStyle w:val="IndexLink"/>
              </w:rPr>
              <w:t>1</w:t>
            </w:r>
            <w:r>
              <w:rPr>
                <w:rStyle w:val="IndexLink"/>
                <w:rtl w:val="true"/>
              </w:rPr>
              <w:t xml:space="preserve"> - </w:t>
            </w:r>
            <w:r>
              <w:rPr>
                <w:rStyle w:val="IndexLink"/>
                <w:rtl w:val="true"/>
              </w:rPr>
              <w:t xml:space="preserve">واصل بن عطاء </w:t>
            </w:r>
            <w:r>
              <w:rPr>
                <w:rStyle w:val="IndexLink"/>
                <w:rtl w:val="true"/>
              </w:rPr>
              <w:t>(</w:t>
            </w:r>
            <w:r>
              <w:rPr>
                <w:rStyle w:val="IndexLink"/>
              </w:rPr>
              <w:t>80</w:t>
            </w:r>
            <w:r>
              <w:rPr>
                <w:rStyle w:val="IndexLink"/>
                <w:rtl w:val="true"/>
              </w:rPr>
              <w:t>-</w:t>
            </w:r>
            <w:r>
              <w:rPr>
                <w:rStyle w:val="IndexLink"/>
              </w:rPr>
              <w:t>131</w:t>
            </w:r>
            <w:r>
              <w:rPr>
                <w:rStyle w:val="IndexLink"/>
                <w:rtl w:val="true"/>
              </w:rPr>
              <w:t xml:space="preserve"> </w:t>
            </w:r>
            <w:r>
              <w:rPr>
                <w:rStyle w:val="IndexLink"/>
                <w:rtl w:val="true"/>
              </w:rPr>
              <w:t>ه</w:t>
            </w:r>
            <w:r>
              <w:rPr>
                <w:rStyle w:val="IndexLink"/>
                <w:rtl w:val="true"/>
              </w:rPr>
              <w:t>)</w:t>
              <w:tab/>
            </w:r>
            <w:r>
              <w:rPr>
                <w:rStyle w:val="IndexLink"/>
              </w:rPr>
              <w:t>306</w:t>
            </w:r>
          </w:hyperlink>
        </w:p>
        <w:p>
          <w:pPr>
            <w:pStyle w:val="Contents5"/>
            <w:tabs>
              <w:tab w:val="clear" w:pos="7892"/>
              <w:tab w:val="right" w:pos="9026" w:leader="dot"/>
            </w:tabs>
            <w:rPr/>
          </w:pPr>
          <w:hyperlink w:anchor="__RefHeading___Toc3907585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3907587_73709187">
            <w:r>
              <w:rPr>
                <w:webHidden/>
                <w:rStyle w:val="IndexLink"/>
                <w:rtl w:val="true"/>
              </w:rPr>
              <w:t>بثّ الدعاة في البلاد</w:t>
            </w:r>
            <w:r>
              <w:rPr>
                <w:rStyle w:val="IndexLink"/>
                <w:rtl w:val="true"/>
              </w:rPr>
              <w:tab/>
            </w:r>
            <w:r>
              <w:rPr>
                <w:rStyle w:val="IndexLink"/>
              </w:rPr>
              <w:t>308</w:t>
            </w:r>
          </w:hyperlink>
        </w:p>
        <w:p>
          <w:pPr>
            <w:pStyle w:val="Contents5"/>
            <w:tabs>
              <w:tab w:val="clear" w:pos="7892"/>
              <w:tab w:val="right" w:pos="9026" w:leader="dot"/>
            </w:tabs>
            <w:rPr/>
          </w:pPr>
          <w:hyperlink w:anchor="__RefHeading___Toc3907589_73709187">
            <w:r>
              <w:rPr>
                <w:webHidden/>
                <w:rStyle w:val="IndexLink"/>
                <w:rtl w:val="true"/>
              </w:rPr>
              <w:t xml:space="preserve">يقول صاحب كتاب </w:t>
            </w:r>
            <w:r>
              <w:rPr>
                <w:rStyle w:val="IndexLink"/>
                <w:rtl w:val="true"/>
              </w:rPr>
              <w:t>«</w:t>
            </w:r>
            <w:r>
              <w:rPr>
                <w:rStyle w:val="IndexLink"/>
                <w:rtl w:val="true"/>
              </w:rPr>
              <w:t>المعتزلة</w:t>
            </w:r>
            <w:r>
              <w:rPr>
                <w:rStyle w:val="IndexLink"/>
                <w:rtl w:val="true"/>
              </w:rPr>
              <w:t>»:</w:t>
              <w:tab/>
            </w:r>
            <w:r>
              <w:rPr>
                <w:rStyle w:val="IndexLink"/>
              </w:rPr>
              <w:t>309</w:t>
            </w:r>
          </w:hyperlink>
        </w:p>
        <w:p>
          <w:pPr>
            <w:pStyle w:val="Contents5"/>
            <w:tabs>
              <w:tab w:val="clear" w:pos="7892"/>
              <w:tab w:val="right" w:pos="9026" w:leader="dot"/>
            </w:tabs>
            <w:rPr/>
          </w:pPr>
          <w:hyperlink w:anchor="__RefHeading___Toc3907591_73709187">
            <w:r>
              <w:rPr>
                <w:webHidden/>
                <w:rStyle w:val="IndexLink"/>
                <w:rtl w:val="true"/>
              </w:rPr>
              <w:t>من آرائه و مناظراته</w:t>
            </w:r>
            <w:r>
              <w:rPr>
                <w:rStyle w:val="IndexLink"/>
                <w:rtl w:val="true"/>
              </w:rPr>
              <w:tab/>
            </w:r>
            <w:r>
              <w:rPr>
                <w:rStyle w:val="IndexLink"/>
              </w:rPr>
              <w:t>310</w:t>
            </w:r>
          </w:hyperlink>
        </w:p>
        <w:p>
          <w:pPr>
            <w:pStyle w:val="Contents6"/>
            <w:tabs>
              <w:tab w:val="clear" w:pos="7609"/>
              <w:tab w:val="right" w:pos="9026" w:leader="dot"/>
            </w:tabs>
            <w:rPr/>
          </w:pPr>
          <w:hyperlink w:anchor="__RefHeading___Toc3907593_73709187">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3907595_73709187">
            <w:r>
              <w:rPr>
                <w:webHidden/>
                <w:rStyle w:val="IndexLink"/>
              </w:rPr>
              <w:t>1</w:t>
            </w:r>
            <w:r>
              <w:rPr>
                <w:rStyle w:val="IndexLink"/>
                <w:rtl w:val="true"/>
              </w:rPr>
              <w:t xml:space="preserve"> - </w:t>
            </w:r>
            <w:r>
              <w:rPr>
                <w:rStyle w:val="IndexLink"/>
                <w:rtl w:val="true"/>
              </w:rPr>
              <w:t>رأيه في مرتكب الكبيرة</w:t>
            </w:r>
            <w:r>
              <w:rPr>
                <w:rStyle w:val="IndexLink"/>
                <w:rtl w:val="true"/>
              </w:rPr>
              <w:tab/>
            </w:r>
            <w:r>
              <w:rPr>
                <w:rStyle w:val="IndexLink"/>
              </w:rPr>
              <w:t>310</w:t>
            </w:r>
          </w:hyperlink>
        </w:p>
        <w:p>
          <w:pPr>
            <w:pStyle w:val="Contents6"/>
            <w:tabs>
              <w:tab w:val="clear" w:pos="7609"/>
              <w:tab w:val="right" w:pos="9026" w:leader="dot"/>
            </w:tabs>
            <w:rPr/>
          </w:pPr>
          <w:hyperlink w:anchor="__RefHeading___Toc3907597_73709187">
            <w:r>
              <w:rPr>
                <w:webHidden/>
                <w:rStyle w:val="IndexLink"/>
              </w:rPr>
              <w:t>2</w:t>
            </w:r>
            <w:r>
              <w:rPr>
                <w:rStyle w:val="IndexLink"/>
                <w:rtl w:val="true"/>
              </w:rPr>
              <w:t xml:space="preserve"> - </w:t>
            </w:r>
            <w:r>
              <w:rPr>
                <w:rStyle w:val="IndexLink"/>
                <w:rtl w:val="true"/>
              </w:rPr>
              <w:t>مناظرته مع عمرو في مرتكب الكبيرة</w:t>
            </w:r>
            <w:r>
              <w:rPr>
                <w:rStyle w:val="IndexLink"/>
                <w:rtl w:val="true"/>
              </w:rPr>
              <w:tab/>
            </w:r>
            <w:r>
              <w:rPr>
                <w:rStyle w:val="IndexLink"/>
              </w:rPr>
              <w:t>312</w:t>
            </w:r>
          </w:hyperlink>
        </w:p>
        <w:p>
          <w:pPr>
            <w:pStyle w:val="Contents6"/>
            <w:tabs>
              <w:tab w:val="clear" w:pos="7609"/>
              <w:tab w:val="right" w:pos="9026" w:leader="dot"/>
            </w:tabs>
            <w:rPr/>
          </w:pPr>
          <w:hyperlink w:anchor="__RefHeading___Toc3907599_73709187">
            <w:r>
              <w:rPr>
                <w:webHidden/>
                <w:rStyle w:val="IndexLink"/>
              </w:rPr>
              <w:t>3</w:t>
            </w:r>
            <w:r>
              <w:rPr>
                <w:rStyle w:val="IndexLink"/>
                <w:rtl w:val="true"/>
              </w:rPr>
              <w:t xml:space="preserve"> - </w:t>
            </w:r>
            <w:r>
              <w:rPr>
                <w:rStyle w:val="IndexLink"/>
                <w:rtl w:val="true"/>
              </w:rPr>
              <w:t>من لطائف تفسيره للقرآن</w:t>
            </w:r>
            <w:r>
              <w:rPr>
                <w:rStyle w:val="IndexLink"/>
                <w:rtl w:val="true"/>
              </w:rPr>
              <w:tab/>
            </w:r>
            <w:r>
              <w:rPr>
                <w:rStyle w:val="IndexLink"/>
              </w:rPr>
              <w:t>314</w:t>
            </w:r>
          </w:hyperlink>
        </w:p>
        <w:p>
          <w:pPr>
            <w:pStyle w:val="Contents6"/>
            <w:tabs>
              <w:tab w:val="clear" w:pos="7609"/>
              <w:tab w:val="right" w:pos="9026" w:leader="dot"/>
            </w:tabs>
            <w:rPr/>
          </w:pPr>
          <w:hyperlink w:anchor="__RefHeading___Toc3907601_73709187">
            <w:r>
              <w:rPr>
                <w:webHidden/>
                <w:rStyle w:val="IndexLink"/>
              </w:rPr>
              <w:t>4</w:t>
            </w:r>
            <w:r>
              <w:rPr>
                <w:rStyle w:val="IndexLink"/>
                <w:rtl w:val="true"/>
              </w:rPr>
              <w:t xml:space="preserve"> - </w:t>
            </w:r>
            <w:r>
              <w:rPr>
                <w:rStyle w:val="IndexLink"/>
                <w:rtl w:val="true"/>
              </w:rPr>
              <w:t>من نوادر حكاياته</w:t>
            </w:r>
            <w:r>
              <w:rPr>
                <w:rStyle w:val="IndexLink"/>
                <w:rtl w:val="true"/>
              </w:rPr>
              <w:tab/>
            </w:r>
            <w:r>
              <w:rPr>
                <w:rStyle w:val="IndexLink"/>
              </w:rPr>
              <w:t>315</w:t>
            </w:r>
          </w:hyperlink>
        </w:p>
        <w:p>
          <w:pPr>
            <w:pStyle w:val="Contents6"/>
            <w:tabs>
              <w:tab w:val="clear" w:pos="7609"/>
              <w:tab w:val="right" w:pos="9026" w:leader="dot"/>
            </w:tabs>
            <w:rPr/>
          </w:pPr>
          <w:hyperlink w:anchor="__RefHeading___Toc3907603_73709187">
            <w:r>
              <w:rPr>
                <w:webHidden/>
                <w:rStyle w:val="IndexLink"/>
              </w:rPr>
              <w:t>5</w:t>
            </w:r>
            <w:r>
              <w:rPr>
                <w:rStyle w:val="IndexLink"/>
                <w:rtl w:val="true"/>
              </w:rPr>
              <w:t xml:space="preserve"> - </w:t>
            </w:r>
            <w:r>
              <w:rPr>
                <w:rStyle w:val="IndexLink"/>
                <w:rtl w:val="true"/>
              </w:rPr>
              <w:t>تهجّده و لقبه بالغزّال</w:t>
            </w:r>
            <w:r>
              <w:rPr>
                <w:rStyle w:val="IndexLink"/>
                <w:rtl w:val="true"/>
              </w:rPr>
              <w:tab/>
            </w:r>
            <w:r>
              <w:rPr>
                <w:rStyle w:val="IndexLink"/>
              </w:rPr>
              <w:t>315</w:t>
            </w:r>
          </w:hyperlink>
        </w:p>
        <w:p>
          <w:pPr>
            <w:pStyle w:val="Contents5"/>
            <w:tabs>
              <w:tab w:val="clear" w:pos="7892"/>
              <w:tab w:val="right" w:pos="9026" w:leader="dot"/>
            </w:tabs>
            <w:rPr/>
          </w:pPr>
          <w:hyperlink w:anchor="__RefHeading___Toc3907605_73709187">
            <w:r>
              <w:rPr>
                <w:webHidden/>
                <w:rStyle w:val="IndexLink"/>
                <w:rtl w:val="true"/>
              </w:rPr>
              <w:t>مؤلّفاته</w:t>
            </w:r>
            <w:r>
              <w:rPr>
                <w:rStyle w:val="IndexLink"/>
                <w:rtl w:val="true"/>
              </w:rPr>
              <w:tab/>
            </w:r>
            <w:r>
              <w:rPr>
                <w:rStyle w:val="IndexLink"/>
              </w:rPr>
              <w:t>316</w:t>
            </w:r>
          </w:hyperlink>
        </w:p>
        <w:p>
          <w:pPr>
            <w:pStyle w:val="Contents5"/>
            <w:tabs>
              <w:tab w:val="clear" w:pos="7892"/>
              <w:tab w:val="right" w:pos="9026" w:leader="dot"/>
            </w:tabs>
            <w:rPr/>
          </w:pPr>
          <w:hyperlink w:anchor="__RefHeading___Toc3907607_73709187">
            <w:r>
              <w:rPr>
                <w:webHidden/>
                <w:rStyle w:val="IndexLink"/>
                <w:rtl w:val="true"/>
              </w:rPr>
              <w:t>القواعد الأربع لواصل بن عطاء</w:t>
            </w:r>
            <w:r>
              <w:rPr>
                <w:rStyle w:val="IndexLink"/>
                <w:rtl w:val="true"/>
              </w:rPr>
              <w:tab/>
            </w:r>
            <w:r>
              <w:rPr>
                <w:rStyle w:val="IndexLink"/>
              </w:rPr>
              <w:t>317</w:t>
            </w:r>
          </w:hyperlink>
        </w:p>
        <w:p>
          <w:pPr>
            <w:pStyle w:val="Contents5"/>
            <w:tabs>
              <w:tab w:val="clear" w:pos="7892"/>
              <w:tab w:val="right" w:pos="9026" w:leader="dot"/>
            </w:tabs>
            <w:rPr/>
          </w:pPr>
          <w:hyperlink w:anchor="__RefHeading___Toc3907609_73709187">
            <w:r>
              <w:rPr>
                <w:webHidden/>
                <w:rStyle w:val="IndexLink"/>
                <w:rtl w:val="true"/>
              </w:rPr>
              <w:t>نقد النظرية</w:t>
            </w:r>
            <w:r>
              <w:rPr>
                <w:rStyle w:val="IndexLink"/>
                <w:rtl w:val="true"/>
              </w:rPr>
              <w:tab/>
            </w:r>
            <w:r>
              <w:rPr>
                <w:rStyle w:val="IndexLink"/>
              </w:rPr>
              <w:t>321</w:t>
            </w:r>
          </w:hyperlink>
        </w:p>
        <w:p>
          <w:pPr>
            <w:pStyle w:val="Contents4"/>
            <w:tabs>
              <w:tab w:val="clear" w:pos="8176"/>
              <w:tab w:val="right" w:pos="9026" w:leader="dot"/>
            </w:tabs>
            <w:rPr/>
          </w:pPr>
          <w:hyperlink w:anchor="__RefHeading___Toc3907611_73709187">
            <w:r>
              <w:rPr>
                <w:webHidden/>
                <w:rStyle w:val="IndexLink"/>
              </w:rPr>
              <w:t>2</w:t>
            </w:r>
            <w:r>
              <w:rPr>
                <w:rStyle w:val="IndexLink"/>
                <w:rtl w:val="true"/>
              </w:rPr>
              <w:t xml:space="preserve"> - </w:t>
            </w:r>
            <w:r>
              <w:rPr>
                <w:rStyle w:val="IndexLink"/>
                <w:rtl w:val="true"/>
              </w:rPr>
              <w:t xml:space="preserve">عمرو بن عبيد </w:t>
            </w:r>
            <w:r>
              <w:rPr>
                <w:rStyle w:val="IndexLink"/>
                <w:rtl w:val="true"/>
              </w:rPr>
              <w:t>(</w:t>
            </w:r>
            <w:r>
              <w:rPr>
                <w:rStyle w:val="IndexLink"/>
              </w:rPr>
              <w:t>80</w:t>
            </w:r>
            <w:r>
              <w:rPr>
                <w:rStyle w:val="IndexLink"/>
                <w:rtl w:val="true"/>
              </w:rPr>
              <w:t>-</w:t>
            </w:r>
            <w:r>
              <w:rPr>
                <w:rStyle w:val="IndexLink"/>
              </w:rPr>
              <w:t>143</w:t>
            </w:r>
            <w:r>
              <w:rPr>
                <w:rStyle w:val="IndexLink"/>
                <w:rtl w:val="true"/>
              </w:rPr>
              <w:t xml:space="preserve"> </w:t>
            </w:r>
            <w:r>
              <w:rPr>
                <w:rStyle w:val="IndexLink"/>
                <w:rtl w:val="true"/>
              </w:rPr>
              <w:t>ه</w:t>
            </w:r>
            <w:r>
              <w:rPr>
                <w:rStyle w:val="IndexLink"/>
                <w:rtl w:val="true"/>
              </w:rPr>
              <w:t>)</w:t>
              <w:tab/>
            </w:r>
            <w:r>
              <w:rPr>
                <w:rStyle w:val="IndexLink"/>
              </w:rPr>
              <w:t>323</w:t>
            </w:r>
          </w:hyperlink>
        </w:p>
        <w:p>
          <w:pPr>
            <w:pStyle w:val="Contents5"/>
            <w:tabs>
              <w:tab w:val="clear" w:pos="7892"/>
              <w:tab w:val="right" w:pos="9026" w:leader="dot"/>
            </w:tabs>
            <w:rPr/>
          </w:pPr>
          <w:hyperlink w:anchor="__RefHeading___Toc3907613_7370918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907615_73709187">
            <w:r>
              <w:rPr>
                <w:webHidden/>
                <w:rStyle w:val="IndexLink"/>
                <w:rtl w:val="true"/>
              </w:rPr>
              <w:t>ما اثر عنه في مجالي التفسير و العقيدة</w:t>
            </w:r>
            <w:r>
              <w:rPr>
                <w:rStyle w:val="IndexLink"/>
                <w:rtl w:val="true"/>
              </w:rPr>
              <w:tab/>
            </w:r>
            <w:r>
              <w:rPr>
                <w:rStyle w:val="IndexLink"/>
              </w:rPr>
              <w:t>324</w:t>
            </w:r>
          </w:hyperlink>
        </w:p>
        <w:p>
          <w:pPr>
            <w:pStyle w:val="Contents5"/>
            <w:tabs>
              <w:tab w:val="clear" w:pos="7892"/>
              <w:tab w:val="right" w:pos="9026" w:leader="dot"/>
            </w:tabs>
            <w:rPr/>
          </w:pPr>
          <w:hyperlink w:anchor="__RefHeading___Toc3907617_73709187">
            <w:r>
              <w:rPr>
                <w:webHidden/>
                <w:rStyle w:val="IndexLink"/>
                <w:rtl w:val="true"/>
              </w:rPr>
              <w:t>وفود عمرو على الإمام الباقر عليه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3907619_73709187">
            <w:r>
              <w:rPr>
                <w:webHidden/>
                <w:rStyle w:val="IndexLink"/>
                <w:rtl w:val="true"/>
              </w:rPr>
              <w:t>وفود عمرو على الإمام الصادق عليه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3907621_73709187">
            <w:r>
              <w:rPr>
                <w:webHidden/>
                <w:rStyle w:val="IndexLink"/>
              </w:rPr>
              <w:t>3</w:t>
            </w:r>
            <w:r>
              <w:rPr>
                <w:rStyle w:val="IndexLink"/>
                <w:rtl w:val="true"/>
              </w:rPr>
              <w:t xml:space="preserve"> - </w:t>
            </w:r>
            <w:r>
              <w:rPr>
                <w:rStyle w:val="IndexLink"/>
                <w:rtl w:val="true"/>
              </w:rPr>
              <w:t xml:space="preserve">أبو الهذيل العلّاف </w:t>
            </w:r>
            <w:r>
              <w:rPr>
                <w:rStyle w:val="IndexLink"/>
                <w:rtl w:val="true"/>
              </w:rPr>
              <w:t>(</w:t>
            </w:r>
            <w:r>
              <w:rPr>
                <w:rStyle w:val="IndexLink"/>
              </w:rPr>
              <w:t>135</w:t>
            </w:r>
            <w:r>
              <w:rPr>
                <w:rStyle w:val="IndexLink"/>
                <w:rtl w:val="true"/>
              </w:rPr>
              <w:t>-</w:t>
            </w:r>
            <w:r>
              <w:rPr>
                <w:rStyle w:val="IndexLink"/>
              </w:rPr>
              <w:t>235</w:t>
            </w:r>
            <w:r>
              <w:rPr>
                <w:rStyle w:val="IndexLink"/>
                <w:rtl w:val="true"/>
              </w:rPr>
              <w:t xml:space="preserve"> </w:t>
            </w:r>
            <w:r>
              <w:rPr>
                <w:rStyle w:val="IndexLink"/>
                <w:rtl w:val="true"/>
              </w:rPr>
              <w:t>ه</w:t>
            </w:r>
            <w:r>
              <w:rPr>
                <w:rStyle w:val="IndexLink"/>
                <w:rtl w:val="true"/>
              </w:rPr>
              <w:t>)</w:t>
              <w:tab/>
            </w:r>
            <w:r>
              <w:rPr>
                <w:rStyle w:val="IndexLink"/>
              </w:rPr>
              <w:t>333</w:t>
            </w:r>
          </w:hyperlink>
        </w:p>
        <w:p>
          <w:pPr>
            <w:pStyle w:val="Contents5"/>
            <w:tabs>
              <w:tab w:val="clear" w:pos="7892"/>
              <w:tab w:val="right" w:pos="9026" w:leader="dot"/>
            </w:tabs>
            <w:rPr/>
          </w:pPr>
          <w:hyperlink w:anchor="__RefHeading___Toc3907623_7370918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3907625_73709187">
            <w:r>
              <w:rPr>
                <w:webHidden/>
                <w:rStyle w:val="IndexLink"/>
                <w:rtl w:val="true"/>
              </w:rPr>
              <w:t>تآليفه</w:t>
            </w:r>
            <w:r>
              <w:rPr>
                <w:rStyle w:val="IndexLink"/>
                <w:rtl w:val="true"/>
              </w:rPr>
              <w:tab/>
            </w:r>
            <w:r>
              <w:rPr>
                <w:rStyle w:val="IndexLink"/>
              </w:rPr>
              <w:t>338</w:t>
            </w:r>
          </w:hyperlink>
        </w:p>
        <w:p>
          <w:pPr>
            <w:pStyle w:val="Contents5"/>
            <w:tabs>
              <w:tab w:val="clear" w:pos="7892"/>
              <w:tab w:val="right" w:pos="9026" w:leader="dot"/>
            </w:tabs>
            <w:rPr/>
          </w:pPr>
          <w:hyperlink w:anchor="__RefHeading___Toc3907627_73709187">
            <w:r>
              <w:rPr>
                <w:webHidden/>
                <w:rStyle w:val="IndexLink"/>
                <w:rtl w:val="true"/>
              </w:rPr>
              <w:t>تشيّعه</w:t>
            </w:r>
            <w:r>
              <w:rPr>
                <w:rStyle w:val="IndexLink"/>
                <w:rtl w:val="true"/>
              </w:rPr>
              <w:tab/>
            </w:r>
            <w:r>
              <w:rPr>
                <w:rStyle w:val="IndexLink"/>
              </w:rPr>
              <w:t>339</w:t>
            </w:r>
          </w:hyperlink>
        </w:p>
        <w:p>
          <w:pPr>
            <w:pStyle w:val="Contents5"/>
            <w:tabs>
              <w:tab w:val="clear" w:pos="7892"/>
              <w:tab w:val="right" w:pos="9026" w:leader="dot"/>
            </w:tabs>
            <w:rPr/>
          </w:pPr>
          <w:hyperlink w:anchor="__RefHeading___Toc3907629_73709187">
            <w:r>
              <w:rPr>
                <w:webHidden/>
                <w:rStyle w:val="IndexLink"/>
                <w:rtl w:val="true"/>
              </w:rPr>
              <w:t>وفاته</w:t>
            </w:r>
            <w:r>
              <w:rPr>
                <w:rStyle w:val="IndexLink"/>
                <w:rtl w:val="true"/>
              </w:rPr>
              <w:tab/>
            </w:r>
            <w:r>
              <w:rPr>
                <w:rStyle w:val="IndexLink"/>
              </w:rPr>
              <w:t>340</w:t>
            </w:r>
          </w:hyperlink>
        </w:p>
        <w:p>
          <w:pPr>
            <w:pStyle w:val="Contents5"/>
            <w:tabs>
              <w:tab w:val="clear" w:pos="7892"/>
              <w:tab w:val="right" w:pos="9026" w:leader="dot"/>
            </w:tabs>
            <w:rPr/>
          </w:pPr>
          <w:hyperlink w:anchor="__RefHeading___Toc3907631_73709187">
            <w:r>
              <w:rPr>
                <w:webHidden/>
                <w:rStyle w:val="IndexLink"/>
                <w:rtl w:val="true"/>
              </w:rPr>
              <w:t>كلمة بذيئة</w:t>
            </w:r>
            <w:r>
              <w:rPr>
                <w:rStyle w:val="IndexLink"/>
                <w:rtl w:val="true"/>
              </w:rPr>
              <w:tab/>
            </w:r>
            <w:r>
              <w:rPr>
                <w:rStyle w:val="IndexLink"/>
              </w:rPr>
              <w:t>341</w:t>
            </w:r>
          </w:hyperlink>
        </w:p>
        <w:p>
          <w:pPr>
            <w:pStyle w:val="Contents4"/>
            <w:tabs>
              <w:tab w:val="clear" w:pos="8176"/>
              <w:tab w:val="right" w:pos="9026" w:leader="dot"/>
            </w:tabs>
            <w:rPr/>
          </w:pPr>
          <w:hyperlink w:anchor="__RefHeading___Toc3907633_73709187">
            <w:r>
              <w:rPr>
                <w:webHidden/>
                <w:rStyle w:val="IndexLink"/>
              </w:rPr>
              <w:t>4</w:t>
            </w:r>
            <w:r>
              <w:rPr>
                <w:rStyle w:val="IndexLink"/>
                <w:rtl w:val="true"/>
              </w:rPr>
              <w:t xml:space="preserve"> - </w:t>
            </w:r>
            <w:r>
              <w:rPr>
                <w:rStyle w:val="IndexLink"/>
                <w:rtl w:val="true"/>
              </w:rPr>
              <w:t xml:space="preserve">النظّام </w:t>
            </w:r>
            <w:r>
              <w:rPr>
                <w:rStyle w:val="IndexLink"/>
                <w:rtl w:val="true"/>
              </w:rPr>
              <w:t>(</w:t>
            </w:r>
            <w:r>
              <w:rPr>
                <w:rStyle w:val="IndexLink"/>
              </w:rPr>
              <w:t>160</w:t>
            </w:r>
            <w:r>
              <w:rPr>
                <w:rStyle w:val="IndexLink"/>
                <w:rtl w:val="true"/>
              </w:rPr>
              <w:t>-</w:t>
            </w:r>
            <w:r>
              <w:rPr>
                <w:rStyle w:val="IndexLink"/>
              </w:rPr>
              <w:t>231</w:t>
            </w:r>
            <w:r>
              <w:rPr>
                <w:rStyle w:val="IndexLink"/>
                <w:rtl w:val="true"/>
              </w:rPr>
              <w:t xml:space="preserve"> </w:t>
            </w:r>
            <w:r>
              <w:rPr>
                <w:rStyle w:val="IndexLink"/>
                <w:rtl w:val="true"/>
              </w:rPr>
              <w:t>ه</w:t>
            </w:r>
            <w:r>
              <w:rPr>
                <w:rStyle w:val="IndexLink"/>
                <w:rtl w:val="true"/>
              </w:rPr>
              <w:t>)</w:t>
              <w:tab/>
            </w:r>
            <w:r>
              <w:rPr>
                <w:rStyle w:val="IndexLink"/>
              </w:rPr>
              <w:t>342</w:t>
            </w:r>
          </w:hyperlink>
        </w:p>
        <w:p>
          <w:pPr>
            <w:pStyle w:val="Contents5"/>
            <w:tabs>
              <w:tab w:val="clear" w:pos="7892"/>
              <w:tab w:val="right" w:pos="9026" w:leader="dot"/>
            </w:tabs>
            <w:rPr/>
          </w:pPr>
          <w:hyperlink w:anchor="__RefHeading___Toc3907635_7370918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3907637_73709187">
            <w:r>
              <w:rPr>
                <w:webHidden/>
                <w:rStyle w:val="IndexLink"/>
                <w:rtl w:val="true"/>
              </w:rPr>
              <w:t>ذكاؤه المتوقّد</w:t>
            </w:r>
            <w:r>
              <w:rPr>
                <w:rStyle w:val="IndexLink"/>
                <w:rtl w:val="true"/>
              </w:rPr>
              <w:tab/>
            </w:r>
            <w:r>
              <w:rPr>
                <w:rStyle w:val="IndexLink"/>
              </w:rPr>
              <w:t>344</w:t>
            </w:r>
          </w:hyperlink>
        </w:p>
        <w:p>
          <w:pPr>
            <w:pStyle w:val="Contents5"/>
            <w:tabs>
              <w:tab w:val="clear" w:pos="7892"/>
              <w:tab w:val="right" w:pos="9026" w:leader="dot"/>
            </w:tabs>
            <w:rPr/>
          </w:pPr>
          <w:hyperlink w:anchor="__RefHeading___Toc3907639_73709187">
            <w:r>
              <w:rPr>
                <w:webHidden/>
                <w:rStyle w:val="IndexLink"/>
                <w:rtl w:val="true"/>
              </w:rPr>
              <w:t>النظّام و مذهب الصرفة في إعجاز القرآن</w:t>
            </w:r>
            <w:r>
              <w:rPr>
                <w:rStyle w:val="IndexLink"/>
                <w:rtl w:val="true"/>
              </w:rPr>
              <w:tab/>
            </w:r>
            <w:r>
              <w:rPr>
                <w:rStyle w:val="IndexLink"/>
              </w:rPr>
              <w:t>350</w:t>
            </w:r>
          </w:hyperlink>
        </w:p>
        <w:p>
          <w:pPr>
            <w:pStyle w:val="Contents5"/>
            <w:tabs>
              <w:tab w:val="clear" w:pos="7892"/>
              <w:tab w:val="right" w:pos="9026" w:leader="dot"/>
            </w:tabs>
            <w:rPr/>
          </w:pPr>
          <w:hyperlink w:anchor="__RefHeading___Toc3907641_73709187">
            <w:r>
              <w:rPr>
                <w:webHidden/>
                <w:rStyle w:val="IndexLink"/>
                <w:rtl w:val="true"/>
              </w:rPr>
              <w:t>مؤلّفاته</w:t>
            </w:r>
            <w:r>
              <w:rPr>
                <w:rStyle w:val="IndexLink"/>
                <w:rtl w:val="true"/>
              </w:rPr>
              <w:tab/>
            </w:r>
            <w:r>
              <w:rPr>
                <w:rStyle w:val="IndexLink"/>
              </w:rPr>
              <w:t>352</w:t>
            </w:r>
          </w:hyperlink>
        </w:p>
        <w:p>
          <w:pPr>
            <w:pStyle w:val="Contents4"/>
            <w:tabs>
              <w:tab w:val="clear" w:pos="8176"/>
              <w:tab w:val="right" w:pos="9026" w:leader="dot"/>
            </w:tabs>
            <w:rPr/>
          </w:pPr>
          <w:hyperlink w:anchor="__RefHeading___Toc3907643_73709187">
            <w:r>
              <w:rPr>
                <w:webHidden/>
                <w:rStyle w:val="IndexLink"/>
              </w:rPr>
              <w:t>5</w:t>
            </w:r>
            <w:r>
              <w:rPr>
                <w:rStyle w:val="IndexLink"/>
                <w:rtl w:val="true"/>
              </w:rPr>
              <w:t xml:space="preserve"> - </w:t>
            </w:r>
            <w:r>
              <w:rPr>
                <w:rStyle w:val="IndexLink"/>
                <w:rtl w:val="true"/>
              </w:rPr>
              <w:t xml:space="preserve">أبو علي محمّد بن عبد الوهّاب الجبّائي </w:t>
            </w:r>
            <w:r>
              <w:rPr>
                <w:rStyle w:val="IndexLink"/>
                <w:rtl w:val="true"/>
              </w:rPr>
              <w:t>(</w:t>
            </w:r>
            <w:r>
              <w:rPr>
                <w:rStyle w:val="IndexLink"/>
              </w:rPr>
              <w:t>235</w:t>
            </w:r>
            <w:r>
              <w:rPr>
                <w:rStyle w:val="IndexLink"/>
                <w:rtl w:val="true"/>
              </w:rPr>
              <w:t>-</w:t>
            </w:r>
            <w:r>
              <w:rPr>
                <w:rStyle w:val="IndexLink"/>
              </w:rPr>
              <w:t>303</w:t>
            </w:r>
            <w:r>
              <w:rPr>
                <w:rStyle w:val="IndexLink"/>
                <w:rtl w:val="true"/>
              </w:rPr>
              <w:t xml:space="preserve"> </w:t>
            </w:r>
            <w:r>
              <w:rPr>
                <w:rStyle w:val="IndexLink"/>
                <w:rtl w:val="true"/>
              </w:rPr>
              <w:t>ه</w:t>
            </w:r>
            <w:r>
              <w:rPr>
                <w:rStyle w:val="IndexLink"/>
                <w:rtl w:val="true"/>
              </w:rPr>
              <w:t>)</w:t>
              <w:tab/>
            </w:r>
            <w:r>
              <w:rPr>
                <w:rStyle w:val="IndexLink"/>
              </w:rPr>
              <w:t>353</w:t>
            </w:r>
          </w:hyperlink>
        </w:p>
        <w:p>
          <w:pPr>
            <w:pStyle w:val="Contents5"/>
            <w:tabs>
              <w:tab w:val="clear" w:pos="7892"/>
              <w:tab w:val="right" w:pos="9026" w:leader="dot"/>
            </w:tabs>
            <w:rPr/>
          </w:pPr>
          <w:hyperlink w:anchor="__RefHeading___Toc3907645_73709187">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3907647_73709187">
            <w:r>
              <w:rPr>
                <w:webHidden/>
                <w:rStyle w:val="IndexLink"/>
                <w:rtl w:val="true"/>
              </w:rPr>
              <w:t>مناظراته</w:t>
            </w:r>
            <w:r>
              <w:rPr>
                <w:rStyle w:val="IndexLink"/>
                <w:rtl w:val="true"/>
              </w:rPr>
              <w:tab/>
            </w:r>
            <w:r>
              <w:rPr>
                <w:rStyle w:val="IndexLink"/>
              </w:rPr>
              <w:t>355</w:t>
            </w:r>
          </w:hyperlink>
        </w:p>
        <w:p>
          <w:pPr>
            <w:pStyle w:val="Contents5"/>
            <w:tabs>
              <w:tab w:val="clear" w:pos="7892"/>
              <w:tab w:val="right" w:pos="9026" w:leader="dot"/>
            </w:tabs>
            <w:rPr/>
          </w:pPr>
          <w:hyperlink w:anchor="__RefHeading___Toc3907649_73709187">
            <w:r>
              <w:rPr>
                <w:webHidden/>
                <w:rStyle w:val="IndexLink"/>
                <w:rtl w:val="true"/>
              </w:rPr>
              <w:t>تأليفاته</w:t>
            </w:r>
            <w:r>
              <w:rPr>
                <w:rStyle w:val="IndexLink"/>
                <w:rtl w:val="true"/>
              </w:rPr>
              <w:tab/>
            </w:r>
            <w:r>
              <w:rPr>
                <w:rStyle w:val="IndexLink"/>
              </w:rPr>
              <w:t>357</w:t>
            </w:r>
          </w:hyperlink>
        </w:p>
        <w:p>
          <w:pPr>
            <w:pStyle w:val="Contents5"/>
            <w:tabs>
              <w:tab w:val="clear" w:pos="7892"/>
              <w:tab w:val="right" w:pos="9026" w:leader="dot"/>
            </w:tabs>
            <w:rPr/>
          </w:pPr>
          <w:hyperlink w:anchor="__RefHeading___Toc3907651_73709187">
            <w:r>
              <w:rPr>
                <w:webHidden/>
                <w:rStyle w:val="IndexLink"/>
                <w:rtl w:val="true"/>
              </w:rPr>
              <w:t>لمحة من أحواله</w:t>
            </w:r>
            <w:r>
              <w:rPr>
                <w:rStyle w:val="IndexLink"/>
                <w:rtl w:val="true"/>
              </w:rPr>
              <w:tab/>
            </w:r>
            <w:r>
              <w:rPr>
                <w:rStyle w:val="IndexLink"/>
              </w:rPr>
              <w:t>359</w:t>
            </w:r>
          </w:hyperlink>
        </w:p>
        <w:p>
          <w:pPr>
            <w:pStyle w:val="Contents4"/>
            <w:tabs>
              <w:tab w:val="clear" w:pos="8176"/>
              <w:tab w:val="right" w:pos="9026" w:leader="dot"/>
            </w:tabs>
            <w:rPr/>
          </w:pPr>
          <w:hyperlink w:anchor="__RefHeading___Toc3907653_73709187">
            <w:r>
              <w:rPr>
                <w:webHidden/>
                <w:rStyle w:val="IndexLink"/>
              </w:rPr>
              <w:t>6</w:t>
            </w:r>
            <w:r>
              <w:rPr>
                <w:rStyle w:val="IndexLink"/>
                <w:rtl w:val="true"/>
              </w:rPr>
              <w:t xml:space="preserve"> - </w:t>
            </w:r>
            <w:r>
              <w:rPr>
                <w:rStyle w:val="IndexLink"/>
                <w:rtl w:val="true"/>
              </w:rPr>
              <w:t xml:space="preserve">أبو هاشم الجبّائي </w:t>
            </w:r>
            <w:r>
              <w:rPr>
                <w:rStyle w:val="IndexLink"/>
                <w:rtl w:val="true"/>
              </w:rPr>
              <w:t>(</w:t>
            </w:r>
            <w:r>
              <w:rPr>
                <w:rStyle w:val="IndexLink"/>
              </w:rPr>
              <w:t>277</w:t>
            </w:r>
            <w:r>
              <w:rPr>
                <w:rStyle w:val="IndexLink"/>
                <w:rtl w:val="true"/>
              </w:rPr>
              <w:t>-</w:t>
            </w:r>
            <w:r>
              <w:rPr>
                <w:rStyle w:val="IndexLink"/>
              </w:rPr>
              <w:t>321</w:t>
            </w:r>
            <w:r>
              <w:rPr>
                <w:rStyle w:val="IndexLink"/>
                <w:rtl w:val="true"/>
              </w:rPr>
              <w:t xml:space="preserve"> </w:t>
            </w:r>
            <w:r>
              <w:rPr>
                <w:rStyle w:val="IndexLink"/>
                <w:rtl w:val="true"/>
              </w:rPr>
              <w:t>ه</w:t>
            </w:r>
            <w:r>
              <w:rPr>
                <w:rStyle w:val="IndexLink"/>
                <w:rtl w:val="true"/>
              </w:rPr>
              <w:t>)</w:t>
              <w:tab/>
            </w:r>
            <w:r>
              <w:rPr>
                <w:rStyle w:val="IndexLink"/>
              </w:rPr>
              <w:t>360</w:t>
            </w:r>
          </w:hyperlink>
        </w:p>
        <w:p>
          <w:pPr>
            <w:pStyle w:val="Contents5"/>
            <w:tabs>
              <w:tab w:val="clear" w:pos="7892"/>
              <w:tab w:val="right" w:pos="9026" w:leader="dot"/>
            </w:tabs>
            <w:rPr/>
          </w:pPr>
          <w:hyperlink w:anchor="__RefHeading___Toc3907655_73709187">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3907657_73709187">
            <w:r>
              <w:rPr>
                <w:webHidden/>
                <w:rStyle w:val="IndexLink"/>
                <w:rtl w:val="true"/>
              </w:rPr>
              <w:t>تأليفاته</w:t>
            </w:r>
            <w:r>
              <w:rPr>
                <w:rStyle w:val="IndexLink"/>
                <w:rtl w:val="true"/>
              </w:rPr>
              <w:tab/>
            </w:r>
            <w:r>
              <w:rPr>
                <w:rStyle w:val="IndexLink"/>
              </w:rPr>
              <w:t>362</w:t>
            </w:r>
          </w:hyperlink>
        </w:p>
        <w:p>
          <w:pPr>
            <w:pStyle w:val="Contents5"/>
            <w:tabs>
              <w:tab w:val="clear" w:pos="7892"/>
              <w:tab w:val="right" w:pos="9026" w:leader="dot"/>
            </w:tabs>
            <w:rPr/>
          </w:pPr>
          <w:hyperlink w:anchor="__RefHeading___Toc3907659_73709187">
            <w:r>
              <w:rPr>
                <w:webHidden/>
                <w:rStyle w:val="IndexLink"/>
                <w:rtl w:val="true"/>
              </w:rPr>
              <w:t>انتشار مذهبه</w:t>
            </w:r>
            <w:r>
              <w:rPr>
                <w:rStyle w:val="IndexLink"/>
                <w:rtl w:val="true"/>
              </w:rPr>
              <w:tab/>
            </w:r>
            <w:r>
              <w:rPr>
                <w:rStyle w:val="IndexLink"/>
              </w:rPr>
              <w:t>363</w:t>
            </w:r>
          </w:hyperlink>
        </w:p>
        <w:p>
          <w:pPr>
            <w:pStyle w:val="Contents5"/>
            <w:tabs>
              <w:tab w:val="clear" w:pos="7892"/>
              <w:tab w:val="right" w:pos="9026" w:leader="dot"/>
            </w:tabs>
            <w:rPr/>
          </w:pPr>
          <w:hyperlink w:anchor="__RefHeading___Toc3907661_73709187">
            <w:r>
              <w:rPr>
                <w:webHidden/>
                <w:rStyle w:val="IndexLink"/>
                <w:rtl w:val="true"/>
              </w:rPr>
              <w:t>تلاميذه</w:t>
            </w:r>
            <w:r>
              <w:rPr>
                <w:rStyle w:val="IndexLink"/>
                <w:rtl w:val="true"/>
              </w:rPr>
              <w:tab/>
            </w:r>
            <w:r>
              <w:rPr>
                <w:rStyle w:val="IndexLink"/>
              </w:rPr>
              <w:t>364</w:t>
            </w:r>
          </w:hyperlink>
        </w:p>
        <w:p>
          <w:pPr>
            <w:pStyle w:val="Contents4"/>
            <w:tabs>
              <w:tab w:val="clear" w:pos="8176"/>
              <w:tab w:val="right" w:pos="9026" w:leader="dot"/>
            </w:tabs>
            <w:rPr/>
          </w:pPr>
          <w:hyperlink w:anchor="__RefHeading___Toc3907663_73709187">
            <w:r>
              <w:rPr>
                <w:webHidden/>
                <w:rStyle w:val="IndexLink"/>
              </w:rPr>
              <w:t>7</w:t>
            </w:r>
            <w:r>
              <w:rPr>
                <w:rStyle w:val="IndexLink"/>
                <w:rtl w:val="true"/>
              </w:rPr>
              <w:t xml:space="preserve"> - </w:t>
            </w:r>
            <w:r>
              <w:rPr>
                <w:rStyle w:val="IndexLink"/>
                <w:rtl w:val="true"/>
              </w:rPr>
              <w:t xml:space="preserve">قاضي القضاة عبد الجبّار </w:t>
            </w:r>
            <w:r>
              <w:rPr>
                <w:rStyle w:val="IndexLink"/>
                <w:rtl w:val="true"/>
              </w:rPr>
              <w:t>(</w:t>
            </w:r>
            <w:r>
              <w:rPr>
                <w:rStyle w:val="IndexLink"/>
                <w:rtl w:val="true"/>
              </w:rPr>
              <w:t xml:space="preserve">ت نحو </w:t>
            </w:r>
            <w:r>
              <w:rPr>
                <w:rStyle w:val="IndexLink"/>
              </w:rPr>
              <w:t>324</w:t>
            </w:r>
            <w:r>
              <w:rPr>
                <w:rStyle w:val="IndexLink"/>
                <w:rtl w:val="true"/>
              </w:rPr>
              <w:t xml:space="preserve"> - </w:t>
            </w:r>
            <w:r>
              <w:rPr>
                <w:rStyle w:val="IndexLink"/>
                <w:rtl w:val="true"/>
              </w:rPr>
              <w:t xml:space="preserve">م </w:t>
            </w:r>
            <w:r>
              <w:rPr>
                <w:rStyle w:val="IndexLink"/>
              </w:rPr>
              <w:t>415</w:t>
            </w:r>
            <w:r>
              <w:rPr>
                <w:rStyle w:val="IndexLink"/>
                <w:rtl w:val="true"/>
              </w:rPr>
              <w:t xml:space="preserve"> </w:t>
            </w:r>
            <w:r>
              <w:rPr>
                <w:rStyle w:val="IndexLink"/>
                <w:rtl w:val="true"/>
              </w:rPr>
              <w:t xml:space="preserve">أو </w:t>
            </w:r>
            <w:r>
              <w:rPr>
                <w:rStyle w:val="IndexLink"/>
              </w:rPr>
              <w:t>416</w:t>
            </w:r>
            <w:r>
              <w:rPr>
                <w:rStyle w:val="IndexLink"/>
                <w:rtl w:val="true"/>
              </w:rPr>
              <w:t xml:space="preserve"> </w:t>
            </w:r>
            <w:r>
              <w:rPr>
                <w:rStyle w:val="IndexLink"/>
                <w:rtl w:val="true"/>
              </w:rPr>
              <w:t>ه</w:t>
            </w:r>
            <w:r>
              <w:rPr>
                <w:rStyle w:val="IndexLink"/>
                <w:rtl w:val="true"/>
              </w:rPr>
              <w:t>)</w:t>
              <w:tab/>
            </w:r>
            <w:r>
              <w:rPr>
                <w:rStyle w:val="IndexLink"/>
              </w:rPr>
              <w:t>364</w:t>
            </w:r>
          </w:hyperlink>
        </w:p>
        <w:p>
          <w:pPr>
            <w:pStyle w:val="Contents5"/>
            <w:tabs>
              <w:tab w:val="clear" w:pos="7892"/>
              <w:tab w:val="right" w:pos="9026" w:leader="dot"/>
            </w:tabs>
            <w:rPr/>
          </w:pPr>
          <w:hyperlink w:anchor="__RefHeading___Toc3907665_73709187">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3907667_73709187">
            <w:r>
              <w:rPr>
                <w:webHidden/>
                <w:rStyle w:val="IndexLink"/>
                <w:rtl w:val="true"/>
              </w:rPr>
              <w:t>اسلوبه في الكتابة</w:t>
            </w:r>
            <w:r>
              <w:rPr>
                <w:rStyle w:val="IndexLink"/>
                <w:rtl w:val="true"/>
              </w:rPr>
              <w:tab/>
            </w:r>
            <w:r>
              <w:rPr>
                <w:rStyle w:val="IndexLink"/>
              </w:rPr>
              <w:t>367</w:t>
            </w:r>
          </w:hyperlink>
        </w:p>
        <w:p>
          <w:pPr>
            <w:pStyle w:val="Contents5"/>
            <w:tabs>
              <w:tab w:val="clear" w:pos="7892"/>
              <w:tab w:val="right" w:pos="9026" w:leader="dot"/>
            </w:tabs>
            <w:rPr/>
          </w:pPr>
          <w:hyperlink w:anchor="__RefHeading___Toc3907669_73709187">
            <w:r>
              <w:rPr>
                <w:webHidden/>
                <w:rStyle w:val="IndexLink"/>
                <w:rtl w:val="true"/>
              </w:rPr>
              <w:t>تلاميذه</w:t>
            </w:r>
            <w:r>
              <w:rPr>
                <w:rStyle w:val="IndexLink"/>
                <w:rtl w:val="true"/>
              </w:rPr>
              <w:tab/>
            </w:r>
            <w:r>
              <w:rPr>
                <w:rStyle w:val="IndexLink"/>
              </w:rPr>
              <w:t>373</w:t>
            </w:r>
          </w:hyperlink>
        </w:p>
        <w:p>
          <w:pPr>
            <w:pStyle w:val="Contents3"/>
            <w:tabs>
              <w:tab w:val="clear" w:pos="8459"/>
              <w:tab w:val="right" w:pos="9026" w:leader="dot"/>
            </w:tabs>
            <w:rPr/>
          </w:pPr>
          <w:hyperlink w:anchor="__RefHeading___Toc3907671_73709187">
            <w:r>
              <w:rPr>
                <w:webHidden/>
                <w:rStyle w:val="IndexLink"/>
                <w:rtl w:val="true"/>
              </w:rPr>
              <w:t>الفصل الخامس</w:t>
            </w:r>
            <w:r>
              <w:rPr>
                <w:rStyle w:val="IndexLink"/>
                <w:rtl w:val="true"/>
              </w:rPr>
              <w:t xml:space="preserve">: </w:t>
            </w:r>
            <w:r>
              <w:rPr>
                <w:rStyle w:val="IndexLink"/>
                <w:rtl w:val="true"/>
              </w:rPr>
              <w:t>أعلام المعتزلة</w:t>
            </w:r>
            <w:r>
              <w:rPr>
                <w:rStyle w:val="IndexLink"/>
                <w:rtl w:val="true"/>
              </w:rPr>
              <w:tab/>
            </w:r>
            <w:r>
              <w:rPr>
                <w:rStyle w:val="IndexLink"/>
              </w:rPr>
              <w:t>376</w:t>
            </w:r>
          </w:hyperlink>
        </w:p>
        <w:p>
          <w:pPr>
            <w:pStyle w:val="Contents4"/>
            <w:tabs>
              <w:tab w:val="clear" w:pos="8176"/>
              <w:tab w:val="right" w:pos="9026" w:leader="dot"/>
            </w:tabs>
            <w:rPr/>
          </w:pPr>
          <w:hyperlink w:anchor="__RefHeading___Toc3907673_7370918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3907675_73709187">
            <w:r>
              <w:rPr>
                <w:webHidden/>
                <w:rStyle w:val="IndexLink"/>
              </w:rPr>
              <w:t>1</w:t>
            </w:r>
            <w:r>
              <w:rPr>
                <w:rStyle w:val="IndexLink"/>
                <w:rtl w:val="true"/>
              </w:rPr>
              <w:t xml:space="preserve"> - </w:t>
            </w:r>
            <w:r>
              <w:rPr>
                <w:rStyle w:val="IndexLink"/>
                <w:rtl w:val="true"/>
              </w:rPr>
              <w:t xml:space="preserve">أبو سهل بشر بن المعتمر </w:t>
            </w:r>
            <w:r>
              <w:rPr>
                <w:rStyle w:val="IndexLink"/>
                <w:rtl w:val="true"/>
              </w:rPr>
              <w:t>(</w:t>
            </w:r>
            <w:r>
              <w:rPr>
                <w:rStyle w:val="IndexLink"/>
                <w:rtl w:val="true"/>
              </w:rPr>
              <w:t xml:space="preserve">المتوفّى </w:t>
            </w:r>
            <w:r>
              <w:rPr>
                <w:rStyle w:val="IndexLink"/>
              </w:rPr>
              <w:t>210</w:t>
            </w:r>
            <w:r>
              <w:rPr>
                <w:rStyle w:val="IndexLink"/>
                <w:rtl w:val="true"/>
              </w:rPr>
              <w:t xml:space="preserve"> </w:t>
            </w:r>
            <w:r>
              <w:rPr>
                <w:rStyle w:val="IndexLink"/>
                <w:rtl w:val="true"/>
              </w:rPr>
              <w:t>ه</w:t>
            </w:r>
            <w:r>
              <w:rPr>
                <w:rStyle w:val="IndexLink"/>
                <w:rtl w:val="true"/>
              </w:rPr>
              <w:t xml:space="preserve">) </w:t>
            </w:r>
            <w:r>
              <w:rPr>
                <w:rStyle w:val="IndexLink"/>
                <w:rtl w:val="true"/>
              </w:rPr>
              <w:t>مؤسّس مدرسة اعتزال بغداد</w:t>
            </w:r>
            <w:r>
              <w:rPr>
                <w:rStyle w:val="IndexLink"/>
                <w:rtl w:val="true"/>
              </w:rPr>
              <w:tab/>
            </w:r>
            <w:r>
              <w:rPr>
                <w:rStyle w:val="IndexLink"/>
              </w:rPr>
              <w:t>376</w:t>
            </w:r>
          </w:hyperlink>
        </w:p>
        <w:p>
          <w:pPr>
            <w:pStyle w:val="Contents4"/>
            <w:tabs>
              <w:tab w:val="clear" w:pos="8176"/>
              <w:tab w:val="right" w:pos="9026" w:leader="dot"/>
            </w:tabs>
            <w:rPr/>
          </w:pPr>
          <w:hyperlink w:anchor="__RefHeading___Toc3907677_73709187">
            <w:r>
              <w:rPr>
                <w:webHidden/>
                <w:rStyle w:val="IndexLink"/>
              </w:rPr>
              <w:t>2</w:t>
            </w:r>
            <w:r>
              <w:rPr>
                <w:rStyle w:val="IndexLink"/>
                <w:rtl w:val="true"/>
              </w:rPr>
              <w:t xml:space="preserve"> - </w:t>
            </w:r>
            <w:r>
              <w:rPr>
                <w:rStyle w:val="IndexLink"/>
                <w:rtl w:val="true"/>
              </w:rPr>
              <w:t xml:space="preserve">معمّر بن عبّاد السلمي </w:t>
            </w:r>
            <w:r>
              <w:rPr>
                <w:rStyle w:val="IndexLink"/>
                <w:rtl w:val="true"/>
              </w:rPr>
              <w:t>(</w:t>
            </w:r>
            <w:r>
              <w:rPr>
                <w:rStyle w:val="IndexLink"/>
                <w:rtl w:val="true"/>
              </w:rPr>
              <w:t xml:space="preserve">المتوفّى </w:t>
            </w:r>
            <w:r>
              <w:rPr>
                <w:rStyle w:val="IndexLink"/>
              </w:rPr>
              <w:t>215</w:t>
            </w:r>
            <w:r>
              <w:rPr>
                <w:rStyle w:val="IndexLink"/>
                <w:rtl w:val="true"/>
              </w:rPr>
              <w:t xml:space="preserve"> </w:t>
            </w:r>
            <w:r>
              <w:rPr>
                <w:rStyle w:val="IndexLink"/>
                <w:rtl w:val="true"/>
              </w:rPr>
              <w:t>ه</w:t>
            </w:r>
            <w:r>
              <w:rPr>
                <w:rStyle w:val="IndexLink"/>
                <w:rtl w:val="true"/>
              </w:rPr>
              <w:t xml:space="preserve">) </w:t>
            </w:r>
            <w:r>
              <w:rPr>
                <w:rStyle w:val="IndexLink"/>
                <w:rtl w:val="true"/>
              </w:rPr>
              <w:t>خريج مدرسة البصرة</w:t>
            </w:r>
            <w:r>
              <w:rPr>
                <w:rStyle w:val="IndexLink"/>
                <w:rtl w:val="true"/>
              </w:rPr>
              <w:tab/>
            </w:r>
            <w:r>
              <w:rPr>
                <w:rStyle w:val="IndexLink"/>
              </w:rPr>
              <w:t>377</w:t>
            </w:r>
          </w:hyperlink>
        </w:p>
        <w:p>
          <w:pPr>
            <w:pStyle w:val="Contents4"/>
            <w:tabs>
              <w:tab w:val="clear" w:pos="8176"/>
              <w:tab w:val="right" w:pos="9026" w:leader="dot"/>
            </w:tabs>
            <w:rPr/>
          </w:pPr>
          <w:hyperlink w:anchor="__RefHeading___Toc3907679_73709187">
            <w:r>
              <w:rPr>
                <w:webHidden/>
                <w:rStyle w:val="IndexLink"/>
              </w:rPr>
              <w:t>3</w:t>
            </w:r>
            <w:r>
              <w:rPr>
                <w:rStyle w:val="IndexLink"/>
                <w:rtl w:val="true"/>
              </w:rPr>
              <w:t xml:space="preserve"> - </w:t>
            </w:r>
            <w:r>
              <w:rPr>
                <w:rStyle w:val="IndexLink"/>
                <w:rtl w:val="true"/>
              </w:rPr>
              <w:t xml:space="preserve">ثمامة بن الأشرس النميري </w:t>
            </w:r>
            <w:r>
              <w:rPr>
                <w:rStyle w:val="IndexLink"/>
                <w:rtl w:val="true"/>
              </w:rPr>
              <w:t>(</w:t>
            </w:r>
            <w:r>
              <w:rPr>
                <w:rStyle w:val="IndexLink"/>
                <w:rtl w:val="true"/>
              </w:rPr>
              <w:t xml:space="preserve">المتوفّى </w:t>
            </w:r>
            <w:r>
              <w:rPr>
                <w:rStyle w:val="IndexLink"/>
              </w:rPr>
              <w:t>213</w:t>
            </w:r>
            <w:r>
              <w:rPr>
                <w:rStyle w:val="IndexLink"/>
                <w:rtl w:val="true"/>
              </w:rPr>
              <w:t xml:space="preserve"> </w:t>
            </w:r>
            <w:r>
              <w:rPr>
                <w:rStyle w:val="IndexLink"/>
                <w:rtl w:val="true"/>
              </w:rPr>
              <w:t>ه</w:t>
            </w:r>
            <w:r>
              <w:rPr>
                <w:rStyle w:val="IndexLink"/>
                <w:rtl w:val="true"/>
              </w:rPr>
              <w:t xml:space="preserve">) </w:t>
            </w:r>
            <w:r>
              <w:rPr>
                <w:rStyle w:val="IndexLink"/>
                <w:rtl w:val="true"/>
              </w:rPr>
              <w:t>خرّيج مدرسة بغداد</w:t>
            </w:r>
            <w:r>
              <w:rPr>
                <w:rStyle w:val="IndexLink"/>
                <w:rtl w:val="true"/>
              </w:rPr>
              <w:tab/>
            </w:r>
            <w:r>
              <w:rPr>
                <w:rStyle w:val="IndexLink"/>
              </w:rPr>
              <w:t>380</w:t>
            </w:r>
          </w:hyperlink>
        </w:p>
        <w:p>
          <w:pPr>
            <w:pStyle w:val="Contents4"/>
            <w:tabs>
              <w:tab w:val="clear" w:pos="8176"/>
              <w:tab w:val="right" w:pos="9026" w:leader="dot"/>
            </w:tabs>
            <w:rPr/>
          </w:pPr>
          <w:hyperlink w:anchor="__RefHeading___Toc3907681_73709187">
            <w:r>
              <w:rPr>
                <w:webHidden/>
                <w:rStyle w:val="IndexLink"/>
              </w:rPr>
              <w:t>4</w:t>
            </w:r>
            <w:r>
              <w:rPr>
                <w:rStyle w:val="IndexLink"/>
                <w:rtl w:val="true"/>
              </w:rPr>
              <w:t xml:space="preserve"> - </w:t>
            </w:r>
            <w:r>
              <w:rPr>
                <w:rStyle w:val="IndexLink"/>
                <w:rtl w:val="true"/>
              </w:rPr>
              <w:t xml:space="preserve">أبو بكر عبد الرحمن بن كيسان الأصمّ </w:t>
            </w:r>
            <w:r>
              <w:rPr>
                <w:rStyle w:val="IndexLink"/>
                <w:rtl w:val="true"/>
              </w:rPr>
              <w:t>(</w:t>
            </w:r>
            <w:r>
              <w:rPr>
                <w:rStyle w:val="IndexLink"/>
                <w:rtl w:val="true"/>
              </w:rPr>
              <w:t xml:space="preserve">المتوفّى قريباً من </w:t>
            </w:r>
            <w:r>
              <w:rPr>
                <w:rStyle w:val="IndexLink"/>
              </w:rPr>
              <w:t>225</w:t>
            </w:r>
            <w:r>
              <w:rPr>
                <w:rStyle w:val="IndexLink"/>
                <w:rtl w:val="true"/>
              </w:rPr>
              <w:t xml:space="preserve"> </w:t>
            </w:r>
            <w:r>
              <w:rPr>
                <w:rStyle w:val="IndexLink"/>
                <w:rtl w:val="true"/>
              </w:rPr>
              <w:t>ه</w:t>
            </w:r>
            <w:r>
              <w:rPr>
                <w:rStyle w:val="IndexLink"/>
                <w:rtl w:val="true"/>
              </w:rPr>
              <w:t xml:space="preserve">) </w:t>
            </w:r>
            <w:r>
              <w:rPr>
                <w:rStyle w:val="IndexLink"/>
                <w:rtl w:val="true"/>
              </w:rPr>
              <w:t>خرّيج مدرسة البصرة</w:t>
            </w:r>
            <w:r>
              <w:rPr>
                <w:rStyle w:val="IndexLink"/>
                <w:rtl w:val="true"/>
              </w:rPr>
              <w:tab/>
            </w:r>
            <w:r>
              <w:rPr>
                <w:rStyle w:val="IndexLink"/>
              </w:rPr>
              <w:t>383</w:t>
            </w:r>
          </w:hyperlink>
        </w:p>
        <w:p>
          <w:pPr>
            <w:pStyle w:val="Contents4"/>
            <w:tabs>
              <w:tab w:val="clear" w:pos="8176"/>
              <w:tab w:val="right" w:pos="9026" w:leader="dot"/>
            </w:tabs>
            <w:rPr/>
          </w:pPr>
          <w:hyperlink w:anchor="__RefHeading___Toc3907683_73709187">
            <w:r>
              <w:rPr>
                <w:webHidden/>
                <w:rStyle w:val="IndexLink"/>
              </w:rPr>
              <w:t>5</w:t>
            </w:r>
            <w:r>
              <w:rPr>
                <w:rStyle w:val="IndexLink"/>
                <w:rtl w:val="true"/>
              </w:rPr>
              <w:t xml:space="preserve"> - </w:t>
            </w:r>
            <w:r>
              <w:rPr>
                <w:rStyle w:val="IndexLink"/>
                <w:rtl w:val="true"/>
              </w:rPr>
              <w:t xml:space="preserve">أبو موسى عيسى بن صبيح المردار </w:t>
            </w:r>
            <w:r>
              <w:rPr>
                <w:rStyle w:val="IndexLink"/>
                <w:rtl w:val="true"/>
              </w:rPr>
              <w:t>(</w:t>
            </w:r>
            <w:r>
              <w:rPr>
                <w:rStyle w:val="IndexLink"/>
                <w:rtl w:val="true"/>
              </w:rPr>
              <w:t xml:space="preserve">المتوفّى </w:t>
            </w:r>
            <w:r>
              <w:rPr>
                <w:rStyle w:val="IndexLink"/>
              </w:rPr>
              <w:t>226</w:t>
            </w:r>
            <w:r>
              <w:rPr>
                <w:rStyle w:val="IndexLink"/>
                <w:rtl w:val="true"/>
              </w:rPr>
              <w:t xml:space="preserve"> </w:t>
            </w:r>
            <w:r>
              <w:rPr>
                <w:rStyle w:val="IndexLink"/>
                <w:rtl w:val="true"/>
              </w:rPr>
              <w:t>ه</w:t>
            </w:r>
            <w:r>
              <w:rPr>
                <w:rStyle w:val="IndexLink"/>
                <w:rtl w:val="true"/>
              </w:rPr>
              <w:t>)</w:t>
              <w:tab/>
            </w:r>
            <w:r>
              <w:rPr>
                <w:rStyle w:val="IndexLink"/>
              </w:rPr>
              <w:t>383</w:t>
            </w:r>
          </w:hyperlink>
        </w:p>
        <w:p>
          <w:pPr>
            <w:pStyle w:val="Contents5"/>
            <w:tabs>
              <w:tab w:val="clear" w:pos="7892"/>
              <w:tab w:val="right" w:pos="9026" w:leader="dot"/>
            </w:tabs>
            <w:rPr/>
          </w:pPr>
          <w:hyperlink w:anchor="__RefHeading___Toc3907685_7370918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3907687_73709187">
            <w:r>
              <w:rPr>
                <w:webHidden/>
                <w:rStyle w:val="IndexLink"/>
                <w:rtl w:val="true"/>
              </w:rPr>
              <w:t>تلاميذه</w:t>
            </w:r>
            <w:r>
              <w:rPr>
                <w:rStyle w:val="IndexLink"/>
                <w:rtl w:val="true"/>
              </w:rPr>
              <w:tab/>
            </w:r>
            <w:r>
              <w:rPr>
                <w:rStyle w:val="IndexLink"/>
              </w:rPr>
              <w:t>384</w:t>
            </w:r>
          </w:hyperlink>
        </w:p>
        <w:p>
          <w:pPr>
            <w:pStyle w:val="Contents5"/>
            <w:tabs>
              <w:tab w:val="clear" w:pos="7892"/>
              <w:tab w:val="right" w:pos="9026" w:leader="dot"/>
            </w:tabs>
            <w:rPr/>
          </w:pPr>
          <w:hyperlink w:anchor="__RefHeading___Toc3907689_73709187">
            <w:r>
              <w:rPr>
                <w:webHidden/>
                <w:rStyle w:val="IndexLink"/>
                <w:rtl w:val="true"/>
              </w:rPr>
              <w:t>تأثير كلامه</w:t>
            </w:r>
            <w:r>
              <w:rPr>
                <w:rStyle w:val="IndexLink"/>
                <w:rtl w:val="true"/>
              </w:rPr>
              <w:tab/>
            </w:r>
            <w:r>
              <w:rPr>
                <w:rStyle w:val="IndexLink"/>
              </w:rPr>
              <w:t>384</w:t>
            </w:r>
          </w:hyperlink>
        </w:p>
        <w:p>
          <w:pPr>
            <w:pStyle w:val="Contents4"/>
            <w:tabs>
              <w:tab w:val="clear" w:pos="8176"/>
              <w:tab w:val="right" w:pos="9026" w:leader="dot"/>
            </w:tabs>
            <w:rPr/>
          </w:pPr>
          <w:hyperlink w:anchor="__RefHeading___Toc3907691_73709187">
            <w:r>
              <w:rPr>
                <w:webHidden/>
                <w:rStyle w:val="IndexLink"/>
              </w:rPr>
              <w:t>6</w:t>
            </w:r>
            <w:r>
              <w:rPr>
                <w:rStyle w:val="IndexLink"/>
                <w:rtl w:val="true"/>
              </w:rPr>
              <w:t xml:space="preserve"> - </w:t>
            </w:r>
            <w:r>
              <w:rPr>
                <w:rStyle w:val="IndexLink"/>
                <w:rtl w:val="true"/>
              </w:rPr>
              <w:t xml:space="preserve">أبو جعفر محمّد بن عبد اللّه الاسكافي </w:t>
            </w:r>
            <w:r>
              <w:rPr>
                <w:rStyle w:val="IndexLink"/>
                <w:rtl w:val="true"/>
              </w:rPr>
              <w:t>(</w:t>
            </w:r>
            <w:r>
              <w:rPr>
                <w:rStyle w:val="IndexLink"/>
                <w:rtl w:val="true"/>
              </w:rPr>
              <w:t xml:space="preserve">المتوفّى </w:t>
            </w:r>
            <w:r>
              <w:rPr>
                <w:rStyle w:val="IndexLink"/>
              </w:rPr>
              <w:t>240</w:t>
            </w:r>
            <w:r>
              <w:rPr>
                <w:rStyle w:val="IndexLink"/>
                <w:rtl w:val="true"/>
              </w:rPr>
              <w:t xml:space="preserve"> </w:t>
            </w:r>
            <w:r>
              <w:rPr>
                <w:rStyle w:val="IndexLink"/>
                <w:rtl w:val="true"/>
              </w:rPr>
              <w:t>ه</w:t>
            </w:r>
            <w:r>
              <w:rPr>
                <w:rStyle w:val="IndexLink"/>
                <w:rtl w:val="true"/>
              </w:rPr>
              <w:t>)</w:t>
              <w:tab/>
            </w:r>
            <w:r>
              <w:rPr>
                <w:rStyle w:val="IndexLink"/>
              </w:rPr>
              <w:t>385</w:t>
            </w:r>
          </w:hyperlink>
        </w:p>
        <w:p>
          <w:pPr>
            <w:pStyle w:val="Contents4"/>
            <w:tabs>
              <w:tab w:val="clear" w:pos="8176"/>
              <w:tab w:val="right" w:pos="9026" w:leader="dot"/>
            </w:tabs>
            <w:rPr/>
          </w:pPr>
          <w:hyperlink w:anchor="__RefHeading___Toc3907693_73709187">
            <w:r>
              <w:rPr>
                <w:webHidden/>
                <w:rStyle w:val="IndexLink"/>
              </w:rPr>
              <w:t>7</w:t>
            </w:r>
            <w:r>
              <w:rPr>
                <w:rStyle w:val="IndexLink"/>
                <w:rtl w:val="true"/>
              </w:rPr>
              <w:t xml:space="preserve"> - </w:t>
            </w:r>
            <w:r>
              <w:rPr>
                <w:rStyle w:val="IndexLink"/>
                <w:rtl w:val="true"/>
              </w:rPr>
              <w:t xml:space="preserve">أحمد بن أبي دؤاد </w:t>
            </w:r>
            <w:r>
              <w:rPr>
                <w:rStyle w:val="IndexLink"/>
                <w:rtl w:val="true"/>
              </w:rPr>
              <w:t>(</w:t>
            </w:r>
            <w:r>
              <w:rPr>
                <w:rStyle w:val="IndexLink"/>
              </w:rPr>
              <w:t>160</w:t>
            </w:r>
            <w:r>
              <w:rPr>
                <w:rStyle w:val="IndexLink"/>
                <w:rtl w:val="true"/>
              </w:rPr>
              <w:t>-</w:t>
            </w:r>
            <w:r>
              <w:rPr>
                <w:rStyle w:val="IndexLink"/>
              </w:rPr>
              <w:t>240</w:t>
            </w:r>
            <w:r>
              <w:rPr>
                <w:rStyle w:val="IndexLink"/>
                <w:rtl w:val="true"/>
              </w:rPr>
              <w:t xml:space="preserve"> </w:t>
            </w:r>
            <w:r>
              <w:rPr>
                <w:rStyle w:val="IndexLink"/>
                <w:rtl w:val="true"/>
              </w:rPr>
              <w:t>ه</w:t>
            </w:r>
            <w:r>
              <w:rPr>
                <w:rStyle w:val="IndexLink"/>
                <w:rtl w:val="true"/>
              </w:rPr>
              <w:t xml:space="preserve">) </w:t>
            </w:r>
            <w:r>
              <w:rPr>
                <w:rStyle w:val="IndexLink"/>
                <w:rtl w:val="true"/>
              </w:rPr>
              <w:t>خريج مدرسة بغداد</w:t>
            </w:r>
            <w:r>
              <w:rPr>
                <w:rStyle w:val="IndexLink"/>
                <w:rtl w:val="true"/>
              </w:rPr>
              <w:tab/>
            </w:r>
            <w:r>
              <w:rPr>
                <w:rStyle w:val="IndexLink"/>
              </w:rPr>
              <w:t>388</w:t>
            </w:r>
          </w:hyperlink>
        </w:p>
        <w:p>
          <w:pPr>
            <w:pStyle w:val="Contents4"/>
            <w:tabs>
              <w:tab w:val="clear" w:pos="8176"/>
              <w:tab w:val="right" w:pos="9026" w:leader="dot"/>
            </w:tabs>
            <w:rPr/>
          </w:pPr>
          <w:hyperlink w:anchor="__RefHeading___Toc3907695_73709187">
            <w:r>
              <w:rPr>
                <w:webHidden/>
                <w:rStyle w:val="IndexLink"/>
              </w:rPr>
              <w:t>8</w:t>
            </w:r>
            <w:r>
              <w:rPr>
                <w:rStyle w:val="IndexLink"/>
                <w:rtl w:val="true"/>
              </w:rPr>
              <w:t xml:space="preserve"> - </w:t>
            </w:r>
            <w:r>
              <w:rPr>
                <w:rStyle w:val="IndexLink"/>
                <w:rtl w:val="true"/>
              </w:rPr>
              <w:t xml:space="preserve">أبو عثمان عمرو بن بحر الجاحظ </w:t>
            </w:r>
            <w:r>
              <w:rPr>
                <w:rStyle w:val="IndexLink"/>
                <w:rtl w:val="true"/>
              </w:rPr>
              <w:t>(</w:t>
            </w:r>
            <w:r>
              <w:rPr>
                <w:rStyle w:val="IndexLink"/>
                <w:rtl w:val="true"/>
              </w:rPr>
              <w:t xml:space="preserve">المتوفّى </w:t>
            </w:r>
            <w:r>
              <w:rPr>
                <w:rStyle w:val="IndexLink"/>
              </w:rPr>
              <w:t>255</w:t>
            </w:r>
            <w:r>
              <w:rPr>
                <w:rStyle w:val="IndexLink"/>
                <w:rtl w:val="true"/>
              </w:rPr>
              <w:t xml:space="preserve"> </w:t>
            </w:r>
            <w:r>
              <w:rPr>
                <w:rStyle w:val="IndexLink"/>
                <w:rtl w:val="true"/>
              </w:rPr>
              <w:t>ه</w:t>
            </w:r>
            <w:r>
              <w:rPr>
                <w:rStyle w:val="IndexLink"/>
                <w:rtl w:val="true"/>
              </w:rPr>
              <w:t>)</w:t>
              <w:tab/>
            </w:r>
            <w:r>
              <w:rPr>
                <w:rStyle w:val="IndexLink"/>
              </w:rPr>
              <w:t>390</w:t>
            </w:r>
          </w:hyperlink>
        </w:p>
        <w:p>
          <w:pPr>
            <w:pStyle w:val="Contents5"/>
            <w:tabs>
              <w:tab w:val="clear" w:pos="7892"/>
              <w:tab w:val="right" w:pos="9026" w:leader="dot"/>
            </w:tabs>
            <w:rPr/>
          </w:pPr>
          <w:hyperlink w:anchor="__RefHeading___Toc3907697_73709187">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3907699_73709187">
            <w:r>
              <w:rPr>
                <w:webHidden/>
                <w:rStyle w:val="IndexLink"/>
                <w:rtl w:val="true"/>
              </w:rPr>
              <w:t>تلوّن الرجل في حياته</w:t>
            </w:r>
            <w:r>
              <w:rPr>
                <w:rStyle w:val="IndexLink"/>
                <w:rtl w:val="true"/>
              </w:rPr>
              <w:tab/>
            </w:r>
            <w:r>
              <w:rPr>
                <w:rStyle w:val="IndexLink"/>
              </w:rPr>
              <w:t>392</w:t>
            </w:r>
          </w:hyperlink>
        </w:p>
        <w:p>
          <w:pPr>
            <w:pStyle w:val="Contents4"/>
            <w:tabs>
              <w:tab w:val="clear" w:pos="8176"/>
              <w:tab w:val="right" w:pos="9026" w:leader="dot"/>
            </w:tabs>
            <w:rPr/>
          </w:pPr>
          <w:hyperlink w:anchor="__RefHeading___Toc3907701_73709187">
            <w:r>
              <w:rPr>
                <w:webHidden/>
                <w:rStyle w:val="IndexLink"/>
              </w:rPr>
              <w:t>9</w:t>
            </w:r>
            <w:r>
              <w:rPr>
                <w:rStyle w:val="IndexLink"/>
                <w:rtl w:val="true"/>
              </w:rPr>
              <w:t xml:space="preserve"> - </w:t>
            </w:r>
            <w:r>
              <w:rPr>
                <w:rStyle w:val="IndexLink"/>
                <w:rtl w:val="true"/>
              </w:rPr>
              <w:t xml:space="preserve">أبو الحسين عبد الرّحيم بن محمّد المعروف بالخيّاط </w:t>
            </w:r>
            <w:r>
              <w:rPr>
                <w:rStyle w:val="IndexLink"/>
                <w:rtl w:val="true"/>
              </w:rPr>
              <w:t>(</w:t>
            </w:r>
            <w:r>
              <w:rPr>
                <w:rStyle w:val="IndexLink"/>
                <w:rtl w:val="true"/>
              </w:rPr>
              <w:t xml:space="preserve">المتوفّى </w:t>
            </w:r>
            <w:r>
              <w:rPr>
                <w:rStyle w:val="IndexLink"/>
              </w:rPr>
              <w:t>311</w:t>
            </w:r>
            <w:r>
              <w:rPr>
                <w:rStyle w:val="IndexLink"/>
                <w:rtl w:val="true"/>
              </w:rPr>
              <w:t xml:space="preserve"> </w:t>
            </w:r>
            <w:r>
              <w:rPr>
                <w:rStyle w:val="IndexLink"/>
                <w:rtl w:val="true"/>
              </w:rPr>
              <w:t>ه</w:t>
            </w:r>
            <w:r>
              <w:rPr>
                <w:rStyle w:val="IndexLink"/>
                <w:rtl w:val="true"/>
              </w:rPr>
              <w:t>)</w:t>
            </w:r>
            <w:r>
              <w:rPr>
                <w:rStyle w:val="IndexLink"/>
                <w:rtl w:val="true"/>
              </w:rPr>
              <w:t>، خريج مدرسة بغداد</w:t>
            </w:r>
            <w:r>
              <w:rPr>
                <w:rStyle w:val="IndexLink"/>
                <w:rtl w:val="true"/>
              </w:rPr>
              <w:tab/>
            </w:r>
            <w:r>
              <w:rPr>
                <w:rStyle w:val="IndexLink"/>
              </w:rPr>
              <w:t>395</w:t>
            </w:r>
          </w:hyperlink>
        </w:p>
        <w:p>
          <w:pPr>
            <w:pStyle w:val="Contents4"/>
            <w:tabs>
              <w:tab w:val="clear" w:pos="8176"/>
              <w:tab w:val="right" w:pos="9026" w:leader="dot"/>
            </w:tabs>
            <w:rPr/>
          </w:pPr>
          <w:hyperlink w:anchor="__RefHeading___Toc3907703_73709187">
            <w:r>
              <w:rPr>
                <w:webHidden/>
                <w:rStyle w:val="IndexLink"/>
              </w:rPr>
              <w:t>10</w:t>
            </w:r>
            <w:r>
              <w:rPr>
                <w:rStyle w:val="IndexLink"/>
                <w:rtl w:val="true"/>
              </w:rPr>
              <w:t xml:space="preserve"> - </w:t>
            </w:r>
            <w:r>
              <w:rPr>
                <w:rStyle w:val="IndexLink"/>
                <w:rtl w:val="true"/>
              </w:rPr>
              <w:t xml:space="preserve">أبو القاسم البلخي الكعبي </w:t>
            </w:r>
            <w:r>
              <w:rPr>
                <w:rStyle w:val="IndexLink"/>
                <w:rtl w:val="true"/>
              </w:rPr>
              <w:t>(</w:t>
            </w:r>
            <w:r>
              <w:rPr>
                <w:rStyle w:val="IndexLink"/>
              </w:rPr>
              <w:t>273</w:t>
            </w:r>
            <w:r>
              <w:rPr>
                <w:rStyle w:val="IndexLink"/>
                <w:rtl w:val="true"/>
              </w:rPr>
              <w:t>-</w:t>
            </w:r>
            <w:r>
              <w:rPr>
                <w:rStyle w:val="IndexLink"/>
              </w:rPr>
              <w:t>317</w:t>
            </w:r>
            <w:r>
              <w:rPr>
                <w:rStyle w:val="IndexLink"/>
                <w:rtl w:val="true"/>
              </w:rPr>
              <w:t xml:space="preserve"> </w:t>
            </w:r>
            <w:r>
              <w:rPr>
                <w:rStyle w:val="IndexLink"/>
                <w:rtl w:val="true"/>
              </w:rPr>
              <w:t xml:space="preserve">أو </w:t>
            </w:r>
            <w:r>
              <w:rPr>
                <w:rStyle w:val="IndexLink"/>
              </w:rPr>
              <w:t>319</w:t>
            </w:r>
            <w:r>
              <w:rPr>
                <w:rStyle w:val="IndexLink"/>
                <w:rtl w:val="true"/>
              </w:rPr>
              <w:t xml:space="preserve">) </w:t>
            </w:r>
            <w:r>
              <w:rPr>
                <w:rStyle w:val="IndexLink"/>
                <w:rtl w:val="true"/>
              </w:rPr>
              <w:t>خريج مدرسة بغداد</w:t>
            </w:r>
            <w:r>
              <w:rPr>
                <w:rStyle w:val="IndexLink"/>
                <w:rtl w:val="true"/>
              </w:rPr>
              <w:tab/>
            </w:r>
            <w:r>
              <w:rPr>
                <w:rStyle w:val="IndexLink"/>
              </w:rPr>
              <w:t>398</w:t>
            </w:r>
          </w:hyperlink>
        </w:p>
        <w:p>
          <w:pPr>
            <w:pStyle w:val="Contents5"/>
            <w:tabs>
              <w:tab w:val="clear" w:pos="7892"/>
              <w:tab w:val="right" w:pos="9026" w:leader="dot"/>
            </w:tabs>
            <w:rPr/>
          </w:pPr>
          <w:hyperlink w:anchor="__RefHeading___Toc3907705_7370918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3907707_73709187">
            <w:r>
              <w:rPr>
                <w:webHidden/>
                <w:rStyle w:val="IndexLink"/>
                <w:rtl w:val="true"/>
              </w:rPr>
              <w:t>مؤلفاته</w:t>
            </w:r>
            <w:r>
              <w:rPr>
                <w:rStyle w:val="IndexLink"/>
                <w:rtl w:val="true"/>
              </w:rPr>
              <w:tab/>
            </w:r>
            <w:r>
              <w:rPr>
                <w:rStyle w:val="IndexLink"/>
              </w:rPr>
              <w:t>400</w:t>
            </w:r>
          </w:hyperlink>
        </w:p>
        <w:p>
          <w:pPr>
            <w:pStyle w:val="Contents5"/>
            <w:tabs>
              <w:tab w:val="clear" w:pos="7892"/>
              <w:tab w:val="right" w:pos="9026" w:leader="dot"/>
            </w:tabs>
            <w:rPr/>
          </w:pPr>
          <w:hyperlink w:anchor="__RefHeading___Toc3907709_73709187">
            <w:r>
              <w:rPr>
                <w:webHidden/>
                <w:rStyle w:val="IndexLink"/>
                <w:rtl w:val="true"/>
              </w:rPr>
              <w:t>مناظرته مع رجل سوفسطائي</w:t>
            </w:r>
            <w:r>
              <w:rPr>
                <w:rStyle w:val="IndexLink"/>
                <w:rtl w:val="true"/>
              </w:rPr>
              <w:tab/>
            </w:r>
            <w:r>
              <w:rPr>
                <w:rStyle w:val="IndexLink"/>
              </w:rPr>
              <w:t>402</w:t>
            </w:r>
          </w:hyperlink>
        </w:p>
        <w:p>
          <w:pPr>
            <w:pStyle w:val="Contents3"/>
            <w:tabs>
              <w:tab w:val="clear" w:pos="8459"/>
              <w:tab w:val="right" w:pos="9026" w:leader="dot"/>
            </w:tabs>
            <w:rPr/>
          </w:pPr>
          <w:hyperlink w:anchor="__RefHeading___Toc3907711_73709187">
            <w:r>
              <w:rPr>
                <w:webHidden/>
                <w:rStyle w:val="IndexLink"/>
                <w:rtl w:val="true"/>
              </w:rPr>
              <w:t>الفصل السادس</w:t>
            </w:r>
            <w:r>
              <w:rPr>
                <w:rStyle w:val="IndexLink"/>
                <w:rtl w:val="true"/>
              </w:rPr>
              <w:t xml:space="preserve">: </w:t>
            </w:r>
            <w:r>
              <w:rPr>
                <w:rStyle w:val="IndexLink"/>
                <w:rtl w:val="true"/>
              </w:rPr>
              <w:t>في طبقات المعتزلة و مدارسهم</w:t>
            </w:r>
            <w:r>
              <w:rPr>
                <w:rStyle w:val="IndexLink"/>
                <w:rtl w:val="true"/>
              </w:rPr>
              <w:tab/>
            </w:r>
            <w:r>
              <w:rPr>
                <w:rStyle w:val="IndexLink"/>
              </w:rPr>
              <w:t>404</w:t>
            </w:r>
          </w:hyperlink>
        </w:p>
        <w:p>
          <w:pPr>
            <w:pStyle w:val="Contents4"/>
            <w:tabs>
              <w:tab w:val="clear" w:pos="8176"/>
              <w:tab w:val="right" w:pos="9026" w:leader="dot"/>
            </w:tabs>
            <w:rPr/>
          </w:pPr>
          <w:hyperlink w:anchor="__RefHeading___Toc3907713_73709187">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3907715_73709187">
            <w:r>
              <w:rPr>
                <w:webHidden/>
                <w:rStyle w:val="IndexLink"/>
                <w:rtl w:val="true"/>
              </w:rPr>
              <w:t>مدارس الاعتزال</w:t>
            </w:r>
            <w:r>
              <w:rPr>
                <w:rStyle w:val="IndexLink"/>
                <w:rtl w:val="true"/>
              </w:rPr>
              <w:tab/>
            </w:r>
            <w:r>
              <w:rPr>
                <w:rStyle w:val="IndexLink"/>
              </w:rPr>
              <w:t>405</w:t>
            </w:r>
          </w:hyperlink>
        </w:p>
        <w:p>
          <w:pPr>
            <w:pStyle w:val="Contents4"/>
            <w:tabs>
              <w:tab w:val="clear" w:pos="8176"/>
              <w:tab w:val="right" w:pos="9026" w:leader="dot"/>
            </w:tabs>
            <w:rPr/>
          </w:pPr>
          <w:hyperlink w:anchor="__RefHeading___Toc3907717_73709187">
            <w:r>
              <w:rPr>
                <w:webHidden/>
                <w:rStyle w:val="IndexLink"/>
                <w:rtl w:val="true"/>
              </w:rPr>
              <w:t>مشايخ مدرسة البصرة</w:t>
            </w:r>
            <w:r>
              <w:rPr>
                <w:rStyle w:val="IndexLink"/>
                <w:rtl w:val="true"/>
              </w:rPr>
              <w:tab/>
            </w:r>
            <w:r>
              <w:rPr>
                <w:rStyle w:val="IndexLink"/>
              </w:rPr>
              <w:t>406</w:t>
            </w:r>
          </w:hyperlink>
        </w:p>
        <w:p>
          <w:pPr>
            <w:pStyle w:val="Contents4"/>
            <w:tabs>
              <w:tab w:val="clear" w:pos="8176"/>
              <w:tab w:val="right" w:pos="9026" w:leader="dot"/>
            </w:tabs>
            <w:rPr/>
          </w:pPr>
          <w:hyperlink w:anchor="__RefHeading___Toc3907719_73709187">
            <w:r>
              <w:rPr>
                <w:webHidden/>
                <w:rStyle w:val="IndexLink"/>
                <w:rtl w:val="true"/>
              </w:rPr>
              <w:t>مشايخ مدرسة بغداد</w:t>
            </w:r>
            <w:r>
              <w:rPr>
                <w:rStyle w:val="IndexLink"/>
                <w:rtl w:val="true"/>
              </w:rPr>
              <w:tab/>
            </w:r>
            <w:r>
              <w:rPr>
                <w:rStyle w:val="IndexLink"/>
              </w:rPr>
              <w:t>407</w:t>
            </w:r>
          </w:hyperlink>
        </w:p>
        <w:p>
          <w:pPr>
            <w:pStyle w:val="Contents3"/>
            <w:tabs>
              <w:tab w:val="clear" w:pos="8459"/>
              <w:tab w:val="right" w:pos="9026" w:leader="dot"/>
            </w:tabs>
            <w:rPr/>
          </w:pPr>
          <w:hyperlink w:anchor="__RefHeading___Toc3907721_73709187">
            <w:r>
              <w:rPr>
                <w:webHidden/>
                <w:rStyle w:val="IndexLink"/>
                <w:rtl w:val="true"/>
              </w:rPr>
              <w:t>الفصل السابع</w:t>
            </w:r>
            <w:r>
              <w:rPr>
                <w:rStyle w:val="IndexLink"/>
                <w:rtl w:val="true"/>
              </w:rPr>
              <w:t xml:space="preserve">: </w:t>
            </w:r>
            <w:r>
              <w:rPr>
                <w:rStyle w:val="IndexLink"/>
                <w:rtl w:val="true"/>
              </w:rPr>
              <w:t>في الأُصول الخمسة عند المعتزلة</w:t>
            </w:r>
            <w:r>
              <w:rPr>
                <w:rStyle w:val="IndexLink"/>
                <w:rtl w:val="true"/>
              </w:rPr>
              <w:tab/>
            </w:r>
            <w:r>
              <w:rPr>
                <w:rStyle w:val="IndexLink"/>
              </w:rPr>
              <w:t>408</w:t>
            </w:r>
          </w:hyperlink>
        </w:p>
        <w:p>
          <w:pPr>
            <w:pStyle w:val="Contents4"/>
            <w:tabs>
              <w:tab w:val="clear" w:pos="8176"/>
              <w:tab w:val="right" w:pos="9026" w:leader="dot"/>
            </w:tabs>
            <w:rPr/>
          </w:pPr>
          <w:hyperlink w:anchor="__RefHeading___Toc3907723_73709187">
            <w:r>
              <w:rPr>
                <w:webHidden/>
                <w:rStyle w:val="IndexLink"/>
                <w:rtl w:val="true"/>
              </w:rPr>
              <w:t>[</w:t>
            </w:r>
            <w:r>
              <w:rPr>
                <w:rStyle w:val="IndexLink"/>
                <w:rtl w:val="true"/>
              </w:rPr>
              <w:t>تمهيد</w:t>
            </w:r>
            <w:r>
              <w:rPr>
                <w:rStyle w:val="IndexLink"/>
                <w:rtl w:val="true"/>
              </w:rPr>
              <w:t>]</w:t>
              <w:tab/>
            </w:r>
            <w:r>
              <w:rPr>
                <w:rStyle w:val="IndexLink"/>
              </w:rPr>
              <w:t>408</w:t>
            </w:r>
          </w:hyperlink>
        </w:p>
        <w:p>
          <w:pPr>
            <w:pStyle w:val="Contents5"/>
            <w:tabs>
              <w:tab w:val="clear" w:pos="7892"/>
              <w:tab w:val="right" w:pos="9026" w:leader="dot"/>
            </w:tabs>
            <w:rPr/>
          </w:pPr>
          <w:hyperlink w:anchor="__RefHeading___Toc3907725_7370918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3907727_73709187">
            <w:r>
              <w:rPr>
                <w:webHidden/>
                <w:rStyle w:val="IndexLink"/>
                <w:rtl w:val="true"/>
              </w:rPr>
              <w:t>إيعاز إلى الأُصول الخمسة</w:t>
            </w:r>
            <w:r>
              <w:rPr>
                <w:rStyle w:val="IndexLink"/>
                <w:rtl w:val="true"/>
              </w:rPr>
              <w:tab/>
            </w:r>
            <w:r>
              <w:rPr>
                <w:rStyle w:val="IndexLink"/>
              </w:rPr>
              <w:t>409</w:t>
            </w:r>
          </w:hyperlink>
        </w:p>
        <w:p>
          <w:pPr>
            <w:pStyle w:val="Contents5"/>
            <w:tabs>
              <w:tab w:val="clear" w:pos="7892"/>
              <w:tab w:val="right" w:pos="9026" w:leader="dot"/>
            </w:tabs>
            <w:rPr/>
          </w:pPr>
          <w:hyperlink w:anchor="__RefHeading___Toc3907729_73709187">
            <w:r>
              <w:rPr>
                <w:webHidden/>
                <w:rStyle w:val="IndexLink"/>
                <w:rtl w:val="true"/>
              </w:rPr>
              <w:t>[</w:t>
            </w:r>
            <w:r>
              <w:rPr>
                <w:rStyle w:val="IndexLink"/>
                <w:rtl w:val="true"/>
              </w:rPr>
              <w:t>تحقيق</w:t>
            </w:r>
            <w:r>
              <w:rPr>
                <w:rStyle w:val="IndexLink"/>
                <w:rtl w:val="true"/>
              </w:rPr>
              <w:t>]</w:t>
              <w:tab/>
            </w:r>
            <w:r>
              <w:rPr>
                <w:rStyle w:val="IndexLink"/>
              </w:rPr>
              <w:t>415</w:t>
            </w:r>
          </w:hyperlink>
        </w:p>
        <w:p>
          <w:pPr>
            <w:pStyle w:val="Contents6"/>
            <w:tabs>
              <w:tab w:val="clear" w:pos="7609"/>
              <w:tab w:val="right" w:pos="9026" w:leader="dot"/>
            </w:tabs>
            <w:rPr/>
          </w:pPr>
          <w:hyperlink w:anchor="__RefHeading___Toc3907731_73709187">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3907733_73709187">
            <w:r>
              <w:rPr>
                <w:webHidden/>
                <w:rStyle w:val="IndexLink"/>
              </w:rPr>
              <w:t>1</w:t>
            </w:r>
            <w:r>
              <w:rPr>
                <w:rStyle w:val="IndexLink"/>
                <w:rtl w:val="true"/>
              </w:rPr>
              <w:t xml:space="preserve"> - </w:t>
            </w:r>
            <w:r>
              <w:rPr>
                <w:rStyle w:val="IndexLink"/>
                <w:rtl w:val="true"/>
              </w:rPr>
              <w:t>أصلان أو أُصول خمسة؟</w:t>
            </w:r>
            <w:r>
              <w:rPr>
                <w:rStyle w:val="IndexLink"/>
                <w:rtl w:val="true"/>
              </w:rPr>
              <w:tab/>
            </w:r>
            <w:r>
              <w:rPr>
                <w:rStyle w:val="IndexLink"/>
              </w:rPr>
              <w:t>415</w:t>
            </w:r>
          </w:hyperlink>
        </w:p>
        <w:p>
          <w:pPr>
            <w:pStyle w:val="Contents6"/>
            <w:tabs>
              <w:tab w:val="clear" w:pos="7609"/>
              <w:tab w:val="right" w:pos="9026" w:leader="dot"/>
            </w:tabs>
            <w:rPr/>
          </w:pPr>
          <w:hyperlink w:anchor="__RefHeading___Toc3907735_73709187">
            <w:r>
              <w:rPr>
                <w:webHidden/>
                <w:rStyle w:val="IndexLink"/>
              </w:rPr>
              <w:t>2</w:t>
            </w:r>
            <w:r>
              <w:rPr>
                <w:rStyle w:val="IndexLink"/>
                <w:rtl w:val="true"/>
              </w:rPr>
              <w:t xml:space="preserve"> - </w:t>
            </w:r>
            <w:r>
              <w:rPr>
                <w:rStyle w:val="IndexLink"/>
                <w:rtl w:val="true"/>
              </w:rPr>
              <w:t>ما يلزم المكلّف عرفانه من أُصول الدين</w:t>
            </w:r>
            <w:r>
              <w:rPr>
                <w:rStyle w:val="IndexLink"/>
                <w:rtl w:val="true"/>
              </w:rPr>
              <w:tab/>
            </w:r>
            <w:r>
              <w:rPr>
                <w:rStyle w:val="IndexLink"/>
              </w:rPr>
              <w:t>418</w:t>
            </w:r>
          </w:hyperlink>
        </w:p>
        <w:p>
          <w:pPr>
            <w:pStyle w:val="Contents6"/>
            <w:tabs>
              <w:tab w:val="clear" w:pos="7609"/>
              <w:tab w:val="right" w:pos="9026" w:leader="dot"/>
            </w:tabs>
            <w:rPr/>
          </w:pPr>
          <w:hyperlink w:anchor="__RefHeading___Toc3907737_73709187">
            <w:r>
              <w:rPr>
                <w:webHidden/>
                <w:rStyle w:val="IndexLink"/>
              </w:rPr>
              <w:t>3</w:t>
            </w:r>
            <w:r>
              <w:rPr>
                <w:rStyle w:val="IndexLink"/>
                <w:rtl w:val="true"/>
              </w:rPr>
              <w:t xml:space="preserve"> - </w:t>
            </w:r>
            <w:r>
              <w:rPr>
                <w:rStyle w:val="IndexLink"/>
                <w:rtl w:val="true"/>
              </w:rPr>
              <w:t>سبب الاقتصار على الأُصول الخمسة</w:t>
            </w:r>
            <w:r>
              <w:rPr>
                <w:rStyle w:val="IndexLink"/>
                <w:rtl w:val="true"/>
              </w:rPr>
              <w:tab/>
            </w:r>
            <w:r>
              <w:rPr>
                <w:rStyle w:val="IndexLink"/>
              </w:rPr>
              <w:t>419</w:t>
            </w:r>
          </w:hyperlink>
        </w:p>
        <w:p>
          <w:pPr>
            <w:pStyle w:val="Contents4"/>
            <w:tabs>
              <w:tab w:val="clear" w:pos="8176"/>
              <w:tab w:val="right" w:pos="9026" w:leader="dot"/>
            </w:tabs>
            <w:rPr/>
          </w:pPr>
          <w:hyperlink w:anchor="__RefHeading___Toc3907739_73709187">
            <w:r>
              <w:rPr>
                <w:webHidden/>
                <w:rStyle w:val="IndexLink"/>
                <w:rtl w:val="true"/>
              </w:rPr>
              <w:t>الأصل الأوّل</w:t>
            </w:r>
            <w:r>
              <w:rPr>
                <w:rStyle w:val="IndexLink"/>
                <w:rtl w:val="true"/>
              </w:rPr>
              <w:t xml:space="preserve">: </w:t>
            </w:r>
            <w:r>
              <w:rPr>
                <w:rStyle w:val="IndexLink"/>
                <w:rtl w:val="true"/>
              </w:rPr>
              <w:t>التوحيد</w:t>
            </w:r>
            <w:r>
              <w:rPr>
                <w:rStyle w:val="IndexLink"/>
                <w:rtl w:val="true"/>
              </w:rPr>
              <w:tab/>
            </w:r>
            <w:r>
              <w:rPr>
                <w:rStyle w:val="IndexLink"/>
              </w:rPr>
              <w:t>426</w:t>
            </w:r>
          </w:hyperlink>
        </w:p>
        <w:p>
          <w:pPr>
            <w:pStyle w:val="Contents5"/>
            <w:tabs>
              <w:tab w:val="clear" w:pos="7892"/>
              <w:tab w:val="right" w:pos="9026" w:leader="dot"/>
            </w:tabs>
            <w:rPr/>
          </w:pPr>
          <w:hyperlink w:anchor="__RefHeading___Toc3907741_73709187">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3907743_73709187">
            <w:r>
              <w:rPr>
                <w:webHidden/>
                <w:rStyle w:val="IndexLink"/>
                <w:rtl w:val="true"/>
              </w:rPr>
              <w:t xml:space="preserve">أ </w:t>
            </w:r>
            <w:r>
              <w:rPr>
                <w:rStyle w:val="IndexLink"/>
                <w:rtl w:val="true"/>
              </w:rPr>
              <w:t xml:space="preserve">- </w:t>
            </w:r>
            <w:r>
              <w:rPr>
                <w:rStyle w:val="IndexLink"/>
                <w:rtl w:val="true"/>
              </w:rPr>
              <w:t>نفي الصفات الزائدة على ذاته</w:t>
            </w:r>
            <w:r>
              <w:rPr>
                <w:rStyle w:val="IndexLink"/>
                <w:rtl w:val="true"/>
              </w:rPr>
              <w:tab/>
            </w:r>
            <w:r>
              <w:rPr>
                <w:rStyle w:val="IndexLink"/>
              </w:rPr>
              <w:t>428</w:t>
            </w:r>
          </w:hyperlink>
        </w:p>
        <w:p>
          <w:pPr>
            <w:pStyle w:val="Contents6"/>
            <w:tabs>
              <w:tab w:val="clear" w:pos="7609"/>
              <w:tab w:val="right" w:pos="9026" w:leader="dot"/>
            </w:tabs>
            <w:rPr/>
          </w:pPr>
          <w:hyperlink w:anchor="__RefHeading___Toc3907745_73709187">
            <w:r>
              <w:rPr>
                <w:webHidden/>
                <w:rStyle w:val="IndexLink"/>
                <w:rtl w:val="true"/>
              </w:rPr>
              <w:t>اشارة</w:t>
            </w:r>
            <w:r>
              <w:rPr>
                <w:rStyle w:val="IndexLink"/>
                <w:rtl w:val="true"/>
              </w:rPr>
              <w:tab/>
            </w:r>
            <w:r>
              <w:rPr>
                <w:rStyle w:val="IndexLink"/>
              </w:rPr>
              <w:t>428</w:t>
            </w:r>
          </w:hyperlink>
        </w:p>
        <w:p>
          <w:pPr>
            <w:pStyle w:val="Contents6"/>
            <w:tabs>
              <w:tab w:val="clear" w:pos="7609"/>
              <w:tab w:val="right" w:pos="9026" w:leader="dot"/>
            </w:tabs>
            <w:rPr/>
          </w:pPr>
          <w:hyperlink w:anchor="__RefHeading___Toc3907747_73709187">
            <w:r>
              <w:rPr>
                <w:webHidden/>
                <w:rStyle w:val="IndexLink"/>
                <w:rtl w:val="true"/>
              </w:rPr>
              <w:t>تثنية القديم في نظريّة أهل الحديث</w:t>
            </w:r>
            <w:r>
              <w:rPr>
                <w:rStyle w:val="IndexLink"/>
                <w:rtl w:val="true"/>
              </w:rPr>
              <w:tab/>
            </w:r>
            <w:r>
              <w:rPr>
                <w:rStyle w:val="IndexLink"/>
              </w:rPr>
              <w:t>429</w:t>
            </w:r>
          </w:hyperlink>
        </w:p>
        <w:p>
          <w:pPr>
            <w:pStyle w:val="Contents6"/>
            <w:tabs>
              <w:tab w:val="clear" w:pos="7609"/>
              <w:tab w:val="right" w:pos="9026" w:leader="dot"/>
            </w:tabs>
            <w:rPr/>
          </w:pPr>
          <w:hyperlink w:anchor="__RefHeading___Toc3907749_73709187">
            <w:r>
              <w:rPr>
                <w:webHidden/>
                <w:rStyle w:val="IndexLink"/>
                <w:rtl w:val="true"/>
              </w:rPr>
              <w:t>محاولة الأشاعرة لتصحيح تثنية القديم</w:t>
            </w:r>
            <w:r>
              <w:rPr>
                <w:rStyle w:val="IndexLink"/>
                <w:rtl w:val="true"/>
              </w:rPr>
              <w:tab/>
            </w:r>
            <w:r>
              <w:rPr>
                <w:rStyle w:val="IndexLink"/>
              </w:rPr>
              <w:t>431</w:t>
            </w:r>
          </w:hyperlink>
        </w:p>
        <w:p>
          <w:pPr>
            <w:pStyle w:val="Contents6"/>
            <w:tabs>
              <w:tab w:val="clear" w:pos="7609"/>
              <w:tab w:val="right" w:pos="9026" w:leader="dot"/>
            </w:tabs>
            <w:rPr/>
          </w:pPr>
          <w:hyperlink w:anchor="__RefHeading___Toc3907751_73709187">
            <w:r>
              <w:rPr>
                <w:webHidden/>
                <w:rStyle w:val="IndexLink"/>
                <w:rtl w:val="true"/>
              </w:rPr>
              <w:t>توضيح مذهب أبي الهذيل</w:t>
            </w:r>
            <w:r>
              <w:rPr>
                <w:rStyle w:val="IndexLink"/>
                <w:rtl w:val="true"/>
              </w:rPr>
              <w:tab/>
            </w:r>
            <w:r>
              <w:rPr>
                <w:rStyle w:val="IndexLink"/>
              </w:rPr>
              <w:t>436</w:t>
            </w:r>
          </w:hyperlink>
        </w:p>
        <w:p>
          <w:pPr>
            <w:pStyle w:val="Contents6"/>
            <w:tabs>
              <w:tab w:val="clear" w:pos="7609"/>
              <w:tab w:val="right" w:pos="9026" w:leader="dot"/>
            </w:tabs>
            <w:rPr/>
          </w:pPr>
          <w:hyperlink w:anchor="__RefHeading___Toc3907753_73709187">
            <w:r>
              <w:rPr>
                <w:webHidden/>
                <w:rStyle w:val="IndexLink"/>
                <w:rtl w:val="true"/>
              </w:rPr>
              <w:t>برهان بديع لإثبات الوحدة</w:t>
            </w:r>
            <w:r>
              <w:rPr>
                <w:rStyle w:val="IndexLink"/>
                <w:rtl w:val="true"/>
              </w:rPr>
              <w:tab/>
            </w:r>
            <w:r>
              <w:rPr>
                <w:rStyle w:val="IndexLink"/>
              </w:rPr>
              <w:t>440</w:t>
            </w:r>
          </w:hyperlink>
        </w:p>
        <w:p>
          <w:pPr>
            <w:pStyle w:val="Contents6"/>
            <w:tabs>
              <w:tab w:val="clear" w:pos="7609"/>
              <w:tab w:val="right" w:pos="9026" w:leader="dot"/>
            </w:tabs>
            <w:rPr/>
          </w:pPr>
          <w:hyperlink w:anchor="__RefHeading___Toc3907755_73709187">
            <w:r>
              <w:rPr>
                <w:webHidden/>
                <w:rStyle w:val="IndexLink"/>
                <w:rtl w:val="true"/>
              </w:rPr>
              <w:t>كلام الإمام أمير المؤمنين عليه السلام في عينيّة الصفات مع الذات</w:t>
            </w:r>
            <w:r>
              <w:rPr>
                <w:rStyle w:val="IndexLink"/>
                <w:rtl w:val="true"/>
              </w:rPr>
              <w:tab/>
            </w:r>
            <w:r>
              <w:rPr>
                <w:rStyle w:val="IndexLink"/>
              </w:rPr>
              <w:t>444</w:t>
            </w:r>
          </w:hyperlink>
        </w:p>
        <w:p>
          <w:pPr>
            <w:pStyle w:val="Contents6"/>
            <w:tabs>
              <w:tab w:val="clear" w:pos="7609"/>
              <w:tab w:val="right" w:pos="9026" w:leader="dot"/>
            </w:tabs>
            <w:rPr/>
          </w:pPr>
          <w:hyperlink w:anchor="__RefHeading___Toc3907757_73709187">
            <w:r>
              <w:rPr>
                <w:webHidden/>
                <w:rStyle w:val="IndexLink"/>
                <w:rtl w:val="true"/>
              </w:rPr>
              <w:t>توضيح مذهب أبي عليّ الجبّائي</w:t>
            </w:r>
            <w:r>
              <w:rPr>
                <w:rStyle w:val="IndexLink"/>
                <w:rtl w:val="true"/>
              </w:rPr>
              <w:tab/>
            </w:r>
            <w:r>
              <w:rPr>
                <w:rStyle w:val="IndexLink"/>
              </w:rPr>
              <w:t>446</w:t>
            </w:r>
          </w:hyperlink>
        </w:p>
        <w:p>
          <w:pPr>
            <w:pStyle w:val="Contents6"/>
            <w:tabs>
              <w:tab w:val="clear" w:pos="7609"/>
              <w:tab w:val="right" w:pos="9026" w:leader="dot"/>
            </w:tabs>
            <w:rPr/>
          </w:pPr>
          <w:hyperlink w:anchor="__RefHeading___Toc3907759_73709187">
            <w:r>
              <w:rPr>
                <w:webHidden/>
                <w:rStyle w:val="IndexLink"/>
                <w:rtl w:val="true"/>
              </w:rPr>
              <w:t>تقييم نظريّة النيابة</w:t>
            </w:r>
            <w:r>
              <w:rPr>
                <w:rStyle w:val="IndexLink"/>
                <w:rtl w:val="true"/>
              </w:rPr>
              <w:tab/>
            </w:r>
            <w:r>
              <w:rPr>
                <w:rStyle w:val="IndexLink"/>
              </w:rPr>
              <w:t>447</w:t>
            </w:r>
          </w:hyperlink>
        </w:p>
        <w:p>
          <w:pPr>
            <w:pStyle w:val="Contents6"/>
            <w:tabs>
              <w:tab w:val="clear" w:pos="7609"/>
              <w:tab w:val="right" w:pos="9026" w:leader="dot"/>
            </w:tabs>
            <w:rPr/>
          </w:pPr>
          <w:hyperlink w:anchor="__RefHeading___Toc3907761_73709187">
            <w:r>
              <w:rPr>
                <w:webHidden/>
                <w:rStyle w:val="IndexLink"/>
                <w:rtl w:val="true"/>
              </w:rPr>
              <w:t>مذهب أبي هاشم</w:t>
            </w:r>
            <w:r>
              <w:rPr>
                <w:rStyle w:val="IndexLink"/>
                <w:rtl w:val="true"/>
              </w:rPr>
              <w:tab/>
            </w:r>
            <w:r>
              <w:rPr>
                <w:rStyle w:val="IndexLink"/>
              </w:rPr>
              <w:t>448</w:t>
            </w:r>
          </w:hyperlink>
        </w:p>
        <w:p>
          <w:pPr>
            <w:pStyle w:val="Contents5"/>
            <w:tabs>
              <w:tab w:val="clear" w:pos="7892"/>
              <w:tab w:val="right" w:pos="9026" w:leader="dot"/>
            </w:tabs>
            <w:rPr/>
          </w:pPr>
          <w:hyperlink w:anchor="__RefHeading___Toc3907763_73709187">
            <w:r>
              <w:rPr>
                <w:webHidden/>
                <w:rStyle w:val="IndexLink"/>
                <w:rtl w:val="true"/>
              </w:rPr>
              <w:t xml:space="preserve">ب </w:t>
            </w:r>
            <w:r>
              <w:rPr>
                <w:rStyle w:val="IndexLink"/>
                <w:rtl w:val="true"/>
              </w:rPr>
              <w:t xml:space="preserve">- </w:t>
            </w:r>
            <w:r>
              <w:rPr>
                <w:rStyle w:val="IndexLink"/>
                <w:rtl w:val="true"/>
              </w:rPr>
              <w:t>المعتزلة و حمل الصفات الخبريّة</w:t>
            </w:r>
            <w:r>
              <w:rPr>
                <w:rStyle w:val="IndexLink"/>
                <w:rtl w:val="true"/>
              </w:rPr>
              <w:tab/>
            </w:r>
            <w:r>
              <w:rPr>
                <w:rStyle w:val="IndexLink"/>
              </w:rPr>
              <w:t>450</w:t>
            </w:r>
          </w:hyperlink>
        </w:p>
        <w:p>
          <w:pPr>
            <w:pStyle w:val="Contents6"/>
            <w:tabs>
              <w:tab w:val="clear" w:pos="7609"/>
              <w:tab w:val="right" w:pos="9026" w:leader="dot"/>
            </w:tabs>
            <w:rPr/>
          </w:pPr>
          <w:hyperlink w:anchor="__RefHeading___Toc3907765_73709187">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3907767_73709187">
            <w:r>
              <w:rPr>
                <w:webHidden/>
                <w:rStyle w:val="IndexLink"/>
                <w:rtl w:val="true"/>
              </w:rPr>
              <w:t>المعتزلة بين التأويل المرفوض و المقبول</w:t>
            </w:r>
            <w:r>
              <w:rPr>
                <w:rStyle w:val="IndexLink"/>
                <w:rtl w:val="true"/>
              </w:rPr>
              <w:tab/>
            </w:r>
            <w:r>
              <w:rPr>
                <w:rStyle w:val="IndexLink"/>
              </w:rPr>
              <w:t>455</w:t>
            </w:r>
          </w:hyperlink>
        </w:p>
        <w:p>
          <w:pPr>
            <w:pStyle w:val="Contents5"/>
            <w:tabs>
              <w:tab w:val="clear" w:pos="7892"/>
              <w:tab w:val="right" w:pos="9026" w:leader="dot"/>
            </w:tabs>
            <w:rPr/>
          </w:pPr>
          <w:hyperlink w:anchor="__RefHeading___Toc3907769_73709187">
            <w:r>
              <w:rPr>
                <w:webHidden/>
                <w:rStyle w:val="IndexLink"/>
                <w:rtl w:val="true"/>
              </w:rPr>
              <w:t xml:space="preserve">ج </w:t>
            </w:r>
            <w:r>
              <w:rPr>
                <w:rStyle w:val="IndexLink"/>
                <w:rtl w:val="true"/>
              </w:rPr>
              <w:t xml:space="preserve">- </w:t>
            </w:r>
            <w:r>
              <w:rPr>
                <w:rStyle w:val="IndexLink"/>
                <w:rtl w:val="true"/>
              </w:rPr>
              <w:t>نفي الرؤية الحسية</w:t>
            </w:r>
            <w:r>
              <w:rPr>
                <w:rStyle w:val="IndexLink"/>
                <w:rtl w:val="true"/>
              </w:rPr>
              <w:tab/>
            </w:r>
            <w:r>
              <w:rPr>
                <w:rStyle w:val="IndexLink"/>
              </w:rPr>
              <w:t>463</w:t>
            </w:r>
          </w:hyperlink>
        </w:p>
        <w:p>
          <w:pPr>
            <w:pStyle w:val="Contents6"/>
            <w:tabs>
              <w:tab w:val="clear" w:pos="7609"/>
              <w:tab w:val="right" w:pos="9026" w:leader="dot"/>
            </w:tabs>
            <w:rPr/>
          </w:pPr>
          <w:hyperlink w:anchor="__RefHeading___Toc3907771_73709187">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3907773_73709187">
            <w:r>
              <w:rPr>
                <w:webHidden/>
                <w:rStyle w:val="IndexLink"/>
                <w:rtl w:val="true"/>
              </w:rPr>
              <w:t>الإجابة عن الشبه الثلاث</w:t>
            </w:r>
            <w:r>
              <w:rPr>
                <w:rStyle w:val="IndexLink"/>
                <w:rtl w:val="true"/>
              </w:rPr>
              <w:tab/>
            </w:r>
            <w:r>
              <w:rPr>
                <w:rStyle w:val="IndexLink"/>
              </w:rPr>
              <w:t>466</w:t>
            </w:r>
          </w:hyperlink>
        </w:p>
        <w:p>
          <w:pPr>
            <w:pStyle w:val="Contents4"/>
            <w:tabs>
              <w:tab w:val="clear" w:pos="8176"/>
              <w:tab w:val="right" w:pos="9026" w:leader="dot"/>
            </w:tabs>
            <w:rPr/>
          </w:pPr>
          <w:hyperlink w:anchor="__RefHeading___Toc3907775_73709187">
            <w:r>
              <w:rPr>
                <w:webHidden/>
                <w:rStyle w:val="IndexLink"/>
                <w:rtl w:val="true"/>
              </w:rPr>
              <w:t>الأصل الثاني</w:t>
            </w:r>
            <w:r>
              <w:rPr>
                <w:rStyle w:val="IndexLink"/>
                <w:rtl w:val="true"/>
              </w:rPr>
              <w:t xml:space="preserve">: </w:t>
            </w:r>
            <w:r>
              <w:rPr>
                <w:rStyle w:val="IndexLink"/>
                <w:rtl w:val="true"/>
              </w:rPr>
              <w:t>العدل</w:t>
            </w:r>
            <w:r>
              <w:rPr>
                <w:rStyle w:val="IndexLink"/>
                <w:rtl w:val="true"/>
              </w:rPr>
              <w:tab/>
            </w:r>
            <w:r>
              <w:rPr>
                <w:rStyle w:val="IndexLink"/>
              </w:rPr>
              <w:t>468</w:t>
            </w:r>
          </w:hyperlink>
        </w:p>
        <w:p>
          <w:pPr>
            <w:pStyle w:val="Contents5"/>
            <w:tabs>
              <w:tab w:val="clear" w:pos="7892"/>
              <w:tab w:val="right" w:pos="9026" w:leader="dot"/>
            </w:tabs>
            <w:rPr/>
          </w:pPr>
          <w:hyperlink w:anchor="__RefHeading___Toc3907777_7370918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3907779_73709187">
            <w:r>
              <w:rPr>
                <w:webHidden/>
                <w:rStyle w:val="IndexLink"/>
                <w:rtl w:val="true"/>
              </w:rPr>
              <w:t>ما يتفرّع على العدل من المسائل</w:t>
            </w:r>
            <w:r>
              <w:rPr>
                <w:rStyle w:val="IndexLink"/>
                <w:rtl w:val="true"/>
              </w:rPr>
              <w:tab/>
            </w:r>
            <w:r>
              <w:rPr>
                <w:rStyle w:val="IndexLink"/>
              </w:rPr>
              <w:t>476</w:t>
            </w:r>
          </w:hyperlink>
        </w:p>
        <w:p>
          <w:pPr>
            <w:pStyle w:val="Contents6"/>
            <w:tabs>
              <w:tab w:val="clear" w:pos="7609"/>
              <w:tab w:val="right" w:pos="9026" w:leader="dot"/>
            </w:tabs>
            <w:rPr/>
          </w:pPr>
          <w:hyperlink w:anchor="__RefHeading___Toc3907781_73709187">
            <w:r>
              <w:rPr>
                <w:webHidden/>
                <w:rStyle w:val="IndexLink"/>
                <w:rtl w:val="true"/>
              </w:rPr>
              <w:t>اشارة</w:t>
            </w:r>
            <w:r>
              <w:rPr>
                <w:rStyle w:val="IndexLink"/>
                <w:rtl w:val="true"/>
              </w:rPr>
              <w:tab/>
            </w:r>
            <w:r>
              <w:rPr>
                <w:rStyle w:val="IndexLink"/>
              </w:rPr>
              <w:t>476</w:t>
            </w:r>
          </w:hyperlink>
        </w:p>
        <w:p>
          <w:pPr>
            <w:pStyle w:val="Contents6"/>
            <w:tabs>
              <w:tab w:val="clear" w:pos="7609"/>
              <w:tab w:val="right" w:pos="9026" w:leader="dot"/>
            </w:tabs>
            <w:rPr/>
          </w:pPr>
          <w:hyperlink w:anchor="__RefHeading___Toc3907783_73709187">
            <w:r>
              <w:rPr>
                <w:webHidden/>
                <w:rStyle w:val="IndexLink"/>
                <w:rtl w:val="true"/>
              </w:rPr>
              <w:t>المسألة الأُولى</w:t>
            </w:r>
            <w:r>
              <w:rPr>
                <w:rStyle w:val="IndexLink"/>
                <w:rtl w:val="true"/>
              </w:rPr>
              <w:t xml:space="preserve">: </w:t>
            </w:r>
            <w:r>
              <w:rPr>
                <w:rStyle w:val="IndexLink"/>
                <w:rtl w:val="true"/>
              </w:rPr>
              <w:t>قدرته سبحانه على القبيح</w:t>
            </w:r>
            <w:r>
              <w:rPr>
                <w:rStyle w:val="IndexLink"/>
                <w:rtl w:val="true"/>
              </w:rPr>
              <w:tab/>
            </w:r>
            <w:r>
              <w:rPr>
                <w:rStyle w:val="IndexLink"/>
              </w:rPr>
              <w:t>478</w:t>
            </w:r>
          </w:hyperlink>
        </w:p>
        <w:p>
          <w:pPr>
            <w:pStyle w:val="Contents6"/>
            <w:tabs>
              <w:tab w:val="clear" w:pos="7609"/>
              <w:tab w:val="right" w:pos="9026" w:leader="dot"/>
            </w:tabs>
            <w:rPr/>
          </w:pPr>
          <w:hyperlink w:anchor="__RefHeading___Toc3907785_73709187">
            <w:r>
              <w:rPr>
                <w:webHidden/>
                <w:rStyle w:val="IndexLink"/>
                <w:rtl w:val="true"/>
              </w:rPr>
              <w:t>المسألة الثانية</w:t>
            </w:r>
            <w:r>
              <w:rPr>
                <w:rStyle w:val="IndexLink"/>
                <w:rtl w:val="true"/>
              </w:rPr>
              <w:t xml:space="preserve">: </w:t>
            </w:r>
            <w:r>
              <w:rPr>
                <w:rStyle w:val="IndexLink"/>
                <w:rtl w:val="true"/>
              </w:rPr>
              <w:t>في أنّ أفعال العباد، ليست مخلوقة للّٰه سبحانه</w:t>
            </w:r>
            <w:r>
              <w:rPr>
                <w:rStyle w:val="IndexLink"/>
                <w:rtl w:val="true"/>
              </w:rPr>
              <w:tab/>
            </w:r>
            <w:r>
              <w:rPr>
                <w:rStyle w:val="IndexLink"/>
              </w:rPr>
              <w:t>481</w:t>
            </w:r>
          </w:hyperlink>
        </w:p>
        <w:p>
          <w:pPr>
            <w:pStyle w:val="Contents6"/>
            <w:tabs>
              <w:tab w:val="clear" w:pos="7609"/>
              <w:tab w:val="right" w:pos="9026" w:leader="dot"/>
            </w:tabs>
            <w:rPr/>
          </w:pPr>
          <w:hyperlink w:anchor="__RefHeading___Toc3907787_73709187">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3907789_73709187">
            <w:r>
              <w:rPr>
                <w:webHidden/>
                <w:rStyle w:val="IndexLink"/>
                <w:rtl w:val="true"/>
              </w:rPr>
              <w:t>مناط الحاجة إلى العلّة هو الإمكان لا الحدوث</w:t>
            </w:r>
            <w:r>
              <w:rPr>
                <w:rStyle w:val="IndexLink"/>
                <w:rtl w:val="true"/>
              </w:rPr>
              <w:tab/>
            </w:r>
            <w:r>
              <w:rPr>
                <w:rStyle w:val="IndexLink"/>
              </w:rPr>
              <w:t>495</w:t>
            </w:r>
          </w:hyperlink>
        </w:p>
        <w:p>
          <w:pPr>
            <w:pStyle w:val="Contents6"/>
            <w:tabs>
              <w:tab w:val="clear" w:pos="7609"/>
              <w:tab w:val="right" w:pos="9026" w:leader="dot"/>
            </w:tabs>
            <w:rPr/>
          </w:pPr>
          <w:hyperlink w:anchor="__RefHeading___Toc3907791_73709187">
            <w:r>
              <w:rPr>
                <w:webHidden/>
                <w:rStyle w:val="IndexLink"/>
                <w:rtl w:val="true"/>
              </w:rPr>
              <w:t>تمثيلان لإيضاح الحقيقة</w:t>
            </w:r>
            <w:r>
              <w:rPr>
                <w:rStyle w:val="IndexLink"/>
                <w:rtl w:val="true"/>
              </w:rPr>
              <w:tab/>
            </w:r>
            <w:r>
              <w:rPr>
                <w:rStyle w:val="IndexLink"/>
              </w:rPr>
              <w:t>500</w:t>
            </w:r>
          </w:hyperlink>
        </w:p>
        <w:p>
          <w:pPr>
            <w:pStyle w:val="Contents6"/>
            <w:tabs>
              <w:tab w:val="clear" w:pos="7609"/>
              <w:tab w:val="right" w:pos="9026" w:leader="dot"/>
            </w:tabs>
            <w:rPr/>
          </w:pPr>
          <w:hyperlink w:anchor="__RefHeading___Toc3907793_73709187">
            <w:r>
              <w:rPr>
                <w:webHidden/>
                <w:rStyle w:val="IndexLink"/>
                <w:rtl w:val="true"/>
              </w:rPr>
              <w:t>تعلّق مقدور واحد بقادرين أو قدرتين</w:t>
            </w:r>
            <w:r>
              <w:rPr>
                <w:rStyle w:val="IndexLink"/>
                <w:rtl w:val="true"/>
              </w:rPr>
              <w:tab/>
            </w:r>
            <w:r>
              <w:rPr>
                <w:rStyle w:val="IndexLink"/>
              </w:rPr>
              <w:t>502</w:t>
            </w:r>
          </w:hyperlink>
        </w:p>
        <w:p>
          <w:pPr>
            <w:pStyle w:val="Contents6"/>
            <w:tabs>
              <w:tab w:val="clear" w:pos="7609"/>
              <w:tab w:val="right" w:pos="9026" w:leader="dot"/>
            </w:tabs>
            <w:rPr/>
          </w:pPr>
          <w:hyperlink w:anchor="__RefHeading___Toc3907795_73709187">
            <w:r>
              <w:rPr>
                <w:webHidden/>
                <w:rStyle w:val="IndexLink"/>
                <w:rtl w:val="true"/>
              </w:rPr>
              <w:t>المسألة الثالثة</w:t>
            </w:r>
            <w:r>
              <w:rPr>
                <w:rStyle w:val="IndexLink"/>
                <w:rtl w:val="true"/>
              </w:rPr>
              <w:t xml:space="preserve">: </w:t>
            </w:r>
            <w:r>
              <w:rPr>
                <w:rStyle w:val="IndexLink"/>
                <w:rtl w:val="true"/>
              </w:rPr>
              <w:t>في تقدّم الاستطاعة على الفعل</w:t>
            </w:r>
            <w:r>
              <w:rPr>
                <w:rStyle w:val="IndexLink"/>
                <w:rtl w:val="true"/>
              </w:rPr>
              <w:tab/>
            </w:r>
            <w:r>
              <w:rPr>
                <w:rStyle w:val="IndexLink"/>
              </w:rPr>
              <w:t>505</w:t>
            </w:r>
          </w:hyperlink>
        </w:p>
        <w:p>
          <w:pPr>
            <w:pStyle w:val="Contents6"/>
            <w:tabs>
              <w:tab w:val="clear" w:pos="7609"/>
              <w:tab w:val="right" w:pos="9026" w:leader="dot"/>
            </w:tabs>
            <w:rPr/>
          </w:pPr>
          <w:hyperlink w:anchor="__RefHeading___Toc3907797_73709187">
            <w:r>
              <w:rPr>
                <w:webHidden/>
                <w:rStyle w:val="IndexLink"/>
                <w:rtl w:val="true"/>
              </w:rPr>
              <w:t>المسألة الرابعة</w:t>
            </w:r>
            <w:r>
              <w:rPr>
                <w:rStyle w:val="IndexLink"/>
                <w:rtl w:val="true"/>
              </w:rPr>
              <w:t xml:space="preserve">: </w:t>
            </w:r>
            <w:r>
              <w:rPr>
                <w:rStyle w:val="IndexLink"/>
                <w:rtl w:val="true"/>
              </w:rPr>
              <w:t>في قبح التكليف بما لا يطاق</w:t>
            </w:r>
            <w:r>
              <w:rPr>
                <w:rStyle w:val="IndexLink"/>
                <w:rtl w:val="true"/>
              </w:rPr>
              <w:tab/>
            </w:r>
            <w:r>
              <w:rPr>
                <w:rStyle w:val="IndexLink"/>
              </w:rPr>
              <w:t>508</w:t>
            </w:r>
          </w:hyperlink>
        </w:p>
        <w:p>
          <w:pPr>
            <w:pStyle w:val="Contents6"/>
            <w:tabs>
              <w:tab w:val="clear" w:pos="7609"/>
              <w:tab w:val="right" w:pos="9026" w:leader="dot"/>
            </w:tabs>
            <w:rPr/>
          </w:pPr>
          <w:hyperlink w:anchor="__RefHeading___Toc3907799_73709187">
            <w:r>
              <w:rPr>
                <w:webHidden/>
                <w:rStyle w:val="IndexLink"/>
                <w:rtl w:val="true"/>
              </w:rPr>
              <w:t>المسألة الخامسة</w:t>
            </w:r>
            <w:r>
              <w:rPr>
                <w:rStyle w:val="IndexLink"/>
                <w:rtl w:val="true"/>
              </w:rPr>
              <w:t xml:space="preserve">: </w:t>
            </w:r>
            <w:r>
              <w:rPr>
                <w:rStyle w:val="IndexLink"/>
                <w:rtl w:val="true"/>
              </w:rPr>
              <w:t>في أنّ اللّٰه لا يريد المعاصي</w:t>
            </w:r>
            <w:r>
              <w:rPr>
                <w:rStyle w:val="IndexLink"/>
                <w:rtl w:val="true"/>
              </w:rPr>
              <w:tab/>
            </w:r>
            <w:r>
              <w:rPr>
                <w:rStyle w:val="IndexLink"/>
              </w:rPr>
              <w:t>510</w:t>
            </w:r>
          </w:hyperlink>
        </w:p>
        <w:p>
          <w:pPr>
            <w:pStyle w:val="Contents6"/>
            <w:tabs>
              <w:tab w:val="clear" w:pos="7609"/>
              <w:tab w:val="right" w:pos="9026" w:leader="dot"/>
            </w:tabs>
            <w:rPr/>
          </w:pPr>
          <w:hyperlink w:anchor="__RefHeading___Toc3907801_73709187">
            <w:r>
              <w:rPr>
                <w:webHidden/>
                <w:rStyle w:val="IndexLink"/>
                <w:rtl w:val="true"/>
              </w:rPr>
              <w:t>المسألة السادسة</w:t>
            </w:r>
            <w:r>
              <w:rPr>
                <w:rStyle w:val="IndexLink"/>
                <w:rtl w:val="true"/>
              </w:rPr>
              <w:t xml:space="preserve">: </w:t>
            </w:r>
            <w:r>
              <w:rPr>
                <w:rStyle w:val="IndexLink"/>
                <w:rtl w:val="true"/>
              </w:rPr>
              <w:t>في وجوب اللّطف</w:t>
            </w:r>
            <w:r>
              <w:rPr>
                <w:rStyle w:val="IndexLink"/>
                <w:rtl w:val="true"/>
              </w:rPr>
              <w:tab/>
            </w:r>
            <w:r>
              <w:rPr>
                <w:rStyle w:val="IndexLink"/>
              </w:rPr>
              <w:t>514</w:t>
            </w:r>
          </w:hyperlink>
        </w:p>
        <w:p>
          <w:pPr>
            <w:pStyle w:val="Contents6"/>
            <w:tabs>
              <w:tab w:val="clear" w:pos="7609"/>
              <w:tab w:val="right" w:pos="9026" w:leader="dot"/>
            </w:tabs>
            <w:rPr/>
          </w:pPr>
          <w:hyperlink w:anchor="__RefHeading___Toc3907803_73709187">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3907805_73709187">
            <w:r>
              <w:rPr>
                <w:webHidden/>
                <w:rStyle w:val="IndexLink"/>
              </w:rPr>
              <w:t>1</w:t>
            </w:r>
            <w:r>
              <w:rPr>
                <w:rStyle w:val="IndexLink"/>
                <w:rtl w:val="true"/>
              </w:rPr>
              <w:t xml:space="preserve"> - </w:t>
            </w:r>
            <w:r>
              <w:rPr>
                <w:rStyle w:val="IndexLink"/>
                <w:rtl w:val="true"/>
              </w:rPr>
              <w:t>اللُّطف المحصِّل</w:t>
            </w:r>
            <w:r>
              <w:rPr>
                <w:rStyle w:val="IndexLink"/>
                <w:rtl w:val="true"/>
              </w:rPr>
              <w:tab/>
            </w:r>
            <w:r>
              <w:rPr>
                <w:rStyle w:val="IndexLink"/>
              </w:rPr>
              <w:t>515</w:t>
            </w:r>
          </w:hyperlink>
        </w:p>
        <w:p>
          <w:pPr>
            <w:pStyle w:val="Contents6"/>
            <w:tabs>
              <w:tab w:val="clear" w:pos="7609"/>
              <w:tab w:val="right" w:pos="9026" w:leader="dot"/>
            </w:tabs>
            <w:rPr/>
          </w:pPr>
          <w:hyperlink w:anchor="__RefHeading___Toc3907807_73709187">
            <w:r>
              <w:rPr>
                <w:webHidden/>
                <w:rStyle w:val="IndexLink"/>
              </w:rPr>
              <w:t>2</w:t>
            </w:r>
            <w:r>
              <w:rPr>
                <w:rStyle w:val="IndexLink"/>
                <w:rtl w:val="true"/>
              </w:rPr>
              <w:t xml:space="preserve"> - </w:t>
            </w:r>
            <w:r>
              <w:rPr>
                <w:rStyle w:val="IndexLink"/>
                <w:rtl w:val="true"/>
              </w:rPr>
              <w:t>اللُّطف المقرِّب</w:t>
            </w:r>
            <w:r>
              <w:rPr>
                <w:rStyle w:val="IndexLink"/>
                <w:rtl w:val="true"/>
              </w:rPr>
              <w:tab/>
            </w:r>
            <w:r>
              <w:rPr>
                <w:rStyle w:val="IndexLink"/>
              </w:rPr>
              <w:t>516</w:t>
            </w:r>
          </w:hyperlink>
        </w:p>
        <w:p>
          <w:pPr>
            <w:pStyle w:val="Contents6"/>
            <w:tabs>
              <w:tab w:val="clear" w:pos="7609"/>
              <w:tab w:val="right" w:pos="9026" w:leader="dot"/>
            </w:tabs>
            <w:rPr/>
          </w:pPr>
          <w:hyperlink w:anchor="__RefHeading___Toc3907809_73709187">
            <w:r>
              <w:rPr>
                <w:webHidden/>
                <w:rStyle w:val="IndexLink"/>
                <w:rtl w:val="true"/>
              </w:rPr>
              <w:t>المسألة السابعة</w:t>
            </w:r>
            <w:r>
              <w:rPr>
                <w:rStyle w:val="IndexLink"/>
                <w:rtl w:val="true"/>
              </w:rPr>
              <w:t xml:space="preserve">: </w:t>
            </w:r>
            <w:r>
              <w:rPr>
                <w:rStyle w:val="IndexLink"/>
                <w:rtl w:val="true"/>
              </w:rPr>
              <w:t>في حدوث كلامه تعالى</w:t>
            </w:r>
            <w:r>
              <w:rPr>
                <w:rStyle w:val="IndexLink"/>
                <w:rtl w:val="true"/>
              </w:rPr>
              <w:tab/>
            </w:r>
            <w:r>
              <w:rPr>
                <w:rStyle w:val="IndexLink"/>
              </w:rPr>
              <w:t>524</w:t>
            </w:r>
          </w:hyperlink>
        </w:p>
        <w:p>
          <w:pPr>
            <w:pStyle w:val="Contents6"/>
            <w:tabs>
              <w:tab w:val="clear" w:pos="7609"/>
              <w:tab w:val="right" w:pos="9026" w:leader="dot"/>
            </w:tabs>
            <w:rPr/>
          </w:pPr>
          <w:hyperlink w:anchor="__RefHeading___Toc3907811_73709187">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3907813_73709187">
            <w:r>
              <w:rPr>
                <w:webHidden/>
                <w:rStyle w:val="IndexLink"/>
              </w:rPr>
              <w:t>1</w:t>
            </w:r>
            <w:r>
              <w:rPr>
                <w:rStyle w:val="IndexLink"/>
                <w:rtl w:val="true"/>
              </w:rPr>
              <w:t xml:space="preserve"> - </w:t>
            </w:r>
            <w:r>
              <w:rPr>
                <w:rStyle w:val="IndexLink"/>
                <w:rtl w:val="true"/>
              </w:rPr>
              <w:t>مسلك أهل الحديث</w:t>
            </w:r>
            <w:r>
              <w:rPr>
                <w:rStyle w:val="IndexLink"/>
                <w:rtl w:val="true"/>
              </w:rPr>
              <w:tab/>
            </w:r>
            <w:r>
              <w:rPr>
                <w:rStyle w:val="IndexLink"/>
              </w:rPr>
              <w:t>525</w:t>
            </w:r>
          </w:hyperlink>
        </w:p>
        <w:p>
          <w:pPr>
            <w:pStyle w:val="Contents6"/>
            <w:tabs>
              <w:tab w:val="clear" w:pos="7609"/>
              <w:tab w:val="right" w:pos="9026" w:leader="dot"/>
            </w:tabs>
            <w:rPr/>
          </w:pPr>
          <w:hyperlink w:anchor="__RefHeading___Toc3907815_73709187">
            <w:r>
              <w:rPr>
                <w:webHidden/>
                <w:rStyle w:val="IndexLink"/>
              </w:rPr>
              <w:t>2</w:t>
            </w:r>
            <w:r>
              <w:rPr>
                <w:rStyle w:val="IndexLink"/>
                <w:rtl w:val="true"/>
              </w:rPr>
              <w:t xml:space="preserve"> - </w:t>
            </w:r>
            <w:r>
              <w:rPr>
                <w:rStyle w:val="IndexLink"/>
                <w:rtl w:val="true"/>
              </w:rPr>
              <w:t>النصارى و قدم الكلمة</w:t>
            </w:r>
            <w:r>
              <w:rPr>
                <w:rStyle w:val="IndexLink"/>
                <w:rtl w:val="true"/>
              </w:rPr>
              <w:tab/>
            </w:r>
            <w:r>
              <w:rPr>
                <w:rStyle w:val="IndexLink"/>
              </w:rPr>
              <w:t>526</w:t>
            </w:r>
          </w:hyperlink>
        </w:p>
        <w:p>
          <w:pPr>
            <w:pStyle w:val="Contents6"/>
            <w:tabs>
              <w:tab w:val="clear" w:pos="7609"/>
              <w:tab w:val="right" w:pos="9026" w:leader="dot"/>
            </w:tabs>
            <w:rPr/>
          </w:pPr>
          <w:hyperlink w:anchor="__RefHeading___Toc3907817_73709187">
            <w:r>
              <w:rPr>
                <w:webHidden/>
                <w:rStyle w:val="IndexLink"/>
              </w:rPr>
              <w:t>3</w:t>
            </w:r>
            <w:r>
              <w:rPr>
                <w:rStyle w:val="IndexLink"/>
                <w:rtl w:val="true"/>
              </w:rPr>
              <w:t xml:space="preserve"> - </w:t>
            </w:r>
            <w:r>
              <w:rPr>
                <w:rStyle w:val="IndexLink"/>
                <w:rtl w:val="true"/>
              </w:rPr>
              <w:t>استدلالهم على حدوث القرآن</w:t>
            </w:r>
            <w:r>
              <w:rPr>
                <w:rStyle w:val="IndexLink"/>
                <w:rtl w:val="true"/>
              </w:rPr>
              <w:tab/>
            </w:r>
            <w:r>
              <w:rPr>
                <w:rStyle w:val="IndexLink"/>
              </w:rPr>
              <w:t>529</w:t>
            </w:r>
          </w:hyperlink>
        </w:p>
        <w:p>
          <w:pPr>
            <w:pStyle w:val="Contents6"/>
            <w:tabs>
              <w:tab w:val="clear" w:pos="7609"/>
              <w:tab w:val="right" w:pos="9026" w:leader="dot"/>
            </w:tabs>
            <w:rPr/>
          </w:pPr>
          <w:hyperlink w:anchor="__RefHeading___Toc3907819_73709187">
            <w:r>
              <w:rPr>
                <w:webHidden/>
                <w:rStyle w:val="IndexLink"/>
              </w:rPr>
              <w:t>4</w:t>
            </w:r>
            <w:r>
              <w:rPr>
                <w:rStyle w:val="IndexLink"/>
                <w:rtl w:val="true"/>
              </w:rPr>
              <w:t xml:space="preserve"> - </w:t>
            </w:r>
            <w:r>
              <w:rPr>
                <w:rStyle w:val="IndexLink"/>
                <w:rtl w:val="true"/>
              </w:rPr>
              <w:t>محاولة بعض الحنابلة لإثبات القدم</w:t>
            </w:r>
            <w:r>
              <w:rPr>
                <w:rStyle w:val="IndexLink"/>
                <w:rtl w:val="true"/>
              </w:rPr>
              <w:tab/>
            </w:r>
            <w:r>
              <w:rPr>
                <w:rStyle w:val="IndexLink"/>
              </w:rPr>
              <w:t>531</w:t>
            </w:r>
          </w:hyperlink>
        </w:p>
        <w:p>
          <w:pPr>
            <w:pStyle w:val="Contents6"/>
            <w:tabs>
              <w:tab w:val="clear" w:pos="7609"/>
              <w:tab w:val="right" w:pos="9026" w:leader="dot"/>
            </w:tabs>
            <w:rPr/>
          </w:pPr>
          <w:hyperlink w:anchor="__RefHeading___Toc3907821_73709187">
            <w:r>
              <w:rPr>
                <w:webHidden/>
                <w:rStyle w:val="IndexLink"/>
              </w:rPr>
              <w:t>5</w:t>
            </w:r>
            <w:r>
              <w:rPr>
                <w:rStyle w:val="IndexLink"/>
                <w:rtl w:val="true"/>
              </w:rPr>
              <w:t xml:space="preserve"> - </w:t>
            </w:r>
            <w:r>
              <w:rPr>
                <w:rStyle w:val="IndexLink"/>
                <w:rtl w:val="true"/>
              </w:rPr>
              <w:t>نقد أدلّة القائلين بالقدم</w:t>
            </w:r>
            <w:r>
              <w:rPr>
                <w:rStyle w:val="IndexLink"/>
                <w:rtl w:val="true"/>
              </w:rPr>
              <w:tab/>
            </w:r>
            <w:r>
              <w:rPr>
                <w:rStyle w:val="IndexLink"/>
              </w:rPr>
              <w:t>533</w:t>
            </w:r>
          </w:hyperlink>
        </w:p>
        <w:p>
          <w:pPr>
            <w:pStyle w:val="Contents6"/>
            <w:tabs>
              <w:tab w:val="clear" w:pos="7609"/>
              <w:tab w:val="right" w:pos="9026" w:leader="dot"/>
            </w:tabs>
            <w:rPr/>
          </w:pPr>
          <w:hyperlink w:anchor="__RefHeading___Toc3907823_73709187">
            <w:r>
              <w:rPr>
                <w:webHidden/>
                <w:rStyle w:val="IndexLink"/>
                <w:rtl w:val="true"/>
              </w:rPr>
              <w:t>المسألة الثامنة</w:t>
            </w:r>
            <w:r>
              <w:rPr>
                <w:rStyle w:val="IndexLink"/>
                <w:rtl w:val="true"/>
              </w:rPr>
              <w:t xml:space="preserve">: </w:t>
            </w:r>
            <w:r>
              <w:rPr>
                <w:rStyle w:val="IndexLink"/>
                <w:rtl w:val="true"/>
              </w:rPr>
              <w:t>ما تتعلّق بالنبوّات و الشرائع و معاجز الأنبياء</w:t>
            </w:r>
            <w:r>
              <w:rPr>
                <w:rStyle w:val="IndexLink"/>
                <w:rtl w:val="true"/>
              </w:rPr>
              <w:tab/>
            </w:r>
            <w:r>
              <w:rPr>
                <w:rStyle w:val="IndexLink"/>
              </w:rPr>
              <w:t>543</w:t>
            </w:r>
          </w:hyperlink>
        </w:p>
        <w:p>
          <w:pPr>
            <w:pStyle w:val="Contents4"/>
            <w:tabs>
              <w:tab w:val="clear" w:pos="8176"/>
              <w:tab w:val="right" w:pos="9026" w:leader="dot"/>
            </w:tabs>
            <w:rPr/>
          </w:pPr>
          <w:hyperlink w:anchor="__RefHeading___Toc3907825_73709187">
            <w:r>
              <w:rPr>
                <w:webHidden/>
                <w:rStyle w:val="IndexLink"/>
                <w:rtl w:val="true"/>
              </w:rPr>
              <w:t>الأصل الثالث</w:t>
            </w:r>
            <w:r>
              <w:rPr>
                <w:rStyle w:val="IndexLink"/>
                <w:rtl w:val="true"/>
              </w:rPr>
              <w:t xml:space="preserve">: </w:t>
            </w:r>
            <w:r>
              <w:rPr>
                <w:rStyle w:val="IndexLink"/>
                <w:rtl w:val="true"/>
              </w:rPr>
              <w:t>الوعد و الوعيد</w:t>
            </w:r>
            <w:r>
              <w:rPr>
                <w:rStyle w:val="IndexLink"/>
                <w:rtl w:val="true"/>
              </w:rPr>
              <w:tab/>
            </w:r>
            <w:r>
              <w:rPr>
                <w:rStyle w:val="IndexLink"/>
              </w:rPr>
              <w:t>546</w:t>
            </w:r>
          </w:hyperlink>
        </w:p>
        <w:p>
          <w:pPr>
            <w:pStyle w:val="Contents5"/>
            <w:tabs>
              <w:tab w:val="clear" w:pos="7892"/>
              <w:tab w:val="right" w:pos="9026" w:leader="dot"/>
            </w:tabs>
            <w:rPr/>
          </w:pPr>
          <w:hyperlink w:anchor="__RefHeading___Toc3907827_73709187">
            <w:r>
              <w:rPr>
                <w:webHidden/>
                <w:rStyle w:val="IndexLink"/>
                <w:rtl w:val="true"/>
              </w:rPr>
              <w:t>اشارة</w:t>
            </w:r>
            <w:r>
              <w:rPr>
                <w:rStyle w:val="IndexLink"/>
                <w:rtl w:val="true"/>
              </w:rPr>
              <w:tab/>
            </w:r>
            <w:r>
              <w:rPr>
                <w:rStyle w:val="IndexLink"/>
              </w:rPr>
              <w:t>546</w:t>
            </w:r>
          </w:hyperlink>
        </w:p>
        <w:p>
          <w:pPr>
            <w:pStyle w:val="Contents5"/>
            <w:tabs>
              <w:tab w:val="clear" w:pos="7892"/>
              <w:tab w:val="right" w:pos="9026" w:leader="dot"/>
            </w:tabs>
            <w:rPr/>
          </w:pPr>
          <w:hyperlink w:anchor="__RefHeading___Toc3907829_73709187">
            <w:r>
              <w:rPr>
                <w:webHidden/>
                <w:rStyle w:val="IndexLink"/>
                <w:rtl w:val="true"/>
              </w:rPr>
              <w:t xml:space="preserve">أ </w:t>
            </w:r>
            <w:r>
              <w:rPr>
                <w:rStyle w:val="IndexLink"/>
                <w:rtl w:val="true"/>
              </w:rPr>
              <w:t xml:space="preserve">- </w:t>
            </w:r>
            <w:r>
              <w:rPr>
                <w:rStyle w:val="IndexLink"/>
                <w:rtl w:val="true"/>
              </w:rPr>
              <w:t>هل يحسن العفو عن العصاة من اللّٰه أو لا؟</w:t>
            </w:r>
            <w:r>
              <w:rPr>
                <w:rStyle w:val="IndexLink"/>
                <w:rtl w:val="true"/>
              </w:rPr>
              <w:tab/>
            </w:r>
            <w:r>
              <w:rPr>
                <w:rStyle w:val="IndexLink"/>
              </w:rPr>
              <w:t>548</w:t>
            </w:r>
          </w:hyperlink>
        </w:p>
        <w:p>
          <w:pPr>
            <w:pStyle w:val="Contents5"/>
            <w:tabs>
              <w:tab w:val="clear" w:pos="7892"/>
              <w:tab w:val="right" w:pos="9026" w:leader="dot"/>
            </w:tabs>
            <w:rPr/>
          </w:pPr>
          <w:hyperlink w:anchor="__RefHeading___Toc3907831_73709187">
            <w:r>
              <w:rPr>
                <w:webHidden/>
                <w:rStyle w:val="IndexLink"/>
                <w:rtl w:val="true"/>
              </w:rPr>
              <w:t xml:space="preserve">ب </w:t>
            </w:r>
            <w:r>
              <w:rPr>
                <w:rStyle w:val="IndexLink"/>
                <w:rtl w:val="true"/>
              </w:rPr>
              <w:t xml:space="preserve">- </w:t>
            </w:r>
            <w:r>
              <w:rPr>
                <w:rStyle w:val="IndexLink"/>
                <w:rtl w:val="true"/>
              </w:rPr>
              <w:t>هل الفاسق مخلد في العذاب أو لا؟</w:t>
            </w:r>
            <w:r>
              <w:rPr>
                <w:rStyle w:val="IndexLink"/>
                <w:rtl w:val="true"/>
              </w:rPr>
              <w:tab/>
            </w:r>
            <w:r>
              <w:rPr>
                <w:rStyle w:val="IndexLink"/>
              </w:rPr>
              <w:t>553</w:t>
            </w:r>
          </w:hyperlink>
        </w:p>
        <w:p>
          <w:pPr>
            <w:pStyle w:val="Contents5"/>
            <w:tabs>
              <w:tab w:val="clear" w:pos="7892"/>
              <w:tab w:val="right" w:pos="9026" w:leader="dot"/>
            </w:tabs>
            <w:rPr/>
          </w:pPr>
          <w:hyperlink w:anchor="__RefHeading___Toc3907833_73709187">
            <w:r>
              <w:rPr>
                <w:webHidden/>
                <w:rStyle w:val="IndexLink"/>
                <w:rtl w:val="true"/>
              </w:rPr>
              <w:t xml:space="preserve">ج </w:t>
            </w:r>
            <w:r>
              <w:rPr>
                <w:rStyle w:val="IndexLink"/>
                <w:rtl w:val="true"/>
              </w:rPr>
              <w:t xml:space="preserve">- </w:t>
            </w:r>
            <w:r>
              <w:rPr>
                <w:rStyle w:val="IndexLink"/>
                <w:rtl w:val="true"/>
              </w:rPr>
              <w:t>هل الشفاعة للتائبين من المؤمنين أو للفسّاق منهم؟</w:t>
            </w:r>
            <w:r>
              <w:rPr>
                <w:rStyle w:val="IndexLink"/>
                <w:rtl w:val="true"/>
              </w:rPr>
              <w:tab/>
            </w:r>
            <w:r>
              <w:rPr>
                <w:rStyle w:val="IndexLink"/>
              </w:rPr>
              <w:t>561</w:t>
            </w:r>
          </w:hyperlink>
        </w:p>
        <w:p>
          <w:pPr>
            <w:pStyle w:val="Contents5"/>
            <w:tabs>
              <w:tab w:val="clear" w:pos="7892"/>
              <w:tab w:val="right" w:pos="9026" w:leader="dot"/>
            </w:tabs>
            <w:rPr/>
          </w:pPr>
          <w:hyperlink w:anchor="__RefHeading___Toc3907835_73709187">
            <w:r>
              <w:rPr>
                <w:webHidden/>
                <w:rStyle w:val="IndexLink"/>
                <w:rtl w:val="true"/>
              </w:rPr>
              <w:t xml:space="preserve">د </w:t>
            </w:r>
            <w:r>
              <w:rPr>
                <w:rStyle w:val="IndexLink"/>
                <w:rtl w:val="true"/>
              </w:rPr>
              <w:t xml:space="preserve">- </w:t>
            </w:r>
            <w:r>
              <w:rPr>
                <w:rStyle w:val="IndexLink"/>
                <w:rtl w:val="true"/>
              </w:rPr>
              <w:t>القائلون بجواز العفو أو عدم الخلود، مرجئة أو راجية؟</w:t>
            </w:r>
            <w:r>
              <w:rPr>
                <w:rStyle w:val="IndexLink"/>
                <w:rtl w:val="true"/>
              </w:rPr>
              <w:tab/>
            </w:r>
            <w:r>
              <w:rPr>
                <w:rStyle w:val="IndexLink"/>
              </w:rPr>
              <w:t>566</w:t>
            </w:r>
          </w:hyperlink>
        </w:p>
        <w:p>
          <w:pPr>
            <w:pStyle w:val="Contents5"/>
            <w:tabs>
              <w:tab w:val="clear" w:pos="7892"/>
              <w:tab w:val="right" w:pos="9026" w:leader="dot"/>
            </w:tabs>
            <w:rPr/>
          </w:pPr>
          <w:hyperlink w:anchor="__RefHeading___Toc3907837_73709187">
            <w:r>
              <w:rPr>
                <w:webHidden/>
                <w:rStyle w:val="IndexLink"/>
                <w:rtl w:val="true"/>
              </w:rPr>
              <w:t xml:space="preserve">ه </w:t>
            </w:r>
            <w:r>
              <w:rPr>
                <w:rStyle w:val="IndexLink"/>
                <w:rtl w:val="true"/>
              </w:rPr>
              <w:t xml:space="preserve">- </w:t>
            </w:r>
            <w:r>
              <w:rPr>
                <w:rStyle w:val="IndexLink"/>
                <w:rtl w:val="true"/>
              </w:rPr>
              <w:t>هل الطاعات مؤثِّرة في سقوط العقاب، و المعاصي مؤثِّرة في سقوط الثواب، و هذا ما يعبّر عنه بالإحباط و التكفير</w:t>
            </w:r>
            <w:r>
              <w:rPr>
                <w:rStyle w:val="IndexLink"/>
                <w:rtl w:val="true"/>
              </w:rPr>
              <w:t>.</w:t>
              <w:tab/>
            </w:r>
            <w:r>
              <w:rPr>
                <w:rStyle w:val="IndexLink"/>
              </w:rPr>
              <w:t>567</w:t>
            </w:r>
          </w:hyperlink>
        </w:p>
        <w:p>
          <w:pPr>
            <w:pStyle w:val="Contents6"/>
            <w:tabs>
              <w:tab w:val="clear" w:pos="7609"/>
              <w:tab w:val="right" w:pos="9026" w:leader="dot"/>
            </w:tabs>
            <w:rPr/>
          </w:pPr>
          <w:hyperlink w:anchor="__RefHeading___Toc3907839_73709187">
            <w:r>
              <w:rPr>
                <w:webHidden/>
                <w:rStyle w:val="IndexLink"/>
                <w:rtl w:val="true"/>
              </w:rPr>
              <w:t>اشارة</w:t>
            </w:r>
            <w:r>
              <w:rPr>
                <w:rStyle w:val="IndexLink"/>
                <w:rtl w:val="true"/>
              </w:rPr>
              <w:tab/>
            </w:r>
            <w:r>
              <w:rPr>
                <w:rStyle w:val="IndexLink"/>
              </w:rPr>
              <w:t>567</w:t>
            </w:r>
          </w:hyperlink>
        </w:p>
        <w:p>
          <w:pPr>
            <w:pStyle w:val="Contents6"/>
            <w:tabs>
              <w:tab w:val="clear" w:pos="7609"/>
              <w:tab w:val="right" w:pos="9026" w:leader="dot"/>
            </w:tabs>
            <w:rPr/>
          </w:pPr>
          <w:hyperlink w:anchor="__RefHeading___Toc3907841_73709187">
            <w:r>
              <w:rPr>
                <w:webHidden/>
                <w:rStyle w:val="IndexLink"/>
              </w:rPr>
              <w:t>1</w:t>
            </w:r>
            <w:r>
              <w:rPr>
                <w:rStyle w:val="IndexLink"/>
                <w:rtl w:val="true"/>
              </w:rPr>
              <w:t xml:space="preserve"> - </w:t>
            </w:r>
            <w:r>
              <w:rPr>
                <w:rStyle w:val="IndexLink"/>
                <w:rtl w:val="true"/>
              </w:rPr>
              <w:t>الإحباط</w:t>
            </w:r>
            <w:r>
              <w:rPr>
                <w:rStyle w:val="IndexLink"/>
                <w:rtl w:val="true"/>
              </w:rPr>
              <w:tab/>
            </w:r>
            <w:r>
              <w:rPr>
                <w:rStyle w:val="IndexLink"/>
              </w:rPr>
              <w:t>568</w:t>
            </w:r>
          </w:hyperlink>
        </w:p>
        <w:p>
          <w:pPr>
            <w:pStyle w:val="Contents6"/>
            <w:tabs>
              <w:tab w:val="clear" w:pos="7609"/>
              <w:tab w:val="right" w:pos="9026" w:leader="dot"/>
            </w:tabs>
            <w:rPr/>
          </w:pPr>
          <w:hyperlink w:anchor="__RefHeading___Toc3907843_73709187">
            <w:r>
              <w:rPr>
                <w:webHidden/>
                <w:rStyle w:val="IndexLink"/>
                <w:rtl w:val="true"/>
              </w:rPr>
              <w:t>اشارة</w:t>
            </w:r>
            <w:r>
              <w:rPr>
                <w:rStyle w:val="IndexLink"/>
                <w:rtl w:val="true"/>
              </w:rPr>
              <w:tab/>
            </w:r>
            <w:r>
              <w:rPr>
                <w:rStyle w:val="IndexLink"/>
              </w:rPr>
              <w:t>568</w:t>
            </w:r>
          </w:hyperlink>
        </w:p>
        <w:p>
          <w:pPr>
            <w:pStyle w:val="Contents6"/>
            <w:tabs>
              <w:tab w:val="clear" w:pos="7609"/>
              <w:tab w:val="right" w:pos="9026" w:leader="dot"/>
            </w:tabs>
            <w:rPr/>
          </w:pPr>
          <w:hyperlink w:anchor="__RefHeading___Toc3907845_73709187">
            <w:r>
              <w:rPr>
                <w:webHidden/>
                <w:rStyle w:val="IndexLink"/>
                <w:rtl w:val="true"/>
              </w:rPr>
              <w:t>أدلّة نفاة الإحباط</w:t>
            </w:r>
            <w:r>
              <w:rPr>
                <w:rStyle w:val="IndexLink"/>
                <w:rtl w:val="true"/>
              </w:rPr>
              <w:tab/>
            </w:r>
            <w:r>
              <w:rPr>
                <w:rStyle w:val="IndexLink"/>
              </w:rPr>
              <w:t>570</w:t>
            </w:r>
          </w:hyperlink>
        </w:p>
        <w:p>
          <w:pPr>
            <w:pStyle w:val="Contents6"/>
            <w:tabs>
              <w:tab w:val="clear" w:pos="7609"/>
              <w:tab w:val="right" w:pos="9026" w:leader="dot"/>
            </w:tabs>
            <w:rPr/>
          </w:pPr>
          <w:hyperlink w:anchor="__RefHeading___Toc3907847_73709187">
            <w:r>
              <w:rPr>
                <w:webHidden/>
                <w:rStyle w:val="IndexLink"/>
                <w:rtl w:val="true"/>
              </w:rPr>
              <w:t>سؤال و إجابة</w:t>
            </w:r>
            <w:r>
              <w:rPr>
                <w:rStyle w:val="IndexLink"/>
                <w:rtl w:val="true"/>
              </w:rPr>
              <w:tab/>
            </w:r>
            <w:r>
              <w:rPr>
                <w:rStyle w:val="IndexLink"/>
              </w:rPr>
              <w:t>573</w:t>
            </w:r>
          </w:hyperlink>
        </w:p>
        <w:p>
          <w:pPr>
            <w:pStyle w:val="Contents6"/>
            <w:tabs>
              <w:tab w:val="clear" w:pos="7609"/>
              <w:tab w:val="right" w:pos="9026" w:leader="dot"/>
            </w:tabs>
            <w:rPr/>
          </w:pPr>
          <w:hyperlink w:anchor="__RefHeading___Toc3907849_73709187">
            <w:r>
              <w:rPr>
                <w:webHidden/>
                <w:rStyle w:val="IndexLink"/>
                <w:rtl w:val="true"/>
              </w:rPr>
              <w:t>أدلّة مُثبِتي الإِحباط</w:t>
            </w:r>
            <w:r>
              <w:rPr>
                <w:rStyle w:val="IndexLink"/>
                <w:rtl w:val="true"/>
              </w:rPr>
              <w:tab/>
            </w:r>
            <w:r>
              <w:rPr>
                <w:rStyle w:val="IndexLink"/>
              </w:rPr>
              <w:t>576</w:t>
            </w:r>
          </w:hyperlink>
        </w:p>
        <w:p>
          <w:pPr>
            <w:pStyle w:val="Contents6"/>
            <w:tabs>
              <w:tab w:val="clear" w:pos="7609"/>
              <w:tab w:val="right" w:pos="9026" w:leader="dot"/>
            </w:tabs>
            <w:rPr/>
          </w:pPr>
          <w:hyperlink w:anchor="__RefHeading___Toc3907851_73709187">
            <w:r>
              <w:rPr>
                <w:webHidden/>
                <w:rStyle w:val="IndexLink"/>
                <w:rtl w:val="true"/>
              </w:rPr>
              <w:t>تحليل لمسألة الإِحباط</w:t>
            </w:r>
            <w:r>
              <w:rPr>
                <w:rStyle w:val="IndexLink"/>
                <w:rtl w:val="true"/>
              </w:rPr>
              <w:tab/>
            </w:r>
            <w:r>
              <w:rPr>
                <w:rStyle w:val="IndexLink"/>
              </w:rPr>
              <w:t>578</w:t>
            </w:r>
          </w:hyperlink>
        </w:p>
        <w:p>
          <w:pPr>
            <w:pStyle w:val="Contents6"/>
            <w:tabs>
              <w:tab w:val="clear" w:pos="7609"/>
              <w:tab w:val="right" w:pos="9026" w:leader="dot"/>
            </w:tabs>
            <w:rPr/>
          </w:pPr>
          <w:hyperlink w:anchor="__RefHeading___Toc3907853_73709187">
            <w:r>
              <w:rPr>
                <w:webHidden/>
                <w:rStyle w:val="IndexLink"/>
                <w:rtl w:val="true"/>
              </w:rPr>
              <w:t>عوامل الإحباط و أَسبابه</w:t>
            </w:r>
            <w:r>
              <w:rPr>
                <w:rStyle w:val="IndexLink"/>
                <w:rtl w:val="true"/>
              </w:rPr>
              <w:tab/>
            </w:r>
            <w:r>
              <w:rPr>
                <w:rStyle w:val="IndexLink"/>
              </w:rPr>
              <w:t>580</w:t>
            </w:r>
          </w:hyperlink>
        </w:p>
        <w:p>
          <w:pPr>
            <w:pStyle w:val="Contents6"/>
            <w:tabs>
              <w:tab w:val="clear" w:pos="7609"/>
              <w:tab w:val="right" w:pos="9026" w:leader="dot"/>
            </w:tabs>
            <w:rPr/>
          </w:pPr>
          <w:hyperlink w:anchor="__RefHeading___Toc3907855_73709187">
            <w:r>
              <w:rPr>
                <w:webHidden/>
                <w:rStyle w:val="IndexLink"/>
              </w:rPr>
              <w:t>2</w:t>
            </w:r>
            <w:r>
              <w:rPr>
                <w:rStyle w:val="IndexLink"/>
                <w:rtl w:val="true"/>
              </w:rPr>
              <w:t xml:space="preserve"> - </w:t>
            </w:r>
            <w:r>
              <w:rPr>
                <w:rStyle w:val="IndexLink"/>
                <w:rtl w:val="true"/>
              </w:rPr>
              <w:t>التكفير</w:t>
            </w:r>
            <w:r>
              <w:rPr>
                <w:rStyle w:val="IndexLink"/>
                <w:rtl w:val="true"/>
              </w:rPr>
              <w:tab/>
            </w:r>
            <w:r>
              <w:rPr>
                <w:rStyle w:val="IndexLink"/>
              </w:rPr>
              <w:t>585</w:t>
            </w:r>
          </w:hyperlink>
        </w:p>
        <w:p>
          <w:pPr>
            <w:pStyle w:val="Contents4"/>
            <w:tabs>
              <w:tab w:val="clear" w:pos="8176"/>
              <w:tab w:val="right" w:pos="9026" w:leader="dot"/>
            </w:tabs>
            <w:rPr/>
          </w:pPr>
          <w:hyperlink w:anchor="__RefHeading___Toc3907857_73709187">
            <w:r>
              <w:rPr>
                <w:webHidden/>
                <w:rStyle w:val="IndexLink"/>
                <w:rtl w:val="true"/>
              </w:rPr>
              <w:t>الأصل الرابع</w:t>
            </w:r>
            <w:r>
              <w:rPr>
                <w:rStyle w:val="IndexLink"/>
                <w:rtl w:val="true"/>
              </w:rPr>
              <w:t xml:space="preserve">: </w:t>
            </w:r>
            <w:r>
              <w:rPr>
                <w:rStyle w:val="IndexLink"/>
                <w:rtl w:val="true"/>
              </w:rPr>
              <w:t>المنزلة بين المنزلتين</w:t>
            </w:r>
            <w:r>
              <w:rPr>
                <w:rStyle w:val="IndexLink"/>
                <w:rtl w:val="true"/>
              </w:rPr>
              <w:tab/>
            </w:r>
            <w:r>
              <w:rPr>
                <w:rStyle w:val="IndexLink"/>
              </w:rPr>
              <w:t>587</w:t>
            </w:r>
          </w:hyperlink>
        </w:p>
        <w:p>
          <w:pPr>
            <w:pStyle w:val="Contents4"/>
            <w:tabs>
              <w:tab w:val="clear" w:pos="8176"/>
              <w:tab w:val="right" w:pos="9026" w:leader="dot"/>
            </w:tabs>
            <w:rPr/>
          </w:pPr>
          <w:hyperlink w:anchor="__RefHeading___Toc3907859_73709187">
            <w:r>
              <w:rPr>
                <w:webHidden/>
                <w:rStyle w:val="IndexLink"/>
                <w:rtl w:val="true"/>
              </w:rPr>
              <w:t>الأصل الخامس</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594</w:t>
            </w:r>
          </w:hyperlink>
        </w:p>
        <w:p>
          <w:pPr>
            <w:pStyle w:val="Contents3"/>
            <w:tabs>
              <w:tab w:val="clear" w:pos="8459"/>
              <w:tab w:val="right" w:pos="9026" w:leader="dot"/>
            </w:tabs>
            <w:rPr/>
          </w:pPr>
          <w:hyperlink w:anchor="__RefHeading___Toc3907861_73709187">
            <w:r>
              <w:rPr>
                <w:webHidden/>
                <w:rStyle w:val="IndexLink"/>
                <w:rtl w:val="true"/>
              </w:rPr>
              <w:t>خاتمة المطاف</w:t>
            </w:r>
            <w:r>
              <w:rPr>
                <w:rStyle w:val="IndexLink"/>
                <w:rtl w:val="true"/>
              </w:rPr>
              <w:tab/>
            </w:r>
            <w:r>
              <w:rPr>
                <w:rStyle w:val="IndexLink"/>
              </w:rPr>
              <w:t>603</w:t>
            </w:r>
          </w:hyperlink>
        </w:p>
        <w:p>
          <w:pPr>
            <w:pStyle w:val="Contents4"/>
            <w:tabs>
              <w:tab w:val="clear" w:pos="8176"/>
              <w:tab w:val="right" w:pos="9026" w:leader="dot"/>
            </w:tabs>
            <w:rPr/>
          </w:pPr>
          <w:hyperlink w:anchor="__RefHeading___Toc3907863_73709187">
            <w:r>
              <w:rPr>
                <w:webHidden/>
                <w:rStyle w:val="IndexLink"/>
                <w:rtl w:val="true"/>
              </w:rPr>
              <w:t>اشارة</w:t>
            </w:r>
            <w:r>
              <w:rPr>
                <w:rStyle w:val="IndexLink"/>
                <w:rtl w:val="true"/>
              </w:rPr>
              <w:tab/>
            </w:r>
            <w:r>
              <w:rPr>
                <w:rStyle w:val="IndexLink"/>
              </w:rPr>
              <w:t>603</w:t>
            </w:r>
          </w:hyperlink>
        </w:p>
        <w:p>
          <w:pPr>
            <w:pStyle w:val="Contents4"/>
            <w:tabs>
              <w:tab w:val="clear" w:pos="8176"/>
              <w:tab w:val="right" w:pos="9026" w:leader="dot"/>
            </w:tabs>
            <w:rPr/>
          </w:pPr>
          <w:hyperlink w:anchor="__RefHeading___Toc3907865_73709187">
            <w:r>
              <w:rPr>
                <w:webHidden/>
                <w:rStyle w:val="IndexLink"/>
              </w:rPr>
              <w:t>1</w:t>
            </w:r>
            <w:r>
              <w:rPr>
                <w:rStyle w:val="IndexLink"/>
                <w:rtl w:val="true"/>
              </w:rPr>
              <w:t xml:space="preserve"> - </w:t>
            </w:r>
            <w:r>
              <w:rPr>
                <w:rStyle w:val="IndexLink"/>
                <w:rtl w:val="true"/>
              </w:rPr>
              <w:t>دفاع عن الحقّ‌</w:t>
            </w:r>
            <w:r>
              <w:rPr>
                <w:rStyle w:val="IndexLink"/>
                <w:rtl w:val="true"/>
              </w:rPr>
              <w:tab/>
            </w:r>
            <w:r>
              <w:rPr>
                <w:rStyle w:val="IndexLink"/>
              </w:rPr>
              <w:t>603</w:t>
            </w:r>
          </w:hyperlink>
        </w:p>
        <w:p>
          <w:pPr>
            <w:pStyle w:val="Contents4"/>
            <w:tabs>
              <w:tab w:val="clear" w:pos="8176"/>
              <w:tab w:val="right" w:pos="9026" w:leader="dot"/>
            </w:tabs>
            <w:rPr/>
          </w:pPr>
          <w:hyperlink w:anchor="__RefHeading___Toc3907867_73709187">
            <w:r>
              <w:rPr>
                <w:webHidden/>
                <w:rStyle w:val="IndexLink"/>
              </w:rPr>
              <w:t>2</w:t>
            </w:r>
            <w:r>
              <w:rPr>
                <w:rStyle w:val="IndexLink"/>
                <w:rtl w:val="true"/>
              </w:rPr>
              <w:t xml:space="preserve"> - </w:t>
            </w:r>
            <w:r>
              <w:rPr>
                <w:rStyle w:val="IndexLink"/>
                <w:rtl w:val="true"/>
              </w:rPr>
              <w:t>المعتزلة من القوّة إلى الضعف</w:t>
            </w:r>
            <w:r>
              <w:rPr>
                <w:rStyle w:val="IndexLink"/>
                <w:rtl w:val="true"/>
              </w:rPr>
              <w:tab/>
            </w:r>
            <w:r>
              <w:rPr>
                <w:rStyle w:val="IndexLink"/>
              </w:rPr>
              <w:t>607</w:t>
            </w:r>
          </w:hyperlink>
        </w:p>
        <w:p>
          <w:pPr>
            <w:pStyle w:val="Contents5"/>
            <w:tabs>
              <w:tab w:val="clear" w:pos="7892"/>
              <w:tab w:val="right" w:pos="9026" w:leader="dot"/>
            </w:tabs>
            <w:rPr/>
          </w:pPr>
          <w:hyperlink w:anchor="__RefHeading___Toc3907869_73709187">
            <w:r>
              <w:rPr>
                <w:webHidden/>
                <w:rStyle w:val="IndexLink"/>
                <w:rtl w:val="true"/>
              </w:rPr>
              <w:t>اشارة</w:t>
            </w:r>
            <w:r>
              <w:rPr>
                <w:rStyle w:val="IndexLink"/>
                <w:rtl w:val="true"/>
              </w:rPr>
              <w:tab/>
            </w:r>
            <w:r>
              <w:rPr>
                <w:rStyle w:val="IndexLink"/>
              </w:rPr>
              <w:t>607</w:t>
            </w:r>
          </w:hyperlink>
        </w:p>
        <w:p>
          <w:pPr>
            <w:pStyle w:val="Contents5"/>
            <w:tabs>
              <w:tab w:val="clear" w:pos="7892"/>
              <w:tab w:val="right" w:pos="9026" w:leader="dot"/>
            </w:tabs>
            <w:rPr/>
          </w:pPr>
          <w:hyperlink w:anchor="__RefHeading___Toc3907871_73709187">
            <w:r>
              <w:rPr>
                <w:webHidden/>
                <w:rStyle w:val="IndexLink"/>
                <w:rtl w:val="true"/>
              </w:rPr>
              <w:t>رسالة ثانية من المأمون في إشخاص سبعة نفر إليه</w:t>
            </w:r>
            <w:r>
              <w:rPr>
                <w:rStyle w:val="IndexLink"/>
                <w:rtl w:val="true"/>
              </w:rPr>
              <w:tab/>
            </w:r>
            <w:r>
              <w:rPr>
                <w:rStyle w:val="IndexLink"/>
              </w:rPr>
              <w:t>610</w:t>
            </w:r>
          </w:hyperlink>
        </w:p>
        <w:p>
          <w:pPr>
            <w:pStyle w:val="Contents5"/>
            <w:tabs>
              <w:tab w:val="clear" w:pos="7892"/>
              <w:tab w:val="right" w:pos="9026" w:leader="dot"/>
            </w:tabs>
            <w:rPr/>
          </w:pPr>
          <w:hyperlink w:anchor="__RefHeading___Toc3907873_73709187">
            <w:r>
              <w:rPr>
                <w:webHidden/>
                <w:rStyle w:val="IndexLink"/>
                <w:rtl w:val="true"/>
              </w:rPr>
              <w:t>رسالة ثالثة للمأمون إلى إسحاق بن إبراهيم</w:t>
            </w:r>
            <w:r>
              <w:rPr>
                <w:rStyle w:val="IndexLink"/>
                <w:rtl w:val="true"/>
              </w:rPr>
              <w:tab/>
            </w:r>
            <w:r>
              <w:rPr>
                <w:rStyle w:val="IndexLink"/>
              </w:rPr>
              <w:t>611</w:t>
            </w:r>
          </w:hyperlink>
        </w:p>
        <w:p>
          <w:pPr>
            <w:pStyle w:val="Contents6"/>
            <w:tabs>
              <w:tab w:val="clear" w:pos="7609"/>
              <w:tab w:val="right" w:pos="9026" w:leader="dot"/>
            </w:tabs>
            <w:rPr/>
          </w:pPr>
          <w:hyperlink w:anchor="__RefHeading___Toc3907875_73709187">
            <w:r>
              <w:rPr>
                <w:webHidden/>
                <w:rStyle w:val="IndexLink"/>
                <w:rtl w:val="true"/>
              </w:rPr>
              <w:t>اشارة</w:t>
            </w:r>
            <w:r>
              <w:rPr>
                <w:rStyle w:val="IndexLink"/>
                <w:rtl w:val="true"/>
              </w:rPr>
              <w:tab/>
            </w:r>
            <w:r>
              <w:rPr>
                <w:rStyle w:val="IndexLink"/>
              </w:rPr>
              <w:t>611</w:t>
            </w:r>
          </w:hyperlink>
        </w:p>
        <w:p>
          <w:pPr>
            <w:pStyle w:val="Contents6"/>
            <w:tabs>
              <w:tab w:val="clear" w:pos="7609"/>
              <w:tab w:val="right" w:pos="9026" w:leader="dot"/>
            </w:tabs>
            <w:rPr/>
          </w:pPr>
          <w:hyperlink w:anchor="__RefHeading___Toc3907877_73709187">
            <w:r>
              <w:rPr>
                <w:webHidden/>
                <w:rStyle w:val="IndexLink"/>
                <w:rtl w:val="true"/>
              </w:rPr>
              <w:t>دعوة المحدّثين و القضاة لسماع كتاب الخليفة</w:t>
            </w:r>
            <w:r>
              <w:rPr>
                <w:rStyle w:val="IndexLink"/>
                <w:rtl w:val="true"/>
              </w:rPr>
              <w:tab/>
            </w:r>
            <w:r>
              <w:rPr>
                <w:rStyle w:val="IndexLink"/>
              </w:rPr>
              <w:t>614</w:t>
            </w:r>
          </w:hyperlink>
        </w:p>
        <w:p>
          <w:pPr>
            <w:pStyle w:val="Contents6"/>
            <w:tabs>
              <w:tab w:val="clear" w:pos="7609"/>
              <w:tab w:val="right" w:pos="9026" w:leader="dot"/>
            </w:tabs>
            <w:rPr/>
          </w:pPr>
          <w:hyperlink w:anchor="__RefHeading___Toc3907879_73709187">
            <w:r>
              <w:rPr>
                <w:webHidden/>
                <w:rStyle w:val="IndexLink"/>
                <w:rtl w:val="true"/>
              </w:rPr>
              <w:t>محاورته مع عليّ بن أبي مقاتل</w:t>
            </w:r>
            <w:r>
              <w:rPr>
                <w:rStyle w:val="IndexLink"/>
                <w:rtl w:val="true"/>
              </w:rPr>
              <w:tab/>
            </w:r>
            <w:r>
              <w:rPr>
                <w:rStyle w:val="IndexLink"/>
              </w:rPr>
              <w:t>615</w:t>
            </w:r>
          </w:hyperlink>
        </w:p>
        <w:p>
          <w:pPr>
            <w:pStyle w:val="Contents6"/>
            <w:tabs>
              <w:tab w:val="clear" w:pos="7609"/>
              <w:tab w:val="right" w:pos="9026" w:leader="dot"/>
            </w:tabs>
            <w:rPr/>
          </w:pPr>
          <w:hyperlink w:anchor="__RefHeading___Toc3907881_73709187">
            <w:r>
              <w:rPr>
                <w:webHidden/>
                <w:rStyle w:val="IndexLink"/>
                <w:rtl w:val="true"/>
              </w:rPr>
              <w:t>محاورته مع أبي حسّان الزيادي</w:t>
            </w:r>
            <w:r>
              <w:rPr>
                <w:rStyle w:val="IndexLink"/>
                <w:rtl w:val="true"/>
              </w:rPr>
              <w:tab/>
            </w:r>
            <w:r>
              <w:rPr>
                <w:rStyle w:val="IndexLink"/>
              </w:rPr>
              <w:t>616</w:t>
            </w:r>
          </w:hyperlink>
        </w:p>
        <w:p>
          <w:pPr>
            <w:pStyle w:val="Contents6"/>
            <w:tabs>
              <w:tab w:val="clear" w:pos="7609"/>
              <w:tab w:val="right" w:pos="9026" w:leader="dot"/>
            </w:tabs>
            <w:rPr/>
          </w:pPr>
          <w:hyperlink w:anchor="__RefHeading___Toc3907883_73709187">
            <w:r>
              <w:rPr>
                <w:webHidden/>
                <w:rStyle w:val="IndexLink"/>
                <w:rtl w:val="true"/>
              </w:rPr>
              <w:t>محاورته مع أحمد بن حنبل</w:t>
            </w:r>
            <w:r>
              <w:rPr>
                <w:rStyle w:val="IndexLink"/>
                <w:rtl w:val="true"/>
              </w:rPr>
              <w:tab/>
            </w:r>
            <w:r>
              <w:rPr>
                <w:rStyle w:val="IndexLink"/>
              </w:rPr>
              <w:t>617</w:t>
            </w:r>
          </w:hyperlink>
        </w:p>
        <w:p>
          <w:pPr>
            <w:pStyle w:val="Contents5"/>
            <w:tabs>
              <w:tab w:val="clear" w:pos="7892"/>
              <w:tab w:val="right" w:pos="9026" w:leader="dot"/>
            </w:tabs>
            <w:rPr/>
          </w:pPr>
          <w:hyperlink w:anchor="__RefHeading___Toc3907885_73709187">
            <w:r>
              <w:rPr>
                <w:webHidden/>
                <w:rStyle w:val="IndexLink"/>
                <w:rtl w:val="true"/>
              </w:rPr>
              <w:t>الرسالة الرابعة للمأمون إلى إسحاق</w:t>
            </w:r>
            <w:r>
              <w:rPr>
                <w:rStyle w:val="IndexLink"/>
                <w:rtl w:val="true"/>
              </w:rPr>
              <w:tab/>
            </w:r>
            <w:r>
              <w:rPr>
                <w:rStyle w:val="IndexLink"/>
              </w:rPr>
              <w:t>619</w:t>
            </w:r>
          </w:hyperlink>
        </w:p>
        <w:p>
          <w:pPr>
            <w:pStyle w:val="Contents6"/>
            <w:tabs>
              <w:tab w:val="clear" w:pos="7609"/>
              <w:tab w:val="right" w:pos="9026" w:leader="dot"/>
            </w:tabs>
            <w:rPr/>
          </w:pPr>
          <w:hyperlink w:anchor="__RefHeading___Toc3907887_73709187">
            <w:r>
              <w:rPr>
                <w:webHidden/>
                <w:rStyle w:val="IndexLink"/>
                <w:rtl w:val="true"/>
              </w:rPr>
              <w:t>اشارة</w:t>
            </w:r>
            <w:r>
              <w:rPr>
                <w:rStyle w:val="IndexLink"/>
                <w:rtl w:val="true"/>
              </w:rPr>
              <w:tab/>
            </w:r>
            <w:r>
              <w:rPr>
                <w:rStyle w:val="IndexLink"/>
              </w:rPr>
              <w:t>619</w:t>
            </w:r>
          </w:hyperlink>
        </w:p>
        <w:p>
          <w:pPr>
            <w:pStyle w:val="Contents6"/>
            <w:tabs>
              <w:tab w:val="clear" w:pos="7609"/>
              <w:tab w:val="right" w:pos="9026" w:leader="dot"/>
            </w:tabs>
            <w:rPr/>
          </w:pPr>
          <w:hyperlink w:anchor="__RefHeading___Toc3907889_73709187">
            <w:r>
              <w:rPr>
                <w:webHidden/>
                <w:rStyle w:val="IndexLink"/>
                <w:rtl w:val="true"/>
              </w:rPr>
              <w:t>تعليق على محنة خلق القرآن</w:t>
            </w:r>
            <w:r>
              <w:rPr>
                <w:rStyle w:val="IndexLink"/>
                <w:rtl w:val="true"/>
              </w:rPr>
              <w:tab/>
            </w:r>
            <w:r>
              <w:rPr>
                <w:rStyle w:val="IndexLink"/>
              </w:rPr>
              <w:t>623</w:t>
            </w:r>
          </w:hyperlink>
        </w:p>
        <w:p>
          <w:pPr>
            <w:pStyle w:val="Contents6"/>
            <w:tabs>
              <w:tab w:val="clear" w:pos="7609"/>
              <w:tab w:val="right" w:pos="9026" w:leader="dot"/>
            </w:tabs>
            <w:rPr/>
          </w:pPr>
          <w:hyperlink w:anchor="__RefHeading___Toc3907891_73709187">
            <w:r>
              <w:rPr>
                <w:webHidden/>
                <w:rStyle w:val="IndexLink"/>
                <w:rtl w:val="true"/>
              </w:rPr>
              <w:t>محنة خلق القرآن و الواثق</w:t>
            </w:r>
            <w:r>
              <w:rPr>
                <w:rStyle w:val="IndexLink"/>
                <w:rtl w:val="true"/>
              </w:rPr>
              <w:tab/>
            </w:r>
            <w:r>
              <w:rPr>
                <w:rStyle w:val="IndexLink"/>
              </w:rPr>
              <w:t>629</w:t>
            </w:r>
          </w:hyperlink>
        </w:p>
        <w:p>
          <w:pPr>
            <w:pStyle w:val="Contents6"/>
            <w:tabs>
              <w:tab w:val="clear" w:pos="7609"/>
              <w:tab w:val="right" w:pos="9026" w:leader="dot"/>
            </w:tabs>
            <w:rPr/>
          </w:pPr>
          <w:hyperlink w:anchor="__RefHeading___Toc3907893_73709187">
            <w:r>
              <w:rPr>
                <w:webHidden/>
                <w:rStyle w:val="IndexLink"/>
                <w:rtl w:val="true"/>
              </w:rPr>
              <w:t>قصّة المحنة و خلافة المتوكّل</w:t>
            </w:r>
            <w:r>
              <w:rPr>
                <w:rStyle w:val="IndexLink"/>
                <w:rtl w:val="true"/>
              </w:rPr>
              <w:tab/>
            </w:r>
            <w:r>
              <w:rPr>
                <w:rStyle w:val="IndexLink"/>
              </w:rPr>
              <w:t>632</w:t>
            </w:r>
          </w:hyperlink>
        </w:p>
        <w:p>
          <w:pPr>
            <w:pStyle w:val="Contents4"/>
            <w:tabs>
              <w:tab w:val="clear" w:pos="8176"/>
              <w:tab w:val="right" w:pos="9026" w:leader="dot"/>
            </w:tabs>
            <w:rPr/>
          </w:pPr>
          <w:hyperlink w:anchor="__RefHeading___Toc3907895_73709187">
            <w:r>
              <w:rPr>
                <w:webHidden/>
                <w:rStyle w:val="IndexLink"/>
              </w:rPr>
              <w:t>3</w:t>
            </w:r>
            <w:r>
              <w:rPr>
                <w:rStyle w:val="IndexLink"/>
                <w:rtl w:val="true"/>
              </w:rPr>
              <w:t xml:space="preserve"> - </w:t>
            </w:r>
            <w:r>
              <w:rPr>
                <w:rStyle w:val="IndexLink"/>
                <w:rtl w:val="true"/>
              </w:rPr>
              <w:t>الآثار الباقية من المعتزلة</w:t>
            </w:r>
            <w:r>
              <w:rPr>
                <w:rStyle w:val="IndexLink"/>
                <w:rtl w:val="true"/>
              </w:rPr>
              <w:tab/>
            </w:r>
            <w:r>
              <w:rPr>
                <w:rStyle w:val="IndexLink"/>
              </w:rPr>
              <w:t>648</w:t>
            </w:r>
          </w:hyperlink>
        </w:p>
        <w:p>
          <w:pPr>
            <w:pStyle w:val="Contents2"/>
            <w:tabs>
              <w:tab w:val="clear" w:pos="8743"/>
              <w:tab w:val="right" w:pos="9026" w:leader="dot"/>
            </w:tabs>
            <w:rPr/>
          </w:pPr>
          <w:hyperlink w:anchor="__RefHeading___Toc3907897_73709187">
            <w:r>
              <w:rPr>
                <w:webHidden/>
                <w:rStyle w:val="IndexLink"/>
                <w:rtl w:val="true"/>
              </w:rPr>
              <w:t>فهرس المصادر</w:t>
            </w:r>
            <w:r>
              <w:rPr>
                <w:rStyle w:val="IndexLink"/>
                <w:rtl w:val="true"/>
              </w:rPr>
              <w:tab/>
            </w:r>
            <w:r>
              <w:rPr>
                <w:rStyle w:val="IndexLink"/>
              </w:rPr>
              <w:t>658</w:t>
            </w:r>
          </w:hyperlink>
        </w:p>
        <w:p>
          <w:pPr>
            <w:pStyle w:val="Contents2"/>
            <w:tabs>
              <w:tab w:val="clear" w:pos="8743"/>
              <w:tab w:val="right" w:pos="9026" w:leader="dot"/>
            </w:tabs>
            <w:rPr/>
          </w:pPr>
          <w:hyperlink w:anchor="__RefHeading___Toc3907899_73709187">
            <w:r>
              <w:rPr>
                <w:webHidden/>
                <w:rStyle w:val="IndexLink"/>
                <w:rtl w:val="true"/>
              </w:rPr>
              <w:t>فهرس المحتويات</w:t>
            </w:r>
            <w:r>
              <w:rPr>
                <w:rStyle w:val="IndexLink"/>
                <w:rtl w:val="true"/>
              </w:rPr>
              <w:tab/>
            </w:r>
            <w:r>
              <w:rPr>
                <w:rStyle w:val="IndexLink"/>
              </w:rPr>
              <w:t>678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36_163815"/>
      <w:bookmarkStart w:id="1" w:name="pg11536_163815"/>
      <w:bookmarkEnd w:id="1"/>
    </w:p>
    <w:p>
      <w:pPr>
        <w:pStyle w:val="Heading2"/>
        <w:numPr>
          <w:ilvl w:val="1"/>
          <w:numId w:val="1"/>
        </w:numPr>
        <w:rPr/>
      </w:pPr>
      <w:bookmarkStart w:id="2" w:name="pg11536_163815"/>
      <w:bookmarkStart w:id="3" w:name="__RefHeading___Toc3907267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07269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بحوث فی الملل و النحل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دراسه موضوعیه مقارنه للمذاهب الاسلامیه </w:t>
      </w:r>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36_163821"/>
      <w:bookmarkStart w:id="8" w:name="pg11536_163821"/>
      <w:bookmarkEnd w:id="8"/>
    </w:p>
    <w:p>
      <w:pPr>
        <w:pStyle w:val="Heading2"/>
        <w:numPr>
          <w:ilvl w:val="1"/>
          <w:numId w:val="1"/>
        </w:numPr>
        <w:rPr/>
      </w:pPr>
      <w:bookmarkStart w:id="9" w:name="pg11536_163821"/>
      <w:bookmarkStart w:id="10" w:name="__RefHeading___Toc3907271_73709187"/>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فهذا هو الجزء الثّالث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نقدّمه للقرّاء الكرام و نبحث فيه عن المدرستين المعروفتين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المدرسة الأُولى منبثقة من منهج أهل الحديث من الحشويّة و الحنابلة، كانبثاق المنهج الأشعريّ منه، و الفرعان يشتركان في كثير من الأُصول و يختلفان في بعضها الآخر، و ستوافيك الفوارق الموجودة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المدرسة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منهج عقليّ لا يمت لمنهج أهل الحديث بصلة، و المدرستان تتحرّكان على محورين متخالفين، و نرجو منه سبحانه أن يوفّقنا لتحرير عقائد الطائفتين متحرّرين من كلّ نزعة، و تعصّب، و رأي مسبق لا دليل عليه، و لنقدّم تحرير منهج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للصلة التامّة بينه و بين المنهج الأشعري الذي سبق عنه البحث مفصّلاً في الجزء الثّاني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نجمت في القرنين الأوّلين مناهج كلاميّة لها صلة بالمدرستين، فلإكمال الفائدة نبحث قبل تبيين منهج الاعتزال عن الفرق التالية</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المرجئة، القدريّة، الجهميّة، الكرّاميّة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فالمرجوّ منه سبحانه، التوفيق لبيان الحقّ و الحقيقة، و القضاء بعيداً عن التعصّب و الانحياز الممقوت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التوفيق</w:t>
      </w:r>
      <w:r>
        <w:rPr>
          <w:rFonts w:eastAsia="Amiri" w:cs="Amiri" w:ascii="Amiri" w:hAnsi="Amiri"/>
          <w:color w:val="111111"/>
          <w:sz w:val="28"/>
          <w:szCs w:val="28"/>
          <w:rtl w:val="true"/>
          <w:lang w:bidi="ar-SA"/>
        </w:rPr>
        <w:t xml:space="preserve">. </w:t>
      </w:r>
      <w:bookmarkStart w:id="12" w:name="pg11536_163823"/>
    </w:p>
    <w:p>
      <w:pPr>
        <w:pStyle w:val="Heading2"/>
        <w:numPr>
          <w:ilvl w:val="1"/>
          <w:numId w:val="1"/>
        </w:numPr>
        <w:rPr/>
      </w:pPr>
      <w:bookmarkStart w:id="13" w:name="__RefHeading___Toc3907273_73709187"/>
      <w:bookmarkStart w:id="14" w:name="_Toc4"/>
      <w:bookmarkEnd w:id="12"/>
      <w:bookmarkEnd w:id="13"/>
      <w:r>
        <w:rPr/>
        <w:t>1</w:t>
      </w:r>
      <w:r>
        <w:rPr>
          <w:rtl w:val="true"/>
        </w:rPr>
        <w:t xml:space="preserve"> - </w:t>
      </w:r>
      <w:r>
        <w:rPr>
          <w:rtl w:val="true"/>
        </w:rPr>
        <w:t>الماتريدية</w:t>
      </w:r>
      <w:bookmarkEnd w:id="14"/>
    </w:p>
    <w:p>
      <w:pPr>
        <w:pStyle w:val="Heading3"/>
        <w:numPr>
          <w:ilvl w:val="2"/>
          <w:numId w:val="1"/>
        </w:numPr>
        <w:rPr/>
      </w:pPr>
      <w:bookmarkStart w:id="15" w:name="__RefHeading___Toc3907275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قد تعرّفت على جذور الاختلاف في عصر الرّسالة و بعدها، كما تعرّفت على حوافز الاختلاف و دوافعه في عصر الخلفاء، و خرجنا بالنتيجة التالية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البحث و النّقاش من المسلمين قد تفرّقوا على فرقتين مختلفتين في كثير من المبادئ و الأُصول و إن اشتركتا في كثير منها أيضاً</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أهل الحديث الّتي يعبّر عنها بالحشويّة تارة، و الحنابلة أُخرى، و السلفيّة ثالثة و كانوا يتّسمون بسمة الاقتفاء لكتاب اللّٰه، و سنّة رسوله، و لا يقيمون للعقل و البرهان وزناً، كما لا يتفحّصون عن مصادر الحديث تفحّصاً يكشف عن صحته، بل و يقبلون كلّ حديث وصل إليهم عن كل من هبّ و دبّ، و يجعلون في حزمتهم كلّ رطب و يابس، و لأجل هذا التساهل ظهرت فيهم آراء و عقائد تشبه آراء أهل الكتاب، كالتشبيه، و التجسيم، و الجبر، و سيادة القضاء و القدر على الإنسان كإله حاكم، لا يُغيّر و لا يُبدّل، و لا يقدر الإنسان على تغيير مصيره إلى غير ذلك من البدع و لا يقصر عمّا ذكرناه </w:t>
      </w:r>
      <w:bookmarkStart w:id="17" w:name="pg11536_163824"/>
    </w:p>
    <w:p>
      <w:pPr>
        <w:pStyle w:val="BookText"/>
        <w:rPr/>
      </w:pPr>
      <w:bookmarkEnd w:id="17"/>
      <w:r>
        <w:rPr>
          <w:rFonts w:ascii="Amiri" w:hAnsi="Amiri" w:eastAsia="Amiri" w:cs="Amiri"/>
          <w:color w:val="111111"/>
          <w:sz w:val="28"/>
          <w:sz w:val="28"/>
          <w:szCs w:val="28"/>
          <w:rtl w:val="true"/>
          <w:lang w:bidi="ar-SA"/>
        </w:rPr>
        <w:t>القول بالرؤية تبعاً للعهدين، و كون القرآن قديماً غير مخلوق، مضاهياً لقول اليهود بقدم التوراة، أو النصارى بقدم المسيح، و قد أوضحنا الحال في هذه المباحث في الجزءين الماضيين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المعتزلة التي تعتمد على العقل أكثر مما يستحقّه، و تزعم أنّ ظواهر بعض النّصوص الواردة في الكتاب و السنّة، مخالفة لما يوحي إليهم عقلهم و فكرتهم، فيبادرون إلى تأويلها تأويلاً واهياً يسلب عن الكلام بلاغته، فينحطّ من ذروته إلى الحضيض، و هؤلاء هم المعروفون بالمعتزلة، و في ألسن خصومهم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الجدال بين الطّائفتين قائماً على قدم و ساق بغلبة الأُولى على الثّانية تارة، و انتصار الثانية على الأُولى أُخرى، و قد كان لأصحاب السياسة و البلاط دور واضح في إشعال نار الاختلاف بإعلاء إحداهما، و حطّ الأُخرى، حسب مصالحهم الوقتية، و الغايات المنشودة لهم</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907277_73709187"/>
      <w:bookmarkStart w:id="19" w:name="_Toc6"/>
      <w:bookmarkEnd w:id="18"/>
      <w:r>
        <w:rPr>
          <w:rtl w:val="true"/>
        </w:rPr>
        <w:t>الداعيان إلى منهج أهل الحديث متعاصران</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النزاع يعلو تارة، و ينخفض أُخرى، إلى أن دخل القرن الرابع الهجري، فأعلن الشيخ أبو الحسن الأشعري، في أوائل ذلك القرن، رجوعه عن الاعتزال الذي عاش عليه أربعين سنة، و جنح إلى أهل الحديث، و في مقدّمتهم منهج إمام الحنابلة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بمعنى اقتفاء منهجه حرفيّاً بلا تصرّف و لا تعديل فيه، بل قبوله لكن بتعديل فيه على وجه يجعله </w:t>
      </w:r>
    </w:p>
    <w:p>
      <w:pPr>
        <w:pStyle w:val="BookText"/>
        <w:rPr/>
      </w:pPr>
      <w:r>
        <w:rPr>
          <w:rFonts w:ascii="Amiri" w:hAnsi="Amiri" w:eastAsia="Amiri" w:cs="Amiri"/>
          <w:color w:val="111111"/>
          <w:sz w:val="28"/>
          <w:sz w:val="28"/>
          <w:szCs w:val="28"/>
          <w:rtl w:val="true"/>
          <w:lang w:bidi="ar-SA"/>
        </w:rPr>
        <w:t>مقبولاً لكلّ من يريد الجمع بين النقل و العقل، و الحديث و البرهان، و قد أسّس في ضوء هذا منهجاً معتدلاً بين المنهجين و تصرّف في المذهب الأُمّ، تصرّفاً جوهرياً و قد أسعفه حسن الحظّ و نصره رجال في الأجيال المتأخرة، حيث نضّجوا منهجه، حتى صار مذهباً عامّاً لأهل السنّة في الأُصول، كما صارت المذاهب الأربعة مذاهب رسمية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الوقت الّذي ظهر مذهب الأشعري بطابع الفرعية لمذهب أهل الحديث، ظهر مذهب آخر بهذا اللون و الشكل لغاية نصرة السنّة و أهلها، و إقصاء المعتزلة عن السّاحة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بالتصرف في المذهب و تعديله، و ذلك المذهب الآخر هو مذهب الماتريديّة للامام محمّد بن محمّد بن محمود الماتريدي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ثلاثة أو تسعة</w:t>
      </w:r>
      <w:r>
        <w:rPr>
          <w:rStyle w:val="FootnoteAnchor"/>
          <w:rtl w:val="true"/>
        </w:rPr>
        <w:footnoteReference w:id="2"/>
      </w:r>
      <w:r>
        <w:rPr>
          <w:rFonts w:ascii="Amiri" w:hAnsi="Amiri" w:eastAsia="Amiri" w:cs="Amiri"/>
          <w:color w:val="111111"/>
          <w:sz w:val="28"/>
          <w:sz w:val="28"/>
          <w:szCs w:val="28"/>
          <w:rtl w:val="true"/>
          <w:lang w:bidi="ar-SA"/>
        </w:rPr>
        <w:t>أعوام من وفاة الإمام الأشعري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الداعيان كانا في عصر واحد، و يعملان على صعيد واحد، و لم تكن بينهما أيّة صلة، فهذا يكافح الاعتزال و يناصر السنّة في العراق متقلّداً مذهب الشافعي في الفقه، و ذاك يناضل المعتزلة في شرق المحيط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متقلّداً مذهب أبي حنيفة في الفقه، و كانت المناظرات و التيّارات الكلامية رائجة في كلا القطرين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بندر الأهواء و العقائد، و معقلها، كما كانت أرض خراسان مأوى أهل الحديث و مهبطهم، </w:t>
      </w:r>
    </w:p>
    <w:p>
      <w:pPr>
        <w:pStyle w:val="BookText"/>
        <w:rPr/>
      </w:pPr>
      <w:r>
        <w:rPr>
          <w:rFonts w:ascii="Amiri" w:hAnsi="Amiri" w:eastAsia="Amiri" w:cs="Amiri"/>
          <w:color w:val="111111"/>
          <w:sz w:val="28"/>
          <w:sz w:val="28"/>
          <w:szCs w:val="28"/>
          <w:rtl w:val="true"/>
          <w:lang w:bidi="ar-SA"/>
        </w:rPr>
        <w:t>و كانت منبتَ الكرّامية و غيرهم أيضاً، نعم كانت المعتزلة بعيدة عن شرق المحيط الإسلامي، و لكن وصلت أمواج منهجهم الى تلك الديار عن طريق اختلاف العلماء بين العراق و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انتماء الداعيين إلى المذهبين المختلفين نرى اهتمام الشافعية بترجمة الأشعري في طبقاتهم، و اهتمام علماء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المتكلّمين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بالماتريدي و إن قصروا في ترجمته في طبقاتهم، و لم يؤدّوا حقّه في كتبهم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انتماء الماتريدي للإمام أبي حنيفة في الفقهين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و الأصغر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أمر واضح، فإنّه حنفيّ، كلاماً و فقهاً، و أكثر من نصره، بل جميعهم، من الأحناف، مثل فخر الاسلام أبي اليسر محمد بن عبد الكريم البزدوي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كأبي الهمام و البياضي كما سيوافيك في تراجمهم، بخلاف انتماء الأشعري للإمام الشافعي فإنّه ليس بهذا الحدّ من الوضوح</w:t>
      </w:r>
      <w:r>
        <w:rPr>
          <w:rFonts w:eastAsia="Amiri" w:cs="Amiri" w:ascii="Amiri" w:hAnsi="Amiri"/>
          <w:color w:val="111111"/>
          <w:sz w:val="28"/>
          <w:szCs w:val="28"/>
          <w:rtl w:val="true"/>
          <w:lang w:bidi="ar-SA"/>
        </w:rPr>
        <w:t xml:space="preserve">. </w:t>
      </w:r>
      <w:bookmarkStart w:id="20" w:name="pg11536_163827"/>
    </w:p>
    <w:p>
      <w:pPr>
        <w:pStyle w:val="Heading3"/>
        <w:numPr>
          <w:ilvl w:val="2"/>
          <w:numId w:val="1"/>
        </w:numPr>
        <w:rPr/>
      </w:pPr>
      <w:bookmarkStart w:id="21" w:name="__RefHeading___Toc3907279_73709187"/>
      <w:bookmarkStart w:id="22" w:name="_Toc7"/>
      <w:bookmarkEnd w:id="20"/>
      <w:bookmarkEnd w:id="21"/>
      <w:r>
        <w:rPr>
          <w:rtl w:val="true"/>
        </w:rPr>
        <w:t>منهج الماتريدي موروث من أبي حنيفة</w:t>
      </w:r>
      <w:bookmarkEnd w:id="22"/>
    </w:p>
    <w:p>
      <w:pPr>
        <w:pStyle w:val="BookText"/>
        <w:rPr/>
      </w:pPr>
      <w:r>
        <w:rPr>
          <w:rFonts w:ascii="Amiri" w:hAnsi="Amiri" w:eastAsia="Amiri" w:cs="Amiri"/>
          <w:color w:val="111111"/>
          <w:sz w:val="28"/>
          <w:sz w:val="28"/>
          <w:szCs w:val="28"/>
          <w:rtl w:val="true"/>
          <w:lang w:bidi="ar-SA"/>
        </w:rPr>
        <w:t xml:space="preserve">المنهج الذي اختاره الماتريدي، و أرسى قواعده، و أوضح براهينه، هو المنهج الموروث من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العقائد، و الكلام، و الفقه و مبادئه، و التاريخ يحدّثنا عن كون أبي حنيفة صاحب حلقة في الكلام قبل تفرّغه لعلم الفقه، و قبل اتّصاله بحماد بن أبي سليمان الذي أخذ عنه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الماتريدي نسيج وحده في هذا الأمر، بل معاصره أبو جعفر الطّحاوي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مقتف أثر أبي حنيفة حتّى عنون و صدّر رسالته المعروفة بالعقيدة الطّحاوية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عقيدة فقهاء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 أبي يوسف و محمّد بن الحسن</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يذكر عبد القاهر البغدادي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له كتاب في الرد على القدرية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رسالة أملاها في نصرة قول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الاستطاعة مع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قوم من أصحابنا</w:t>
      </w:r>
      <w:r>
        <w:rPr>
          <w:rStyle w:val="FootnoteAnchor"/>
          <w:rtl w:val="true"/>
        </w:rPr>
        <w:footnoteReference w:id="5"/>
      </w:r>
      <w:r>
        <w:rPr>
          <w:rFonts w:ascii="Amiri" w:hAnsi="Amiri" w:eastAsia="Amiri" w:cs="Amiri"/>
          <w:color w:val="111111"/>
          <w:sz w:val="28"/>
          <w:sz w:val="28"/>
          <w:szCs w:val="28"/>
          <w:rtl w:val="true"/>
          <w:lang w:bidi="ar-SA"/>
        </w:rPr>
        <w:t>، و الرسائل الموروثة من أبي حنيفة أكثر ممّا ذكره البغدادي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لمّا كانت المسائل الكلامية في ثنايا هذه الرسائل، غير مرتّبة قام أحد الماتريديّة في القرن الحادي عشر، أعني به كمال الدين أحمد البياضي الحنفي، باخراج المسائل الكلامية عن هذه الرسائل من غير تصرّف في عبارات أبي حنيفة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من عبارات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جمعتها من نصوص كتبه التي أملاها على أصحابه من الفقه الأكبر، و الرسالة، و الفقه الأبسط، و كتاب العالم و المتعلّم، و الوصيّة، برواية من الإمام حمّاد بن أبي حنيفة، و أبي يوسف الأنصاري، و أبي مطيع الحكم بن عبد اللّٰه البلخي، و أبي مقاتل حفص بن مسلم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هؤلاء، إسماعيل بن حمّاد، و محمّد بن مقاتل الرازي، و محمد بن سماعة التميمي، و نصير بن يحيى البلخي، و شداد بن الحكيم البلخي،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أبا منصور محمّد بن محمّد بن محمود الماتريدي روى عن الطّبقة الثانية، أعني نصير بن يحيى، و محمّد بن مقاتل الرازي، و حقّق تلك الأُصول في كتبه بقواطع الأدلّة، و أتقن التّفاريع بلوامع البراهين اليقينيّة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جذور منهجه و اُسس مدرسته الكلامية</w:t>
      </w:r>
      <w:r>
        <w:rPr>
          <w:rFonts w:eastAsia="Amiri" w:cs="Amiri" w:ascii="Amiri" w:hAnsi="Amiri"/>
          <w:color w:val="111111"/>
          <w:sz w:val="28"/>
          <w:szCs w:val="28"/>
          <w:rtl w:val="true"/>
          <w:lang w:bidi="ar-SA"/>
        </w:rPr>
        <w:t xml:space="preserve">. </w:t>
      </w:r>
      <w:bookmarkStart w:id="23" w:name="pg11536_163829"/>
    </w:p>
    <w:p>
      <w:pPr>
        <w:pStyle w:val="Heading3"/>
        <w:numPr>
          <w:ilvl w:val="2"/>
          <w:numId w:val="1"/>
        </w:numPr>
        <w:rPr/>
      </w:pPr>
      <w:bookmarkStart w:id="24" w:name="__RefHeading___Toc3907281_73709187"/>
      <w:bookmarkStart w:id="25" w:name="_Toc8"/>
      <w:bookmarkEnd w:id="23"/>
      <w:bookmarkEnd w:id="24"/>
      <w:r>
        <w:rPr>
          <w:rtl w:val="true"/>
        </w:rPr>
        <w:t>لمحة عن حياة الماتريدي</w:t>
      </w:r>
      <w:bookmarkEnd w:id="25"/>
    </w:p>
    <w:p>
      <w:pPr>
        <w:pStyle w:val="Heading4"/>
        <w:numPr>
          <w:ilvl w:val="3"/>
          <w:numId w:val="1"/>
        </w:numPr>
        <w:rPr/>
      </w:pPr>
      <w:bookmarkStart w:id="26" w:name="__RefHeading___Toc3907283_73709187"/>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من المؤسف جدّاً إهمال كثير من المؤرخين، و كتب التراجم، ذكر الامام الماتريدي، و تبيين خصوصيات حياته، بل ربّما أهملوا الإشارة إليه عند ما يجب ذكره أو الإشارة إليه، فإنّ الرجل من أئمة المتكلّمين، و أقطاب التفسير في عصره فكان الإلمام بحياته عند ذكر طبقات المتكلّمين و المفسرين لازماً، و هذا خلاف ما نجده من العناية المؤكّدة بذكر الأشعري، و تبيين حياته، و الإشارة إلى خصوصياتها، حتّى رُؤاه، و أحلامه، و غلّة ضيعته، و لعلّ إحدى الدوافع إلى هذا، هي أنّ الأشعري استوطن في مركز العالم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شهر سيف بيانه و قلمه على الاعتزال في مركز قدرتهم، و موضع سلطتهم، فصار ذلك سبباً لأن تمدّ إليه الأعين، و تشرئب</w:t>
      </w:r>
      <w:r>
        <w:rPr>
          <w:rStyle w:val="FootnoteAnchor"/>
          <w:rtl w:val="true"/>
        </w:rPr>
        <w:footnoteReference w:id="8"/>
      </w:r>
      <w:r>
        <w:rPr>
          <w:rFonts w:ascii="Amiri" w:hAnsi="Amiri" w:eastAsia="Amiri" w:cs="Amiri"/>
          <w:color w:val="111111"/>
          <w:sz w:val="28"/>
          <w:sz w:val="28"/>
          <w:szCs w:val="28"/>
          <w:rtl w:val="true"/>
          <w:lang w:bidi="ar-SA"/>
        </w:rPr>
        <w:t>نحوه الأعناق، فيذكره الصديق و العدو في كتبهم بمناسبات شتّى، و أمّا عديله و قرينه فكان بعيداً عنه، مستوطناً في نقطة يغلب فيها أهل الحديث و فكرتهم، و كانت السلطة في مجالي العلم و العمل لهم، فجهل قدره، و لم تعلم قيمة نضاله مع خصومهم، فقلّت العناية به، و بعلومه، و أفكاره، و الإشارة إليه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لأجل ذلك نرى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يترجمه في فهرسته، و في الوقت نفسه ترجم الشيخَ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8" w:name="pg11536_163830"/>
    </w:p>
    <w:p>
      <w:pPr>
        <w:pStyle w:val="BookText"/>
        <w:rPr/>
      </w:pPr>
      <w:bookmarkEnd w:id="28"/>
      <w:r>
        <w:rPr>
          <w:rFonts w:ascii="Amiri" w:hAnsi="Amiri" w:eastAsia="Amiri" w:cs="Amiri"/>
          <w:color w:val="111111"/>
          <w:sz w:val="28"/>
          <w:sz w:val="28"/>
          <w:szCs w:val="28"/>
          <w:rtl w:val="true"/>
          <w:lang w:bidi="ar-SA"/>
        </w:rPr>
        <w:t xml:space="preserve">و الامام الطحاوي شيخ الأحناف في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ببيان السنّة و الجماعة الذي اعتنى به عدّة من الأعلام بالشرح 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أهمله جمع من المتأخّرين، فلم يترجمه أحمد بن محمد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ترجم للطحاوي، و لا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محمد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تقي الدين محمد بن رافع السلامي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يذكره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في الفصل الذي خصّه بعلم الكلام، و لا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أحد المفسرين في أوائل القرن الرابع، إلى غير ذلك من المعنيّين بتراجم الأعيان و الشخصيات، و لم تصل أيديهم إليه، و إلى كتبه، و نشاطاته العلمية، و نضالاته مع خصوم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من ذكره و عنونه، لم يذكر سوى عدة كليات في حقه، لا تلقي ضوءاً على حياته، و لا تبيّن شيئاً من خصوصياته، هذا و المعلومات التي وصلت إلينا بعد الفحص عن مظانّها عبارة عن الأُمور التالية</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3907285_73709187"/>
      <w:bookmarkStart w:id="30" w:name="_Toc10"/>
      <w:bookmarkEnd w:id="29"/>
      <w:r>
        <w:rPr/>
        <w:t>1</w:t>
      </w:r>
      <w:r>
        <w:rPr>
          <w:rtl w:val="true"/>
        </w:rPr>
        <w:t xml:space="preserve"> - </w:t>
      </w:r>
      <w:r>
        <w:rPr>
          <w:rtl w:val="true"/>
        </w:rPr>
        <w:t>ميلاده</w:t>
      </w:r>
      <w:r>
        <w:rPr>
          <w:rtl w:val="true"/>
        </w:rPr>
        <w:t>:</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المترجمون له على أنّه توفّي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يعيّنوا ميلاده، و لكن نتمكّن من تعيينه على وجه التقريب من جانب مشايخه </w:t>
      </w:r>
      <w:bookmarkStart w:id="31" w:name="pg11536_163831"/>
    </w:p>
    <w:p>
      <w:pPr>
        <w:pStyle w:val="BookText"/>
        <w:rPr/>
      </w:pPr>
      <w:bookmarkEnd w:id="31"/>
      <w:r>
        <w:rPr>
          <w:rFonts w:ascii="Amiri" w:hAnsi="Amiri" w:eastAsia="Amiri" w:cs="Amiri"/>
          <w:color w:val="111111"/>
          <w:sz w:val="28"/>
          <w:sz w:val="28"/>
          <w:szCs w:val="28"/>
          <w:rtl w:val="true"/>
          <w:lang w:bidi="ar-SA"/>
        </w:rPr>
        <w:t xml:space="preserve">الّذين تخرّج عليهم في الحديث، و الفقه، و الكلام، فإنّ أحد مشايخه كما سيوافيك، هو نصير بن يحيى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تلقّى عنه العلم و هو ابن عشرين يكون هو من مواليد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يقاربه، فيكون أكبر سنّاً من الأشعري بسنين تزيد على عشر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907287_73709187"/>
      <w:bookmarkStart w:id="33" w:name="_Toc11"/>
      <w:bookmarkEnd w:id="32"/>
      <w:r>
        <w:rPr/>
        <w:t>2</w:t>
      </w:r>
      <w:r>
        <w:rPr>
          <w:rtl w:val="true"/>
        </w:rPr>
        <w:t xml:space="preserve"> - </w:t>
      </w:r>
      <w:r>
        <w:rPr>
          <w:rtl w:val="true"/>
        </w:rPr>
        <w:t>موطنه</w:t>
      </w:r>
      <w:r>
        <w:rPr>
          <w:rtl w:val="true"/>
        </w:rPr>
        <w:t>:</w:t>
      </w:r>
      <w:bookmarkEnd w:id="33"/>
    </w:p>
    <w:p>
      <w:pPr>
        <w:pStyle w:val="BookText"/>
        <w:rPr/>
      </w:pPr>
      <w:r>
        <w:rPr>
          <w:rFonts w:ascii="Amiri" w:hAnsi="Amiri" w:eastAsia="Amiri" w:cs="Amiri"/>
          <w:color w:val="111111"/>
          <w:sz w:val="28"/>
          <w:sz w:val="28"/>
          <w:szCs w:val="28"/>
          <w:rtl w:val="true"/>
          <w:lang w:bidi="ar-SA"/>
        </w:rPr>
        <w:t xml:space="preserve">قد اشتهر الإمام، بالماتريدي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سمرقند في بلاد ما وراء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جيحون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يوصف بالماتريدي تارة، و السمرقندي أُخرى، و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في خطّ الدفاع عن السنّة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907289_73709187"/>
      <w:bookmarkStart w:id="35" w:name="_Toc12"/>
      <w:bookmarkEnd w:id="34"/>
      <w:r>
        <w:rPr/>
        <w:t>3</w:t>
      </w:r>
      <w:r>
        <w:rPr>
          <w:rtl w:val="true"/>
        </w:rPr>
        <w:t xml:space="preserve"> - </w:t>
      </w:r>
      <w:r>
        <w:rPr>
          <w:rtl w:val="true"/>
        </w:rPr>
        <w:t>نسبه</w:t>
      </w:r>
      <w:bookmarkEnd w:id="35"/>
    </w:p>
    <w:p>
      <w:pPr>
        <w:pStyle w:val="BookText"/>
        <w:rPr/>
      </w:pPr>
      <w:r>
        <w:rPr>
          <w:rFonts w:ascii="Amiri" w:hAnsi="Amiri" w:eastAsia="Amiri" w:cs="Amiri"/>
          <w:color w:val="111111"/>
          <w:sz w:val="28"/>
          <w:sz w:val="28"/>
          <w:szCs w:val="28"/>
          <w:rtl w:val="true"/>
          <w:lang w:bidi="ar-SA"/>
        </w:rPr>
        <w:t xml:space="preserve">ينتهي نسبه إلى أبي أيّوب خالد بن زيد بن كليب الأنصاري، مضيف النبي الأكرم صلى الله عليه و آله و سلم في دار الهجرة، و قد وصفه بذلك البياضي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3907291_73709187"/>
      <w:bookmarkStart w:id="37" w:name="_Toc13"/>
      <w:bookmarkEnd w:id="36"/>
      <w:r>
        <w:rPr/>
        <w:t>4</w:t>
      </w:r>
      <w:r>
        <w:rPr>
          <w:rtl w:val="true"/>
        </w:rPr>
        <w:t xml:space="preserve"> - </w:t>
      </w:r>
      <w:r>
        <w:rPr>
          <w:rtl w:val="true"/>
        </w:rPr>
        <w:t>مشايخه و أساتذته</w:t>
      </w:r>
      <w:r>
        <w:rPr>
          <w:rtl w:val="true"/>
        </w:rPr>
        <w:t>:</w:t>
      </w:r>
      <w:bookmarkEnd w:id="37"/>
    </w:p>
    <w:p>
      <w:pPr>
        <w:pStyle w:val="BookText"/>
        <w:rPr/>
      </w:pPr>
      <w:r>
        <w:rPr>
          <w:rFonts w:ascii="Amiri" w:hAnsi="Amiri" w:eastAsia="Amiri" w:cs="Amiri"/>
          <w:color w:val="111111"/>
          <w:sz w:val="28"/>
          <w:sz w:val="28"/>
          <w:szCs w:val="28"/>
          <w:rtl w:val="true"/>
          <w:lang w:bidi="ar-SA"/>
        </w:rPr>
        <w:t>قد أخذ العلم عن عدّة من المشايخ، هم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أحمد بن إسحاق الجوزجاني</w:t>
      </w:r>
      <w:r>
        <w:rPr>
          <w:rFonts w:eastAsia="Amiri" w:cs="Amiri" w:ascii="Amiri" w:hAnsi="Amiri"/>
          <w:color w:val="111111"/>
          <w:sz w:val="28"/>
          <w:szCs w:val="28"/>
          <w:rtl w:val="true"/>
          <w:lang w:bidi="ar-SA"/>
        </w:rPr>
        <w:t xml:space="preserve">. </w:t>
      </w:r>
      <w:bookmarkStart w:id="38" w:name="pg11536_163832"/>
    </w:p>
    <w:p>
      <w:pPr>
        <w:pStyle w:val="BookText"/>
        <w:rPr/>
      </w:pPr>
      <w:bookmarkEnd w:id="3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نصر أحمد بن العياضي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نصير بن يحيى، تلميذ حفص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مقاتل الرازي</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الماتريدي على الإمام أبي نصر العياضي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شيوخه الامام أبو بكر أحمد بن إسحاق بن صالح الجوزجاني صاحب الفرق،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مشايخه محمّد ابن مقاتل الرازي قاضي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من تلاميذ أبي سليمان موسى بن سليمان الجوزجاني، و هو من تلاميذ أبي يوسف، و محمّد بن الحسن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شيخه الرابع أعني محمّد بن مقاتل، فقد تخرّج على تلميذ أبي حنيفة مباشرة، و على ذلك فالماتريدي يتّصل بإمامه تارة بثلاث وسائط، و أُخرى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طريق الأوّلين بوسائط ثلاث، و عن طريق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بواسطتين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3907293_73709187"/>
      <w:bookmarkStart w:id="40" w:name="_Toc14"/>
      <w:bookmarkEnd w:id="39"/>
      <w:r>
        <w:rPr/>
        <w:t>5</w:t>
      </w:r>
      <w:r>
        <w:rPr>
          <w:rtl w:val="true"/>
        </w:rPr>
        <w:t xml:space="preserve"> - </w:t>
      </w:r>
      <w:r>
        <w:rPr>
          <w:rtl w:val="true"/>
        </w:rPr>
        <w:t>ثقافته</w:t>
      </w:r>
      <w:r>
        <w:rPr>
          <w:rtl w:val="true"/>
        </w:rPr>
        <w:t>:</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ثقافته و آراءه في الفقهين، الأكبر و الأصغر، ينتهي إلى إمام 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مشايخه الّذين أخذ عنهم العلم، عكفوا على رواية الكتب المنسوبة إليه و دراستها، و قد نقل الشيخ الكوثري أسانيد الكتب المرويّة عن </w:t>
      </w:r>
    </w:p>
    <w:p>
      <w:pPr>
        <w:pStyle w:val="BookText"/>
        <w:rPr/>
      </w:pPr>
      <w:r>
        <w:rPr>
          <w:rFonts w:ascii="Amiri" w:hAnsi="Amiri" w:eastAsia="Amiri" w:cs="Amiri"/>
          <w:color w:val="111111"/>
          <w:sz w:val="28"/>
          <w:sz w:val="28"/>
          <w:szCs w:val="28"/>
          <w:rtl w:val="true"/>
          <w:lang w:bidi="ar-SA"/>
        </w:rPr>
        <w:t>أبي حنيفة عن النسخ الخطّيّة الموجودة في دار الكتب المصرية و غيرها، و فيها مشايخ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الكتب المتوارثة عن أبي حنيفة، كتاب الفقه الأكبر رواية عليّ بن أحمد الفارسي، عن نصير بن يحيى، عن أبي مقاتل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سالم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 عصام بن يوسف، عن حمّاد بن أبي حنيفة، عن أبيه، و تمام السند في النسخة المحفوظة ضمن مجموعة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بمكتبة شيخ الاسلام بالمدينة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نصير بن يحيى أحد مشايخ الماتريدي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زكريا يحيى بن مطرف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مطيع، عن أبي حنيفة، و تمام السند في المجموعتين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الكتب المصريّة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هذه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الفضل أحمد بن علي البيكندي الحافظ، عن حاتم بن عقيل، عن الفتح بن أبي علوان، و محمّد بن يزيد، عن الحسن بن صالح، عن أبي مقاتل حفص بن سالم السمرقندي، عن أبي حنيفة، و يرويه أبو منصور الماتريدي عن أبي بكر أحمد بن إسحاق الجوزجاني عن محمد بن مقاتل الرازي، عن أبي مقاتل، عنه، و تمام الأسانيد في مناقب الموفّق و التأنيب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تلك الرسائل رسالة أبي حنيفة إلى البتّي، رواية نصير بن يحيى، </w:t>
      </w:r>
    </w:p>
    <w:p>
      <w:pPr>
        <w:pStyle w:val="BookText"/>
        <w:rPr/>
      </w:pPr>
      <w:r>
        <w:rPr>
          <w:rFonts w:ascii="Amiri" w:hAnsi="Amiri" w:eastAsia="Amiri" w:cs="Amiri"/>
          <w:color w:val="111111"/>
          <w:sz w:val="28"/>
          <w:sz w:val="28"/>
          <w:szCs w:val="28"/>
          <w:rtl w:val="true"/>
          <w:lang w:bidi="ar-SA"/>
        </w:rPr>
        <w:t xml:space="preserve">عن محمّد بن مقاتل الرازي، عن أبي مقاتل، عنه، و تمام الأسانيد في مناقب الموفق و التأنيب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الرسائل رسالة أبي حنيفة إلى البتّي رواية نصير بن يحيى، عن محمّد بن سماعة، عن أبي يوسف، عن أبي حنيفة، و بهذا السند رواية الوصيّة أيضاً، و تمام الأسانيد في نسخ دار الكتب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فبنور تلك الرسائل سعى أصحاب أبي حنيفة و أصحاب أصحابه في إبانة الحقّ في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إمام السنّة في ما وراء النهر، أبو منصور محمّد بن محمّد الماتريدي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فتفرّغ لتحقيق مسائلها، و تدقيق دلائلها، فأرضى بمؤلّفاته جانبي العقل و النقل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مؤلفاته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ترى أنّ أسناد هذه الكتب و الرسائل تنتهي إلى أحد مشايخ الماتريدي و قد طبع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الأكبر، الرسالة، العالم و المتعلّم، و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مطبعة حيدرآباد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المؤلّفات لا تتجاوز عن كونها بياناً للعقيدة و ما يصحّ الاعتقاد به، من دون أن تقترن بالدليل و البرهان، و لكنّها تحوّلت من عقيدة إلى علم،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قد حقّق الأُصول في كتبه، فكان هو متكلّم مدرسة أبي حنيفة و رئيس أهل السنّة في بلاد ما وراء النهر، و لذلك سمّيت المدرسة </w:t>
      </w:r>
    </w:p>
    <w:p>
      <w:pPr>
        <w:pStyle w:val="BookText"/>
        <w:rPr/>
      </w:pPr>
      <w:r>
        <w:rPr>
          <w:rFonts w:ascii="Amiri" w:hAnsi="Amiri" w:eastAsia="Amiri" w:cs="Amiri"/>
          <w:color w:val="111111"/>
          <w:sz w:val="28"/>
          <w:sz w:val="28"/>
          <w:szCs w:val="28"/>
          <w:rtl w:val="true"/>
          <w:lang w:bidi="ar-SA"/>
        </w:rPr>
        <w:t>باسمه، و أصبح المتكلّمون على مذهب الإمام أبي حنيفة في بلاد ما وراء النهر، يسمّون بالماتريديّين، و اقتصر إطلاق اسم أبي حنيفة على الأحناف المتخصّصين في مذهبه الفقهي</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رئيس أهل السنّة و الجماعة في علم الكلام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حنفيّ، و الآخر شافعي، أمّا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منصور محمّد بن محمّد بن محمود الماتريدي، و أمّا الآخر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 السنّة أبو الحسن الأشعري البصري</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حاشية الكستلي</w:t>
      </w:r>
      <w:r>
        <w:rPr>
          <w:rStyle w:val="FootnoteAnchor"/>
          <w:rtl w:val="true"/>
        </w:rPr>
        <w:footnoteReference w:id="16"/>
      </w:r>
      <w:r>
        <w:rPr>
          <w:rFonts w:ascii="Amiri" w:hAnsi="Amiri" w:eastAsia="Amiri" w:cs="Amiri"/>
          <w:color w:val="111111"/>
          <w:sz w:val="28"/>
          <w:sz w:val="28"/>
          <w:szCs w:val="28"/>
          <w:rtl w:val="true"/>
          <w:lang w:bidi="ar-SA"/>
        </w:rPr>
        <w:t>على شرح العقائد النسفية</w:t>
      </w:r>
      <w:r>
        <w:rPr>
          <w:rStyle w:val="FootnoteAnchor"/>
          <w:rtl w:val="true"/>
        </w:rPr>
        <w:footnoteReference w:id="17"/>
      </w:r>
      <w:r>
        <w:rPr>
          <w:rFonts w:ascii="Amiri" w:hAnsi="Amiri" w:eastAsia="Amiri" w:cs="Amiri"/>
          <w:color w:val="111111"/>
          <w:sz w:val="28"/>
          <w:sz w:val="28"/>
          <w:szCs w:val="28"/>
          <w:rtl w:val="true"/>
          <w:lang w:bidi="ar-SA"/>
        </w:rPr>
        <w:t>للتفتازاني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من أهل السنّة في ديار خراسان و العراق و الشام و أكثر الأقطار، هم الأشاعرة، و في ديار ما وراء النهر الماتريدية أصحاب أبي منصور الماتريدي تلميذ أبي نصر العياضي، تلميذ أبي بكر الجرجاني، تلميذ محمّد بن الحسن الشيباني من أصحاب الإمام أبي حنيفة</w:t>
      </w:r>
      <w:r>
        <w:rPr>
          <w:rFonts w:eastAsia="Amiri" w:cs="Amiri" w:ascii="Amiri" w:hAnsi="Amiri"/>
          <w:color w:val="111111"/>
          <w:sz w:val="28"/>
          <w:szCs w:val="28"/>
          <w:rtl w:val="true"/>
          <w:lang w:bidi="ar-SA"/>
        </w:rPr>
        <w:t>».</w:t>
      </w:r>
      <w:r>
        <w:rPr>
          <w:rStyle w:val="FootnoteAnchor"/>
          <w:rtl w:val="true"/>
        </w:rPr>
        <w:footnoteReference w:id="18"/>
      </w:r>
      <w:bookmarkStart w:id="41" w:name="pg11536_163836"/>
    </w:p>
    <w:p>
      <w:pPr>
        <w:pStyle w:val="BookText"/>
        <w:rPr/>
      </w:pPr>
      <w:bookmarkEnd w:id="41"/>
      <w:r>
        <w:rPr>
          <w:rFonts w:ascii="Amiri" w:hAnsi="Amiri" w:eastAsia="Amiri" w:cs="Amiri"/>
          <w:color w:val="111111"/>
          <w:sz w:val="28"/>
          <w:sz w:val="28"/>
          <w:szCs w:val="28"/>
          <w:rtl w:val="true"/>
          <w:lang w:bidi="ar-SA"/>
        </w:rPr>
        <w:t>و يقول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أُطلق أهل السنّة و الجماعة، فالمراد هم الأشاعرة و الماتريدية</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3907295_73709187"/>
      <w:bookmarkStart w:id="43" w:name="_Toc15"/>
      <w:bookmarkEnd w:id="42"/>
      <w:r>
        <w:rPr/>
        <w:t>6</w:t>
      </w:r>
      <w:r>
        <w:rPr>
          <w:rtl w:val="true"/>
        </w:rPr>
        <w:t xml:space="preserve"> - </w:t>
      </w:r>
      <w:r>
        <w:rPr>
          <w:rtl w:val="true"/>
        </w:rPr>
        <w:t>المتخرّجون عليه</w:t>
      </w:r>
      <w:r>
        <w:rPr>
          <w:rtl w:val="true"/>
        </w:rPr>
        <w:t>:</w:t>
      </w:r>
      <w:bookmarkEnd w:id="43"/>
    </w:p>
    <w:p>
      <w:pPr>
        <w:pStyle w:val="BookText"/>
        <w:rPr/>
      </w:pPr>
      <w:r>
        <w:rPr>
          <w:rFonts w:ascii="Amiri" w:hAnsi="Amiri" w:eastAsia="Amiri" w:cs="Amiri"/>
          <w:color w:val="111111"/>
          <w:sz w:val="28"/>
          <w:sz w:val="28"/>
          <w:szCs w:val="28"/>
          <w:rtl w:val="true"/>
          <w:lang w:bidi="ar-SA"/>
        </w:rPr>
        <w:t>تخرّج عليه عدّة من العلماء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إسحاق بن محمّد بن إسماعيل الشهير بالحكيم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أبو اللّيث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أبو محمّد عبد الكريم بن موسى البزدوي، جدّ محمّد بن محمد بن الحسين بن عبد الكريم البزدوي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حفيده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وجدت للشيخ الامام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الماتريدي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علم التوحيد على مذهب أهل السنّة، و كان من رؤساء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لي الشيخ الامام والدي رحمه الله عن جده الشيخ الامام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كراماته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جدّنا كان أخذ معاني كتب أصحابنا، و كتاب التوحيد، و كتاب التأويلات من خلق</w:t>
      </w:r>
      <w:r>
        <w:rPr>
          <w:rStyle w:val="FootnoteAnchor"/>
          <w:rtl w:val="true"/>
        </w:rPr>
        <w:footnoteReference w:id="20"/>
      </w:r>
      <w:r>
        <w:rPr>
          <w:rFonts w:ascii="Amiri" w:hAnsi="Amiri" w:eastAsia="Amiri" w:cs="Amiri"/>
          <w:color w:val="111111"/>
          <w:sz w:val="28"/>
          <w:sz w:val="28"/>
          <w:szCs w:val="28"/>
          <w:rtl w:val="true"/>
          <w:lang w:bidi="ar-SA"/>
        </w:rPr>
        <w:t xml:space="preserve">عن الشيخ الإمام أبي منصور الماتريدي رحمه الله إلا أنّ في كتاب التوحيد الذي صنّفه الشيخ أبو منصور قليل </w:t>
      </w:r>
      <w:bookmarkStart w:id="44" w:name="pg11536_163837"/>
    </w:p>
    <w:p>
      <w:pPr>
        <w:pStyle w:val="BookText"/>
        <w:rPr/>
      </w:pPr>
      <w:bookmarkEnd w:id="44"/>
      <w:r>
        <w:rPr>
          <w:rFonts w:ascii="Amiri" w:hAnsi="Amiri" w:eastAsia="Amiri" w:cs="Amiri"/>
          <w:color w:val="111111"/>
          <w:sz w:val="28"/>
          <w:sz w:val="28"/>
          <w:szCs w:val="28"/>
          <w:rtl w:val="true"/>
          <w:lang w:bidi="ar-SA"/>
        </w:rPr>
        <w:t>انغلاق و تطويل، و في ترتيبه نوع تعسير لو لا ذلك لاكتفينا به</w:t>
      </w:r>
      <w:r>
        <w:rPr>
          <w:rFonts w:eastAsia="Amiri" w:cs="Amiri" w:ascii="Amiri" w:hAnsi="Amiri"/>
          <w:color w:val="111111"/>
          <w:sz w:val="28"/>
          <w:szCs w:val="28"/>
          <w:rtl w:val="true"/>
          <w:lang w:bidi="ar-SA"/>
        </w:rPr>
        <w:t>.</w:t>
      </w:r>
      <w:r>
        <w:rPr>
          <w:rStyle w:val="FootnoteAnchor"/>
          <w:rtl w:val="true"/>
        </w:rPr>
        <w:footnoteReference w:id="21"/>
      </w:r>
    </w:p>
    <w:p>
      <w:pPr>
        <w:pStyle w:val="Heading4"/>
        <w:numPr>
          <w:ilvl w:val="3"/>
          <w:numId w:val="1"/>
        </w:numPr>
        <w:rPr/>
      </w:pPr>
      <w:bookmarkStart w:id="45" w:name="__RefHeading___Toc3907297_73709187"/>
      <w:bookmarkStart w:id="46" w:name="_Toc16"/>
      <w:bookmarkEnd w:id="45"/>
      <w:r>
        <w:rPr/>
        <w:t>7</w:t>
      </w:r>
      <w:r>
        <w:rPr>
          <w:rtl w:val="true"/>
        </w:rPr>
        <w:t xml:space="preserve"> - </w:t>
      </w:r>
      <w:r>
        <w:rPr>
          <w:rtl w:val="true"/>
        </w:rPr>
        <w:t>أنصار مذهبه في الأجيال اللاحقة</w:t>
      </w:r>
      <w:r>
        <w:rPr>
          <w:rtl w:val="true"/>
        </w:rPr>
        <w:t>:</w:t>
      </w:r>
      <w:bookmarkEnd w:id="46"/>
    </w:p>
    <w:p>
      <w:pPr>
        <w:pStyle w:val="BookText"/>
        <w:rPr/>
      </w:pPr>
      <w:r>
        <w:rPr>
          <w:rFonts w:ascii="Amiri" w:hAnsi="Amiri" w:eastAsia="Amiri" w:cs="Amiri"/>
          <w:color w:val="111111"/>
          <w:sz w:val="28"/>
          <w:sz w:val="28"/>
          <w:szCs w:val="28"/>
          <w:rtl w:val="true"/>
          <w:lang w:bidi="ar-SA"/>
        </w:rPr>
        <w:t>إنّ للمنهج الكلاميّ الموروث من أبي منصور الماتريدي، أنصاراً و أعواناً قاموا بإنضاج المذهب و نصرته، و نشره و إشاعته، و إن لم يصل إلى ما وصل إليه مذهب الأشعري من الانتشار و كثرة الاقتفاء، و إليك ذكر بعض أنصاره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الإمام أبو اليسر محمّد بن محمّد بن الحسين عبد الكريم البزدوي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عام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المتوفّى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كلامه في حقّ الماتريدي، و سيوافيك بعض كلامه عند البحث عن فوارق المنهجين، و قد ألّف كتاب أُصول الدين على غرار هذا المنهج، و سيوافيك الإيعاز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المعين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أعاظم أنصار ذلك المذهب فهو عند الماتريديّة كالباقلّاني بين الأشاعرة،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زال مخطوطاً حتّى الآن، و يعدّ الينبوع الثاني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للماتريدية الّذين جاءوا بعده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نجم الدين أبو حفص عمر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إنّه بمنزلة الفهرس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ما زال هذا الكتاب محور الدراسة في الأزهر، و غيره، إلى يومنا هذا،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مسعود بن عمر التفتازاني أحد المتضلّعين في العلوم العربيّة، و المنطق، و الكلام، و هو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على منهاج الإمام الماتريدي، و لكن لم يتحقّق لي كونه ماتريديّاً، بل الظاهر من شرح مقاصده كونه أشعريّاً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مسألة خلق الأعمال، و كونه سبحانه خالقاً، و العبد كاسباً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كمال الدين محمد بن همام الدين الشهير بابن الهمام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 و شرحه محمّد محيي الدين عبد الحميد و طبع بالقاهرة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كمال الدين أحمد البياضي الحنفي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العلماء في القرن الحادي عشر و كتابه هذا أحد المصادر للماتريديّة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أخيراً الشيخ محمد زاهد بن الحسن الكوثري المصري وكيل المشيخة الإسلاميّة في الخلافة العثمانيّة، أحد الخبراء في الحديث، و التاريخ، و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خدمات صادقة في نشر الثقافة الإسلاميّة و مكافحة الحشوية و الوهابيّة، و لكنّ الحنابلة يبغضونه و ما هذا إلّا لأنّ عقليّته لا تخضع لقبول كلّ ما ينقل باسم الحديث و لا سيّما فيما يرجع إلى </w:t>
      </w:r>
      <w:bookmarkStart w:id="47" w:name="pg11536_163839"/>
    </w:p>
    <w:p>
      <w:pPr>
        <w:pStyle w:val="BookText"/>
        <w:rPr/>
      </w:pPr>
      <w:bookmarkEnd w:id="47"/>
      <w:r>
        <w:rPr>
          <w:rFonts w:ascii="Amiri" w:hAnsi="Amiri" w:eastAsia="Amiri" w:cs="Amiri"/>
          <w:color w:val="111111"/>
          <w:sz w:val="28"/>
          <w:sz w:val="28"/>
          <w:szCs w:val="28"/>
          <w:rtl w:val="true"/>
          <w:lang w:bidi="ar-SA"/>
        </w:rPr>
        <w:t>الصفات الخبرية للّٰه سبحانه الذي لا يفترق عن القول بالتشبيه و التجسيم قدر شعرة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3907299_73709187"/>
      <w:bookmarkStart w:id="49" w:name="_Toc17"/>
      <w:bookmarkEnd w:id="48"/>
      <w:r>
        <w:rPr/>
        <w:t>8</w:t>
      </w:r>
      <w:r>
        <w:rPr>
          <w:rtl w:val="true"/>
        </w:rPr>
        <w:t xml:space="preserve"> - </w:t>
      </w:r>
      <w:r>
        <w:rPr>
          <w:rtl w:val="true"/>
        </w:rPr>
        <w:t>مؤلّفاته و آثاره العلميّة</w:t>
      </w:r>
      <w:r>
        <w:rPr>
          <w:rtl w:val="true"/>
        </w:rPr>
        <w:t>:</w:t>
      </w:r>
      <w:bookmarkEnd w:id="49"/>
    </w:p>
    <w:p>
      <w:pPr>
        <w:pStyle w:val="BookText"/>
        <w:rPr/>
      </w:pPr>
      <w:r>
        <w:rPr>
          <w:rFonts w:ascii="Amiri" w:hAnsi="Amiri" w:eastAsia="Amiri" w:cs="Amiri"/>
          <w:color w:val="111111"/>
          <w:sz w:val="28"/>
          <w:sz w:val="28"/>
          <w:szCs w:val="28"/>
          <w:rtl w:val="true"/>
          <w:lang w:bidi="ar-SA"/>
        </w:rPr>
        <w:t>سجّل المترجمون للماتريدي كتباً له تعرب عن ولعه بالكتابة و التدوين و الامعان و التّحقيق، غير أنّ الحوادث لعبت بها، و لم يبق منها إلّا ثلاثة، و قد طبع منها اثنان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المصدر الأوّل لطلّاب المدرسة الماتريدية و شيوخها الّذين جاءوا بعد الماتريدي، و اعتنقوا مذهبه، و هو يستمدّ في دعم آرائه من الكتاب، و السنّة، و العقل، و يعطي للعقل سلطاناً أكبر من النقل، و قد قام بتحقيق نصوصه و نشره الدكتور فتح اللّٰه خليف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الكتاب في مطابع بيروت مع فهارسه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قد عرفت من البزدوي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لا يخلو من انغلاق في التّعبير، و هو لائح منه لمن سبره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الكريم، و هو تفسير في نطاق العقيدة السنيّة، و قد مزجه بآرائه الفقهية و الاُصولية و آراء اُستاذه الإمام أبي حنيفة، فصار بذلك تفسيراً عقيدياً فقهيّاً، و هو تفسير عامّ لجميع السور، و الجزء الأخير منه يفسّر سورة المنافقين، إلى آخر القرآن، و قد وقفنا من المطبوع منه على الجزء الأوّل و ينتهي إلى تفسير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الدكتور إبراهيم عوضين و السيد عوضين، و طبع في القاهرة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المقارنة بين الكتابين تعرب عن وحدتهما في المنبع، و التعبير، و التركيب، فمثلاً ما ذكره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على جواز الرؤية، هو نفس ما ذكره في كتاب التوحيد، إلى غير ذلك من المواضيع المشتركة بين الكتابين، و لكنّ التفسير أسهل تناولاً، و أوضح تعبيراً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كتبه الأُخر فإليك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نسخة مخطوطة منه في المكتبات الغربيّة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 الشرائع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الجدل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و هم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كتاب الأُصول الخمسة للباهلي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ردّ الإمامة لبعض الروافض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أُصول القرامطة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ردّ تهذيب الجدل للكعبي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وعيد الفسّاق للكعبي أيضاً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أوائل الأدلّة له أيضاً</w:t>
      </w:r>
      <w:r>
        <w:rPr>
          <w:rFonts w:eastAsia="Amiri" w:cs="Amiri" w:ascii="Amiri" w:hAnsi="Amiri"/>
          <w:color w:val="111111"/>
          <w:sz w:val="28"/>
          <w:szCs w:val="28"/>
          <w:rtl w:val="true"/>
          <w:lang w:bidi="ar-SA"/>
        </w:rPr>
        <w:t xml:space="preserve">. </w:t>
      </w:r>
      <w:bookmarkStart w:id="50" w:name="pg11536_163841"/>
    </w:p>
    <w:p>
      <w:pPr>
        <w:pStyle w:val="Heading4"/>
        <w:numPr>
          <w:ilvl w:val="3"/>
          <w:numId w:val="1"/>
        </w:numPr>
        <w:rPr/>
      </w:pPr>
      <w:bookmarkStart w:id="51" w:name="__RefHeading___Toc3907301_73709187"/>
      <w:bookmarkStart w:id="52" w:name="_Toc18"/>
      <w:bookmarkEnd w:id="50"/>
      <w:bookmarkEnd w:id="51"/>
      <w:r>
        <w:rPr/>
        <w:t>9</w:t>
      </w:r>
      <w:r>
        <w:rPr>
          <w:rtl w:val="true"/>
        </w:rPr>
        <w:t xml:space="preserve"> - </w:t>
      </w:r>
      <w:r>
        <w:rPr>
          <w:rtl w:val="true"/>
        </w:rPr>
        <w:t>الفرق بين المنهجين</w:t>
      </w:r>
      <w:r>
        <w:rPr>
          <w:rtl w:val="true"/>
        </w:rPr>
        <w:t xml:space="preserve">: </w:t>
      </w:r>
      <w:r>
        <w:rPr>
          <w:rtl w:val="true"/>
        </w:rPr>
        <w:t>الأشعرية و الماتريدية</w:t>
      </w:r>
      <w:r>
        <w:rPr>
          <w:rtl w:val="true"/>
        </w:rPr>
        <w:t>:</w:t>
      </w:r>
      <w:bookmarkEnd w:id="52"/>
    </w:p>
    <w:p>
      <w:pPr>
        <w:pStyle w:val="BookText"/>
        <w:rPr/>
      </w:pPr>
      <w:r>
        <w:rPr>
          <w:rFonts w:ascii="Amiri" w:hAnsi="Amiri" w:eastAsia="Amiri" w:cs="Amiri"/>
          <w:color w:val="111111"/>
          <w:sz w:val="28"/>
          <w:sz w:val="28"/>
          <w:szCs w:val="28"/>
          <w:rtl w:val="true"/>
          <w:lang w:bidi="ar-SA"/>
        </w:rPr>
        <w:t xml:space="preserve">لا شكّ أنّ الإمامين الأشعري و الماتريدي كانا يتحرّكان في فلك واحد و كانت الغاية هي الدفاع عن عقيدة أهل السنّة، و الوقوف في وجه المعتزلة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يتّفقا في جميع المسائل الرئيسية، فضلاً عن التّفاريع، و ذلك لأنّ الأشعري اختار منهج الإمام أحمد، و طابع منهجه هو الجمود على الظّواهر، و قلّة العناية بالعقل و البرهان، و الشيخ الأشعري و إن تصرّف فيه و عدّله، و لكن لمّا كان رائده هو الفكرة الحنبليّة فقد عرقلت نطاق عقله عن التوسّع، و لو تجاوز عنها فإنّما يتجاوز مع التحفّظ على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الماتريديّ فقد تربّى في منهج تلامذة الإمام أبي حنيفة، و يعلو على ذلك المنهج، الطّابع العقلي و الاستدلال، كيف و من أُسس منهجه الفقهي، هو العمل بالمقاييس و الاستحسانات، و على ضوء هذا فلا يمكن أن يكون التلميذان متوافقين في الأُصول، فضلاً عن الفروع، و أن يقع الحافر على الحافر في جميع المجالات، و قد أشغل هذا الموضوع بالَ المحقّقين، و حاولوا تبيين أنّ أيّاً من الداعيين أعطى للعقل سلطاناً أكبر، و تفرّقوا في ذلك إلى أقوال نذكرها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أمين المصري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اتّفق الماتريدي و الأشعري على كثير من المسائل الأساسية، و قد أُلِّفت كتب كثيرة و ملخّصات، بعضها يشرح </w:t>
      </w:r>
    </w:p>
    <w:p>
      <w:pPr>
        <w:pStyle w:val="BookText"/>
        <w:rPr/>
      </w:pPr>
      <w:r>
        <w:rPr>
          <w:rFonts w:ascii="Amiri" w:hAnsi="Amiri" w:eastAsia="Amiri" w:cs="Amiri"/>
          <w:color w:val="111111"/>
          <w:sz w:val="28"/>
          <w:sz w:val="28"/>
          <w:szCs w:val="28"/>
          <w:rtl w:val="true"/>
          <w:lang w:bidi="ar-SA"/>
        </w:rPr>
        <w:t xml:space="preserve">مذهب الماتريدي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النسفي، و بعضها يشرح عقيدة الأشعري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أُلِّفت كتب في حصر المسائل الّتي اختلف فيها الماتريدي و الأشعري، ربّما أوصلها بعضهم إلى أربعين مسألة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لون الاعتزال أظهر في الأشعريّة بحكم تتلمذ الأشعري للمعتزلة عهداً طويلاً، و استشهد على ذلك بأنّ الأشعري يقول بوجوب المعرفة عقلاً قبل بعث الأنبياء دون الماتريدي</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ما ذكره الكاتب من هفو القلم و سهو الفكر، إذ مضافاً إلى أنّ كتابي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آراء تلاميذه تشهد على خلاف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استشهد به على ما تبنّاه خلاف الواقع، فالأشعري يقول بوجوب المعرفة سمعاً لا عقلاً، و الماتريدي على العكس كما ستوافيك نصوص القوم عند عرض المذهب، و العجب أنّه قد سجّل نظرية الإمامين قبيل هذا، على خلاف ما ذكره هنا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لو لم يبعث للناس رسولاً لوجب عليهم بعقولهم معرفته تعالى، و معرفة وحدانيّته، و اتّصافه بما يليق، و كونه محدثاً للعالم، كما روي ذلك عن أبي حنيفة، و ذهب مشايخ الأشاعرة إلى أنّه لا يجب إيمان، و لا يحرم كفر قبل البعث</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أحمد أمين قائلاً بغلبة لون الاعتزال على الأشعري، فهناك من ذهب إلى خلافه، و إليك البيان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منهاج الماتريدية للعقل سلطان كبير فيه من غير أيّ شطط أو إسراف، و الأشاعرة يتقيّدون بالنّقل و يؤيِّدونه بالعقل، حتّى إنّه يكاد الباحث يقرّر أنّ الأشاعرة في خطّ بين الاعتزال و أهل الفقه و الحديث، و الماتريديّة في خطّ بين المعتزلة و الأشاعرة، فإذا كان الميدان الّذي تسير فيه هذه الفرق الإسلاميّة الأربع، و الّتي لا خلاف بين المسلمين في أنّها جميعاً من أهل الإيمان، ذا أقسام أربعة، فعلى طرف منه المعتزلة، و على الطرف الآخر أهل الحديث، و في الربع الّذي يلي المعتزلة، الماتريديّة، و في الربع الّذي يلي المحدّثين، الأشاعرة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جعل أبو زهرة هؤلاء كلّهم من أهل الايمان، مع أنّ بين أهل الحديث طوائف المشبِّهة، و المجسِّمة، و القائلين بالجبر المستلزم للغوية التكليف و بعث الأنبياء، فهل يصحّ أن يعدّ من يصوّر بعث الأنبياء لغواً، و إنزال الكتب عبثاً، من أهل الإيمان؟ و الحال أنّه لا تقصر عقيدة هؤلاء عن عقيدة أهل الجاهليّة الأُولى الّذين وصفهم الإمام علي عليه السلام في خطبة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أهل الأرض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بعث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متفرِّقة، و أهواء منتشرة، و طوائف متشتّتة، بين مشبِّه للّٰه بخلقه، أو ملحد في اسمه، أو مشير به إلى غيره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للعجب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قسّم أبو زهرة ساحة الإيمان كلّها لهذه الطوائف </w:t>
      </w:r>
    </w:p>
    <w:p>
      <w:pPr>
        <w:pStyle w:val="BookText"/>
        <w:rPr/>
      </w:pPr>
      <w:r>
        <w:rPr>
          <w:rFonts w:ascii="Amiri" w:hAnsi="Amiri" w:eastAsia="Amiri" w:cs="Amiri"/>
          <w:color w:val="111111"/>
          <w:sz w:val="28"/>
          <w:sz w:val="28"/>
          <w:szCs w:val="28"/>
          <w:rtl w:val="true"/>
          <w:lang w:bidi="ar-SA"/>
        </w:rPr>
        <w:t>الأربع، فأين يقع مكان أئمّة أهل البيت في هذه الساحة و ليس لأحد إنكار فضيلتهم، لأنّهم الّذين أوجب اللّٰه سبحانه مودّتهم في القرآن و جعلها أجر رسالته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عرّفهم رسول اللّٰه صلى الله عليه و آله و سلم بأنّهم أعدال الكتاب و قرناؤه،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 الأبكم و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أئمّة أهل البيت لم يكونوا في أحد هذه المذاهب، و لا كانوا مقتفين لأحد هذه المناهج، بل كان لهم منهج خاصّ لا يفترق عن الكتاب، و السنّة، و العقل السليم، فما معنى هذا التقسيم؟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يَقْسِمُونَ رَحْمَتَ رَبِّكَ</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محمّد زاهد الكوثري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الماتريديّة هم الوسط بين الأشاعرة و المعتزلة، و قلّما يوجد بينهم متصوّف، فالأشعريّ و الماتريدي هما إماما أهل السنّة و الجماعة في مشارق الأرض و مغاربها، لهم كتب لا تحصى، و غالب ما وقع بين هذين الإمامين من الخلاف من قبيل اللّفظي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الماتريديّة بين الأشاعرة و المعتزلة و إن </w:t>
      </w:r>
    </w:p>
    <w:p>
      <w:pPr>
        <w:pStyle w:val="BookText"/>
        <w:rPr/>
      </w:pPr>
      <w:r>
        <w:rPr>
          <w:rFonts w:ascii="Amiri" w:hAnsi="Amiri" w:eastAsia="Amiri" w:cs="Amiri"/>
          <w:color w:val="111111"/>
          <w:sz w:val="28"/>
          <w:sz w:val="28"/>
          <w:szCs w:val="28"/>
          <w:rtl w:val="true"/>
          <w:lang w:bidi="ar-SA"/>
        </w:rPr>
        <w:t>كان متيناً، كما سيأتي عند عرض مذهبهم، لكن كون الخلاف بين الإمامين لفظيّاً واضح البطلان، إذ كيف يكون النّزاع في التحسين و التقبيح العقليّين، أمراً لفظيّاً، مع أنّه تترتّب على الإثبات و الإنكار مسائل كلاميّة كثيرة؟ أو كيف يكون الاختلاف في كون فعل الانسان فعلاً له حقيقة أو مجازاً من الاختلاف اللّفظي؟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للماتريدي،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شيخيّ السنّة يلتقيان على منهج واحد و مذهب واحد، في أهمّ مسائل علم الكلام الّتي وقع فيها الخلاف بين فرق المتكلّمين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لا يرى الخلاف في التحسين و التقبيح، و كون فعل الانسان فعلاً له حقيقة، أو مجازاً، اختلافاً جوهريّاً، كما لا يرى الاختلاف في كون صفاته عين ذاته، أو زائدة عليه، أو جواز التّكليف بما لا يطاق، و عدمه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عرض مذهبه عن طريق نصوصه الواردة في توحيده، و تفسيره، و كتب أنصاره، حتى يعلم مدى اتّفاق الداعيين، و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ذلك نختم البحث بكلمة الإمام البزدوي، أحد أنصار الماتريديّة في القرن الخامس، و كان جدّ والده أحد تلاميذه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الحسن الأشعري و جميع توابعه يقولون إنّهم من أهل السنّة و الجماعة، و على مذهب الأشعري عامّة أصحاب الشافعي، و ليس بيننا و بينهم خلاف إلّا في مسائل معدودة قد أخطئوا فيها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 ذكر بعد ذلك، </w:t>
      </w:r>
    </w:p>
    <w:p>
      <w:pPr>
        <w:pStyle w:val="BookText"/>
        <w:rPr/>
      </w:pPr>
      <w:r>
        <w:rPr>
          <w:rFonts w:ascii="Amiri" w:hAnsi="Amiri" w:eastAsia="Amiri" w:cs="Amiri"/>
          <w:color w:val="111111"/>
          <w:sz w:val="28"/>
          <w:sz w:val="28"/>
          <w:szCs w:val="28"/>
          <w:rtl w:val="true"/>
          <w:lang w:bidi="ar-SA"/>
        </w:rPr>
        <w:t>تلك المسائل المعدودة و هي لا تتجاوز عن ثلاث، و سيوافيك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وجود الاختلاف الجوهري بين المذهبين قام جماعة من المعنيّين بتبيين الفروق الموجودة فيهما، بين موجز في الكلام، و مسهب فيه، و ربّما ألّفوا كتباً و رسائل، و إليك ما وقفنا عليه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للبزدوي، قال فيه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أبو الحسن الأشعري عامّة أهل السنّة و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أفعالاً، و هي الخلق، و الرزق، و الرحمة، و اللّٰه تعالى قديم بأفعاله كلّها، و أفعال اللّٰه ليست بحادثة، و لا محدثة، و لا ذات اللّٰه، و لا غير اللّٰه تعالى، كسائر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الأشعري أنكر أن يكون للّٰه تعالى فعل،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 المفعول واحد، و وافق في هذا القدريّة و الجهميّة، و عليه عامّة أصحابه، و هو خطأ محض</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 الكفر ليست برضى اللّٰه، و لا محبّته، و إنّما هي بمشيئة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يرضى بالكفر و المعاصي، و يحبّها، و هو خطأ محض أيضاً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هو التصديق و الاعتقاد بالقلب، </w:t>
      </w:r>
    </w:p>
    <w:p>
      <w:pPr>
        <w:pStyle w:val="BookText"/>
        <w:rPr/>
      </w:pPr>
      <w:r>
        <w:rPr>
          <w:rFonts w:ascii="Amiri" w:hAnsi="Amiri" w:eastAsia="Amiri" w:cs="Amiri"/>
          <w:color w:val="111111"/>
          <w:sz w:val="28"/>
          <w:sz w:val="28"/>
          <w:szCs w:val="28"/>
          <w:rtl w:val="true"/>
          <w:lang w:bidi="ar-SA"/>
        </w:rPr>
        <w:t>و الإقرار باللسان، و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هو التّصديق بالقلب، و الإقرار باللّسان فرض من الفروض، و هو خطأ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مسائله مسألة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الحسن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نأخذ، و مذهب أهل الحديث في هذه المسائل الثّلاث مثل مذهب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يدلّ على أنّه كان يقول مثل ما قال أهل السنّة و الجماعة في هذه المسائل، و لكن ذكر في الموجز الكبير كما ذكرنا هنا، فكان حبّه</w:t>
      </w:r>
      <w:r>
        <w:rPr>
          <w:rStyle w:val="FootnoteAnchor"/>
          <w:rtl w:val="true"/>
        </w:rPr>
        <w:footnoteReference w:id="35"/>
      </w:r>
      <w:r>
        <w:rPr>
          <w:rFonts w:ascii="Amiri" w:hAnsi="Amiri" w:eastAsia="Amiri" w:cs="Amiri"/>
          <w:color w:val="111111"/>
          <w:sz w:val="28"/>
          <w:sz w:val="28"/>
          <w:szCs w:val="28"/>
          <w:rtl w:val="true"/>
          <w:lang w:bidi="ar-SA"/>
        </w:rPr>
        <w:t>في هذه المسائل قولان، فكأنّه رجع عن هذه المسائل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 في الفروع، و عامّة أهل السنّة و الجماعة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و يصيب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كمال الدين البياضي الحنفيّ من علماء القرن الحادي عشر، فقد طرح المسائل الخلافيّة بين الإمامين فبلغ إلى خمسين مسألة</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 الفرائد و 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المسائل الّتي وقع فيها الاختلاف بين الماتريديّة و الأشعريّة تأليف عبد الرحيم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3" w:name="pg11536_163848"/>
    </w:p>
    <w:p>
      <w:pPr>
        <w:pStyle w:val="BookText"/>
        <w:rPr/>
      </w:pPr>
      <w:bookmarkEnd w:id="53"/>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 في ما بين الأشعريّة و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عذبة، طبع في حيدرآباد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خلافيّات الحكماء مع المتكلّمين، و خلافيّات الأشاعرة مع الماتريديّة، تأليف عبد اللّه بن عثمان بن موسى مخطوطة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الخلاف بين الأشعريّة و الماتريديّة تأليف تاج الدين السبكي،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الجامعة العربيّة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المصوّرة عن مخطوطة جامع الشيخ بالاسكندرية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هذه العناية المؤكّدة في طول الأجيال تعرب عن كون الفرق أو الفوارق جوهريّاً، لا لفظيّاً، و إلّا فلا وجه لتأليف الكتب و الرسائل لبيان الفوارق اللّفظية أو الجزئيّة، الموجودة بين المنهجين، و سيظهر الحقّ في البحث التالي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3907303_73709187"/>
      <w:bookmarkStart w:id="55" w:name="_Toc19"/>
      <w:bookmarkEnd w:id="54"/>
      <w:r>
        <w:rPr/>
        <w:t>10</w:t>
      </w:r>
      <w:r>
        <w:rPr>
          <w:rtl w:val="true"/>
        </w:rPr>
        <w:t xml:space="preserve"> - </w:t>
      </w:r>
      <w:r>
        <w:rPr>
          <w:rtl w:val="true"/>
        </w:rPr>
        <w:t>عرض مذهب الماتريدي</w:t>
      </w:r>
      <w:r>
        <w:rPr>
          <w:rtl w:val="true"/>
        </w:rPr>
        <w:t>:</w:t>
      </w:r>
      <w:bookmarkEnd w:id="55"/>
    </w:p>
    <w:p>
      <w:pPr>
        <w:pStyle w:val="Heading5"/>
        <w:numPr>
          <w:ilvl w:val="4"/>
          <w:numId w:val="1"/>
        </w:numPr>
        <w:rPr/>
      </w:pPr>
      <w:bookmarkStart w:id="56" w:name="__RefHeading___Toc3907305_73709187"/>
      <w:bookmarkStart w:id="57" w:name="_Toc20"/>
      <w:bookmarkEnd w:id="56"/>
      <w:r>
        <w:rPr>
          <w:rtl w:val="true"/>
        </w:rPr>
        <w:t>اشارة</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نهدف في هذا الفصل إلى عرض كلّ ما يعتقد به الماتريدي في مجال العقائد و الأُصول، فإنّ قسماً من عقائده هو عين عقيدة أهل الحديث </w:t>
      </w:r>
    </w:p>
    <w:p>
      <w:pPr>
        <w:pStyle w:val="BookText"/>
        <w:rPr/>
      </w:pPr>
      <w:r>
        <w:rPr>
          <w:rFonts w:ascii="Amiri" w:hAnsi="Amiri" w:eastAsia="Amiri" w:cs="Amiri"/>
          <w:color w:val="111111"/>
          <w:sz w:val="28"/>
          <w:sz w:val="28"/>
          <w:szCs w:val="28"/>
          <w:rtl w:val="true"/>
          <w:lang w:bidi="ar-SA"/>
        </w:rPr>
        <w:t xml:space="preserve">و الأشعري، و قد عرضنا عقائدهم في الجزء الأول من هذه السلسلة، و إنّما نقوم ببيان الأُصول المهمّة الّتي افترق فيها عن الأشعري، مع الاعتراف بأنّ الماتريدي يتدرّع في بعض الموارد بنفس ما يتدرّع به الأشعري، و من هذا الباب تصحيح القول بالرؤية، فإنّ القول برؤيته في النشأة الآخرة ملازم لكونه سبحانه محاطاً و واقعاً في جهة و مكان، و من أجل ذلك قام العلمان في دفع الإشكال على نمط واحد، و هو أنّ الرؤية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يفيد ذلك، حتّى يُرضيا بذلك أهل النقل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الحشويّة 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 تعالى يرى مكيّفاً محدوداً كسائر المرئيات، و قالت المعتزلة و الجهمية و النجارية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لا يرى بحال من الأحوال فسلك الأشعري طريقاً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من غير حلول، و لا حدود، و لا تكييف، كما يرانا هو سبحانه و تعالى، و هو غير محدود، و لا مكيّف</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نقلنا نصوص نفس الأشعري في موضع الرؤية عند عرض عقائده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الماتريدي في ذلك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إذ الكيفيّة تكون لذي صورة، بل يرى بلا وصف قيام و قعود، و اتّكاء و تعلّق، و اتّصال و انفصال، و مقابلة و مدابرة، و قصير و طويل، و نور و ظلمة، </w:t>
      </w:r>
    </w:p>
    <w:p>
      <w:pPr>
        <w:pStyle w:val="BookText"/>
        <w:rPr/>
      </w:pPr>
      <w:r>
        <w:rPr>
          <w:rFonts w:ascii="Amiri" w:hAnsi="Amiri" w:eastAsia="Amiri" w:cs="Amiri"/>
          <w:color w:val="111111"/>
          <w:sz w:val="28"/>
          <w:sz w:val="28"/>
          <w:szCs w:val="28"/>
          <w:rtl w:val="true"/>
          <w:lang w:bidi="ar-SA"/>
        </w:rPr>
        <w:t>و ساكن و متحرِّك، و مماسّ و مباين، و خارج و داخل، و لا معنى يأخذه الوهم، أو يقدره العقل، لتعاليه عن ذلك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الرؤية بهذه الخصوصيّات إنكار لها، و أشبه بالأسد بلا ذنب، و لا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تبيّن لي بعد التأمّل في آرائه في كثير من المسائل الكلاميّة، أنّ منهجه كان يتمتّع بسمات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الماتريدي أعطى للعقل سلطاناً أكبر، و مجالاً أوسع، و ذلك هو الحجر الأساس للسمتين الأخيرتين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منهج الماتريدي أبعد من التشبيه و التجسيم من الأشعري، و أقرب إلى التنزيه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و إن كان يحمل حملة عنيفة على المعتزلة، و لكنّه إلى منهجهم أقرب من الإمام الأشعري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حقيقة هذا الأمر إذا عرض مذهبه في مختلف المسائل، و لمعرفة جملة من مواضع الاختلاف و دراسة نقاط القوّة و الضعف، نذكر موارد عشرة و نترك الباقي روماً للاختصار</w:t>
      </w:r>
      <w:r>
        <w:rPr>
          <w:rFonts w:eastAsia="Amiri" w:cs="Amiri" w:ascii="Amiri" w:hAnsi="Amiri"/>
          <w:color w:val="111111"/>
          <w:sz w:val="28"/>
          <w:szCs w:val="28"/>
          <w:rtl w:val="true"/>
          <w:lang w:bidi="ar-SA"/>
        </w:rPr>
        <w:t xml:space="preserve">. </w:t>
      </w:r>
      <w:bookmarkStart w:id="58" w:name="pg11536_163851"/>
    </w:p>
    <w:p>
      <w:pPr>
        <w:pStyle w:val="Heading5"/>
        <w:numPr>
          <w:ilvl w:val="4"/>
          <w:numId w:val="1"/>
        </w:numPr>
        <w:rPr/>
      </w:pPr>
      <w:bookmarkStart w:id="59" w:name="__RefHeading___Toc3907307_73709187"/>
      <w:bookmarkStart w:id="60" w:name="_Toc21"/>
      <w:bookmarkEnd w:id="58"/>
      <w:bookmarkEnd w:id="59"/>
      <w:r>
        <w:rPr/>
        <w:t>1</w:t>
      </w:r>
      <w:r>
        <w:rPr>
          <w:rtl w:val="true"/>
        </w:rPr>
        <w:t xml:space="preserve"> - </w:t>
      </w:r>
      <w:r>
        <w:rPr>
          <w:rtl w:val="true"/>
        </w:rPr>
        <w:t>استيلاؤه على العرش</w:t>
      </w:r>
      <w:r>
        <w:rPr>
          <w:rtl w:val="true"/>
        </w:rPr>
        <w:t>:</w:t>
      </w:r>
      <w:bookmarkEnd w:id="60"/>
    </w:p>
    <w:p>
      <w:pPr>
        <w:pStyle w:val="BookText"/>
        <w:rPr/>
      </w:pPr>
      <w:r>
        <w:rPr>
          <w:rFonts w:ascii="Amiri" w:hAnsi="Amiri" w:eastAsia="Amiri" w:cs="Amiri"/>
          <w:color w:val="111111"/>
          <w:sz w:val="28"/>
          <w:sz w:val="28"/>
          <w:szCs w:val="28"/>
          <w:rtl w:val="true"/>
          <w:lang w:bidi="ar-SA"/>
        </w:rPr>
        <w:t>اتّفق الداعيان على أنّه يجب الإيمان بما جاء في القرآن من الصِّفات للّٰه تبارك و تعالى، و منها استيلاؤه على العرش، و الأشعري يفسّره على نحو الإثبات و يؤمن بظاهره بلا تفويض و لا تأويل، و أنّ اللّٰه حقيقةً مستوٍ على العرش لكن استيلاءً مناسباً 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مستو على العرش الّذي فوق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دفع توهّم التجسيم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يستوي على عرشه كما قال، يليق به من غير طول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يستشهد بما روي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ثلث الليل ينزل اللّٰه تبارك و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يدعوني فأستجيب 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هذا فالأشعري ممّن يثبت الصفات الخبريّة للّٰه بلا تفويض معناها إليه، غاية الأمر يتدرّع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الموارد الأُخر، و لكنّ الماتريدي مع توصيفه سبحانه بالصفات الخبريّة، يفوِّض مفاد الآية إليه سبحانه، فهو يفارق الأشعري في التفويض و عدمه، و يخالف المعتزلة في التأويل و عدمه، فالأشعري من المثبتة بلا تفويض و تأويل، و هو من المثبتة مع التفويض، كما أنّ المعتزلة من المؤوِّلة، و بذلك يتّضح كونه بين الأشعري و المعتزليّ، و إليك نصّه في مورد استوائه على العرش</w:t>
      </w:r>
      <w:r>
        <w:rPr>
          <w:rFonts w:eastAsia="Amiri" w:cs="Amiri" w:ascii="Amiri" w:hAnsi="Amiri"/>
          <w:color w:val="111111"/>
          <w:sz w:val="28"/>
          <w:szCs w:val="28"/>
          <w:rtl w:val="true"/>
          <w:lang w:bidi="ar-SA"/>
        </w:rPr>
        <w:t xml:space="preserve">: </w:t>
      </w:r>
      <w:bookmarkStart w:id="61" w:name="pg11536_163852"/>
    </w:p>
    <w:p>
      <w:pPr>
        <w:pStyle w:val="BookText"/>
        <w:rPr/>
      </w:pPr>
      <w:bookmarkEnd w:id="6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الأصل عندنا في ذلك أنّ اللّٰه تعالى قال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فنفى عن نفسه شبه خلقه، و قد بيّنا أنّه في فعله وصفته متعال عن الأشباه، فيجب القول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به التنزيل، و ثبت ذلك في العقل، ثمّ لا نقطع تأويله على شيء، لاحتماله غيره مما ذكرنا، و احتماله أيضاً ما لم يبلغنا ممّا يعلم أنّه غير محتمل شبه الخلق، و نؤمن بما أراد اللّٰه به، و كذلك في كلّ أمر ثبت التنزيل فيه، نحو الرؤية و غير ذلك، يجب نفي الشبه عنه، و الإيمان بما أراده من غير تحقيق على شيءٍ دون شيء، و اللّٰه الموفِّق</w:t>
      </w:r>
      <w:r>
        <w:rPr>
          <w:rFonts w:eastAsia="Amiri" w:cs="Amiri" w:ascii="Amiri" w:hAnsi="Amiri"/>
          <w:color w:val="111111"/>
          <w:sz w:val="28"/>
          <w:szCs w:val="28"/>
          <w:rtl w:val="true"/>
          <w:lang w:bidi="ar-SA"/>
        </w:rPr>
        <w:t>».</w:t>
      </w:r>
      <w:r>
        <w:rPr>
          <w:rStyle w:val="FootnoteAnchor"/>
          <w:rtl w:val="true"/>
        </w:rPr>
        <w:footnoteReference w:id="44"/>
      </w:r>
    </w:p>
    <w:p>
      <w:pPr>
        <w:pStyle w:val="Heading5"/>
        <w:numPr>
          <w:ilvl w:val="4"/>
          <w:numId w:val="1"/>
        </w:numPr>
        <w:rPr/>
      </w:pPr>
      <w:bookmarkStart w:id="62" w:name="__RefHeading___Toc3907309_73709187"/>
      <w:bookmarkStart w:id="63" w:name="_Toc22"/>
      <w:bookmarkEnd w:id="62"/>
      <w:r>
        <w:rPr/>
        <w:t>2</w:t>
      </w:r>
      <w:r>
        <w:rPr>
          <w:rtl w:val="true"/>
        </w:rPr>
        <w:t xml:space="preserve"> - </w:t>
      </w:r>
      <w:r>
        <w:rPr>
          <w:rtl w:val="true"/>
        </w:rPr>
        <w:t>معرفته سبحانه واجبة عقلاً</w:t>
      </w:r>
      <w:r>
        <w:rPr>
          <w:rtl w:val="true"/>
        </w:rPr>
        <w:t>:</w:t>
      </w:r>
      <w:bookmarkEnd w:id="63"/>
    </w:p>
    <w:p>
      <w:pPr>
        <w:pStyle w:val="BookText"/>
        <w:rPr/>
      </w:pPr>
      <w:r>
        <w:rPr>
          <w:rFonts w:ascii="Amiri" w:hAnsi="Amiri" w:eastAsia="Amiri" w:cs="Amiri"/>
          <w:color w:val="111111"/>
          <w:sz w:val="28"/>
          <w:sz w:val="28"/>
          <w:szCs w:val="28"/>
          <w:rtl w:val="true"/>
          <w:lang w:bidi="ar-SA"/>
        </w:rPr>
        <w:t>اتّفق الداعيان على وجوب معرفة اللّٰه، و اختلفا في طريق ثبوت هذا الوجوب، فالأشعري و أتباعه على أنّه سمعيّ، و المعتزلة على أنّه عقليّ، قال العضدي 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معرفة اللّٰه واجب إجماعاً، و اختلف في طريق ثبوته، فهو عند أصحابنا السمع، و عند المعتزلة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أصحابنا فلهم مسلكان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بالظواهر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اُنْظُرُوا مٰا ذٰا فِي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لا يخفى وهن النّظرية، لاستلزامها الدور، لأنّ معرفة الإيجاب تتوقّف على معرفة الموجِب، فإنّ من لا نعرفه بوجه من الوجوه، كيف نعرف أنّه أوجب؟ فلو استفيدت معرفة الموجِب من معرفة الإيجاب،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المعرفة تجب بالأمر، فهو إمّا متوجّه إلى العارف باللّٰه أو غيره، فالأوّل تحصيل للحاصل، و أمّا الثاني، فهو باطل، لاستحالة خطاب الغافل، إذ كيف يصحّ الأمر بالغافل المطلق بأنّ اللّٰه قد أمره بالنظر و المعرفة، و أنّ امتثال أمره واجب إلّا إذا خصّ الوجوب بالشاك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عليه الأشاعرة، و أمّا الماتريديّة فتقول بوجوبها عقلاً مثل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بمجرّد العقل في مدة الاستدلال، معرفة وجوده، و وحدته، و علمه، و قدرته، و كلامه، و إرادته، و حدوث العالم، و دلالة المعجزة على صدق الرسول، و يجب تصديقه، و يحرم الكفر، و التكذيب به، لا من البعثة و بلوغ الدعوة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بوجوب هذه الأُمور من جانب العقل من قبل أن يجيء الشرع دفعاً لمحذور الدور يعرب عن كون الداعي، أعطى للعقل سلطاناً أكبر ممّا أعطاه الأشعري له</w:t>
      </w:r>
      <w:r>
        <w:rPr>
          <w:rFonts w:eastAsia="Amiri" w:cs="Amiri" w:ascii="Amiri" w:hAnsi="Amiri"/>
          <w:color w:val="111111"/>
          <w:sz w:val="28"/>
          <w:szCs w:val="28"/>
          <w:rtl w:val="true"/>
          <w:lang w:bidi="ar-SA"/>
        </w:rPr>
        <w:t xml:space="preserve">. </w:t>
      </w:r>
      <w:bookmarkStart w:id="64" w:name="pg11536_163854"/>
    </w:p>
    <w:p>
      <w:pPr>
        <w:pStyle w:val="Heading5"/>
        <w:numPr>
          <w:ilvl w:val="4"/>
          <w:numId w:val="1"/>
        </w:numPr>
        <w:rPr/>
      </w:pPr>
      <w:bookmarkStart w:id="65" w:name="__RefHeading___Toc3907311_73709187"/>
      <w:bookmarkStart w:id="66" w:name="_Toc23"/>
      <w:bookmarkEnd w:id="64"/>
      <w:bookmarkEnd w:id="65"/>
      <w:r>
        <w:rPr/>
        <w:t>3</w:t>
      </w:r>
      <w:r>
        <w:rPr>
          <w:rtl w:val="true"/>
        </w:rPr>
        <w:t xml:space="preserve"> - </w:t>
      </w:r>
      <w:r>
        <w:rPr>
          <w:rtl w:val="true"/>
        </w:rPr>
        <w:t>الاعتراف بالتحسين و التقبيح العقليين</w:t>
      </w:r>
      <w:r>
        <w:rPr>
          <w:rtl w:val="true"/>
        </w:rPr>
        <w:t>:</w:t>
      </w:r>
      <w:bookmarkEnd w:id="66"/>
    </w:p>
    <w:p>
      <w:pPr>
        <w:pStyle w:val="BookText"/>
        <w:rPr/>
      </w:pPr>
      <w:r>
        <w:rPr>
          <w:rFonts w:ascii="Amiri" w:hAnsi="Amiri" w:eastAsia="Amiri" w:cs="Amiri"/>
          <w:color w:val="111111"/>
          <w:sz w:val="28"/>
          <w:sz w:val="28"/>
          <w:szCs w:val="28"/>
          <w:rtl w:val="true"/>
          <w:lang w:bidi="ar-SA"/>
        </w:rPr>
        <w:t>إنّ لمسألة التحسين و التقبيح العقليين دوراً مؤثّراً في المسائل الكلامية، فالأشاعرة على إنكارهما زاعمين أنّ القول باستطاعة العقل على دركهما، يستلزم نفي حرّية المشيئة الإلهيّة و التزامها بقيد و شرط، و قد أوضحنا حال هذه النظرية عند عرض عقائد الأشاعرة</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المعتزلة فهم على جانب مخالف، و أمّا الماتريديّة فيعترفون بالتحسين و التقبيح ببعض مراتبهما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بمعنى استحقاق المدح و الثّواب، و القبح بمعنى استحقاق الذمّ و العقاب على التكذيب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إجمالاً عقلي، أي يعلم به حكم الصانع في مدّة الاستدلال في هذه العشرة</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التوضيح و غيره، لا بإيجاب العقل للحسن و القبح، و لا مطلقاً كما زعمته المعتزلة، أمّا كيفيّة الثّواب و كونه بالجنّة، و كيفيّة العقاب و كونه بالنّار، فشرعي، و اختار ذلك الإمام القفّال الشاشي، و الصيرفي، و أبو بكر الفارسي، و القاضي أبو حامد، و كثير من متقدّميهم، كما في القواطع للإمام أبي المظفّر السمعاني الشافعي و الكشف الكبير، و هو مختار الإمام القلانسي و من تبعه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 البغدادية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نسخ ما لا يقبل </w:t>
      </w:r>
    </w:p>
    <w:p>
      <w:pPr>
        <w:pStyle w:val="BookText"/>
        <w:rPr/>
      </w:pPr>
      <w:r>
        <w:rPr>
          <w:rFonts w:ascii="Amiri" w:hAnsi="Amiri" w:eastAsia="Amiri" w:cs="Amiri"/>
          <w:color w:val="111111"/>
          <w:sz w:val="28"/>
          <w:sz w:val="28"/>
          <w:szCs w:val="28"/>
          <w:rtl w:val="true"/>
          <w:lang w:bidi="ar-SA"/>
        </w:rPr>
        <w:t xml:space="preserve">حسنه أو قبحه السقوط كوجوب الإيمان، و حرمة الكفر و اختاره المذكورون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يستحيل عقلاً اتّصافه تعالى بالجور و ما لا ينبغي، فلا يجوز تعذيب المطيع، و لا العفو عن الكفر، عقلاً، لمنافاته للحكمة، فيجزم العقل بعدم جوازه، كما في التنزيهات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 خفيّ على النابه أنّ الشيخ الماتريدي قد اعترف بما هو المهمّ في باب التحسين و التقبيح العقليين و إليك الاشارة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استقلال العقل بالمدح و الذمّ في بعض الأفعال، و هذا هو محلّ النزاع في بابهما بأن يجد العقل من صميم ذاته أنّ هنا فعلين مختلفين يستحقّ فاعل أحدهما المدحَ، و فاعل الآخر الذمَّ، سواء أ كان الفاعل بشراً، أم ملكاً، أم غيرهما، و تبتنى عليه أُصول كثيرة كلاميّة أوعزنا إليها عند عرض عقائد الأشعري و آرائه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استقلال العقل بكونه سبحانه عادلاً، فلا يجوز عليه تعذيب المطيع، و أين هو ممّا يقول به الأشعري من أنّه يجوز للّٰه سبحانه أن يؤلم الأطفال في الآخرة و هو عادل إن فعله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أنكر الشيخ إيجاب العقل للحسن و القبح، و لكنّه لو كان واقفاً على مغزى إيجاب العقل لم يعترض عليه، إذ لا يوجد في أديم الأرض إنسان عاقل عارف بمقام الربّ و الخلق، يجعل العقل موجِباً و مكلِّفاً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سبحانه موجَباً و مكلَّفاً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شأن العقل هو الإدراك، و معنى إيجابه القيام بالحسن، و الاجتناب عن ضدّه، هو استكشافه لزوم القيام بالأوّل و امتناع القيام بالثاني بالنظر إلى المبادئ الموجودة في الفاعل الحكيم، فالمتّصف بكلّ الكمال، و المبرّأ عن كلّ سوء، لا يصدر منه إلّا الحسن لوجود الصارف عن غيره، و يمتنع صدور غيره عنه، و ليس هذا الامتناع امتناعاً ذاتيّاً بمعنى تحديد قدرته و مشيئته، بل قدرته و مشيئته مطلقتان بالذات غير محدودتين، فهو سبحانه قادر على كلا القسمين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بالنظر إلى أنّه عالم واقف على قبح الأفعال، و غنيُّ عن فعل القبح، يترك القبيح و لا يفعله، و اللّٰه الحكيم كتب على نفسه أن لا يخلّ بالحسن و لا يفعل القبيح، و ليس دور العقل إلّا دور الكشف و التبيين، و التعبير بالإيجاب بملاك الوقوف على المبادئ الكماليّة الموجودة في المبدأ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زوايا المثلّث متساوية مع زاويتين قائمتين، فإنّ الخصوصيّة التكوينيّة الكامنة فيه مبدأ ذلك الإيجاب، و العقل كاشفة، و مع ذلك ربّما يعبّر عن ذلك بالإيجاب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اختار الماتريدي قصور العقل عن تعيين كيفيّة الثواب و كونه بالجنّة، و كيفيّة العقاب و كونه بالنار و هو الحقّ، فإنّ أقصى ما يستقلّ به العقل هو لزوم مثوبة المطيع و مجازاة العاصي، و أمّا الكيفيّة فلا يستقلّ العقل بشيء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كون الثواب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من أنّه ليس للّٰه العفو عن الكفر عقلاً، فالظّاهر أنّه تحديد رحمته و قد سبقت غضبه، </w:t>
      </w:r>
      <w:bookmarkStart w:id="67" w:name="pg11536_163857"/>
    </w:p>
    <w:p>
      <w:pPr>
        <w:pStyle w:val="BookText"/>
        <w:rPr/>
      </w:pPr>
      <w:bookmarkEnd w:id="67"/>
      <w:r>
        <w:rPr>
          <w:rFonts w:ascii="Amiri" w:hAnsi="Amiri" w:eastAsia="Amiri" w:cs="Amiri"/>
          <w:color w:val="111111"/>
          <w:sz w:val="28"/>
          <w:sz w:val="28"/>
          <w:szCs w:val="28"/>
          <w:rtl w:val="true"/>
          <w:lang w:bidi="ar-SA"/>
        </w:rPr>
        <w:t>و التعذيب حقُّ له، و له الإعمال و له العفو كعصيان المؤمن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 المولى سبحانه بأنّه لا يغفر الشرك، و يغفر ما دون ذلك</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907313_73709187"/>
      <w:bookmarkStart w:id="69" w:name="_Toc24"/>
      <w:bookmarkEnd w:id="68"/>
      <w:r>
        <w:rPr/>
        <w:t>4</w:t>
      </w:r>
      <w:r>
        <w:rPr>
          <w:rtl w:val="true"/>
        </w:rPr>
        <w:t xml:space="preserve"> - </w:t>
      </w:r>
      <w:r>
        <w:rPr>
          <w:rtl w:val="true"/>
        </w:rPr>
        <w:t>التكليف بما لا يطاق غير جائز</w:t>
      </w:r>
      <w:r>
        <w:rPr>
          <w:rtl w:val="true"/>
        </w:rPr>
        <w:t>:</w:t>
      </w:r>
      <w:bookmarkEnd w:id="69"/>
    </w:p>
    <w:p>
      <w:pPr>
        <w:pStyle w:val="BookText"/>
        <w:rPr/>
      </w:pPr>
      <w:r>
        <w:rPr>
          <w:rFonts w:ascii="Amiri" w:hAnsi="Amiri" w:eastAsia="Amiri" w:cs="Amiri"/>
          <w:color w:val="111111"/>
          <w:sz w:val="28"/>
          <w:sz w:val="28"/>
          <w:szCs w:val="28"/>
          <w:rtl w:val="true"/>
          <w:lang w:bidi="ar-SA"/>
        </w:rPr>
        <w:t>ذهب الأشعري إلى جواز التكليف بما لا يطاق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على جواز تكليف ما لا يطاق من القرآن قوله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أَنْبِئُونِي بِأَسْمٰاءِ هٰؤُلاٰءِ</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يعني أسماء الخلق، و هم لا يعلمون ذلك و لا يقدرون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الّتي عرفت مفادها في محلّها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الماتريدي مخالف صنوه الداعي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يجوز التكليف بما لا يطاق لعدم القدرة أو الشرط، و اختاره الأُستاذ أبو إسحاق الاسفرائيني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حامد الاسفرائيني كما في شرح السبكي لعقيدة أبي منصور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نقله البياضي عن الماتريديّة، و أمّا نفس أبي منصور فقد فصّل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مضيِّع القدرة فيجوز تكليفه، و بين غيره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تكليف من مُنع عن الطاقة فاسد في العقل، و أمّا من ضيّع القوّة فهو حقّ أن يكلّف مثله، و لو كان لا يكلّف مثله لكان لا يكلّف إلّا من يطيع</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الأُصول المسلّمة عند العقل، كون الامتناع بالاختيار غير مناف للاختيار، فمن ألقى نفسه من شاهق عن اختيار فقد قتل نفسه اختياراً، فالقتل بعد الإلقاء و إن كان خارجاً عن الاختيار، و لكنّه لمّا كان الإلقاء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مبادئ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 يعدّ القتل فعلاً اختياريّاً لا اضطراريّاً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فقد القدرة، و عجز عن القيام بالعمل، سواء أ كان بعامل اختياريّ أم غيره، لا يصحّ تكليفه به عن جدّ، لأنّ فاقد القدرة و الجماد في هذه الجهة سواسية، فلا تظهر الارادة الجدّية في صقع الذهن، و لو خوطب العاجز فإنّما يخاطب بملاكات أُخر من التقريع، و التنديد، و غيرهما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ضوء هذين الأمرين يستنتج أنّ من ضيّع قدرته يُعذَّب، لما تقرّر من أنّ الامتناع بالاختيار لا ينافي الاختيار، و لكن لا يصحّ تكليفه بعد الضياع، للغويّة الخطاب و استهجانه، و بذلك يظهر وهن برهان المفصّل من أنّه لو لم يصحّ تكليف المضيِّع للقدرة لاختصّ التكليف بالمطيع، لما عرفت من أنّ سقوط التكليف و الخطاب بالتضييع، لا يستلزم سقوط العقاب و المؤاخذة، و قد اشتهر بين القوم أنّ الامتناع بالاختيار، لا ينافي الاختيار عقاباً لا خطاباً، و لو كان الماتريدي واقفاً على أنّ القائلين بامتناع التكليف بما لا يطاق، قائلون بصحّة عقوبة من ضيّع القدرة، و جعل نفسه في عداد العجزة، لما فصّل بين من مُنع منه الطّاقة، و من ضيّعها، و لما ضرب الجميع بسهم واحد</w:t>
      </w:r>
      <w:r>
        <w:rPr>
          <w:rFonts w:eastAsia="Amiri" w:cs="Amiri" w:ascii="Amiri" w:hAnsi="Amiri"/>
          <w:color w:val="111111"/>
          <w:sz w:val="28"/>
          <w:szCs w:val="28"/>
          <w:rtl w:val="true"/>
          <w:lang w:bidi="ar-SA"/>
        </w:rPr>
        <w:t xml:space="preserve">. </w:t>
      </w:r>
      <w:bookmarkStart w:id="70" w:name="pg11536_163859"/>
    </w:p>
    <w:p>
      <w:pPr>
        <w:pStyle w:val="Heading5"/>
        <w:numPr>
          <w:ilvl w:val="4"/>
          <w:numId w:val="1"/>
        </w:numPr>
        <w:rPr/>
      </w:pPr>
      <w:bookmarkStart w:id="71" w:name="__RefHeading___Toc3907315_73709187"/>
      <w:bookmarkStart w:id="72" w:name="_Toc25"/>
      <w:bookmarkEnd w:id="70"/>
      <w:bookmarkEnd w:id="71"/>
      <w:r>
        <w:rPr/>
        <w:t>5</w:t>
      </w:r>
      <w:r>
        <w:rPr>
          <w:rtl w:val="true"/>
        </w:rPr>
        <w:t xml:space="preserve"> - </w:t>
      </w:r>
      <w:r>
        <w:rPr>
          <w:rtl w:val="true"/>
        </w:rPr>
        <w:t>أفعال اللّٰه سبحانه معلّلة بالغايات</w:t>
      </w:r>
      <w:r>
        <w:rPr>
          <w:rtl w:val="true"/>
        </w:rPr>
        <w:t>:</w:t>
      </w:r>
      <w:bookmarkEnd w:id="72"/>
    </w:p>
    <w:p>
      <w:pPr>
        <w:pStyle w:val="Heading6"/>
        <w:numPr>
          <w:ilvl w:val="5"/>
          <w:numId w:val="1"/>
        </w:numPr>
        <w:rPr/>
      </w:pPr>
      <w:bookmarkStart w:id="73" w:name="__RefHeading___Toc3907317_73709187"/>
      <w:bookmarkStart w:id="74" w:name="_Toc26"/>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ذهبت الأشاعرة إلى أنّ أفعاله سبحانه ليست معلّلة بالأغراض، و أنّه لا يجب عليه شيء، و لا يقبح عليه شيء، و استدلّوا على ذلك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فعله تعالى لغرض، لكان ناقصاً لذاته، مستكملاً بتحصيل ذلك الغرض، لأنّه لا يصلح غرضاً للفاعل إلّا ما هو أصلح له من عدمه، و هو معنى الكمال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قالت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 تعالى معلّلة بالمصالح و الحكم تفضّلاً على العباد، فلا يلزم الاستكمال و لا وجوب الأصلح و اختاره صاحب المقاصد</w:t>
      </w:r>
      <w:r>
        <w:rPr>
          <w:rFonts w:eastAsia="Amiri" w:cs="Amiri" w:ascii="Amiri" w:hAnsi="Amiri"/>
          <w:color w:val="111111"/>
          <w:sz w:val="28"/>
          <w:szCs w:val="28"/>
          <w:rtl w:val="true"/>
          <w:lang w:bidi="ar-SA"/>
        </w:rPr>
        <w:t>.</w:t>
      </w:r>
      <w:r>
        <w:rPr>
          <w:rStyle w:val="FootnoteAnchor"/>
          <w:rtl w:val="true"/>
        </w:rPr>
        <w:footnoteReference w:id="56"/>
      </w:r>
    </w:p>
    <w:p>
      <w:pPr>
        <w:pStyle w:val="Heading6"/>
        <w:numPr>
          <w:ilvl w:val="5"/>
          <w:numId w:val="1"/>
        </w:numPr>
        <w:rPr/>
      </w:pPr>
      <w:bookmarkStart w:id="75" w:name="__RefHeading___Toc3907319_73709187"/>
      <w:bookmarkStart w:id="76" w:name="_Toc27"/>
      <w:bookmarkEnd w:id="75"/>
      <w:r>
        <w:rPr>
          <w:rtl w:val="true"/>
        </w:rPr>
        <w:t>هل الغاية، غاية للفاعل أو للفعل؟</w:t>
      </w:r>
      <w:bookmarkEnd w:id="7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الأشعري خلط بين الغرض الراجع إلى الفاعل، و الغرض الراجع إلى فعله، فالاستكمال موجود في الأوّل دون الثاني، و القائل بكون أفعاله معلّلة بالأغراض، و الغايات، و الدواعي، و المصالح، إنّما يعني بها الثاني دون الأوّل، و الغرض بالمعنى الأوّل ينافي كونه غنيّاً بالذات، و غنيّاً في الصِّفات، </w:t>
      </w:r>
      <w:bookmarkStart w:id="77" w:name="pg11536_163860"/>
    </w:p>
    <w:p>
      <w:pPr>
        <w:pStyle w:val="BookText"/>
        <w:rPr/>
      </w:pPr>
      <w:bookmarkEnd w:id="77"/>
      <w:r>
        <w:rPr>
          <w:rFonts w:ascii="Amiri" w:hAnsi="Amiri" w:eastAsia="Amiri" w:cs="Amiri"/>
          <w:color w:val="111111"/>
          <w:sz w:val="28"/>
          <w:sz w:val="28"/>
          <w:szCs w:val="28"/>
          <w:rtl w:val="true"/>
          <w:lang w:bidi="ar-SA"/>
        </w:rPr>
        <w:t>و غنيّاً في الأفعال، و الغرض بالمعنى الثاني يوجب خروج فعله عن كونه عبثاً و لغواً، و كونه سبحانه عابثاً و لاغياً، فالجمع بين كونه غنيّاً غير محتاج إلى شيء، و كونه حكيماً منزّهاً عن العبث و اللّغو، يتحقّق بالقول باشتمال أفعاله على مصالح و حِكم ترجع إلى العباد و النظام، لا إلى وجوده و ذاته، كما لا يخفى</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3907321_73709187"/>
      <w:bookmarkStart w:id="79" w:name="_Toc28"/>
      <w:bookmarkEnd w:id="78"/>
      <w:r>
        <w:rPr>
          <w:rtl w:val="true"/>
        </w:rPr>
        <w:t>تفسير العلّة الغائية</w:t>
      </w:r>
      <w:r>
        <w:rPr>
          <w:rtl w:val="true"/>
        </w:rPr>
        <w:t>:</w:t>
      </w:r>
      <w:bookmarkEnd w:id="79"/>
    </w:p>
    <w:p>
      <w:pPr>
        <w:pStyle w:val="BookText"/>
        <w:rPr/>
      </w:pPr>
      <w:r>
        <w:rPr>
          <w:rFonts w:ascii="Amiri" w:hAnsi="Amiri" w:eastAsia="Amiri" w:cs="Amiri"/>
          <w:color w:val="111111"/>
          <w:sz w:val="28"/>
          <w:sz w:val="28"/>
          <w:szCs w:val="28"/>
          <w:rtl w:val="true"/>
          <w:lang w:bidi="ar-SA"/>
        </w:rPr>
        <w:t>العلّة الغائيّة الّتي هي إحدى أجزاء العلّة التامّة، يراد منها في مصطلح الحكماء، ما تُخرج الفاعلَ من القوّة إلى الفعل، و من الامكان إلى الوجوب، و يكون مقدّمة صورة و ذهناً، و مؤخّرة وجوداً و تحقّقاً، فهي السبب لخروج الفاعل عن كونه فاعلاً بالقوّة إلى كونه فاعلاً بالفعل، مثلاً النجّار لا يقوم بصنع الكرسيّ إلّا لغاية مطلوبة مترتّبة عليه، و لو لا تصوّر تلك الغاية لما خرج عن كونه فاعلاً بالقوّة، إلى ساحة كونه فاعلاً بالفعل، و على هذا فللعلّة الغائيّة دور في تحقّق المعلول، و خروجه من الإمكان إلى الفعليّة، لأجل تحريك الفاعل نحو الفعل، و سوقه إلى العمل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نتصوّر العلّة الغائيّة بهذا المعنى في ساحته سبحانه لغناه المطلق في مقام الذات، و الوصف، و الفعل، فكما أنّه تامّ في مقام الوجود، تامّ في مقام الفعل، فلا يحتاج في الإيجاد إلى شيء وراء ذاته، و إلّا فلو كانت فاعليّة الحقّ كفاعليّة الإنسان، الذي لا يقوم بالإيجاد و الخلق، إلّا لأجل الغاية </w:t>
      </w:r>
    </w:p>
    <w:p>
      <w:pPr>
        <w:pStyle w:val="BookText"/>
        <w:rPr/>
      </w:pPr>
      <w:r>
        <w:rPr>
          <w:rFonts w:ascii="Amiri" w:hAnsi="Amiri" w:eastAsia="Amiri" w:cs="Amiri"/>
          <w:color w:val="111111"/>
          <w:sz w:val="28"/>
          <w:sz w:val="28"/>
          <w:szCs w:val="28"/>
          <w:rtl w:val="true"/>
          <w:lang w:bidi="ar-SA"/>
        </w:rPr>
        <w:t>المترتّبة عليه، لكان ناقصاً في مقام الفاعليّة، مستكملاً بشيء وراء ذاته و هو لا يجتمع مع غناه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الحكماء، و هو حقّ لا غبار عليه، و قد استغلّته الأشاعرة في غير موضعه و اتّخذوه حجّة لتوصيف فعله عارياً عن أيّة غاية و غرض، و جعلوا فعله كفعل العابثين و اللاعبين،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غاية، و يعمل بلا غرض، و لكنّ الاحتجاج بما ذكره الحكماء لإثبات ما رامته الأشاعرة واضح البطلان، لأنّ إنكار العلّة الغائيّة بهذا المعنى، لا يلازم أن لا يترتّب على فعله مصالح و حكم ينتفع بها العباد، و ينتظم بها النظام، و إن لم تكن مؤثّرة في فاعليّة الحقّ و عليّته، و ذلك لأنّه سبحانه فاعل حكيم، و الفاعل الحكيم لا يختار من الأفعال الممكنة إلّا ما يناسب ذلك، و لا يصدر منه ما يضادّه و يخالفه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 لا نعني من ذلك أنّه قادر لواحد من الفعلين دون الآخر و أنّه في مقام الفاعليّة يستكمل بالغاية، فيقوم بهذا دون ذاك، بل هو سبحانه قادر على كلا الأمرين، لا يختار منهما إلّا ما يوافق شأنه، و يناسب حكمته، و هذا كالقول بأنّه سبحانه يعدل و لا يجور، فليس يعنى من ذلك أنّه تامّ الفاعليّة بالنسبة إلى العدل دون الجور، بل يعنى أنّه تام القادريّة لكلا العملين، لكن عدله، و حكمته، و رأفته، و رحمته، تقتضي أن يختار هذا دون ذلك مع سعة قدرته لكليهما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هي حقيقة القول بأنّ أفعال اللّٰه لا تعلّل بالأغراض و الغايات </w:t>
      </w:r>
      <w:bookmarkStart w:id="80" w:name="pg11536_163862"/>
    </w:p>
    <w:p>
      <w:pPr>
        <w:pStyle w:val="BookText"/>
        <w:rPr/>
      </w:pPr>
      <w:bookmarkEnd w:id="80"/>
      <w:r>
        <w:rPr>
          <w:rFonts w:ascii="Amiri" w:hAnsi="Amiri" w:eastAsia="Amiri" w:cs="Amiri"/>
          <w:color w:val="111111"/>
          <w:sz w:val="28"/>
          <w:sz w:val="28"/>
          <w:szCs w:val="28"/>
          <w:rtl w:val="true"/>
          <w:lang w:bidi="ar-SA"/>
        </w:rPr>
        <w:t>المصطلحة، مع كون أفعاله غير خالية عن المصالح و الحكم من دون أن يكون هناك استكمال</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3907323_73709187"/>
      <w:bookmarkStart w:id="82" w:name="_Toc29"/>
      <w:bookmarkEnd w:id="81"/>
      <w:r>
        <w:rPr>
          <w:rtl w:val="true"/>
        </w:rPr>
        <w:t>دليل ثان للأشاعرة</w:t>
      </w:r>
      <w:r>
        <w:rPr>
          <w:rtl w:val="true"/>
        </w:rPr>
        <w:t>:</w:t>
      </w:r>
      <w:bookmarkEnd w:id="82"/>
    </w:p>
    <w:p>
      <w:pPr>
        <w:pStyle w:val="BookText"/>
        <w:rPr/>
      </w:pPr>
      <w:r>
        <w:rPr>
          <w:rFonts w:ascii="Amiri" w:hAnsi="Amiri" w:eastAsia="Amiri" w:cs="Amiri"/>
          <w:color w:val="111111"/>
          <w:sz w:val="28"/>
          <w:sz w:val="28"/>
          <w:szCs w:val="28"/>
          <w:rtl w:val="true"/>
          <w:lang w:bidi="ar-SA"/>
        </w:rPr>
        <w:t>ثمّ إنّ أئمّة الأشاعرة لمّا وقفوا على منطق العدليّة في المقام، و أنّ المصالح و الحكم ليست غايات للفاعل بل غايات للفعل، و أنّها غير راجعة إلى الفاعل، بل إلى العباد و النظام، طرحوه على بساط البحث فأجابوا عنه و إليك نصّ كلامهم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الملازمة، فإنّما الغرض قد يكون عائداً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غيره و الإحسان إليه إن كان أولى بالنسبة إليه تعالى من عدمه، جاء الالزام، لأنّه تعالى يستفيد حينئذ بذلك النفع و الإحسان ما هو أولى به و أصلح، و إن لم يكن أولى بل كان مساوياً، أو مرجوحاً، لم يصلح أن يكون غرضاً له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بنفس هذا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روزبهان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و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يصلح غرضاً للفاعل إلّا ما هو أصلح له من عدمه، و ذلك لأنّ ما يستوي وجوده و عدمه بالنظر إلى الفاعل، أو كان وجوده مرجوحاً بالقياس </w:t>
      </w:r>
    </w:p>
    <w:p>
      <w:pPr>
        <w:pStyle w:val="BookText"/>
        <w:rPr/>
      </w:pPr>
      <w:r>
        <w:rPr>
          <w:rFonts w:ascii="Amiri" w:hAnsi="Amiri" w:eastAsia="Amiri" w:cs="Amiri"/>
          <w:color w:val="111111"/>
          <w:sz w:val="28"/>
          <w:sz w:val="28"/>
          <w:szCs w:val="28"/>
          <w:rtl w:val="true"/>
          <w:lang w:bidi="ar-SA"/>
        </w:rPr>
        <w:t>إليه، لا يكون باعثاً على الفعل، و سبباً لإقدامه عليه بالضرورة، فكلّ ما يكون غرضاً وجب أن يكون وجوده أصلح للفاعل، و أليق به من عدمه، فهو معنى الكمال، فإذن يكون الفاعل مستكملاً بوجوده، ناقصاً بدونه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الأصلح و الأولى به، ما يناسب شئونه، فالحكيم لا يقوم إلّا بما يناسب شأنه، كما أنّ كلّ فاعل غيره يقوم بما يناسب المبادئ الموجودة فيه، فتفسير الأصلح و الأولى بما يفيده و يكمِّله، تفسير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أنّه لا يختار إلّا الأصلح و الأولى، ليس أنّ هناك عاملاً خارجاً عن ذاته، يحدِّد قدرته و مشيئته و يفرض عليه إيجاد الأصلح و الأولى، بل مقتضى كماله و حكمته، هو أن لا يخلق إلّا الأصلح و الأولى، و يترك اللّغو و العبث، فهو سبحانه لمّا كان جامعاً للصفات الكماليّة و من أبرزها كونه حكيماً، صار مقتضى ذلك الوصف، إيجاد ما يناسبه و ترك ما يضادّه، فأين هو من حديث الاستكمال، و الاستفادة، و الالزام، و الافراض، كلّ ذلك يعرب عن أنّ المسائل الكلاميّة طرحت في جوّ غير هادئ و أنّ الخصم لم يقف على منطق الطرف الآخر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ذاته سبحانه تامة الفاعليّة بالنسبة إلى كلا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المقترن مع الحكمة، و الخالي عنها، و ذلك لعموم قدرته سبحانه للحسن و القبيح، و لكن كونه حكيماً يصدّه عن ايجاد الثاني و يخصّ فعله بالأوّل، </w:t>
      </w:r>
      <w:bookmarkStart w:id="83" w:name="pg11536_163864"/>
    </w:p>
    <w:p>
      <w:pPr>
        <w:pStyle w:val="BookText"/>
        <w:rPr/>
      </w:pPr>
      <w:bookmarkEnd w:id="83"/>
      <w:r>
        <w:rPr>
          <w:rFonts w:ascii="Amiri" w:hAnsi="Amiri" w:eastAsia="Amiri" w:cs="Amiri"/>
          <w:color w:val="111111"/>
          <w:sz w:val="28"/>
          <w:sz w:val="28"/>
          <w:szCs w:val="28"/>
          <w:rtl w:val="true"/>
          <w:lang w:bidi="ar-SA"/>
        </w:rPr>
        <w:t>و هذا صادق في كلّ فعل له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اللّٰه سبحانه قادر على إنعام المؤمن و تعذيبه، و تامّ الفاعليّة بالنّسبة إلى الكلّ، و لكن لا يصدر منه إلّا القسم الحسن منهما لا القبيح، فكما لا يستلزم القول بصدور خصوص الحسن دون القبيح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ناقصاً في الفاعليّة، فهكذا القول بصدور الفعل المقترن بالمصلحة دون المجرّد عنها، و إنعام المؤمن ليس مرجوحاً و لا مساوياً مع تعذيبه بل أولى به و أصلح، لكن معنى صلاحه و أولويّته لا يهدف إلى استكماله أو استفادته منه، بل يهدف إلى أنّه المناسب لذاته الجامعة للصفات الكماليّة، المنزهة عن خلافها، فجماله و كماله، و ترفّعه عن ارتكاب القبيح، يطلب الفعل المناسب له، و هو المقارن للحكمة، و التجنّب عن 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اللّٰه سبحانه فعل أم لم يفعل فهو كامل بلا نهاية، لكن لو فعل لاختار المناسب للحكمة و أين هو من الاستكمال؟</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907325_73709187"/>
      <w:bookmarkStart w:id="85" w:name="_Toc30"/>
      <w:bookmarkEnd w:id="84"/>
      <w:r>
        <w:rPr>
          <w:rtl w:val="true"/>
        </w:rPr>
        <w:t>دليل ثالث للأشاعرة</w:t>
      </w:r>
      <w:r>
        <w:rPr>
          <w:rtl w:val="true"/>
        </w:rPr>
        <w:t>:</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دليل ثالث لهم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غرض الفعل خارج عنه، يحصل تبعاً له و بتوسّطه، و بما أنّه تعالى فاعل لجميع الأشياء ابتداءً، فلا يكون شيء من الكائنات إلّا فعلاً له، لا غرضاً لفعل آخر لا يحصل إلّا به، ليصلح غرضاً لذلك الفعل، و ليس جعل البعض غرضاً أولى من البعض</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عليه أن يقرّر الدليل بصورة كاملة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البعض غاية للبعض فإمّا أن ينتهي إلى فعل لا غاية له فقد ثبت المطلوب، أو لا فيتسلسل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يشكّ من أطلّ بنظره إلى الكون، أنّ بعض الأشياء بما فيها من الآثار خلق لأشياء أُخر، فالغاية من إيجاد الموجودات الدانية كونها في خدمة العالية منها، و أمّا الغاية في خلق العالية هي إبلاغها إلى حدٍّ تكون مظاهر و مجالي لصفات ربِّه، و كمال بارئه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نظرنا إلى الكون بالنظر التجزيئي نرى هناك أوائل الأفعال، و ثوانيها، و ثوالثها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الداني في خدمة العالي، و يكون الغرض من إيجاد العالي إيصاله إلى كماله الممكن الّذي هو أمر جميل بالذات، و لا يطلب إيجاد الجميل بالذات غاية سوى وجوده لأنّ الغاية منطوية في وجوده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نظرنا إلى الكون بالنظر التجزيئي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نظرنا إلى الكون بالنظر الجملي، فالغاية للنظام الجملي ليس أمراً خارجاً عن وجود النظام حتّى يسأل عنها بالنحو الوارد في الدليل، بل هي عبارة عن الخصوصيّات الموجودة فيه و هي بلوغ النظام بأبعاضه و أجزائه إلى الكمال الممكن، و الكمال الممكن المتوخّى من الإيجاد خصوصيّة موجودة في نفس النظام، و يعدّ صورة فعليّة له، فاللّٰه سبحانه خلق النظام، و أوجد فعله المطلق، حتّى يبلغ ما يصدق عليه فعله كلّاً أو بعضاً إلى الكمال الّذي يمكن أن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الغاية شيئاً مفصولاً عن النظام، حتّى يقال ما هي الغاية لهذه الغاية </w:t>
      </w:r>
    </w:p>
    <w:p>
      <w:pPr>
        <w:pStyle w:val="BookText"/>
        <w:rPr/>
      </w:pPr>
      <w:r>
        <w:rPr>
          <w:rFonts w:ascii="Amiri" w:hAnsi="Amiri" w:eastAsia="Amiri" w:cs="Amiri"/>
          <w:color w:val="111111"/>
          <w:sz w:val="28"/>
          <w:sz w:val="28"/>
          <w:szCs w:val="28"/>
          <w:rtl w:val="true"/>
          <w:lang w:bidi="ar-SA"/>
        </w:rPr>
        <w:t>حتّى تتسلسل، أو تصل إلى موجود لا غاية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إيصال كلّ ممكن إلى كماله، غاية ذاتيّة، لأنّه عمل جميل بالذات، فيسقط السؤال عن أنّه لما ذا قام بهذا، لأنّه حين أوصل كلّ موجود إلى كماله الممكن، فالسؤال يسقط إذا انتهى إلى السؤال عن الأمر الجميل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سئلنا عن الغاية لأصل الإيجاد و إبداع النظام،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من الإيجاد عبارة عن إيصال كلّ ممكن إلى كماله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طرح السؤال عن الهدف من إيصال كلِّ ممكن إلى كماله الممكن، لكان السؤال جزافياً ساقطاً، لأنّ العمل الحسن بالذات، يليق أن يفعل، و الغاية نفس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فالإيجاد فيض من الواجب إلى الممكن، و إبلاغه إلى كماله فيض آخر، يتمّ به الفيض الأوّل، فالمجموع فيض من الفيّاض تعالى إلى الفقير المحتاج، و لا ينقص من خزائنه شيء، فأيّ كمال أحسن و أبدع من هذا؟ و أيُّ غاية أظهر من ذلك، حتّى تحتاج إلى غاية أُخرى؟ و هذا بمثابة أن يسأل لما ذا يفعل اللّٰه الأفعال الحسنة بالذات؟ فإنّ الجواب، مستتر في نفس السؤال و هو أنّه فعله لأنّه حسن بالذات، و ما هو حسن بالذات نفسه الغاية، و لا يحتاج إلى غاية أُخرى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تقريب الأمر إلى الذهن نأتي 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سألنا الشابّ الساعي في التحصيل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تبذل الجهود في طريق تحصيلك؟ فيجيب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لنيل الشهادة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أعدنا السؤال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الغاية من تحصيلها؟ </w:t>
      </w:r>
      <w:bookmarkStart w:id="86" w:name="pg11536_163867"/>
    </w:p>
    <w:p>
      <w:pPr>
        <w:pStyle w:val="BookText"/>
        <w:rPr/>
      </w:pPr>
      <w:bookmarkEnd w:id="86"/>
      <w:r>
        <w:rPr>
          <w:rFonts w:ascii="Amiri" w:hAnsi="Amiri" w:eastAsia="Amiri" w:cs="Amiri"/>
          <w:color w:val="111111"/>
          <w:sz w:val="28"/>
          <w:sz w:val="28"/>
          <w:szCs w:val="28"/>
          <w:rtl w:val="true"/>
          <w:lang w:bidi="ar-SA"/>
        </w:rPr>
        <w:t>يجيبنا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للاشتغال في إحدى المراكز الصناعية، أو العلميّة، أو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أعدنا السؤال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الغاية من الاشتغال فيها؟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لتأمين وسائل العيش مع الأهل و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سألناه بعدها عن الغاية من طلب الرفاه و تأمين سبل العيش، لوجدنا السؤال جزافياً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تقدّم من الغايات و أجاب عنها، غايات عرضية لهذه الغاية المطلوبة بالذات، فإذا وصل الكلام إلى الأخيرة يسقط السؤال</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907327_73709187"/>
      <w:bookmarkStart w:id="88" w:name="_Toc31"/>
      <w:bookmarkEnd w:id="87"/>
      <w:r>
        <w:rPr>
          <w:rtl w:val="true"/>
        </w:rPr>
        <w:t>القرآن و أفعاله سبحانه الحكيمة</w:t>
      </w:r>
      <w:r>
        <w:rPr>
          <w:rtl w:val="true"/>
        </w:rPr>
        <w:t>:</w:t>
      </w:r>
      <w:bookmarkEnd w:id="88"/>
    </w:p>
    <w:p>
      <w:pPr>
        <w:pStyle w:val="BookText"/>
        <w:rPr/>
      </w:pPr>
      <w:r>
        <w:rPr>
          <w:rFonts w:ascii="Amiri" w:hAnsi="Amiri" w:eastAsia="Amiri" w:cs="Amiri"/>
          <w:color w:val="111111"/>
          <w:sz w:val="28"/>
          <w:sz w:val="28"/>
          <w:szCs w:val="28"/>
          <w:rtl w:val="true"/>
          <w:lang w:bidi="ar-SA"/>
        </w:rPr>
        <w:t>و العجب من غفلة الأشاعرة عن النصوص الصريحة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فَحَسِبْتُمْ أَنَّمٰا خَلَقْنٰاكُمْ عَبَثاً وَ أَنَّكُمْ إِلَيْنٰا لاٰ تُرْجَعُونَ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w:t>
      </w:r>
      <w:bookmarkStart w:id="89" w:name="pg11536_163868"/>
    </w:p>
    <w:p>
      <w:pPr>
        <w:pStyle w:val="BookText"/>
        <w:rPr/>
      </w:pPr>
      <w:bookmarkEnd w:id="89"/>
      <w:r>
        <w:rPr>
          <w:rFonts w:ascii="Amiri" w:hAnsi="Amiri" w:eastAsia="Amiri" w:cs="Amiri"/>
          <w:color w:val="111111"/>
          <w:sz w:val="28"/>
          <w:sz w:val="28"/>
          <w:szCs w:val="28"/>
          <w:rtl w:val="true"/>
          <w:lang w:bidi="ar-SA"/>
        </w:rPr>
        <w:t>ذلك من الآيات الّتي تنفي العبث عن فعله، و تصرّح باقترانها بالحكمة و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الحديث و بعدهم الأشاعرة الّذين اشتهروا بالتعبّد بظواهر النصوص تعبّداً حرفيّاً غير مفوّضين معانيها إلى اللّٰه سبحانه و لا مؤوّليها، لا مناص لهم إلّا تناسي الآيات الماضية، أو تأويلها، و هم يفرّون منه، و ينسبونه إلى مخالفيهم</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907329_73709187"/>
      <w:bookmarkStart w:id="91" w:name="_Toc32"/>
      <w:bookmarkEnd w:id="90"/>
      <w:r>
        <w:rPr>
          <w:rtl w:val="true"/>
        </w:rPr>
        <w:t>عطف مذهب الحكماء على مذهب الأشاعرة</w:t>
      </w:r>
      <w:r>
        <w:rPr>
          <w:rtl w:val="true"/>
        </w:rPr>
        <w:t>:</w:t>
      </w:r>
      <w:bookmarkEnd w:id="91"/>
    </w:p>
    <w:p>
      <w:pPr>
        <w:pStyle w:val="BookText"/>
        <w:rPr/>
      </w:pPr>
      <w:r>
        <w:rPr>
          <w:rFonts w:ascii="Amiri" w:hAnsi="Amiri" w:eastAsia="Amiri" w:cs="Amiri"/>
          <w:color w:val="111111"/>
          <w:sz w:val="28"/>
          <w:sz w:val="28"/>
          <w:szCs w:val="28"/>
          <w:rtl w:val="true"/>
          <w:lang w:bidi="ar-SA"/>
        </w:rPr>
        <w:t>و من الخطأ الواضح، عطف مذهب الحكماء على مذهب الأشاعرة، و تصوير أنّ الطائفتين يقولون بأنّ أفعال اللّٰه سبحانه غير معلّلة بالأغراض، و هو خطأ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هذا صدر المتألهين يخطِّئ الأشاعرة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المعطِّلة قوماً جعلوا فعل اللّٰه تعالى خالياً عن الحكمة و المصلحة، مع أنّك قد علمت أنّ للطبيعة غايات</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الحكماء ما نفوا الغاية و الغرض عن شيء من أفعاله مطلقاً، بل إنّما نفوا عن فعله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لوحظ الوجود الإمكاني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فعله الأوّل غرضاً زائداً على ذاته تعالى، و أمّا ثواني الأفعال و الأفعال المخصوصة، و المقيّدة، فأثبتوا لكلّ منها غاية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كتبهم مشحونة بالبحث عن غايات الموجودات و منافعها كما يعلم من </w:t>
      </w:r>
    </w:p>
    <w:p>
      <w:pPr>
        <w:pStyle w:val="BookText"/>
        <w:rPr/>
      </w:pPr>
      <w:r>
        <w:rPr>
          <w:rFonts w:ascii="Amiri" w:hAnsi="Amiri" w:eastAsia="Amiri" w:cs="Amiri"/>
          <w:color w:val="111111"/>
          <w:sz w:val="28"/>
          <w:sz w:val="28"/>
          <w:szCs w:val="28"/>
          <w:rtl w:val="true"/>
          <w:lang w:bidi="ar-SA"/>
        </w:rPr>
        <w:t>مباحث الفلكيّات، و مباحث الأمزجة، و المركّبات، و علم التشريح، و علم الأدوية، و غيرها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على ذلك فنظريّة الحكماء تتلخّص في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أفعاله سبحانه غير متّصفة بالعبث و اللّغو، و إنّ هنا مصالح و حِكَماً تترتّب على فعله، يستفيد بها العباد، و يقوم بها النظام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لوحظ الوجود الإمكاني على وجه الإطلاق، فليس لفعله غرض خارج عن ذاته، لأنّ المفروض ملاحظة الوجود الإمكاني جملة واحدة، و الغرض الخارج عن الذات لو كان أمراً موجوداً فهو داخل في الوجود الإمكاني، و ليس شيء وراءه، و عند ذاك فليس الغرض شيئاً خارجاً عن الذات و إنّما الغرض نفس ذاته، لئلّا يكون ناقص الفاعليّة، لأنّ الحاجة إلى شيءٍ خارجٍ عن ذاته في القيام بالفعل، آية كونه ناقصاً في الفاعليّة، و المفروض أنّه سبحانه تامّ في فاعليّته، غنيّ في ذاته و فعله عن كل شيء سوى ذاته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لهم بياناً فلسفيّاً ممزوجاً بالدليل العرفاني، يهدف إلى كون الغرض من الخلق هو ذاته سبحانه، و به فسّروا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كنزاً مخفياً فأحببتُ أن أُعرفَ، فخلقت الخلقَ لكي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سبحانه هو غاية الغايات، و من أراد الوقوف على برهانهم فليرجع إلى أسفارهم</w:t>
      </w:r>
      <w:r>
        <w:rPr>
          <w:rFonts w:eastAsia="Amiri" w:cs="Amiri" w:ascii="Amiri" w:hAnsi="Amiri"/>
          <w:color w:val="111111"/>
          <w:sz w:val="28"/>
          <w:szCs w:val="28"/>
          <w:rtl w:val="true"/>
          <w:lang w:bidi="ar-SA"/>
        </w:rPr>
        <w:t>.</w:t>
      </w:r>
      <w:r>
        <w:rPr>
          <w:rStyle w:val="FootnoteAnchor"/>
          <w:rtl w:val="true"/>
        </w:rPr>
        <w:footnoteReference w:id="66"/>
      </w:r>
      <w:bookmarkStart w:id="92" w:name="pg11536_163870"/>
    </w:p>
    <w:p>
      <w:pPr>
        <w:pStyle w:val="Heading5"/>
        <w:numPr>
          <w:ilvl w:val="4"/>
          <w:numId w:val="1"/>
        </w:numPr>
        <w:rPr/>
      </w:pPr>
      <w:bookmarkStart w:id="93" w:name="__RefHeading___Toc3907331_73709187"/>
      <w:bookmarkStart w:id="94" w:name="_Toc33"/>
      <w:bookmarkEnd w:id="92"/>
      <w:bookmarkEnd w:id="93"/>
      <w:r>
        <w:rPr/>
        <w:t>6</w:t>
      </w:r>
      <w:r>
        <w:rPr>
          <w:rtl w:val="true"/>
        </w:rPr>
        <w:t xml:space="preserve"> - </w:t>
      </w:r>
      <w:r>
        <w:rPr>
          <w:rtl w:val="true"/>
        </w:rPr>
        <w:t>الماتريدية و الصفات الخبرية</w:t>
      </w:r>
      <w:r>
        <w:rPr>
          <w:rtl w:val="true"/>
        </w:rPr>
        <w:t>:</w:t>
      </w:r>
      <w:bookmarkEnd w:id="94"/>
    </w:p>
    <w:p>
      <w:pPr>
        <w:pStyle w:val="Heading6"/>
        <w:numPr>
          <w:ilvl w:val="5"/>
          <w:numId w:val="1"/>
        </w:numPr>
        <w:rPr/>
      </w:pPr>
      <w:bookmarkStart w:id="95" w:name="__RefHeading___Toc3907333_73709187"/>
      <w:bookmarkStart w:id="96" w:name="_Toc34"/>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إنّ تفسير الصفات الخبرية أوجد اختلافاً عميقاً بين المتكلّمين و جعلهم فرقاً متضادّة، و بما أنّ أهل الحديث و الأشاعرة من المثبتين لها، اشتهروا بالصفاتيّة في مقابل المعتزلة الّذين يؤوِّلونها و لا يثبتونها بما يتبادر منها من ظواهرها، و لأجل أن نقف على نظريّة الماتريديّة في هذا المقام، ننقل كلام الامامين الأشعري و الماتريدي ليعلم مدى الاختلاف بين المدرستين، و إليك كلام الأشعري أوّلاً، ثمّ كلام الماتريدي ثانياً</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3907335_73709187"/>
      <w:bookmarkStart w:id="98" w:name="_Toc35"/>
      <w:bookmarkEnd w:id="97"/>
      <w:r>
        <w:rPr>
          <w:rtl w:val="true"/>
        </w:rPr>
        <w:t xml:space="preserve">أ </w:t>
      </w:r>
      <w:r>
        <w:rPr>
          <w:rtl w:val="true"/>
        </w:rPr>
        <w:t xml:space="preserve">- </w:t>
      </w:r>
      <w:r>
        <w:rPr>
          <w:rtl w:val="true"/>
        </w:rPr>
        <w:t>كلام الإمام الأشعري</w:t>
      </w:r>
      <w:r>
        <w:rPr>
          <w:rtl w:val="true"/>
        </w:rPr>
        <w:t>:</w:t>
      </w:r>
      <w:bookmarkEnd w:id="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الاستواء؟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إنّ اللّٰه عزّ و جلّ يستوي على عرشه كما قال، يليق به من غير طول الاستقرار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حكايةً عن فرعون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هٰامٰانُ اِبْنِ لِي صَرْحاً لَعَلِّي أَبْلُغُ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اَلسَّمٰاوٰاتِ فَأَطَّلِعَ إِلىٰ إِلٰهِ مُوسىٰ وَ إِنِّي لَأَظُنُّهُ كٰاذِباً</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فكذّب فرعون نبيّ اللّٰه موسى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فوق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 أَنْ يَخْسِفَ بِكُمُ اَلْأَرْضَ</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فالسماوات فوقها العرش، فلمّا كان العرش فوق السماوات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مستو على العرش الّذي فوق السماوات، و كلّ ما علا فهو سماء، فالعرش أعلى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أَمِنْتُمْ مَنْ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جميع السماوات، و إنّما أراد العرش الّذي هو أعلى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اللّٰه عزّ و جلّ ذكر السماوات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اَلْقَمَرَ فِيهِنَّ نُوراً</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 لم يرد أنّ القمر يملؤهنّ جميعاً، و أنّه فيهنّ جميعاً، و رأينا المسلمين جميعاً يرفعون أيديهم إذا دعوا نحو السماء لأنّ اللّٰه مستو على العرش الّذي هو فوق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اللّٰه عزّ و جلّ على العرش لم يرفعوا أيديهم نحو العرش كما لا يحطّونها إذا دعوا إلى الأرض</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تأمّل في ظواهر كلماته و دلائله لا يشكّ في أنّ الشيخ يعتقد بكونه سبحانه على العرش فوق السّماوات، و أيّ كلام أصرح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 اللّٰه عزّ و جلّ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صحّت نسبة النسخة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الشيخ، و كانت مصونة عن دسّ الحشويّة و الحنابلة</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أصل وثيق،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المنشور باسمه وقفة، لأنّ جميع النسخ الموجودة اليوم من أصل وحيد كان في حيازة أحد كبار الحشوية ممن لا يؤتمن لا على الاسم، و لا على المسمّى، بل لو صحّ الكتابان عنه على وضعهما الحاضر، لما بقي وجه لمناصبة الحشوية العداء له على الوجه المعروف، على أنّه لا تخلو آراؤه من بعض ابتعاد عن النقل مرّة، و عن العقل مرة أُخرى، في حسبان بعض النظار كقوله في التحسين و التعليل، و فيما يفيده الدليل النقلي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اشارات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الاعتزال عن العقل، و إعلان الالتحاق بأهل الحديث الّذين أعدموا العقل، و الالتجاء إلى كل ما سمي حديثاً لا ينتج إلّا ما جاء في الكتابين، فلا وجه للتشكيك في مضامينهما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فهو من المشبّهة قطعاً، غير أنّه لدفع عار التشبيه و التجسيم عن نفسه، يتدرّع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طول الاستقرار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حال هذه الألفاظ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الشيخ يفسّر الرفع الوارد في الآيات تصريحاً، أو تلويحاً، بالرفع 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نفس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 تدلّ على كون الرفع، هو الرفع المعنوي لا الحسّي و الصعود المادّي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أعجب منه أنّه نسب إلى الكليم عليه السلام أنّه قال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فوق السماوات، فصار فرعون بصدد تكذيبه إذ قال لهامان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لي صرحاً لعلّي أطّلع إلى إله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أشبه بالرجم بالغيب، إذ من الممكن أن يكون المصدر لاعتقاده بكون إله موسى في السماء، هو اجتهاده الشخصي الخاطئ، بأنّه إذا لم يكن إله موسى في الأرض كسائر الآلهة، فلا محالة هو </w:t>
      </w:r>
      <w:bookmarkStart w:id="99" w:name="pg11536_163873"/>
    </w:p>
    <w:p>
      <w:pPr>
        <w:pStyle w:val="BookText"/>
        <w:rPr/>
      </w:pPr>
      <w:bookmarkEnd w:id="99"/>
      <w:r>
        <w:rPr>
          <w:rFonts w:ascii="Amiri" w:hAnsi="Amiri" w:eastAsia="Amiri" w:cs="Amiri"/>
          <w:color w:val="111111"/>
          <w:sz w:val="28"/>
          <w:sz w:val="28"/>
          <w:szCs w:val="28"/>
          <w:rtl w:val="true"/>
          <w:lang w:bidi="ar-SA"/>
        </w:rPr>
        <w:t>في السماء، و لأجل ذلك طلب من هامان بناء الصرح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نقد كلام الشيخ و تفسير الآيات الّتي استدلّ بها على كونه سبحانه في العرش، يحتاج إلى بسط في الكلام، و سوف نقوم بها عند عرض عقائد المعتزلة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الصفات المتشابهة الواردة في الكتاب و السنّة، لا تتجاوز عن سبع عشرة، منها اليمين، و الساق، و الأعين، و الجنب، و الاستواء، و الغضب، و الرضى، و النور، على ما ورد في الآيات، و الكفّ و الاصبعان، و القدم، و النزول، و الضحك، و صورة الرحمن، على ما ورد في الأحاديث الّتي لم تثبت صحّة أسنادها، و قد أرسلتها الحشويّة و الحنابلة إرسال المسلّمات، و على أيّ حال فنظريّة الأشاعرة في هذه الصفات هي الإثبات متدرّعة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يقرب ذلك</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3907337_73709187"/>
      <w:bookmarkStart w:id="101" w:name="_Toc36"/>
      <w:bookmarkEnd w:id="100"/>
      <w:r>
        <w:rPr>
          <w:rtl w:val="true"/>
        </w:rPr>
        <w:t xml:space="preserve">ب </w:t>
      </w:r>
      <w:r>
        <w:rPr>
          <w:rtl w:val="true"/>
        </w:rPr>
        <w:t xml:space="preserve">- </w:t>
      </w:r>
      <w:r>
        <w:rPr>
          <w:rtl w:val="true"/>
        </w:rPr>
        <w:t>كلام الماتريدي</w:t>
      </w:r>
      <w:r>
        <w:rPr>
          <w:rtl w:val="true"/>
        </w:rPr>
        <w:t>:</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أبو منصور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بوضوح عن كون منهجه هو التنزيه ظاهراً و باطناً، فهو بعد ما نقل الآراء المختلفة صار بصدد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كان و لا مكان، و جائز ارتفاع الأمكنة، و بقاؤه على ما كان، فهو على ما كان، و كان على ما عليه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التغيّر و الزوال، و الاستحالة و البطلان، إذ ذلك أمارات الحدث الّتي بها عرف حدث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ردّ على القائلين بكونه سبحانه على العرش، بأنّه ليس في الارتفاع إلى ما يعلو من مكان للجلوس أو القيام شرف و لا علوّ، و لا وصف بالعظمة و الكبرياء كمن يعلو السطوح و الجبال أنّه لا يستحق الرفعة على من دونه عند استواء الجوهر، فلا يجوز صرف تأويل الآية إليه مع ما فيها ذكر العظمة و الجلال، إذ ذكر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فدلّك على تعظيم العرش</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لأجل اختلاف المفسّرين في مفاد الآية، التجأ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معناها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الأصل عندنا في ذلك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عن نفسه، شبه خلقه، و قد بيّنا أنّه في فعله وصفته متعال عن الأشباه، فيجب القول بأنّ الرحمن على العرش استوى على ما جاء به التنزيل، و ثبت ذلك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نقطع تأويله على شيء لاحتمال غيره ممّا ذكرنا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فالماتريدي ينفي بتاتاً كونه سبحانه على العرش، حتّى على النحو اللائق به الّذي ملأ كتب الأشاعرة و ينزّهه عن تلك الوصمة، و لكن لمّا كانت المعاني الأُخرى متساوية عنده، لم يجزم بشيء منه، و فوّض المراد إليه سبحانه، و لأجل ذلك لخّص البياضي نظريّة الامام الماتريدي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يؤوّل المتشابهات و يفوِّض علمها إلى اللّٰه مع التنزيه عن إرادة ظواهرها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الصفات الخبريّة الواردة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البزدوي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الماتريدية في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منه الجنوح إلى إمكان الوقوف على مقاصد الكتاب في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يشبه شيئاً و لا يشبهه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قد وجد دلائل الأجسام فإنّه يوصف بالإتيان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يوصف بالاستواء على العرش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الاتيان و الاستواء على المكان من صفات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يوصف بأنّ له أيدياً و أعيناً،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 أَنْعٰاماً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و هذا من أمارات الأجسام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أجاب عن كلّ واحد بأنّا نصفه بذلك كما وصف اللّٰه تعالى به نفسه و هو الصحيح من مذهب السنّة، فلا بدّ من الوصف بما وصف اللّٰه نفسه به، و لكن هذه الصِّفات ليست من صفات الأجسام، فإنّ الاتيان يذكر و يراد منه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آثار سخطه في </w:t>
      </w:r>
    </w:p>
    <w:p>
      <w:pPr>
        <w:pStyle w:val="BookText"/>
        <w:rPr/>
      </w:pPr>
      <w:r>
        <w:rPr>
          <w:rFonts w:ascii="Amiri" w:hAnsi="Amiri" w:eastAsia="Amiri" w:cs="Amiri"/>
          <w:color w:val="111111"/>
          <w:sz w:val="28"/>
          <w:sz w:val="28"/>
          <w:szCs w:val="28"/>
          <w:rtl w:val="true"/>
          <w:lang w:bidi="ar-SA"/>
        </w:rPr>
        <w:t xml:space="preserve">بنيانهم، و ظهرت آثار قدرته و قهره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كذا الاستواء ليس من صفات الأجسام فإنّ الاستواء هو الاستيلاء على الشيء و القهر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اِسْتَوىٰ آتَيْنٰاهُ حُكْماً وَ عِلْماً</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حاله بتمام 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استوى أمر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تناهى، و منه المستوي على الكرسي و هو القاعد عليه، عبارة عن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على الكرسي ما لم يجلس مستقرّاً عليه، فالمستقرّ على العرش مستوٍ، فكان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 اَلرَّحْمٰنُ</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استوى عليه بعد خلقه، و اللّٰه تعالى مستول على جميع العالم، إلّا أنّه خصّ العرش بالذكر لأنّه أعظم الأشياء و أشرفها، ثمّ ذكر تفسير سائر الصفات الخبرية من اليد و العين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من كلامي الأُستاذ و التلميذ يعربان بوضوح عن اختلاف منهجهما مع منهج الامام الأشعري، فهو يثبت جميع هذه الصِّفات الخبريّة الظاهرة من كونه سبحانه جسماً و ذا أعضاء، و لا يتحرّج من الإثبات، غاية الأمر يتدرّع بما عرفت، و هذا بخلاف الداعي الآخر و تلاميذ منهجه، فإنّهم لا يخرجون من خطّ التنزيه، لكن بين مفوِّض غير قاطع بمراد الآية، أو مفسِّر لها مثل تفسير العدليّة الّذين سمّتهم الأشاعرة بالمؤوِّلة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البزدوي أفاض الكلام في نقد ما استدلّ به الأشعري من </w:t>
      </w:r>
    </w:p>
    <w:p>
      <w:pPr>
        <w:pStyle w:val="BookText"/>
        <w:rPr/>
      </w:pPr>
      <w:r>
        <w:rPr>
          <w:rFonts w:ascii="Amiri" w:hAnsi="Amiri" w:eastAsia="Amiri" w:cs="Amiri"/>
          <w:color w:val="111111"/>
          <w:sz w:val="28"/>
          <w:sz w:val="28"/>
          <w:szCs w:val="28"/>
          <w:rtl w:val="true"/>
          <w:lang w:bidi="ar-SA"/>
        </w:rPr>
        <w:t xml:space="preserve">كونه سبحانه على العرش من الآيات و الرِّوايات في كتابه، و من أراد الوقوف فليرجع إلى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خاتمة المطاف نلفت نظر القارئ إلى ما ذكره الكاتب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عقيدة الأشاعرة في الصِّفات الخبرية،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الأشاعرة فقالوا إنّها مجازات عن معان ظاهرة، فاليد مجاز عن القدرة، و الوجه عن الوجود، و العين عن البصر، و الاستواء عن الاستيلاء، و اليدان عن كمال القدرة، و النزول عن البرد و العطاء، و الضحك عن عفوه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ما ذكره هو نفس عقيدة المعتزلة لا الأشاعرة و لا الماتريديّة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فالمعتزلة هم المؤوّلة، يؤوّلون الصِّفات بما ذكره، و الأشاعرة من المثبتة لكن بقيد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الماتريديّة هم المفوِّضة، يفوِّضون معانيها إلى قائلها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لهذا الكاتب المصري من هفوات في بيان الطوائف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كتب عقيدة الشيعة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التقريرين في الكتابين بون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أنّه لم يعتمد على مصدر شيعيّ فيهما، و أعجب منه أنّه لم يشر إلى واحد من النقود التي وجّهها علماء الشيعة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بعضها طبع في نفس القاهرة عاصمة مصر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اللّٰه الحريّة في القضاء، و الأمانة في النّقل</w:t>
      </w:r>
      <w:r>
        <w:rPr>
          <w:rFonts w:eastAsia="Amiri" w:cs="Amiri" w:ascii="Amiri" w:hAnsi="Amiri"/>
          <w:color w:val="111111"/>
          <w:sz w:val="28"/>
          <w:szCs w:val="28"/>
          <w:rtl w:val="true"/>
          <w:lang w:bidi="ar-SA"/>
        </w:rPr>
        <w:t xml:space="preserve">!! </w:t>
      </w:r>
      <w:bookmarkStart w:id="102" w:name="pg11536_163878"/>
    </w:p>
    <w:p>
      <w:pPr>
        <w:pStyle w:val="Heading5"/>
        <w:numPr>
          <w:ilvl w:val="4"/>
          <w:numId w:val="1"/>
        </w:numPr>
        <w:rPr/>
      </w:pPr>
      <w:bookmarkStart w:id="103" w:name="__RefHeading___Toc3907339_73709187"/>
      <w:bookmarkStart w:id="104" w:name="_Toc37"/>
      <w:bookmarkEnd w:id="102"/>
      <w:bookmarkEnd w:id="103"/>
      <w:r>
        <w:rPr/>
        <w:t>7</w:t>
      </w:r>
      <w:r>
        <w:rPr>
          <w:rtl w:val="true"/>
        </w:rPr>
        <w:t xml:space="preserve"> - </w:t>
      </w:r>
      <w:r>
        <w:rPr>
          <w:rtl w:val="true"/>
        </w:rPr>
        <w:t>الاستطاعة قبل الفعل أو بعده</w:t>
      </w:r>
      <w:r>
        <w:rPr>
          <w:rtl w:val="true"/>
        </w:rPr>
        <w:t>:</w:t>
      </w:r>
      <w:bookmarkEnd w:id="104"/>
    </w:p>
    <w:p>
      <w:pPr>
        <w:pStyle w:val="BookText"/>
        <w:rPr/>
      </w:pPr>
      <w:r>
        <w:rPr>
          <w:rFonts w:ascii="Amiri" w:hAnsi="Amiri" w:eastAsia="Amiri" w:cs="Amiri"/>
          <w:color w:val="111111"/>
          <w:sz w:val="28"/>
          <w:sz w:val="28"/>
          <w:szCs w:val="28"/>
          <w:rtl w:val="true"/>
          <w:lang w:bidi="ar-SA"/>
        </w:rPr>
        <w:t>اتّفق الإلهيّون على أنّ استطاعة الواجب سبحانه متقدّمة على الفعل، فهو سبحانه يوصف بالقدرة قبل إيجاد الأشياء، كما يوصف بها معه 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استطاعة الإنسان على الفعل، فذهب الأشعريّ إلى كونها مقارنة للفعل ببيان عقليّ ذكره في اللّمع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الماتريدي يفصِّل في المسألة بين العلّة النّاقصة الّتي يعبّر عنها باستطاعة الأسباب و الآلات، و بين العلّة التامّة الّتي يعبّر عنها باستطاعة الفعل، و إليك نصّ عبارته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عندنا في المسمّى باسم القدرة أنّها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سلامة الأسباب و صحّة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تتقدّم الأفعال، و حقيقتها ليست بمجعولة للأفعال، و إن كانت الأفعال لا تقوم إلّا بها، لكنّها نعم من اللّٰه أكرم بها من شاء،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لا يقدر على تبيّن حدِّه بشيء يصار إليه، سوى أنّه ليس إلّا للفعل لا يجوز وجوده بحال إلّا و يقع به الفعل عند ما يقع معه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حاول تفسير كثير من الآيات الّتي استدلّوا بها على تقدّم الاستطاعة على الفعل، بأنّ الاستطاعة الواردة فيها، هي استطاعة الأسباب و الأحوال لا استطاعة الفعل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bookmarkStart w:id="105" w:name="pg11536_163879"/>
    </w:p>
    <w:p>
      <w:pPr>
        <w:pStyle w:val="Heading5"/>
        <w:numPr>
          <w:ilvl w:val="4"/>
          <w:numId w:val="1"/>
        </w:numPr>
        <w:rPr/>
      </w:pPr>
      <w:bookmarkStart w:id="106" w:name="__RefHeading___Toc3907341_73709187"/>
      <w:bookmarkStart w:id="107" w:name="_Toc38"/>
      <w:bookmarkEnd w:id="105"/>
      <w:bookmarkEnd w:id="106"/>
      <w:r>
        <w:rPr/>
        <w:t>8</w:t>
      </w:r>
      <w:r>
        <w:rPr>
          <w:rtl w:val="true"/>
        </w:rPr>
        <w:t xml:space="preserve"> - </w:t>
      </w:r>
      <w:r>
        <w:rPr>
          <w:rtl w:val="true"/>
        </w:rPr>
        <w:t>القدرة صالحة للضدّين</w:t>
      </w:r>
      <w:r>
        <w:rPr>
          <w:rtl w:val="true"/>
        </w:rPr>
        <w:t>:</w:t>
      </w:r>
      <w:bookmarkEnd w:id="107"/>
    </w:p>
    <w:p>
      <w:pPr>
        <w:pStyle w:val="BookText"/>
        <w:rPr/>
      </w:pPr>
      <w:r>
        <w:rPr>
          <w:rFonts w:ascii="Amiri" w:hAnsi="Amiri" w:eastAsia="Amiri" w:cs="Amiri"/>
          <w:color w:val="111111"/>
          <w:sz w:val="28"/>
          <w:sz w:val="28"/>
          <w:szCs w:val="28"/>
          <w:rtl w:val="true"/>
          <w:lang w:bidi="ar-SA"/>
        </w:rPr>
        <w:t xml:space="preserve">القدرة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فالثاني لا يصلح إلّا للتعلّق بشيء واحد، كالنار بالنسبة إلى الإحراق، و هذا بخلاف قدرة الإنسان فإنّها يصحّ أن تتعلّق بالجلوس تارة، و القيام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التفصيل في تقدّم الاستطاعة على الفعل، أو كونها معه، يأتي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فالقدرة الناقصة الّتي يعبّر عنها بقابليّة الفاعل و استعداده، و الّتي يعبِّر عنها الماتريدي بصحّة الأسباب و الآلات، صالحة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وصل إلى حدٍّ وجب معه الفعل، فحينئذ تكون القدرة أحديّة التعلّق، لا تصلح إلّا بشيء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عن الرازي يعرب عن كون النزاع بين الطرفين لفظيّاً</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خيرة الماتريدي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اختلف أهل هذا القول في قوّة الطاعة، أ هي تصلح للمعصية أم لا؟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تصلح للأمرين جميعاً و هو قول أبي حنيفة و جماعته، و هذا القول أثبته جميع أهل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أصل هذا أنّه لما كان سبب من أسباب القول يصلح للشيء و ضدّه، فكذلك القدرة، مع ما في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يصلح للأمرين،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القدرة على فعل ضدّ الّذي جاء به، و قد يؤمر به </w:t>
      </w:r>
      <w:bookmarkStart w:id="108" w:name="pg11536_163880"/>
    </w:p>
    <w:p>
      <w:pPr>
        <w:pStyle w:val="BookText"/>
        <w:rPr/>
      </w:pPr>
      <w:bookmarkEnd w:id="108"/>
      <w:r>
        <w:rPr>
          <w:rFonts w:ascii="Amiri" w:hAnsi="Amiri" w:eastAsia="Amiri" w:cs="Amiri"/>
          <w:color w:val="111111"/>
          <w:sz w:val="28"/>
          <w:sz w:val="28"/>
          <w:szCs w:val="28"/>
          <w:rtl w:val="true"/>
          <w:lang w:bidi="ar-SA"/>
        </w:rPr>
        <w:t>و ينهى عنه في وقته، فيلزم القول بالقدرة على الشيء و ضدِّه ليكون الأمر و النهي على الوسع و القوّة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 قال البياضي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الاستطاعة صالحة للضدّين على البدل، و اختاره الإمام القلانسي، و ابن شريح البغدادي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القاهر البغدادي، و كثير منهم كما في شرح المواقف</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109" w:name="__RefHeading___Toc3907343_73709187"/>
      <w:bookmarkStart w:id="110" w:name="_Toc39"/>
      <w:bookmarkEnd w:id="109"/>
      <w:r>
        <w:rPr/>
        <w:t>9</w:t>
      </w:r>
      <w:r>
        <w:rPr>
          <w:rtl w:val="true"/>
        </w:rPr>
        <w:t xml:space="preserve"> - </w:t>
      </w:r>
      <w:r>
        <w:rPr>
          <w:rtl w:val="true"/>
        </w:rPr>
        <w:t>الماتريدي و أفعال العباد</w:t>
      </w:r>
      <w:r>
        <w:rPr>
          <w:rtl w:val="true"/>
        </w:rPr>
        <w:t>:</w:t>
      </w:r>
      <w:bookmarkEnd w:id="110"/>
    </w:p>
    <w:p>
      <w:pPr>
        <w:pStyle w:val="Heading6"/>
        <w:numPr>
          <w:ilvl w:val="5"/>
          <w:numId w:val="1"/>
        </w:numPr>
        <w:rPr/>
      </w:pPr>
      <w:bookmarkStart w:id="111" w:name="__RefHeading___Toc3907345_73709187"/>
      <w:bookmarkStart w:id="112" w:name="_Toc40"/>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اتّفق المسلمون على أنّه لا خالق إلّا اللّٰه و اختلفوا في تفسيره في أفعال العباد و آثار الموجودات فذهب أهل السنّة إلى أنّه لا صلة بين الطبائع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الطبائع و آثارها من صنع الخالق مباشرة من دون دخالة للطّبيعة و لو بنحو الشرط، و المعدّ في سطوعها على الطبيعة، و قد اشتهر بين الأزهريّين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يقل بالطّبع أو بالعلّة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كفر عند أهل الملّة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أفعال العباد، و أمّا فيها فذهبت الجهميّة أتباع جهم بن صفوان إلى أنّ العبد لا يقدر على إحداث شيء، و لا على كسب شيء، و هذه النظرية هي نظرية الجبريّة الخالصة، و لازم ذلك لغويّة بعث الرسل، و إنزال الكتب، و إغلاق باب المناهج التربويّة في العالم</w:t>
      </w:r>
      <w:r>
        <w:rPr>
          <w:rFonts w:eastAsia="Amiri" w:cs="Amiri" w:ascii="Amiri" w:hAnsi="Amiri"/>
          <w:color w:val="111111"/>
          <w:sz w:val="28"/>
          <w:szCs w:val="28"/>
          <w:rtl w:val="true"/>
          <w:lang w:bidi="ar-SA"/>
        </w:rPr>
        <w:t xml:space="preserve">. </w:t>
      </w:r>
      <w:bookmarkStart w:id="113" w:name="pg11536_163881"/>
    </w:p>
    <w:p>
      <w:pPr>
        <w:pStyle w:val="BookText"/>
        <w:rPr/>
      </w:pPr>
      <w:bookmarkEnd w:id="113"/>
      <w:r>
        <w:rPr>
          <w:rFonts w:ascii="Amiri" w:hAnsi="Amiri" w:eastAsia="Amiri" w:cs="Amiri"/>
          <w:color w:val="111111"/>
          <w:sz w:val="28"/>
          <w:sz w:val="28"/>
          <w:szCs w:val="28"/>
          <w:rtl w:val="true"/>
          <w:lang w:bidi="ar-SA"/>
        </w:rPr>
        <w:t>و أهل الدقّة من أهل السنّة حاولوا الجمع بين حصر الخلق في اللّٰه سبحانه، و صحّة تكليف العباد،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الخالق، و العبد هو الكاسب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و الأمر، و النهي، و الثواب، و العقاب، بالملاك الثاني دون الأوّل، و قد أخذوا مصطلح الكسب من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لكنّهم اختلفوا في تفسير حقيقة الكسب إلى حدٍّ صارت النظرية إحدى الألغاز إلّا ما نقل عن الماتريدي و إمام الحرمين من الأشاعرة، فقد استطاعوا توضيحها إلى حدٍّ معقول 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يعلم مدى الاختلاف بين المدرستين في تفسير الكسب إلّا بنقل نصوصهما في هذا المجال</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3907347_73709187"/>
      <w:bookmarkStart w:id="115" w:name="_Toc41"/>
      <w:bookmarkEnd w:id="114"/>
      <w:r>
        <w:rPr>
          <w:rtl w:val="true"/>
        </w:rPr>
        <w:t>معنى الكسب عند الأشعري</w:t>
      </w:r>
      <w:r>
        <w:rPr>
          <w:rtl w:val="true"/>
        </w:rPr>
        <w:t>:</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الفاضل القوشجي و هو من أئمّة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بكسبه إيّاه، مقارنته لقدرته و إرادته، من غير أن يكون هناك منه تأثير أو مدخل في وجوده سوى كونه محلا له</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أنّه ليس للعبد دور في خلق الفعل و إيجاده، غير كونه ظرفاً و محلا لخلق اللّٰه و إيجاده، غاية الأمر إنّ شرط إيجاده سبحانه هو قصد العبد و عزمه، فإذا قصد و عزم و حدثت فيه القدرة غير المؤثِّرة، خلق اللّٰه الفعل و أوجده، من دون أن يكون لقدرة العبد دور </w:t>
      </w:r>
    </w:p>
    <w:p>
      <w:pPr>
        <w:pStyle w:val="BookText"/>
        <w:rPr/>
      </w:pPr>
      <w:r>
        <w:rPr>
          <w:rFonts w:ascii="Amiri" w:hAnsi="Amiri" w:eastAsia="Amiri" w:cs="Amiri"/>
          <w:color w:val="111111"/>
          <w:sz w:val="28"/>
          <w:sz w:val="28"/>
          <w:szCs w:val="28"/>
          <w:rtl w:val="true"/>
          <w:lang w:bidi="ar-SA"/>
        </w:rPr>
        <w:t>و تأثير، و هذه النظرية قد شغلت بال أئمّة الأشاعرة طوال قرون، و قد بذلوا الجهود لتبيينها فما أتوا بشيء يسكن إليه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لقائل أن يسأل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الخالق للفعل هو اللّٰه سبحانه مباشرة، و لم يكن لقدرة العبد دور فيه، فلما ذا صار الإنسان هو المسئول عن فعله دون اللّٰه سبحانه، مع أنّ الفعل فعله، لا فعل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القدرة الحادثة في العبد، غير مؤثِّرة في الإيجاد و التكوين، فما هو الغاية في إحداثها في العبد، و إقداره على العمل، أ ليس هذا عملاً لغواً غير مناسب لساحة الفاعل الحكيم؟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قصد العبد و عزمه شرطاً لإيجاده سبحانه الفعل بعده، فيسأل عن نفس ذاك القصد فمن خالقه؟ فهل هو مخلوق للقاصد، أو للّٰه سبحانه؟ فعلى الأوّل تنتقض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خالق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يثبت في صحيفة الكون، فعل مخلوق للعبد دونه سبحانه، و على الثاني تتّحد النظرية مع نظريّة الجهميّة الّتي عرّفوها بالجبريّة الخالصة، فإذا كان وجود العبد و قصده و قدرته غير المؤثرة فعلاً مخلوقاً للّٰه سبحانه فبأيّ ذنب يدخل العاصي النّار؟ و بأيّ عمل حسن، يثاب المطيع و يدخل الجنّة؟</w:t>
      </w:r>
    </w:p>
    <w:p>
      <w:pPr>
        <w:pStyle w:val="BookText"/>
        <w:rPr/>
      </w:pPr>
      <w:r>
        <w:rPr>
          <w:rFonts w:ascii="Amiri" w:hAnsi="Amiri" w:eastAsia="Amiri" w:cs="Amiri"/>
          <w:color w:val="111111"/>
          <w:sz w:val="28"/>
          <w:sz w:val="28"/>
          <w:szCs w:val="28"/>
          <w:rtl w:val="true"/>
          <w:lang w:bidi="ar-SA"/>
        </w:rPr>
        <w:t>و الحاصل، إنّ تفسير الكسب بإيجاده سبحانه فعل العبد عند عزمه و قصده، يدور أمره بين نقض القاعدة، أو ثبوت الجبر الخالص</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تدبّر القوم في آيات الذّكر الحكيم خصوصاً في الآيات الناصّة </w:t>
      </w:r>
      <w:bookmarkStart w:id="116" w:name="pg11536_163883"/>
    </w:p>
    <w:p>
      <w:pPr>
        <w:pStyle w:val="BookText"/>
        <w:rPr/>
      </w:pPr>
      <w:bookmarkEnd w:id="116"/>
      <w:r>
        <w:rPr>
          <w:rFonts w:ascii="Amiri" w:hAnsi="Amiri" w:eastAsia="Amiri" w:cs="Amiri"/>
          <w:color w:val="111111"/>
          <w:sz w:val="28"/>
          <w:sz w:val="28"/>
          <w:szCs w:val="28"/>
          <w:rtl w:val="true"/>
          <w:lang w:bidi="ar-SA"/>
        </w:rPr>
        <w:t>على أنّه لا خالق إلّا اللّٰه، لوقفوا على المعنى الصحيح من الآيات و المراد منها، و ذلك لأنّ المراد من حصر الخالقيّة هو حصرها بالمعنى المناسب لشأنه سبحانه، و ليس اللائق بشأنه إلّا القيام بالايجاد مستقلاً من دون استعانة من أحد، و عليه فلا مانع من حصر الخالقيّة في اللّٰه سبحانه، و في الوقت نفسه أن يكون العبد موجداً لفعله، بقدرة مكتسبة من اللّٰه و إذن منه سبحانه، و حصر الخالقيّة المستقلّة، غير المعتمدة على غيره، في اللّٰه سبحانه، لا ينافي نسبة الخالقيّة إلى بعض الممكنات، لكن خالقيّة مستندة إلى القدرة المكتسبة و المعتمدة إليه، و بالوقوف على اختلاف الخالقيّة المنسوبة إلى اللّٰه، مع الخالقيّة المنسوبة إلى عبده، يتحرّر المفسِّر من مشكلة الجبر و عقدته، و قد أوضحنا الحال في الجزء الثاني عند عرض عقائد الأشعري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 w:name="__RefHeading___Toc3907349_73709187"/>
      <w:bookmarkStart w:id="118" w:name="_Toc42"/>
      <w:bookmarkEnd w:id="117"/>
      <w:r>
        <w:rPr>
          <w:rtl w:val="true"/>
        </w:rPr>
        <w:t xml:space="preserve">نظريّة أبي حنيفة </w:t>
      </w:r>
      <w:r>
        <w:rPr>
          <w:rtl w:val="true"/>
        </w:rPr>
        <w:t>(</w:t>
      </w:r>
      <w:r>
        <w:rPr>
          <w:rtl w:val="true"/>
        </w:rPr>
        <w:t>شيخ الماتريدي</w:t>
      </w:r>
      <w:r>
        <w:rPr>
          <w:rtl w:val="true"/>
        </w:rPr>
        <w:t xml:space="preserve">) </w:t>
      </w:r>
      <w:r>
        <w:rPr>
          <w:rtl w:val="true"/>
        </w:rPr>
        <w:t>في الكسب</w:t>
      </w:r>
      <w:r>
        <w:rPr>
          <w:rtl w:val="true"/>
        </w:rPr>
        <w:t>:</w:t>
      </w:r>
      <w:bookmarkEnd w:id="118"/>
    </w:p>
    <w:p>
      <w:pPr>
        <w:pStyle w:val="BookText"/>
        <w:rPr/>
      </w:pPr>
      <w:r>
        <w:rPr>
          <w:rFonts w:ascii="Amiri" w:hAnsi="Amiri" w:eastAsia="Amiri" w:cs="Amiri"/>
          <w:color w:val="111111"/>
          <w:sz w:val="28"/>
          <w:sz w:val="28"/>
          <w:szCs w:val="28"/>
          <w:rtl w:val="true"/>
          <w:lang w:bidi="ar-SA"/>
        </w:rPr>
        <w:t>إذا كان هذا معنى الكسب لدى الشّيخ الأشعري فما معناه لدى الماتريدي؟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مذهبه في هذا المجال مما روى عن شيخه أبي حنيفة، كيف و هو مؤسِّس منهجه و اُستاذ مدرسته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الفقه الأكبر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يجبر أحداً من خلقه على الكفر و لا على الايمان، و لا خلقه مؤمناً و لا كافراً و لكن </w:t>
      </w:r>
      <w:bookmarkStart w:id="119" w:name="pg11536_163884"/>
    </w:p>
    <w:p>
      <w:pPr>
        <w:pStyle w:val="BookText"/>
        <w:rPr/>
      </w:pPr>
      <w:bookmarkEnd w:id="119"/>
      <w:r>
        <w:rPr>
          <w:rFonts w:ascii="Amiri" w:hAnsi="Amiri" w:eastAsia="Amiri" w:cs="Amiri"/>
          <w:color w:val="111111"/>
          <w:sz w:val="28"/>
          <w:sz w:val="28"/>
          <w:szCs w:val="28"/>
          <w:rtl w:val="true"/>
          <w:lang w:bidi="ar-SA"/>
        </w:rPr>
        <w:t>خلقهم أشخاصاً، و الايمان و الكفر فعل العباد، و جميع أفعال العباد من الحركة و السكون، كسبهم على الحقيقة، و اللّٰه خالقها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الفقه الأبسط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نسخه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العبد معاقب في صرف الاستطاعة الّتي أحدثها اللّٰه فيه، و أمر بأن يستعملها في الطاعة دون المعصية في المعصية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صحّت هذه الكلمات من شيخ الماتريدي، فالكسب عنده هو صرف العبد القدرة في طريق الطاعة و المعصية عن اختيار، و هو نفس قول العدليّة جمعاء، و أين هو من الكسب عند الأشاعرة المفسّر بإيجاد الفعل من اللّٰه سبحانه مباشرة، من دون أن يكون للعبد و قدرته الحادثة فيه دور في تحقّق الفعل غير كونه ظرفاً و محلّاً، و كون ظهور القصد في ضميره شرطاً لإيجاده سبحانه</w:t>
      </w:r>
      <w:r>
        <w:rPr>
          <w:rFonts w:eastAsia="Amiri" w:cs="Amiri" w:ascii="Amiri" w:hAnsi="Amiri"/>
          <w:color w:val="111111"/>
          <w:sz w:val="28"/>
          <w:szCs w:val="28"/>
          <w:rtl w:val="true"/>
          <w:lang w:bidi="ar-SA"/>
        </w:rPr>
        <w:t>.</w:t>
      </w:r>
    </w:p>
    <w:p>
      <w:pPr>
        <w:pStyle w:val="Heading6"/>
        <w:numPr>
          <w:ilvl w:val="5"/>
          <w:numId w:val="1"/>
        </w:numPr>
        <w:rPr/>
      </w:pPr>
      <w:bookmarkStart w:id="120" w:name="__RefHeading___Toc3907351_73709187"/>
      <w:bookmarkStart w:id="121" w:name="_Toc43"/>
      <w:bookmarkEnd w:id="120"/>
      <w:r>
        <w:rPr>
          <w:rtl w:val="true"/>
        </w:rPr>
        <w:t>كلام الماتريدي في أفعال العباد</w:t>
      </w:r>
      <w:r>
        <w:rPr>
          <w:rtl w:val="true"/>
        </w:rPr>
        <w:t>:</w:t>
      </w:r>
      <w:bookmarkEnd w:id="121"/>
    </w:p>
    <w:p>
      <w:pPr>
        <w:pStyle w:val="BookText"/>
        <w:rPr/>
      </w:pPr>
      <w:r>
        <w:rPr>
          <w:rFonts w:ascii="Amiri" w:hAnsi="Amiri" w:eastAsia="Amiri" w:cs="Amiri"/>
          <w:color w:val="111111"/>
          <w:sz w:val="28"/>
          <w:sz w:val="28"/>
          <w:szCs w:val="28"/>
          <w:rtl w:val="true"/>
          <w:lang w:bidi="ar-SA"/>
        </w:rPr>
        <w:t>هذا كلام أبي حنيفة شيخ الماتريدي، و إليك كلام الماتريدي نفسه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منتحلو الاسلام في أفعال العباد، فمنهم من جعلها لهم مجازاً و حقيقتها للّٰه لوجوه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إضافتها إلى اللّٰه، على ما أُضيف إليه خلق كل شيء في الجملة، فلم يجز أن تكون الإضافة إلى اللّٰه مجازاً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بتحقيق الفعل لغيره تشابهاً في الفعل، و قد نفى اللّٰه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عندنا لازم تحقيق الفعل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بالسمع و العقل و الضرورة الّتي يصير دافع ذلك مكابراً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السمع فله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و النهي عنه، و الثاني الوعيد فيه و الوعد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تسمية ذلك في كلّ هذا فعلاً، من نحو قوله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 اَلْخَيْرَ</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 في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يُرِيهِمُ اَللّٰهُ أَعْمٰالَهُمْ حَسَرٰاتٍ عَلَيْهِمْ</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غير ذلك مما أثبت لهم أسماء العمّال، و لفعلهم أسماء الفعل بالأمر و النهي و الوعد و الوعيد، و ليس في الإضافة إلى اللّٰه سبحانه نفي ذلك، بل هي للّٰه، بأن خلقها على ما هي عليه، و أوجدها بعد أن لم تكن، و للخلق على ما كسبوها و فعلوها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تعالى إذا أمر و نهى، و محال الأمر بما لا فعل للمأمور أو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 لو جاز الأمر بذلك بلا معنى الفعل في الحقيقة، لجاز اليوم الأمر بشيء يكون لأمس، أو للعام الأول أو بإنشاء الخلائق، و إن كان لا معنى لذلك في أمر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العقل قبيح إن انضاف إلى اللّٰه الطاعة و المعصية، و ارتكاب الفواحش </w:t>
      </w:r>
    </w:p>
    <w:p>
      <w:pPr>
        <w:pStyle w:val="BookText"/>
        <w:rPr/>
      </w:pPr>
      <w:r>
        <w:rPr>
          <w:rFonts w:ascii="Amiri" w:hAnsi="Amiri" w:eastAsia="Amiri" w:cs="Amiri"/>
          <w:color w:val="111111"/>
          <w:sz w:val="28"/>
          <w:sz w:val="28"/>
          <w:szCs w:val="28"/>
          <w:rtl w:val="true"/>
          <w:lang w:bidi="ar-SA"/>
        </w:rPr>
        <w:t>و المناكير و أنّه المأمور، و المنهى، و المثاب، و المعاقب، فبطل أن يكون الفعل من هذه الوجوه له،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 اللّٰه تعالى إنّما وعد الثّواب لمن أطاعه في الدُّنيا، و العقاب لمن عصاه، فإذا كان الأمران فعله فإذاً هو المُجزَى بما ذكر، و إذا كان الثّواب و العقاب حقيقة، فالائتمار و الانتهاء كذلك،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أنّه محال أن يأمر أحد نفسه، أو يطيعها، أو يعصيها، و محال تسمية اللّٰه عبداً، ذليلاً، مطيعاً، عاصياً، سفيهاً، جائراً، و قد سمّى اللّٰهُ تعالى بهذا كلِّه أُولئك الّذين أمرهم و نهاهم، فإذا صارت هذه الأسماء في التحقيق له، فيكون هو الربّ، و هو العبد، و هو الخالق و المخلوق، و لا غير ثمّة، و ذلك مدفوع في السمع و العقل،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إنّ كلّ أحد يعلم من نفسه أنّه مختار لما يفعله، و أنّه فاعل 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الماتريدي، و لا أظنُّ أحداً يتأمّل في أطراف كلامه، فيتصوّره موافقاً مع الشيخ الأشعري، بل هما يتحرّكان في فلكين مختلفين،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بعده من الماتريديّة جعل كلامه في مقابل كلام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الإمام البزدوي جعل قول أهل السنّة 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الماتريديّة المتّصلة إلى الامام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قول الأشعري</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يترجم مذهبه بما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العباد مخلوقة للّٰه تعالى و مفعوله، و اللّٰه </w:t>
      </w:r>
    </w:p>
    <w:p>
      <w:pPr>
        <w:pStyle w:val="BookText"/>
        <w:rPr/>
      </w:pPr>
      <w:r>
        <w:rPr>
          <w:rFonts w:ascii="Amiri" w:hAnsi="Amiri" w:eastAsia="Amiri" w:cs="Amiri"/>
          <w:color w:val="111111"/>
          <w:sz w:val="28"/>
          <w:sz w:val="28"/>
          <w:szCs w:val="28"/>
          <w:rtl w:val="true"/>
          <w:lang w:bidi="ar-SA"/>
        </w:rPr>
        <w:t>هو موجدها و محدثها، و منشئها، و العبد فاعل على الحقيقة، و هو ما يحصل منه باختيار و قدرة حادثين، و هذا هو فعل العبد، و فعله غير فعل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 عقائد سائر الطوائف من المجبِّرة، و الجهميّة، و القدريّة، و الأشعريّة، و يستدلّ على مختاره بالنصوص القرآنيّة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فدلّتنا هذه النصوص على أنّ الأفعال منّا بقدرة حديثة منّا، و هي مخلوقة اللّٰه تعالى، فكانت هذه النصوص حجّة على الخصوم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أضاف الأفعال إلينا في كتابه في مواضع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فَادّٰارَأْتُمْ فِيهٰا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نهانا عن أفعال كثيرة و أمرنا بأفعال كثيرة، فلا بدّ أن يكون لنا فعل، و يجب أن يكون ذلك بهدايته، و مشيئته، و إرادته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رسّم البياضي الماتريدي عقيدة شيخه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بيّنه على نحو يتّحد مع ما يعتقده الإماميّة من أنّه لا جبر و لا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بين الأمرين،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قوم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المؤثّر مجموع القدرة و قدرة العبد، و هذا المذهب وسط بين الجبر و القدر، و هو أقرب إلى الحقّ و إليه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كسبهم على الحقيقة و اللّٰه خالقها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22" w:name="pg11536_163888"/>
    </w:p>
    <w:p>
      <w:pPr>
        <w:pStyle w:val="BookText"/>
        <w:rPr/>
      </w:pPr>
      <w:bookmarkEnd w:id="122"/>
      <w:r>
        <w:rPr>
          <w:rFonts w:ascii="Amiri" w:hAnsi="Amiri" w:eastAsia="Amiri" w:cs="Amiri"/>
          <w:color w:val="111111"/>
          <w:sz w:val="28"/>
          <w:sz w:val="28"/>
          <w:szCs w:val="28"/>
          <w:rtl w:val="true"/>
          <w:lang w:bidi="ar-SA"/>
        </w:rPr>
        <w:t>و يقول في فصل الخلافيّات بين جمهور الماتريديّة و الأشاعرة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اختيار العبد مؤثّر في الاتّصاف دون الإيجاد، فالقدرتان المؤثِّرتان في محلّين و هو الكسب لا مقارنة الاختيار بلا تأثير أصلاً، و اختاره الباقلاني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مذهب السلف كما في الطريقة للمحقّق البركوي، و اختاره الأُستاذ أبو إسحاق الاسفرائيني و إمام الحرمين في قوله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اختياره مؤثّر في الإيجاد بمعاونة قدرة اللّٰه تعالى، فلا تجتمع القدرتان المؤثِّرتان بالاستقلال، و لا يلزم تماثل القدرتين</w:t>
      </w:r>
      <w:r>
        <w:rPr>
          <w:rFonts w:eastAsia="Amiri" w:cs="Amiri" w:ascii="Amiri" w:hAnsi="Amiri"/>
          <w:color w:val="111111"/>
          <w:sz w:val="28"/>
          <w:szCs w:val="28"/>
          <w:rtl w:val="true"/>
          <w:lang w:bidi="ar-SA"/>
        </w:rPr>
        <w:t>».</w:t>
      </w:r>
      <w:r>
        <w:rPr>
          <w:rStyle w:val="FootnoteAnchor"/>
          <w:rtl w:val="true"/>
        </w:rPr>
        <w:footnoteReference w:id="116"/>
      </w:r>
    </w:p>
    <w:p>
      <w:pPr>
        <w:pStyle w:val="Heading5"/>
        <w:numPr>
          <w:ilvl w:val="4"/>
          <w:numId w:val="1"/>
        </w:numPr>
        <w:rPr/>
      </w:pPr>
      <w:bookmarkStart w:id="123" w:name="__RefHeading___Toc3907353_73709187"/>
      <w:bookmarkStart w:id="124" w:name="_Toc44"/>
      <w:bookmarkEnd w:id="123"/>
      <w:r>
        <w:rPr/>
        <w:t>10</w:t>
      </w:r>
      <w:r>
        <w:rPr>
          <w:rtl w:val="true"/>
        </w:rPr>
        <w:t xml:space="preserve"> - </w:t>
      </w:r>
      <w:r>
        <w:rPr>
          <w:rtl w:val="true"/>
        </w:rPr>
        <w:t>صفاته عين ذاته</w:t>
      </w:r>
      <w:r>
        <w:rPr>
          <w:rtl w:val="true"/>
        </w:rPr>
        <w:t>:</w:t>
      </w:r>
      <w:bookmarkEnd w:id="12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المسلمون على إثبات صفات ذاتيّة للّٰه سبحانه مثل العلم، و القدرة،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اختلفوا في كيفيّة الإثبات، فالإماميّة من العدليّة على أنّ صفاته سبحانه ليست زائدة على ذاته، لا بمعنى سلبها عن ذاته، كما هو القول المنسوب إلى الزنادقة، و لا بمعنى نيابة الذات مناب الصِّفات، و لم تكن واقعيّاتها متحقّقة في الذات، بل بمعنى أنّها نفس العلم، و القدرة، و الحياة، لا أنّ لها العلم، و القدرة، و الحياة، فالصفات على القول الأوّل نفس الذات و أنّه بلغ من الكمال و الجمال رتبة صارت الذات نفس الانكشاف و الاستطاعة، كما أنّها على الثاني أُمور زائدة على الذات قائمة معها، قديمة كقدمها</w:t>
      </w:r>
      <w:r>
        <w:rPr>
          <w:rFonts w:eastAsia="Amiri" w:cs="Amiri" w:ascii="Amiri" w:hAnsi="Amiri"/>
          <w:color w:val="111111"/>
          <w:sz w:val="28"/>
          <w:szCs w:val="28"/>
          <w:rtl w:val="true"/>
          <w:lang w:bidi="ar-SA"/>
        </w:rPr>
        <w:t xml:space="preserve">. </w:t>
      </w:r>
      <w:bookmarkStart w:id="125" w:name="pg11536_163889"/>
    </w:p>
    <w:p>
      <w:pPr>
        <w:pStyle w:val="BookText"/>
        <w:rPr/>
      </w:pPr>
      <w:bookmarkEnd w:id="125"/>
      <w:r>
        <w:rPr>
          <w:rFonts w:ascii="Amiri" w:hAnsi="Amiri" w:eastAsia="Amiri" w:cs="Amiri"/>
          <w:color w:val="111111"/>
          <w:sz w:val="28"/>
          <w:sz w:val="28"/>
          <w:szCs w:val="28"/>
          <w:rtl w:val="true"/>
          <w:lang w:bidi="ar-SA"/>
        </w:rPr>
        <w:t>فالشيخ الأشعري يصرّ على النظريّة الثانية، و يستدلّ عليها بوجوه طرحناها على بساط البحث في محلّه، و لكنّ الظاهر من الماتريدي حسبما ينقله النسفي هو القول بالعينيّة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أنّ عبارة متكلّمي أهل الحديث في هذه المسألة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عالم بعلم، و كذا فيما وراء ذلك من الصّفات، و أكثر مشايخنا امتنعوا عن هذه العبارة احترازاً عما توهّم أنّ العلم آلة و أداة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عالم، و له علم، و كذا فيما وراء ذلك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أبو منصور الماتريدي رحمه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عالم بذاته، حيّ بذاته، قادر بذاته، و لا يريد منه نفي الصِّفات، لأنّه أثبت الصّفات في جميع مصنّفاته، و أتى بالدلائل لإثباتها، و دفع شبهاتهم على وجه لا محيص للخصوم عن ذلك، غير أنّه أراد بذلك دفع وهم المغايرة، و أنّ ذاته يستحيل أن لا يكون عالماً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3907355_73709187"/>
      <w:bookmarkStart w:id="127" w:name="_Toc45"/>
      <w:bookmarkEnd w:id="126"/>
      <w:r>
        <w:rPr>
          <w:rtl w:val="true"/>
        </w:rPr>
        <w:t>حصيلة البحث</w:t>
      </w:r>
      <w:r>
        <w:rPr>
          <w:rtl w:val="true"/>
        </w:rPr>
        <w:t>:</w:t>
      </w:r>
      <w:bookmarkEnd w:id="127"/>
    </w:p>
    <w:p>
      <w:pPr>
        <w:pStyle w:val="Heading5"/>
        <w:numPr>
          <w:ilvl w:val="4"/>
          <w:numId w:val="1"/>
        </w:numPr>
        <w:rPr/>
      </w:pPr>
      <w:bookmarkStart w:id="128" w:name="__RefHeading___Toc3907357_73709187"/>
      <w:bookmarkStart w:id="129" w:name="_Toc46"/>
      <w:bookmarkEnd w:id="128"/>
      <w:r>
        <w:rPr>
          <w:rtl w:val="true"/>
        </w:rPr>
        <w:t>اشارة</w:t>
      </w:r>
      <w:bookmarkEnd w:id="12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المسائل العشر الّتي اختلف فيها الماتريدي و الأشعري تميط الستر عن وجه المنهجين، و توقفنا على الاختلاف الهائل السائد عليهما، و تكشف عن أنّ منهج الماتريدي منهج يعلو عليه سلطان العقل، و على ضوء هذا لا يصحّ لمحقّق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للماتريدي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توسّط الماتريدي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أهل الحديث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توسّط الأشعري، و إنّ </w:t>
      </w:r>
      <w:bookmarkStart w:id="130" w:name="pg11536_163890"/>
    </w:p>
    <w:p>
      <w:pPr>
        <w:pStyle w:val="BookText"/>
        <w:rPr/>
      </w:pPr>
      <w:bookmarkEnd w:id="130"/>
      <w:r>
        <w:rPr>
          <w:rFonts w:ascii="Amiri" w:hAnsi="Amiri" w:eastAsia="Amiri" w:cs="Amiri"/>
          <w:color w:val="111111"/>
          <w:sz w:val="28"/>
          <w:sz w:val="28"/>
          <w:szCs w:val="28"/>
          <w:rtl w:val="true"/>
          <w:lang w:bidi="ar-SA"/>
        </w:rPr>
        <w:t>شيخي السنّة يلتقيان على منهج واحد، و مذهب واحد، في أهمّ مسائل الكلام الّتي وقع فيها الخلاف بين فرق المتكلّمين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الشيخين يلتقيان في عدّة من المسائل، كجواز رؤيته سبحانه في الآخرة، و أنّه متكلّم بالكلام النّفسي الّذي هو صفة له قديمة بذاته، و هو ليس من جنس الحروف و الأصوات، إلى غير ذلك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الاتفاق فيهما، و في بعض الأُصول الأُخر الّتي اتّفق عليها أكثر المسلمين، لا يضفي لون الوحدة للمنهجين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مسائل اختلف الداعيان فيها، و لا يعدّ الاختلاف فيها جذريّاً، و نحن نشير إلى قسم منها</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907359_73709187"/>
      <w:bookmarkStart w:id="132" w:name="_Toc47"/>
      <w:bookmarkEnd w:id="131"/>
      <w:r>
        <w:rPr/>
        <w:t>1</w:t>
      </w:r>
      <w:r>
        <w:rPr>
          <w:rtl w:val="true"/>
        </w:rPr>
        <w:t xml:space="preserve"> - </w:t>
      </w:r>
      <w:r>
        <w:rPr>
          <w:rtl w:val="true"/>
        </w:rPr>
        <w:t>الوجود نفس الماهية أو غيرها؟</w:t>
      </w:r>
      <w:bookmarkEnd w:id="132"/>
    </w:p>
    <w:p>
      <w:pPr>
        <w:pStyle w:val="BookText"/>
        <w:rPr/>
      </w:pPr>
      <w:r>
        <w:rPr>
          <w:rFonts w:ascii="Amiri" w:hAnsi="Amiri" w:eastAsia="Amiri" w:cs="Amiri"/>
          <w:color w:val="111111"/>
          <w:sz w:val="28"/>
          <w:sz w:val="28"/>
          <w:szCs w:val="28"/>
          <w:rtl w:val="true"/>
          <w:lang w:bidi="ar-SA"/>
        </w:rPr>
        <w:t xml:space="preserve">نقل البياضي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لدى الماتريديّة هو المغايرة، و لدى الأشعري هو الوحدة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كون الاختلاف لفظياً، و المراد هو الوحدة في عالم العين و التحقّق، و المغايرة في عالم التصور و الذهن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33" w:name="pg11536_163891"/>
    </w:p>
    <w:p>
      <w:pPr>
        <w:pStyle w:val="Heading5"/>
        <w:numPr>
          <w:ilvl w:val="4"/>
          <w:numId w:val="1"/>
        </w:numPr>
        <w:rPr/>
      </w:pPr>
      <w:bookmarkStart w:id="134" w:name="__RefHeading___Toc3907361_73709187"/>
      <w:bookmarkStart w:id="135" w:name="_Toc48"/>
      <w:bookmarkEnd w:id="133"/>
      <w:bookmarkEnd w:id="134"/>
      <w:r>
        <w:rPr/>
        <w:t>2</w:t>
      </w:r>
      <w:r>
        <w:rPr>
          <w:rtl w:val="true"/>
        </w:rPr>
        <w:t xml:space="preserve"> - </w:t>
      </w:r>
      <w:r>
        <w:rPr>
          <w:rtl w:val="true"/>
        </w:rPr>
        <w:t>البقاء هو الوجود المستمر أو وصف زائد؟</w:t>
      </w:r>
      <w:bookmarkEnd w:id="135"/>
    </w:p>
    <w:p>
      <w:pPr>
        <w:pStyle w:val="BookText"/>
        <w:rPr/>
      </w:pPr>
      <w:r>
        <w:rPr>
          <w:rFonts w:ascii="Amiri" w:hAnsi="Amiri" w:eastAsia="Amiri" w:cs="Amiri"/>
          <w:color w:val="111111"/>
          <w:sz w:val="28"/>
          <w:sz w:val="28"/>
          <w:szCs w:val="28"/>
          <w:rtl w:val="true"/>
          <w:lang w:bidi="ar-SA"/>
        </w:rPr>
        <w:t>البقاء لدى الماتريدي نفس الوجود المستمرّ و ليس شيئاً زائداً على وجود الذات في الزمان الثاني، خلافاً للأشعري حيث إنّ البقاء عنده صفة زائدة على الذات مثل سائر الصفات حتّى في البارئ عزّ اسمه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البقاء وصف انتزاعيّ من استمرار وجود الشيء الزماني، و ليست له واقعيّة وراء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الوجود الخارج عن إطار الزمان كالمجرّدات، فإطلاق الباقي عليه بملاك آخر، ليس هنا محلّ بيانه</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3907363_73709187"/>
      <w:bookmarkStart w:id="137" w:name="_Toc49"/>
      <w:bookmarkEnd w:id="136"/>
      <w:r>
        <w:rPr/>
        <w:t>3</w:t>
      </w:r>
      <w:r>
        <w:rPr>
          <w:rtl w:val="true"/>
        </w:rPr>
        <w:t xml:space="preserve"> - </w:t>
      </w:r>
      <w:r>
        <w:rPr>
          <w:rtl w:val="true"/>
        </w:rPr>
        <w:t>القدرة غير التكوين، و التكوين غير المكوِّن</w:t>
      </w:r>
      <w:r>
        <w:rPr>
          <w:rtl w:val="true"/>
        </w:rPr>
        <w:t>:</w:t>
      </w:r>
      <w:bookmarkEnd w:id="137"/>
    </w:p>
    <w:p>
      <w:pPr>
        <w:pStyle w:val="BookText"/>
        <w:rPr/>
      </w:pPr>
      <w:r>
        <w:rPr>
          <w:rFonts w:ascii="Amiri" w:hAnsi="Amiri" w:eastAsia="Amiri" w:cs="Amiri"/>
          <w:color w:val="111111"/>
          <w:sz w:val="28"/>
          <w:sz w:val="28"/>
          <w:szCs w:val="28"/>
          <w:rtl w:val="true"/>
          <w:lang w:bidi="ar-SA"/>
        </w:rPr>
        <w:t>و ممّا اختلف فيه الدّاعيان، هو أنّ القدرة نفس التكوين كما عليه الأشاعرة، أو غيره كما عليه الماتريديّة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الشأنيّ من الاستطاعة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القدرة، و الفعليّ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التكوين، فليست هنا صفتان مختلفتان، بل وصف واحد بمعنى القدرة، له حالتان تحصلان باقتران المشيئة و عدمها، فالقدرة قديمة، و التكوين حادث، و أمّا الماتريديّة فتتلقّاهما و صفين ذاتيّين </w:t>
      </w:r>
    </w:p>
    <w:p>
      <w:pPr>
        <w:pStyle w:val="BookText"/>
        <w:rPr/>
      </w:pPr>
      <w:r>
        <w:rPr>
          <w:rFonts w:ascii="Amiri" w:hAnsi="Amiri" w:eastAsia="Amiri" w:cs="Amiri"/>
          <w:color w:val="111111"/>
          <w:sz w:val="28"/>
          <w:sz w:val="28"/>
          <w:szCs w:val="28"/>
          <w:rtl w:val="true"/>
          <w:lang w:bidi="ar-SA"/>
        </w:rPr>
        <w:t>مختلفين، و الصفات الفعليّة من الخلق، و الرزق، و الرحمة، و المغفرة، تجتمع تحت وصف التكوين دون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تقدير فهما يختلفان في مسألة اُخرى أيضاً، و هو كون التكوين بالمعنى المصدر، هل هو نفس المكوَّن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الأشاعرة، أو غيره كما عليه الماتريديّة، فهناك فعل بمعنى الخلق و التكوين، و هناك مخلوق و مكوّن في الخارج، و المسألتان واردتان في كلام البزدوي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السنّة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التكوين و الإيجاد صفة اللّٰه تعالى غير حادث، بل هو أزلي كالعلم و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المكوّن و الموجود غير التكوين، و كذا التخليق و الخلق صفة اللّٰه تعالى غير حادث بل أزليّ و هو غير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الرحمة و الإحسان و كذا الرزق و المغفرة، و جميع صفات الفعل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الصفات ليست بصفات اللّٰه تعالى، و الفعل و المفعول واحد، و قالوا في صفات الذات كالعلم و الحياة مثل قولنا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صفات الأفعال راجعة إلى صفة ذاتيّة هي التكوين، أي مبدأ الإخراج من العدم إلى الوجود</w:t>
      </w:r>
      <w:r>
        <w:rPr>
          <w:rStyle w:val="FootnoteAnchor"/>
          <w:rtl w:val="true"/>
        </w:rPr>
        <w:footnoteReference w:id="122"/>
      </w:r>
      <w:r>
        <w:rPr>
          <w:rFonts w:ascii="Amiri" w:hAnsi="Amiri" w:eastAsia="Amiri" w:cs="Amiri"/>
          <w:color w:val="111111"/>
          <w:sz w:val="28"/>
          <w:sz w:val="28"/>
          <w:szCs w:val="28"/>
          <w:rtl w:val="true"/>
          <w:lang w:bidi="ar-SA"/>
        </w:rPr>
        <w:t>، و ليس بمعنى المكوّن</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الإمعان في هذه العبارات و أمثالها، يدلّ على أنّ صفات الفعل </w:t>
      </w:r>
    </w:p>
    <w:p>
      <w:pPr>
        <w:pStyle w:val="BookText"/>
        <w:rPr/>
      </w:pPr>
      <w:r>
        <w:rPr>
          <w:rFonts w:ascii="Amiri" w:hAnsi="Amiri" w:eastAsia="Amiri" w:cs="Amiri"/>
          <w:color w:val="111111"/>
          <w:sz w:val="28"/>
          <w:sz w:val="28"/>
          <w:szCs w:val="28"/>
          <w:rtl w:val="true"/>
          <w:lang w:bidi="ar-SA"/>
        </w:rPr>
        <w:t>كالإحسان و الرزق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الماتريديّة يجمعها وصف التكوين، فالكلّ واقع تحته، لا تحت القدرة، لأنّه يكفي فيها صحّة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يفعل، و هذا بخلاف وصف التكوين، و هو لا يصدق إلّا مع وجود الفعل، و بما أنّ التكوين غير المكوّن، و الأوّل قائم بذاته، بخلاف المكوّن و المخلوق إذ هو موجود منفصل عنه سبحانه، يكون التكوين أو الخلق وصفاً أزليّاً، بخلاف المكوّن و المخلوق فإنّهما حادثان بحدوث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التكوين و الخلق ليس إلّا إعمال القدرة عند تحقّق المشيئة، فلا يكون وصفاً وراء ظهورها و شأنيّة التعلّق في القدرة، و فعليّته في التكوين، لا تجعلانهما شيئين مختلفين، بل أقصى الأمر وحدتهما جوهراً، و اختلافهما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فتكون جميع الصفات الفعليّة مجتمعة تحت القدرة إذا انضمّت إليها المشيئة و الإرادة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التكوين وصفاً ذاتيّاً أزليّاً، لاستلزمت أزليّته، أزليةَ بعض المكوّنات و قدمتها، إذ لا يفارق وصف التكوين وجوداً عن وجود المكوّن، و هو ينافي أُصول التوحيد، و لو فسّر بشأنية التكوين، يكون بمعنى القدرة لا شيئاً غيرها، و هو بصدد تصوير المغايرة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تفطّن البزدوي لهذا الإشكال، و نقله عن بعض مخالفيه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الايجاد بلا موجود مستحيل، كالكسر بلا مكسور، و الضرب بلا مضروب، فلو قلنا بقدم الإيجاد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قائلين بقدم الموجودات، و ذلك مناف للتوحيد فلم يمكن القول بقدم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تخلّص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فعلاً واحداً غير حادث، بذلك الفعل يوجِد الأشياء في أوقاتها، كما أنّ للّٰه تعالى قدرة واحدة، بتلك القدرة يقدر على إيجاد الأشياء في أوقاتها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بقدم فعل اللّٰه سبحانه و لو واحداً، يخالف التوحيد و يضادّه، لأنّ قدم الشيء يلازم استغناءه عن الفاعل و الموجد، و المستغني عن العلّة واجب، كذات الواجب، و هل هذا إلّا الشرك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أجلّ البزدوي عن الاعتقاد بما ذكره، و إلّا فأيّ فرق بين ذاك القول و الثنويّة، و لكنّ الإصرار على تصحيح المنهج، و الرأي المسبق، أقحمه في مهالك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الخطايا خيل شُمُس حُمل عليها أهلها، و خُلعَت لجمها، فتقحّمت بهم في النّار</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التكوين غير المكوّن، و الخلق غير المخلوق مبنيّ على التغاير الجوهريّ بين المصدر و اسمه، فالايجاد هو المصدر، و الموجود هو نتيجته، و لا أظنّ أن يقول به الماتريدي في سائر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ضرب زيد </w:t>
      </w:r>
      <w:bookmarkStart w:id="138" w:name="pg11536_163895"/>
    </w:p>
    <w:p>
      <w:pPr>
        <w:pStyle w:val="BookText"/>
        <w:rPr/>
      </w:pPr>
      <w:bookmarkEnd w:id="138"/>
      <w:r>
        <w:rPr>
          <w:rFonts w:ascii="Amiri" w:hAnsi="Amiri" w:eastAsia="Amiri" w:cs="Amiri"/>
          <w:color w:val="111111"/>
          <w:sz w:val="28"/>
          <w:sz w:val="28"/>
          <w:szCs w:val="28"/>
          <w:rtl w:val="true"/>
          <w:lang w:bidi="ar-SA"/>
        </w:rPr>
        <w:t>عمراً، فالصّادر من زيد، يسمّى بالمصدر، و الواقع على عمرو يسمى باسمه، فهل يصحّ لنا أن نعتقد أنّ هنا أمرين، أمر قائم بالفاعل، و أمر قائم بالمفعول و هكذا غيره، أو أنّ هنا شيئاً واحداً إذا نسب إلى الفاعل يسمّى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نسب إلى المفعول يصير اسم المصدر، و هذا هو الفرق بين الايجاد و الموجود أيضاً</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3907365_73709187"/>
      <w:bookmarkStart w:id="140" w:name="_Toc50"/>
      <w:bookmarkEnd w:id="139"/>
      <w:r>
        <w:rPr/>
        <w:t>4</w:t>
      </w:r>
      <w:r>
        <w:rPr>
          <w:rtl w:val="true"/>
        </w:rPr>
        <w:t xml:space="preserve"> - </w:t>
      </w:r>
      <w:r>
        <w:rPr>
          <w:rtl w:val="true"/>
        </w:rPr>
        <w:t>الكلام النفسي لا يسمع</w:t>
      </w:r>
      <w:r>
        <w:rPr>
          <w:rtl w:val="true"/>
        </w:rPr>
        <w:t>:</w:t>
      </w:r>
      <w:bookmarkEnd w:id="140"/>
    </w:p>
    <w:p>
      <w:pPr>
        <w:pStyle w:val="BookText"/>
        <w:rPr/>
      </w:pPr>
      <w:r>
        <w:rPr>
          <w:rFonts w:ascii="Amiri" w:hAnsi="Amiri" w:eastAsia="Amiri" w:cs="Amiri"/>
          <w:color w:val="111111"/>
          <w:sz w:val="28"/>
          <w:sz w:val="28"/>
          <w:szCs w:val="28"/>
          <w:rtl w:val="true"/>
          <w:lang w:bidi="ar-SA"/>
        </w:rPr>
        <w:t>الكلام النفسي الّذي هو غير الحروف و الأصوات لا يسمع خلافاً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يسمع الكلام النفسي بل الدالّ عليه، و اختاره الأُستاذ و من تبعه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أبي المعين النسفي</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استند الأشعري في جواز السماع على الدليل الّذي استند عليه في جواز رؤيته سبحانه، و جعل الملاك للسماع هو الوجود، كما جعل الملاك لوقوع الرؤية هو كون الشيء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في الجزء الثاني عند عرض عقيدة الأشعري أنّ الكلام النفسي ليس شيئاً وراء العلم في الإخبار، و ليس وراء الإرادة و الكراهة في الإنشاء، و القائل به يريد أن يثبت وصفاً مغايراً للعلم و الإرادة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عرفت بطلان كون المصحِّح للرؤية هو كون الشيء موجوداً، و أنّ </w:t>
      </w:r>
      <w:bookmarkStart w:id="141" w:name="pg11536_163896"/>
    </w:p>
    <w:p>
      <w:pPr>
        <w:pStyle w:val="BookText"/>
        <w:rPr/>
      </w:pPr>
      <w:bookmarkEnd w:id="141"/>
      <w:r>
        <w:rPr>
          <w:rFonts w:ascii="Amiri" w:hAnsi="Amiri" w:eastAsia="Amiri" w:cs="Amiri"/>
          <w:color w:val="111111"/>
          <w:sz w:val="28"/>
          <w:sz w:val="28"/>
          <w:szCs w:val="28"/>
          <w:rtl w:val="true"/>
          <w:lang w:bidi="ar-SA"/>
        </w:rPr>
        <w:t>كلّ موجود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ملاك السماع ليس هو الوجود حتّى يستنتج منه أنّ كلّ موجود يسمع، و هذا واضح لمن له أدنى إلمام بالعلوم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عرض إجمالي لمذهب الإمام الماتريدي، و قد وقفت على مشخِّصات المنهج، و عرفت الأُصول الّتي اختلف فيها الداعيان، و الأُصول الّتي اتّفقا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التأمّل فيما ذكرناه من النصوص من نفس الماتريدي و تلاميذ منهاجه، يدفع الإنسان إلى القول بأنّ الشيخين الأشعري و الماتريدي كانا في سبيل واحد من الدعوة، و هو نصرة السنّة و مكافحة الاعتزال، و مع ذلك كلّه فلكلّ واحد أُسلوب خاصّ، و القول بوحدة المنهاجين و كون الاختلاف جزئيّاً، و أنّه في حلبة الدعوة إلى السنّة يقع الحافر على الحافر، مداهنة جدّاً و إخفاء للحقيقة، و إسدال الستر على وجهها</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3907367_73709187"/>
      <w:bookmarkStart w:id="143" w:name="_Toc51"/>
      <w:bookmarkEnd w:id="142"/>
      <w:r>
        <w:rPr>
          <w:rtl w:val="true"/>
        </w:rPr>
        <w:t>أنصاره و أتباعه في الأجيال المتأخِّرة</w:t>
      </w:r>
      <w:r>
        <w:rPr>
          <w:rtl w:val="true"/>
        </w:rPr>
        <w:t>:</w:t>
      </w:r>
      <w:bookmarkEnd w:id="143"/>
    </w:p>
    <w:p>
      <w:pPr>
        <w:pStyle w:val="Heading4"/>
        <w:numPr>
          <w:ilvl w:val="3"/>
          <w:numId w:val="1"/>
        </w:numPr>
        <w:rPr/>
      </w:pPr>
      <w:bookmarkStart w:id="144" w:name="__RefHeading___Toc3907369_73709187"/>
      <w:bookmarkStart w:id="145" w:name="_Toc52"/>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قد انتشر مذهب الأشعري في كثير من الحواضر الإسلاميّة لأنّه ظهر في مركز العالم الإسلامي، و كثرت أنصاره و أعوانه، بين مبيِّن مقاصده، إلى ذابّ عن براهينه و دلائله، إلى مكمِّل لأُصوله و قواعده، و أمّا مذهب الماتريدي فقد نبت في نقطة بعيدة عن الحواضر، فقلّت العناية بنقله و شرحه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وجه آخر لقلّة انتشاره، و هو أنّ لمذهب الماتريدي مع كونه </w:t>
      </w:r>
      <w:bookmarkStart w:id="146" w:name="pg11536_163897"/>
    </w:p>
    <w:p>
      <w:pPr>
        <w:pStyle w:val="BookText"/>
        <w:rPr/>
      </w:pPr>
      <w:bookmarkEnd w:id="146"/>
      <w:r>
        <w:rPr>
          <w:rFonts w:ascii="Amiri" w:hAnsi="Amiri" w:eastAsia="Amiri" w:cs="Amiri"/>
          <w:color w:val="111111"/>
          <w:sz w:val="28"/>
          <w:sz w:val="28"/>
          <w:szCs w:val="28"/>
          <w:rtl w:val="true"/>
          <w:lang w:bidi="ar-SA"/>
        </w:rPr>
        <w:t>بصدد نصر السنّة، طابع التعقّل، و قد كثرت الدعاية في عصر ظهوره، على ضدّ أهل التعقّل و التفكّر، و صار العكوف على النقل المحض، و ترك التعقّل و البرهنة آية القداسة، و الإمام بما أنّه أعطى للعقل سلطاناً أكبر ممّا أعطاه الأشعري، و وافق في عدّة من الأُصول، منهاج المعتزلة، فصار هذا و ذاك سببين لقلّة انتشاره، و ندرة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شاع مذهبه بين علماء ما وراء النهر فقاموا بنشر دعوته و معاضدته، فألّفوا حول منهاجه، كتباً و رسائل منشورة و غير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أعلام الماتريديّين نأتي بترجمة عدّة منهم</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3907371_73709187"/>
      <w:bookmarkStart w:id="148" w:name="_Toc53"/>
      <w:bookmarkEnd w:id="147"/>
      <w:r>
        <w:rPr/>
        <w:t>1</w:t>
      </w:r>
      <w:r>
        <w:rPr>
          <w:rtl w:val="true"/>
        </w:rPr>
        <w:t xml:space="preserve"> - </w:t>
      </w:r>
      <w:r>
        <w:rPr>
          <w:rtl w:val="true"/>
        </w:rPr>
        <w:t xml:space="preserve">أبو اليسر محمّد البزدوي </w:t>
      </w:r>
      <w:r>
        <w:rPr>
          <w:rtl w:val="true"/>
        </w:rPr>
        <w:t>(</w:t>
      </w:r>
      <w:r>
        <w:rPr/>
        <w:t>421</w:t>
      </w:r>
      <w:r>
        <w:rPr>
          <w:rtl w:val="true"/>
        </w:rPr>
        <w:t>-</w:t>
      </w:r>
      <w:r>
        <w:rPr/>
        <w:t>493</w:t>
      </w:r>
      <w:r>
        <w:rPr>
          <w:rtl w:val="true"/>
        </w:rPr>
        <w:t xml:space="preserve"> </w:t>
      </w:r>
      <w:r>
        <w:rPr>
          <w:rtl w:val="true"/>
        </w:rPr>
        <w:t>ه</w:t>
      </w:r>
      <w:r>
        <w:rPr>
          <w:rtl w:val="true"/>
        </w:rPr>
        <w:t>)</w:t>
      </w:r>
      <w:bookmarkEnd w:id="148"/>
    </w:p>
    <w:p>
      <w:pPr>
        <w:pStyle w:val="Heading5"/>
        <w:numPr>
          <w:ilvl w:val="4"/>
          <w:numId w:val="1"/>
        </w:numPr>
        <w:rPr/>
      </w:pPr>
      <w:bookmarkStart w:id="149" w:name="__RefHeading___Toc3907373_73709187"/>
      <w:bookmarkStart w:id="150" w:name="_Toc54"/>
      <w:bookmarkEnd w:id="149"/>
      <w:r>
        <w:rPr>
          <w:rtl w:val="true"/>
        </w:rPr>
        <w:t>اشارة</w:t>
      </w:r>
      <w:bookmarkEnd w:id="15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أرباب المعاجم من الأحناف و غيرهم قد قصّروا و لم يؤدّوا حقّ الماتريدي في كتبهم، فإذا كان هذا حال الأُستاذ فما ظنّك بحال التلامذة و الأتباع، و لأجل ذلك نجد أنفسنا أمام ظلام دامس يلفّ حياة البزدوي، و أحسن مرجع للوقوف على حياته هو نفس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حقّقه و قدّم له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هانز بيترلنس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نشرته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في القاهرة، و نقل محقّق الكتاب أنّه وجد عن طريق المصادفة في هامش كتاب خطّي لابن قطلوبغا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بجانب مَلْزَمة عن حياة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السمعاني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البزدوي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1" w:name="pg11536_163898"/>
    </w:p>
    <w:p>
      <w:pPr>
        <w:pStyle w:val="BookText"/>
        <w:rPr/>
      </w:pPr>
      <w:bookmarkEnd w:id="151"/>
      <w:r>
        <w:rPr>
          <w:rFonts w:ascii="Amiri" w:hAnsi="Amiri" w:eastAsia="Amiri" w:cs="Amiri"/>
          <w:color w:val="111111"/>
          <w:sz w:val="28"/>
          <w:sz w:val="28"/>
          <w:szCs w:val="28"/>
          <w:rtl w:val="true"/>
          <w:lang w:bidi="ar-SA"/>
        </w:rPr>
        <w:t>و يظهر من غير واحد من مواضع كتابه أنّه تلقّى العلوم على يد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الايمان مخلوق أو غير مخلوق، و لا يجوز الإطلاق بأنّ الإيمان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نختار هذا القول، فإنّ هذا مذهب أبي حنيفة، و هو ما رواه نوح بن أبي مريم الجامع،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لنا والدنا الشيخ الامام أبو الحسن محمّد بن الحسين بن عبد الكريم رحمه الله هذا الحديث عن نوح بن أبي مريم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مسألة أنّ البعث 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لنا الشيخ الامام محمد بن الحسين بن عبد الكريم حديثاً متّصلاً إلى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يكتف في تلقّي العلم بوالده، و يظهر من موضع من كتابه أنّه أخذ العلم عن غير واحد من أعلام عصره، و منهم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سمعت الشيخ أبا الخطّاب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3907375_73709187"/>
      <w:bookmarkStart w:id="153" w:name="_Toc55"/>
      <w:bookmarkEnd w:id="152"/>
      <w:r>
        <w:rPr>
          <w:rtl w:val="true"/>
        </w:rPr>
        <w:t>ثقافته</w:t>
      </w:r>
      <w:r>
        <w:rPr>
          <w:rtl w:val="true"/>
        </w:rPr>
        <w:t>:</w:t>
      </w:r>
      <w:bookmarkEnd w:id="15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ينتسب البزدوي إلى مدرسة الإمام أبي حنيفة، و هو يعترف بالصراحة بانتمائه إلى المذهب الحنفي، كما ينتسب في العقيدة إلى مدرسة الماتريدي، و هو أُستاذ جدّ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الّذي تلقّى العلوم بدوره عن الماتريدي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مقدّمة كتاب أُصول الدين أنّه قرأ أكثر الكتب المؤلّفة في ذلك العصر في الفلسفة و الكلام، لا سيّما للمعتزلة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في الكتب الّتي صنّفها المتقدّمون في علم التوحيد فوجدت بعضها للفلاسفة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أمثالهما، و ذلك كلّه خارج عن الطريق المستقيم، زائغ عن الدين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أيضاً تصانيف كثيرة في هذا الفن من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صنّفوا كتباً في هذا الفنّ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 و لا يحلّ النظر في تلك الكتب، و قد وجدت لأبي الحسن الأشعري كتباً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الفنّ من العلم، و هي قريب من مائتي كتاب، و الموجز الكبير يأتي على عامّة ما في جميع كتبه، و قد صنّف الأشعري كتباً كثيرة لتصحيح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كان يعتقد مذهب الاعتزال في الابتداء، ثمّ إنّ اللّٰه تعالى بيّن له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عمّا اعتقد من مذاهبهم، و صنّف كتاباً ناقضاً لما صنّف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علمه أصحاب الشافعي بما استقرّ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صنّف أصحاب الشافعي كتباً كثيرة على وفق ما ذهب إليه الأشعري، إلّا أنّ أصحابنا من أهل السنّة و الجماعة خطّئوا أبا الحسن في بعض المسائل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التكوين و المكوّن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على ما نبيّن في خلال المسائل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وقف على المسائل الّتي أخطأ فيها أبو الحسن الأشعري، و عرف خطأه، فلا </w:t>
      </w:r>
      <w:bookmarkStart w:id="154" w:name="pg11536_163900"/>
    </w:p>
    <w:p>
      <w:pPr>
        <w:pStyle w:val="BookText"/>
        <w:rPr/>
      </w:pPr>
      <w:bookmarkEnd w:id="154"/>
      <w:r>
        <w:rPr>
          <w:rFonts w:ascii="Amiri" w:hAnsi="Amiri" w:eastAsia="Amiri" w:cs="Amiri"/>
          <w:color w:val="111111"/>
          <w:sz w:val="28"/>
          <w:sz w:val="28"/>
          <w:szCs w:val="28"/>
          <w:rtl w:val="true"/>
          <w:lang w:bidi="ar-SA"/>
        </w:rPr>
        <w:t>بأس بالنظر في كتبه و إمساكها، و قد أمسك كتبه كثير من أصحابنا و نظروا فيها، الّذين هم رؤساء أهل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صنّف أبو محمّد عبد اللّٰه بن سعيد بن كلاب القطّان</w:t>
      </w:r>
      <w:r>
        <w:rPr>
          <w:rStyle w:val="FootnoteAnchor"/>
          <w:rtl w:val="true"/>
        </w:rPr>
        <w:footnoteReference w:id="131"/>
      </w:r>
      <w:r>
        <w:rPr>
          <w:rFonts w:ascii="Amiri" w:hAnsi="Amiri" w:eastAsia="Amiri" w:cs="Amiri"/>
          <w:color w:val="111111"/>
          <w:sz w:val="28"/>
          <w:sz w:val="28"/>
          <w:szCs w:val="28"/>
          <w:rtl w:val="true"/>
          <w:lang w:bidi="ar-SA"/>
        </w:rPr>
        <w:t>، كتباً كثيرة في هذا النوع من العلم و هو أقدم من أبي الحسن الأشعري، فلم يقع في يدي شيء من كتبه، و عامّة أقاويله توافق أقاويل أهل السنّة و الجماعة إلّا مسائل قلائل لا تبلغ عشرة مسائل، فإنّه خالف فيها أهل السنّة و الجماعة، و قد أخطأ فيها على ما نبيّن في خلال المسائل إن شاء اللّٰه تعالى فلا بأس من إمساك كتبه، و النظر فيها لمن وقف على ما أخطأ من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وجدت للشيخ الامام الزاهد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منصور الماتريدي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في علم التوحيد على مذهب أهل السنّة و الجماعة، و كان من رؤساء أهل السنّة و الجماعة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يعرب عن عكوفه على دراسة الكتب للفرق الكلاميّة و عرضها على الأُصول الّتي تلقّاها أنّها أُصول السنّة و الجماعة</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907377_73709187"/>
      <w:bookmarkStart w:id="156" w:name="_Toc56"/>
      <w:bookmarkEnd w:id="155"/>
      <w:r>
        <w:rPr>
          <w:rtl w:val="true"/>
        </w:rPr>
        <w:t>تلاميذه</w:t>
      </w:r>
      <w:r>
        <w:rPr>
          <w:rtl w:val="true"/>
        </w:rPr>
        <w:t>:</w:t>
      </w:r>
      <w:bookmarkEnd w:id="1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تلقّى عنه عدّة من أكابر علماء الحنفيّة أشهرهم نجم الدين عمر بن محمّد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 في حقّ أُستاذه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اليسر </w:t>
      </w:r>
      <w:bookmarkStart w:id="157" w:name="pg11536_163901"/>
    </w:p>
    <w:p>
      <w:pPr>
        <w:pStyle w:val="BookText"/>
        <w:rPr/>
      </w:pPr>
      <w:bookmarkEnd w:id="157"/>
      <w:r>
        <w:rPr>
          <w:rFonts w:ascii="Amiri" w:hAnsi="Amiri" w:eastAsia="Amiri" w:cs="Amiri"/>
          <w:color w:val="111111"/>
          <w:sz w:val="28"/>
          <w:sz w:val="28"/>
          <w:szCs w:val="28"/>
          <w:rtl w:val="true"/>
          <w:lang w:bidi="ar-SA"/>
        </w:rPr>
        <w:t>شيخ أقراننا في بلاد ما وراء النهر، و كان إمام الأئمّة، و كان يفد عليه الناس من كل فجّ و قد ملأ الشرق و الغرب بمؤلفاته في الأُصول و الفروع</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3907379_73709187"/>
      <w:bookmarkStart w:id="159" w:name="_Toc57"/>
      <w:bookmarkEnd w:id="158"/>
      <w:r>
        <w:rPr>
          <w:rtl w:val="true"/>
        </w:rPr>
        <w:t>مؤلفاته</w:t>
      </w:r>
      <w:r>
        <w:rPr>
          <w:rtl w:val="true"/>
        </w:rPr>
        <w:t>:</w:t>
      </w:r>
      <w:bookmarkEnd w:id="159"/>
    </w:p>
    <w:p>
      <w:pPr>
        <w:pStyle w:val="BookText"/>
        <w:rPr/>
      </w:pPr>
      <w:r>
        <w:rPr>
          <w:rFonts w:ascii="IRNazanin" w:hAnsi="IRNazanin" w:eastAsia="IRNazanin"/>
          <w:color w:val="111111"/>
          <w:sz w:val="28"/>
          <w:sz w:val="28"/>
          <w:szCs w:val="28"/>
          <w:rtl w:val="true"/>
          <w:lang w:bidi="fa-IR"/>
        </w:rPr>
        <w:t>له مؤلفات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كتاب الجامع الصغير للشيباني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الواقعات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بعض الفروع</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 المطبوع</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3907381_73709187"/>
      <w:bookmarkStart w:id="161" w:name="_Toc58"/>
      <w:bookmarkEnd w:id="160"/>
      <w:r>
        <w:rPr/>
        <w:t>2</w:t>
      </w:r>
      <w:r>
        <w:rPr>
          <w:rtl w:val="true"/>
        </w:rPr>
        <w:t xml:space="preserve"> - </w:t>
      </w:r>
      <w:r>
        <w:rPr>
          <w:rtl w:val="true"/>
        </w:rPr>
        <w:t xml:space="preserve">النسفي ميمون بن محمّد </w:t>
      </w:r>
      <w:r>
        <w:rPr>
          <w:rtl w:val="true"/>
        </w:rPr>
        <w:t>(</w:t>
      </w:r>
      <w:r>
        <w:rPr/>
        <w:t>418</w:t>
      </w:r>
      <w:r>
        <w:rPr>
          <w:rtl w:val="true"/>
        </w:rPr>
        <w:t>-</w:t>
      </w:r>
      <w:r>
        <w:rPr/>
        <w:t>508</w:t>
      </w:r>
      <w:r>
        <w:rPr>
          <w:rtl w:val="true"/>
        </w:rPr>
        <w:t xml:space="preserve"> </w:t>
      </w:r>
      <w:r>
        <w:rPr>
          <w:rtl w:val="true"/>
        </w:rPr>
        <w:t>ه</w:t>
      </w:r>
      <w:r>
        <w:rPr>
          <w:rtl w:val="true"/>
        </w:rPr>
        <w:t>)</w:t>
      </w:r>
      <w:bookmarkEnd w:id="161"/>
    </w:p>
    <w:p>
      <w:pPr>
        <w:pStyle w:val="BookText"/>
        <w:rPr/>
      </w:pPr>
      <w:r>
        <w:rPr>
          <w:rFonts w:ascii="Amiri" w:hAnsi="Amiri" w:eastAsia="Amiri" w:cs="Amiri"/>
          <w:color w:val="111111"/>
          <w:sz w:val="28"/>
          <w:sz w:val="28"/>
          <w:szCs w:val="28"/>
          <w:rtl w:val="true"/>
          <w:lang w:bidi="ar-SA"/>
        </w:rPr>
        <w:t xml:space="preserve">ميمون بن محمّد بن معبد بن مكحول، أبو المعين النسفي الحنفي، أحد المتكلّمين البارعين على منهاج الماتريدي، كان بسمرقند 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تآليفه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مطبوع،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 و يقال</w:t>
      </w:r>
      <w:r>
        <w:rPr>
          <w:rFonts w:eastAsia="Amiri" w:cs="Amiri" w:ascii="Amiri" w:hAnsi="Amiri"/>
          <w:color w:val="111111"/>
          <w:sz w:val="28"/>
          <w:szCs w:val="28"/>
          <w:rtl w:val="true"/>
          <w:lang w:bidi="ar-SA"/>
        </w:rPr>
        <w:t xml:space="preserve">: </w:t>
      </w:r>
      <w:bookmarkStart w:id="162" w:name="pg11536_163902"/>
    </w:p>
    <w:p>
      <w:pPr>
        <w:pStyle w:val="BookText"/>
        <w:rPr/>
      </w:pPr>
      <w:bookmarkEnd w:id="162"/>
      <w:r>
        <w:rPr>
          <w:rFonts w:ascii="Amiri" w:hAnsi="Amiri" w:eastAsia="Amiri" w:cs="Amiri"/>
          <w:color w:val="111111"/>
          <w:sz w:val="28"/>
          <w:sz w:val="28"/>
          <w:szCs w:val="28"/>
          <w:rtl w:val="true"/>
          <w:lang w:bidi="ar-SA"/>
        </w:rPr>
        <w:t>إنّه الأصل للعقائد النسفية لأبي حفص النسفي، توجد نسخة منه في القاهرة، و غيرهما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ترجم 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المضيئة ج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و في الأعلام لخير الدين الزركلي ج </w:t>
      </w:r>
      <w:r>
        <w:rPr>
          <w:rFonts w:eastAsia="Amiri" w:cs="Amiri" w:ascii="Amiri" w:hAnsi="Amiri"/>
          <w:color w:val="111111"/>
          <w:sz w:val="28"/>
          <w:szCs w:val="28"/>
          <w:lang w:bidi="ar-SA"/>
        </w:rPr>
        <w:t>341:7</w:t>
      </w:r>
      <w:r>
        <w:rPr>
          <w:rFonts w:ascii="Amiri" w:hAnsi="Amiri" w:eastAsia="Amiri" w:cs="Amiri"/>
          <w:color w:val="111111"/>
          <w:sz w:val="28"/>
          <w:sz w:val="28"/>
          <w:szCs w:val="28"/>
          <w:rtl w:val="true"/>
          <w:lang w:bidi="ar-SA"/>
        </w:rPr>
        <w:t xml:space="preserve">، و ريحانة الأدب للمدرس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 ذكر تآليفه الكاتب الجلبي في كشف الظنون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3907383_73709187"/>
      <w:bookmarkStart w:id="164" w:name="_Toc59"/>
      <w:bookmarkEnd w:id="163"/>
      <w:r>
        <w:rPr/>
        <w:t>3</w:t>
      </w:r>
      <w:r>
        <w:rPr>
          <w:rtl w:val="true"/>
        </w:rPr>
        <w:t xml:space="preserve"> - </w:t>
      </w:r>
      <w:r>
        <w:rPr>
          <w:rtl w:val="true"/>
        </w:rPr>
        <w:t xml:space="preserve">النسفي عمر بن محمّد </w:t>
      </w:r>
      <w:r>
        <w:rPr>
          <w:rtl w:val="true"/>
        </w:rPr>
        <w:t>(</w:t>
      </w:r>
      <w:r>
        <w:rPr/>
        <w:t>460</w:t>
      </w:r>
      <w:r>
        <w:rPr>
          <w:rtl w:val="true"/>
        </w:rPr>
        <w:t>-</w:t>
      </w:r>
      <w:r>
        <w:rPr/>
        <w:t>537</w:t>
      </w:r>
      <w:r>
        <w:rPr>
          <w:rtl w:val="true"/>
        </w:rPr>
        <w:t xml:space="preserve"> </w:t>
      </w:r>
      <w:r>
        <w:rPr>
          <w:rtl w:val="true"/>
        </w:rPr>
        <w:t>ه</w:t>
      </w:r>
      <w:r>
        <w:rPr>
          <w:rtl w:val="true"/>
        </w:rPr>
        <w:t>):</w:t>
      </w:r>
      <w:bookmarkEnd w:id="164"/>
    </w:p>
    <w:p>
      <w:pPr>
        <w:pStyle w:val="BookText"/>
        <w:rPr/>
      </w:pPr>
      <w:r>
        <w:rPr>
          <w:rFonts w:ascii="Amiri" w:hAnsi="Amiri" w:eastAsia="Amiri" w:cs="Amiri"/>
          <w:color w:val="111111"/>
          <w:sz w:val="28"/>
          <w:sz w:val="28"/>
          <w:szCs w:val="28"/>
          <w:rtl w:val="true"/>
          <w:lang w:bidi="ar-SA"/>
        </w:rPr>
        <w:t xml:space="preserve">عمر بن محمّد بن أحمد بن إسماعيل، أبو حفص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بسمرقند، و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المشهورة الّتي يدور عليه رحى الدراسة منذ قرون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كتبت عليه الشروح و التعليقات، و هو على منهاج الماتريدي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البهية في تراجم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عبد الحي،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الجواهر المضيئة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و لسان الميزان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و الأعلام لخير الدين الزركلي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و ريحانة الأدب للمدرس،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قد تقدّم تتلمذه على البزدويّ</w:t>
      </w:r>
      <w:r>
        <w:rPr>
          <w:rFonts w:eastAsia="Amiri" w:cs="Amiri" w:ascii="Amiri" w:hAnsi="Amiri"/>
          <w:color w:val="111111"/>
          <w:sz w:val="28"/>
          <w:szCs w:val="28"/>
          <w:rtl w:val="true"/>
          <w:lang w:bidi="ar-SA"/>
        </w:rPr>
        <w:t xml:space="preserve">. </w:t>
      </w:r>
      <w:bookmarkStart w:id="165" w:name="pg11536_163903"/>
    </w:p>
    <w:p>
      <w:pPr>
        <w:pStyle w:val="Heading4"/>
        <w:numPr>
          <w:ilvl w:val="3"/>
          <w:numId w:val="1"/>
        </w:numPr>
        <w:rPr/>
      </w:pPr>
      <w:bookmarkStart w:id="166" w:name="__RefHeading___Toc3907385_73709187"/>
      <w:bookmarkStart w:id="167" w:name="_Toc60"/>
      <w:bookmarkEnd w:id="165"/>
      <w:bookmarkEnd w:id="166"/>
      <w:r>
        <w:rPr/>
        <w:t>4</w:t>
      </w:r>
      <w:r>
        <w:rPr>
          <w:rtl w:val="true"/>
        </w:rPr>
        <w:t xml:space="preserve"> - </w:t>
      </w:r>
      <w:r>
        <w:rPr>
          <w:rtl w:val="true"/>
        </w:rPr>
        <w:t>ابن الهمام</w:t>
      </w:r>
      <w:r>
        <w:rPr>
          <w:rtl w:val="true"/>
        </w:rPr>
        <w:t xml:space="preserve">: </w:t>
      </w:r>
      <w:r>
        <w:rPr>
          <w:rtl w:val="true"/>
        </w:rPr>
        <w:t xml:space="preserve">محمد بن عبد الواحد </w:t>
      </w:r>
      <w:r>
        <w:rPr>
          <w:rtl w:val="true"/>
        </w:rPr>
        <w:t>(</w:t>
      </w:r>
      <w:r>
        <w:rPr/>
        <w:t>790</w:t>
      </w:r>
      <w:r>
        <w:rPr>
          <w:rtl w:val="true"/>
        </w:rPr>
        <w:t>-</w:t>
      </w:r>
      <w:r>
        <w:rPr/>
        <w:t>816</w:t>
      </w:r>
      <w:r>
        <w:rPr>
          <w:rtl w:val="true"/>
        </w:rPr>
        <w:t xml:space="preserve"> </w:t>
      </w:r>
      <w:r>
        <w:rPr>
          <w:rtl w:val="true"/>
        </w:rPr>
        <w:t>ه</w:t>
      </w:r>
      <w:r>
        <w:rPr>
          <w:rtl w:val="true"/>
        </w:rPr>
        <w:t>):</w:t>
      </w:r>
      <w:bookmarkEnd w:id="167"/>
    </w:p>
    <w:p>
      <w:pPr>
        <w:pStyle w:val="BookText"/>
        <w:rPr/>
      </w:pPr>
      <w:r>
        <w:rPr>
          <w:rFonts w:ascii="Amiri" w:hAnsi="Amiri" w:eastAsia="Amiri" w:cs="Amiri"/>
          <w:color w:val="111111"/>
          <w:sz w:val="28"/>
          <w:sz w:val="28"/>
          <w:szCs w:val="28"/>
          <w:rtl w:val="true"/>
          <w:lang w:bidi="ar-SA"/>
        </w:rPr>
        <w:t xml:space="preserve">محمّد بن عبد الواحد بن عبد الحميد بن مسعود السيواسي ثمّ الاسكندري، كمال الدين المعروف بابن الهمام، متكلّم حنفي، له تآليف في الكلام و الفقه، و 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المسايرة في العقائد المنجية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الكلام، و هو 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الهداية، ثمانية مجلّدات في فقه الحنفية، كما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 و قد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ترجمة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البهية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و الجواهر المضيئة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شذرات الذهب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و الأعلام للزركلي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3907387_73709187"/>
      <w:bookmarkStart w:id="169" w:name="_Toc61"/>
      <w:bookmarkEnd w:id="168"/>
      <w:r>
        <w:rPr/>
        <w:t>5</w:t>
      </w:r>
      <w:r>
        <w:rPr>
          <w:rtl w:val="true"/>
        </w:rPr>
        <w:t xml:space="preserve"> - </w:t>
      </w:r>
      <w:r>
        <w:rPr>
          <w:rtl w:val="true"/>
        </w:rPr>
        <w:t>البياضي</w:t>
      </w:r>
      <w:r>
        <w:rPr>
          <w:rtl w:val="true"/>
        </w:rPr>
        <w:t xml:space="preserve">: </w:t>
      </w:r>
      <w:r>
        <w:rPr>
          <w:rtl w:val="true"/>
        </w:rPr>
        <w:t xml:space="preserve">كمال الدين أحمد بن حسن الرومي الحنفي </w:t>
      </w:r>
      <w:r>
        <w:rPr>
          <w:rtl w:val="true"/>
        </w:rPr>
        <w:t>- (</w:t>
      </w:r>
      <w:r>
        <w:rPr>
          <w:rtl w:val="true"/>
        </w:rPr>
        <w:t xml:space="preserve">القرن </w:t>
      </w:r>
      <w:r>
        <w:rPr/>
        <w:t>11</w:t>
      </w:r>
      <w:r>
        <w:rPr>
          <w:rtl w:val="true"/>
        </w:rPr>
        <w:t>):</w:t>
      </w:r>
      <w:bookmarkEnd w:id="169"/>
    </w:p>
    <w:p>
      <w:pPr>
        <w:pStyle w:val="Heading5"/>
        <w:numPr>
          <w:ilvl w:val="4"/>
          <w:numId w:val="1"/>
        </w:numPr>
        <w:rPr/>
      </w:pPr>
      <w:bookmarkStart w:id="170" w:name="__RefHeading___Toc3907389_73709187"/>
      <w:bookmarkStart w:id="171" w:name="_Toc62"/>
      <w:bookmarkEnd w:id="170"/>
      <w:r>
        <w:rPr>
          <w:rtl w:val="true"/>
        </w:rPr>
        <w:t>اشارة</w:t>
      </w:r>
      <w:bookmarkEnd w:id="17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بيت قضاء، وفقه، و علم، أخذ العلم ببلاده عن والده، و العلامة يحيى المنقاري، و غيرهما من أفاضلهم، و قد أُسند إليه منصب القضاء بحاضرة حلب الشهباء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تولّى قضاء مكّة عام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من تآليفه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بتقديم محمّد </w:t>
      </w:r>
    </w:p>
    <w:p>
      <w:pPr>
        <w:pStyle w:val="BookText"/>
        <w:rPr/>
      </w:pPr>
      <w:r>
        <w:rPr>
          <w:rFonts w:ascii="Amiri" w:hAnsi="Amiri" w:eastAsia="Amiri" w:cs="Amiri"/>
          <w:color w:val="111111"/>
          <w:sz w:val="28"/>
          <w:sz w:val="28"/>
          <w:szCs w:val="28"/>
          <w:rtl w:val="true"/>
          <w:lang w:bidi="ar-SA"/>
        </w:rPr>
        <w:t xml:space="preserve">زاهد بن الحسن الكوثري، الذي هو من دعاة الماتريديّة في العصر الحاضر و بتحقيق يوسف عبد الرزاق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و قد وقفت على خصوصيات الكتاب في خلال الأبحاث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القول في الفرقة الماتريدية الّتي انحسرت دعوتها عن الجامعات الإسلاميّة، و قلّت الدعاة إليها، و منهاجها منهاج مزيج من منهاج أهل الحديث و المعتزلة، بل قلّ الاهتمام بهم و دراسة منهاجهم، و الحقّ أنّها مدرسة فكريّة نبتت في المحيط الشرقي و ترعرعت زمناً، ثمّ تراجعت إلى حدّ لا نجد داعياً إليها في العصر الحاضر، غير الشيخ الكوثري و أترابه، و لا مناص لطلّاب الحريّة من شباب أهل السنّة من دراستها و اعتناق أُصولها، لكونها منهاجاً وسطاً بين العقليّة المحضة، و النّقلية الخاصّة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الظروف و الشرائط المفروضة عليهم، و إن كانت لا تسمح لهم بالاجتهاد المطلق في الأُصول و العقائد، و دراسة كلّ أصل في جوٍّ هادئ من دون أن يتقلّدوا رأي انسان غير معصوم من سنّة أو شيعة، لكن في وسعهم الاجتهاد في المذاهب المنسوبة إلى أهل السنّة و الجماعة، فعلى طلاب الحريّة، السعي و الاجتهاد، للتعرّف على الحقّ، و إزهاق الباطل، و لو في إطار المذاهب العقيديّة الرسميّة</w:t>
      </w:r>
      <w:r>
        <w:rPr>
          <w:rFonts w:eastAsia="Amiri" w:cs="Amiri" w:ascii="Amiri" w:hAnsi="Amiri"/>
          <w:color w:val="111111"/>
          <w:sz w:val="28"/>
          <w:szCs w:val="28"/>
          <w:rtl w:val="true"/>
          <w:lang w:bidi="ar-SA"/>
        </w:rPr>
        <w:t xml:space="preserve">. </w:t>
      </w:r>
      <w:bookmarkStart w:id="172" w:name="pg11536_163905"/>
    </w:p>
    <w:p>
      <w:pPr>
        <w:pStyle w:val="Heading5"/>
        <w:numPr>
          <w:ilvl w:val="4"/>
          <w:numId w:val="1"/>
        </w:numPr>
        <w:rPr/>
      </w:pPr>
      <w:bookmarkStart w:id="173" w:name="__RefHeading___Toc3907391_73709187"/>
      <w:bookmarkStart w:id="174" w:name="_Toc63"/>
      <w:bookmarkEnd w:id="172"/>
      <w:bookmarkEnd w:id="173"/>
      <w:r>
        <w:rPr>
          <w:rtl w:val="true"/>
        </w:rPr>
        <w:t>بيان لقادة الفكر في الأُمّة</w:t>
      </w:r>
      <w:r>
        <w:rPr>
          <w:rtl w:val="true"/>
        </w:rPr>
        <w:t>:</w:t>
      </w:r>
      <w:bookmarkEnd w:id="174"/>
    </w:p>
    <w:p>
      <w:pPr>
        <w:pStyle w:val="BookText"/>
        <w:rPr/>
      </w:pPr>
      <w:r>
        <w:rPr>
          <w:rFonts w:ascii="Amiri" w:hAnsi="Amiri" w:eastAsia="Amiri" w:cs="Amiri"/>
          <w:color w:val="111111"/>
          <w:sz w:val="28"/>
          <w:sz w:val="28"/>
          <w:szCs w:val="28"/>
          <w:rtl w:val="true"/>
          <w:lang w:bidi="ar-SA"/>
        </w:rPr>
        <w:t>إنّ الغزو الفكري الّذي يشنّه أعداء الإسلام كلّ يوم من المعسكرين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الشرق و الغرب، لاجتياح العقيدة الاسلاميّة و إقصاء الشباب عن ساحة الإيمان، و بالتالي إفساد عقيدتهم و إحلالهم عن الدين، و عن التفاني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علينا الخروج عن إطار الجمود في تحليل العقائد و تقييمها، و عدم الاقتصار على الروايات المنقولة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الداري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أضرابهما، و فتح باب التفكر بمصراعيه في وجه الناشئ و تدريبه و تمرينه بالبرهنة و الاستدلال، على ما يعتنقه من العقائد، لأنّه يضفي لأُصول الاسلام ثباتاً و دواماً و للشباب صموداً أمام الهجمات العنيفة، الّتي توجّه إليهم كلّ يوم من المدارس الفكرية المادية المهزوزة و غيرها، فإنّ في حرمان المسلم المستعدّ عن التفكر الصحيح، مظنة جعله فريسة للمناهج الضالّة، المتدرّعة بالسلاح العلمي المادي الفاتك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نهدف بذلك إلى دمج الدين بالفلسفة اليونانيّة أو الغربيّة بل الغرض هو استخدام العقل السليم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عرفنا ربّنا و دعا إليه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الدين و الدفاع عنه في المجالات الّتي للعقل إليها سبيل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أنّ بعض المشايخ لا يعرفون التوسّط في الحياة، و لا الاعتدال في الرأي، فهم بين غارق في العقليّات، غير مقيم للنّقل وزناً في مجال العقيدة، و بين متزمّت لا يعرف أوضح الواضحات سوى رواية أحمد عن </w:t>
      </w:r>
    </w:p>
    <w:p>
      <w:pPr>
        <w:pStyle w:val="BookText"/>
        <w:rPr/>
      </w:pPr>
      <w:r>
        <w:rPr>
          <w:rFonts w:ascii="Amiri" w:hAnsi="Amiri" w:eastAsia="Amiri" w:cs="Amiri"/>
          <w:color w:val="111111"/>
          <w:sz w:val="28"/>
          <w:sz w:val="28"/>
          <w:szCs w:val="28"/>
          <w:rtl w:val="true"/>
          <w:lang w:bidi="ar-SA"/>
        </w:rPr>
        <w:t>فلان، و إن كان على خلاف الحسّ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ذاك كلاهما مرفوضان جدّاً، و إنّما المأمول هو تقدير التعقّل، و احترام حريّة الفكر، و هذا أمر يجب علينا أن نروّض أنفسنا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كلاماً لبعض قادة الفكر، يلقي ضوءاً على ما نتوخّاه و نطلبه بحماس من حاملي لواء الفكر الاسلامي، و نخصُّ بالذكر أساتذة الجامعات الإسلاميّة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نرتاب فيه إنّ الحياة الانسانيّة حياة فكريّة لا تتمّ له إلّا بالإدراك الّذي نسمّيه فكراً، و كان من لوازم ابتناء الحياة على الفكر، إنّ الفكر كلّما كان أصحّ و أتمّ، كانت الحياة أقوم، فالحياة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بأيّة سنّة من السنن أخذ الإنسان، و في أيّ طريق من الطرق المسلوكة و غير المسلوكة سلك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بالفكر القيّم و تبتني عليه، و بقدر حظّها منه يكون حظّها من الاستقامة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اللّٰه سبحانه في كتابه العزيز بطرق مختلفة و أساليب متنوّعة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مَنْ كٰانَ مَيْتاً فَأَحْيَيْنٰاهُ وَ 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w:t>
      </w:r>
    </w:p>
    <w:p>
      <w:pPr>
        <w:pStyle w:val="BookText"/>
        <w:rPr/>
      </w:pPr>
      <w:r>
        <w:rPr>
          <w:rFonts w:ascii="Amiri" w:hAnsi="Amiri" w:eastAsia="Amiri" w:cs="Amiri"/>
          <w:color w:val="111111"/>
          <w:sz w:val="28"/>
          <w:sz w:val="28"/>
          <w:szCs w:val="28"/>
          <w:rtl w:val="true"/>
          <w:lang w:bidi="ar-SA"/>
        </w:rPr>
        <w:t>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الآيات الكثيرة الّتي لا تحتاج إلى العرض، فأمر القرآن في الدعوة إلى الفكر الصحيح، و ترويج طريق العلم،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يعيّن في الكتاب العزيز هذا الفكر الصحيح القيّم الذي يندب إليه، إلّا أنّه أحال فيه إلى ما يعرفه الناس بحسب عقولهم الفطريّة، و إدراكهم المركوز في نفوسهم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لو تتبّعت الكتاب الإلهي، ثمّ تدبّرت في آياته، وجدت ما لعلّه يزيد على ثلاثمائة آية تتضمّن دعوة الناس إلى التفكّر و التذكّر و التعقّل، و تلقين النبي صلى الله عليه و آله و سلم الحجّة لإثبات حقّ، أو لإبطال باطل،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فَمَنْ يَمْلِكُ مِنَ اَللّٰهِ شَيْئاً إِنْ أَرٰادَ أَنْ يُهْلِكَ اَلْمَسِيحَ اِبْنَ مَرْيَمَ وَ أُمَّهُ</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أو تحكي الحجّة عن أنبيائه و أوليائه، كنوح و إبراهيم و موسى، و سائر الأنبياء العظام، و لقمان و مؤمن آل فرعون و غيرهما عليهم السلام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رَجُلٌ </w:t>
      </w:r>
    </w:p>
    <w:p>
      <w:pPr>
        <w:pStyle w:val="BookText"/>
        <w:rPr/>
      </w:pPr>
      <w:r>
        <w:rPr>
          <w:rFonts w:ascii="Amiri" w:hAnsi="Amiri" w:eastAsia="Amiri" w:cs="Amiri"/>
          <w:color w:val="111111"/>
          <w:sz w:val="28"/>
          <w:sz w:val="28"/>
          <w:szCs w:val="28"/>
          <w:rtl w:val="true"/>
          <w:lang w:bidi="ar-SA"/>
        </w:rPr>
        <w:t>مُؤْمِنٌ مِنْ آلِ فِرْعَوْنَ يَكْتُمُ إِيمٰانَهُ أَ تَقْتُلُونَ رَجُلاً أَنْ يَقُولَ رَبِّيَ اَللّٰهُ وَ قَدْ جٰاءَكُمْ بِالْبَيِّنٰاتِ مِنْ رَبِّكُمْ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 قوله حكاية عن سحرة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نُؤْثِرَكَ عَلىٰ مٰا جٰاءَنٰا مِنَ اَلْبَيِّنٰاتِ وَ اَلَّذِي فَطَرَنٰا فَاقْضِ مٰا أَنْتَ قٰاضٍ إِنَّمٰا تَقْضِي هٰذِهِ اَلْحَيٰاةَ اَلدُّنْيٰا</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 إلى آخر ما احتجّوا به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يأمر اللّٰه تعالى عباده في كتابه، و لا في آية واحدة أن يؤمنوا به، أو بشيء ممّا هو من عنده، أو يسلكوا سبيلاً على العمياء، و هم لا يشعرون، حتّى إنّه علّل الشرائع و الأحكام الّتي جعلها لهم ممّا لا سبيل للعقل إلى تفاصيل ملاكاته بأُمور تجري مجرى الاحتجاجات،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 وَ لَذِكْرُ اَللّٰهِ أَكْبَرُ</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و قوله في آية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 لِيَجْعَلَ عَلَيْكُمْ مِنْ حَرَجٍ وَ لٰكِنْ يُرِيدُ لِيُطَهِّرَكُمْ وَ 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إلى غير ذلك من الآيات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75" w:name="pg11536_163909"/>
    </w:p>
    <w:p>
      <w:pPr>
        <w:pStyle w:val="Heading5"/>
        <w:numPr>
          <w:ilvl w:val="4"/>
          <w:numId w:val="1"/>
        </w:numPr>
        <w:rPr/>
      </w:pPr>
      <w:bookmarkStart w:id="176" w:name="__RefHeading___Toc3907393_73709187"/>
      <w:bookmarkStart w:id="177" w:name="_Toc64"/>
      <w:bookmarkEnd w:id="175"/>
      <w:bookmarkEnd w:id="176"/>
      <w:r>
        <w:rPr>
          <w:rtl w:val="true"/>
        </w:rPr>
        <w:t>يا أُمّه اثكليه</w:t>
      </w:r>
      <w:r>
        <w:rPr>
          <w:rtl w:val="true"/>
        </w:rPr>
        <w:t>:</w:t>
      </w:r>
      <w:bookmarkEnd w:id="177"/>
    </w:p>
    <w:p>
      <w:pPr>
        <w:pStyle w:val="BookText"/>
        <w:rPr/>
      </w:pPr>
      <w:r>
        <w:rPr>
          <w:rFonts w:ascii="Amiri" w:hAnsi="Amiri" w:eastAsia="Amiri" w:cs="Amiri"/>
          <w:color w:val="111111"/>
          <w:sz w:val="28"/>
          <w:sz w:val="28"/>
          <w:szCs w:val="28"/>
          <w:rtl w:val="true"/>
          <w:lang w:bidi="ar-SA"/>
        </w:rPr>
        <w:t>يا أُمّه اثكليه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بلغ إقصاء العقل عن ساحة العقائد، و الاكتفاء بالمرويّات الضعاف إلى حدّ استطاع أحد الشيوخ من الحنابلة أن يصعد منبر التوحيد، و هو يرى أنّ للّٰه نزولاً كنزول الإنسان، و حركة و سكوناً كحركته و سكونه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يعزّ على الإسلام أن يسمع قائلاً متسنّماً منصّة القيادة الروحية، في جامع دمشق يهتف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ينزل إلى سماء الدنيا كنزولي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درجة من درج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في شكّ مما نقول فاستمع إلى ما ينقل الرحالة ابن بطوطة فهو ينقل في رحلته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بدمشق من كبار الفقهاء تقي بن تيمية كبير الشام يتكلّم في الفنون إلّا أنّ في عقله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 يوم الجمعة و هو يعظ الناس على منبر الجامع و يذكِّرهم، فكان من جملة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كنزولي هذا، و نزل درجة من درج المنبر، فعارضه فقيه مالكي يعرف بابن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ما تكلّم به، فقامت العامّة إلى هذا الفقيه و ضربوه بالأيدي و النعال ضرباً كثيراً حتّى سقطت عمامته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إلى الوهابيّة كيف اتّخذت هذا القائل شيخاً لإسلامهم و سنداً لمذهبهم، و معلّماً لتوحيدهم، و إليه يرحلون، و عن فتياه يصدرون، و كأنّه صار صنماً يُعبد، و يدور الحقّ مداره، و هؤلاء لا يجوِّزون لأنفسهم الخروج </w:t>
      </w:r>
    </w:p>
    <w:p>
      <w:pPr>
        <w:pStyle w:val="BookText"/>
        <w:rPr/>
      </w:pPr>
      <w:r>
        <w:rPr>
          <w:rFonts w:ascii="Amiri" w:hAnsi="Amiri" w:eastAsia="Amiri" w:cs="Amiri"/>
          <w:color w:val="111111"/>
          <w:sz w:val="28"/>
          <w:sz w:val="28"/>
          <w:szCs w:val="28"/>
          <w:rtl w:val="true"/>
          <w:lang w:bidi="ar-SA"/>
        </w:rPr>
        <w:t>عن خطوطه قدر شعرة، كأنّه تدرّع بالعصمة و المصونيّة عن الخطأ و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عليكم أيّها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قادة الفكر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رسالة هداية الشباب في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الشابّ المسلم الجامعي لا يملك من العقيدة الإسلاميّة إلّا ما تعلّمه من نظريّات ابن تيميّة، فهل يستطيع أن يرفع رأسه و يدافع عن عقيدته، و كيان نحلته، في وجه هجمات الفلسفة الماديّة الخدّاعة الّتي رفعت عقيرتها بأنّ أُصولها مستمدّة من النظريات العلميّة الّتي فرضها العلم و أثبتتها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دار الأمر في تفسير الكون و تبيين خلق العالم، بين ما يثيره أبناء الحنابلة و أصحاب الحديث في انتهاء العوالم الوجوديّة إلى موجود كائن في العرش عال على السماوات و الأرض، لا ينفكّ عن الحركة و السكون، و عن الجهة و المكان و غير ذلك من لوازم الجسم و الجسمانيات، و بين القول بقدم المادّة و انطوائها تحت سنن و قوانين نابعة عن ذاتها، إمّا عن طريق الصدفة أو عن طريق آخر، فهل يمكن لمفكّر أن يرجّح الأول على الثاني؟ أو أنّ العقول النيّرة الممارسة للعلوم الطبيعية و الحسية لا ينظرون إلى الأوّل إلّا بنظر الاستهزاء و السخرية؟</w:t>
      </w:r>
    </w:p>
    <w:p>
      <w:pPr>
        <w:pStyle w:val="BookText"/>
        <w:rPr/>
      </w:pPr>
      <w:r>
        <w:rPr>
          <w:rFonts w:ascii="Amiri" w:hAnsi="Amiri" w:eastAsia="Amiri" w:cs="Amiri"/>
          <w:color w:val="111111"/>
          <w:sz w:val="28"/>
          <w:sz w:val="28"/>
          <w:szCs w:val="28"/>
          <w:rtl w:val="true"/>
          <w:lang w:bidi="ar-SA"/>
        </w:rPr>
        <w:t>و ليس ابن تيميّة أوّل بادئ بهذه المهزلة المحزنة، بل سبقه أبناء لهذا المذهب كما لحقه أنصار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تطرّف الحنابلة في أقوالهم و آرائهم تطرّفاً أدّى بهم إلى التجسيم و التشبيه نأتي بأبيات لأحد شعرائهم في هذا المجال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 تجسيماً ثبوت استوائه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عرشه إنّي إذاً لمجسِّم</w:t>
      </w:r>
    </w:p>
    <w:p>
      <w:pPr>
        <w:pStyle w:val="BookText"/>
        <w:rPr/>
      </w:pPr>
      <w:r>
        <w:rPr>
          <w:rFonts w:ascii="Amiri" w:hAnsi="Amiri" w:eastAsia="Amiri" w:cs="Amiri"/>
          <w:color w:val="111111"/>
          <w:sz w:val="28"/>
          <w:sz w:val="28"/>
          <w:szCs w:val="28"/>
          <w:rtl w:val="true"/>
          <w:lang w:bidi="ar-SA"/>
        </w:rPr>
        <w:t xml:space="preserve">و إن كان تشبيهاً ثبوت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التشبيه لا أتكتّم</w:t>
      </w:r>
    </w:p>
    <w:p>
      <w:pPr>
        <w:pStyle w:val="BookText"/>
        <w:rPr/>
      </w:pPr>
      <w:r>
        <w:rPr>
          <w:rFonts w:ascii="Amiri" w:hAnsi="Amiri" w:eastAsia="Amiri" w:cs="Amiri"/>
          <w:color w:val="111111"/>
          <w:sz w:val="28"/>
          <w:sz w:val="28"/>
          <w:szCs w:val="28"/>
          <w:rtl w:val="true"/>
          <w:lang w:bidi="ar-SA"/>
        </w:rPr>
        <w:t xml:space="preserve">و إن كان تنزيهاً جحود استوائه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أوصافه أو كونه يتكلّم</w:t>
      </w:r>
    </w:p>
    <w:p>
      <w:pPr>
        <w:pStyle w:val="BookText"/>
        <w:rPr/>
      </w:pPr>
      <w:r>
        <w:rPr>
          <w:rFonts w:ascii="Amiri" w:hAnsi="Amiri" w:eastAsia="Amiri" w:cs="Amiri"/>
          <w:color w:val="111111"/>
          <w:sz w:val="28"/>
          <w:sz w:val="28"/>
          <w:szCs w:val="28"/>
          <w:rtl w:val="true"/>
          <w:lang w:bidi="ar-SA"/>
        </w:rPr>
        <w:t xml:space="preserve">فعن ذلك التنزيه نزّهت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بتوفيقه و اللّٰه أعلى و أعظم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ليس هذا الشاعر وحيداً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الحنابلة يتشدّقون بالتجسيم و يفتخرون به بلا مبالاة، و إليك القصيدة التالية الّتي نظمها حنبلي آخر أيّام محنة ابن حنبل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 في السماوات العلى فوق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خلقه في البرّ و البحر ينظر</w:t>
      </w:r>
    </w:p>
    <w:p>
      <w:pPr>
        <w:pStyle w:val="BookText"/>
        <w:rPr/>
      </w:pPr>
      <w:r>
        <w:rPr>
          <w:rFonts w:ascii="Amiri" w:hAnsi="Amiri" w:eastAsia="Amiri" w:cs="Amiri"/>
          <w:color w:val="111111"/>
          <w:sz w:val="28"/>
          <w:sz w:val="28"/>
          <w:szCs w:val="28"/>
          <w:rtl w:val="true"/>
          <w:lang w:bidi="ar-SA"/>
        </w:rPr>
        <w:t xml:space="preserve">يداه بنا مبسوطتان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يسحان و الأيدي من الخلق تقتر</w:t>
      </w:r>
    </w:p>
    <w:p>
      <w:pPr>
        <w:pStyle w:val="BookText"/>
        <w:rPr/>
      </w:pPr>
      <w:r>
        <w:rPr>
          <w:rFonts w:ascii="Amiri" w:hAnsi="Amiri" w:eastAsia="Amiri" w:cs="Amiri"/>
          <w:color w:val="111111"/>
          <w:sz w:val="28"/>
          <w:sz w:val="28"/>
          <w:szCs w:val="28"/>
          <w:rtl w:val="true"/>
          <w:lang w:bidi="ar-SA"/>
        </w:rPr>
        <w:t xml:space="preserve">نهينا عن التفتيش و البحث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 طريق البحث يردي و يخسر</w:t>
      </w:r>
    </w:p>
    <w:p>
      <w:pPr>
        <w:pStyle w:val="BookText"/>
        <w:rPr/>
      </w:pPr>
      <w:r>
        <w:rPr>
          <w:rFonts w:ascii="Amiri" w:hAnsi="Amiri" w:eastAsia="Amiri" w:cs="Amiri"/>
          <w:color w:val="111111"/>
          <w:sz w:val="28"/>
          <w:sz w:val="28"/>
          <w:szCs w:val="28"/>
          <w:rtl w:val="true"/>
          <w:lang w:bidi="ar-SA"/>
        </w:rPr>
        <w:t xml:space="preserve">و لم نر كالتسليم حرزاً و موئلا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يرجو أن يثاب و يحذر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وليّ اللّٰه في دار 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 ذي الكبرياء سينظر </w:t>
      </w:r>
    </w:p>
    <w:p>
      <w:pPr>
        <w:pStyle w:val="BookText"/>
        <w:rPr/>
      </w:pPr>
      <w:r>
        <w:rPr>
          <w:rFonts w:ascii="Amiri" w:hAnsi="Amiri" w:eastAsia="Amiri" w:cs="Amiri"/>
          <w:color w:val="111111"/>
          <w:sz w:val="28"/>
          <w:sz w:val="28"/>
          <w:szCs w:val="28"/>
          <w:rtl w:val="true"/>
          <w:lang w:bidi="ar-SA"/>
        </w:rPr>
        <w:t xml:space="preserve">و لم يحمد اللّٰه الجدال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رسول اللّٰه عن ذاك يزجر</w:t>
      </w:r>
    </w:p>
    <w:p>
      <w:pPr>
        <w:pStyle w:val="BookText"/>
        <w:rPr/>
      </w:pPr>
      <w:r>
        <w:rPr>
          <w:rFonts w:ascii="Amiri" w:hAnsi="Amiri" w:eastAsia="Amiri" w:cs="Amiri"/>
          <w:color w:val="111111"/>
          <w:sz w:val="28"/>
          <w:sz w:val="28"/>
          <w:szCs w:val="28"/>
          <w:rtl w:val="true"/>
          <w:lang w:bidi="ar-SA"/>
        </w:rPr>
        <w:t xml:space="preserve">و سنّتنا ترك الكلام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دينه تشديقه و التقعّر</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 من أراد أن يقف على كلمات هؤلاء حول التجسيم و التشبيه فعليه بمراجعة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الإثبات و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رضا بن نعسان معطى بتقديم عبد العزيز بن باز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حشا فيه كلمات أبناء الحنابلة و غيرهم في مجال الصفات، و ادّعى أنّهم يقولون بكونه سبحانه فوق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لغاية دفع عار التجسيم يتدرّعون بكلمة بلا كيف و تشبيه، و هو بلا شبهة واجهة اتّخذتها أبناء التجسيم لستر ما يعاب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التوالي وليدة إقصاء العقل عن ساحة العقائد، و إحلال النقل على وجه الإطلاق مكانه، و إلّا فالنقل الصحيح لا يكافح العقل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الماتريدية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78" w:name="pg11536_163913"/>
    </w:p>
    <w:p>
      <w:pPr>
        <w:pStyle w:val="Heading2"/>
        <w:numPr>
          <w:ilvl w:val="1"/>
          <w:numId w:val="1"/>
        </w:numPr>
        <w:rPr/>
      </w:pPr>
      <w:bookmarkStart w:id="179" w:name="__RefHeading___Toc3907395_73709187"/>
      <w:bookmarkStart w:id="180" w:name="_Toc65"/>
      <w:bookmarkEnd w:id="178"/>
      <w:bookmarkEnd w:id="179"/>
      <w:r>
        <w:rPr/>
        <w:t>2</w:t>
      </w:r>
      <w:r>
        <w:rPr>
          <w:rtl w:val="true"/>
        </w:rPr>
        <w:t xml:space="preserve"> - </w:t>
      </w:r>
      <w:r>
        <w:rPr>
          <w:rtl w:val="true"/>
        </w:rPr>
        <w:t>المرجئة</w:t>
      </w:r>
      <w:bookmarkEnd w:id="180"/>
    </w:p>
    <w:p>
      <w:pPr>
        <w:pStyle w:val="Heading3"/>
        <w:numPr>
          <w:ilvl w:val="2"/>
          <w:numId w:val="1"/>
        </w:numPr>
        <w:rPr/>
      </w:pPr>
      <w:bookmarkStart w:id="181" w:name="__RefHeading___Toc3907397_73709187"/>
      <w:bookmarkStart w:id="182" w:name="_Toc66"/>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المرجئة على وزن المرجعة بصيغة الفاعل من أرجأ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 الهمزة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أرجأت الأمر و أرجيته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أرجه، و أرجئه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تُرْجِي مَنْ تَشٰاءُ مِنْهُنَّ وَ تُؤْوِي إِلَيْكَ مَنْ تَشٰاءُ</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و المرجئة صنف من المسلمين و النّسبة إليه مرجئيّ مثال مرجعي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تهمز، و لا تهمز و كلاهما بمعنى التّأخير،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أرجأته و أرجيته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أخّرته فنقول من الهمز رجل مرجئي، و هم المرجئة، و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مرجئي مثال مرجع و مرجعة و مرجعيّ، و إذا لم تهمز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مرج و مرجية و مرجيّ مثل معط و معطية و معطيّ‌</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ظاهر كلامهما أنّها مأخوذة من الإرجاء بمعنى التّأخير، و يحتمل أن يكون مأخوذاً من الرجاء أي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تسميتهم بالمرجئة بمعنى المؤخِّرة أحد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طال التشاجر في معنى الإيمان في العصر الأوّل، و حدثت آراء و أقوال حول حقيقته بين الخوارج و المعتزلة، فذهبت المرجئة إلى أنّه عبارة عن مجرّد الإقرار بالقول و اللّسان و إن لم يكن مصاحباً للعمل، فأخذوا من الإيمان جانب القول، و طردوا جانب العمل، فكأنّهم قدّموا الأوّل و أخّروا الثاني، و اشتهروا بمقولتهم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 مع الإيمان معصية كما لا تنفع مع الكفر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فهم و الخوارج في هذه المسألة على جانبي نقيض، فالمرجئة لا تشترط العمل في حقيقة الايمان، و ترى العاصي و مرتكب الذُّنوب، صغيرها و كبيرها، مؤمناً حتّى تارك الصلاة و الصوم، و شارب الخمر، و مقترف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الخوارج يضيّقون الأمر فيرون مرتكب الكبيرة كافراً، و لأجل ذلك قاموا بتكفير عثمان للأحداث الّتي انجرّت إلى قتله و تكفير علي عليه السلام لقبوله التحكيم و إن كان عن 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يقابلهما المعتزلة أيضاً القائلون بأنّ مرتكب الكبيرة لا مؤمن و لا فاسق بل في منزلة بين الأمرين، فزعمت أنّها أخذت بالقول الوسط بين المرجئة و الخوارج</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المشهور بين السنّة و الشيعة أنّه مؤمن فاسق، و سيوافيك القول </w:t>
      </w:r>
    </w:p>
    <w:p>
      <w:pPr>
        <w:pStyle w:val="BookText"/>
        <w:rPr/>
      </w:pPr>
      <w:r>
        <w:rPr>
          <w:rFonts w:ascii="Amiri" w:hAnsi="Amiri" w:eastAsia="Amiri" w:cs="Amiri"/>
          <w:color w:val="111111"/>
          <w:sz w:val="28"/>
          <w:sz w:val="28"/>
          <w:szCs w:val="28"/>
          <w:rtl w:val="true"/>
          <w:lang w:bidi="ar-SA"/>
        </w:rPr>
        <w:t>في حقيقة الإيمان عند البحث عن عقائد المعتزلة و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ذلك الوجه أيضاً يرجع ما ذكره ابن الاثير في نهايته بأنّهم سمّوا مرجئة لاعتقادهم بأنّ اللّٰه أرجأ تعذيبهم على المعاصي، أي 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و إن أخّروا العمل و أخرجوه عن كونه مقوّماً للايمان أو بعضه، و لم يعتبروه جزءاً و شرطاً، و لكن لم يتّفقوا على تفسيره بالقول المجرّد، و الاقرار باللّسان، بل لهم آراء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فاليونسيّة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يونس 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الإيمان في القلب و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هو المعرفة باللّٰه، و المحبّة، و الخضوع له بالقلب، و الإقرار باللّسان، أنّه واحد ليس كمثله شيء</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الغسّانية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غسّان المرجئ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 أنّ الإيمان هو الإقرار أو المحبّة للّٰه تعالى، فاكتفت بأحد الأمرين من الإقرار أو المحبّة للّٰه</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و الآراء لهم في حقيقة الإيمان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لا يصحّ أن يقال إنّ المرجئة هم الّذين قدّموا القول و أخّروا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أخّروا العمل جميعاً، و أمّا غيره فقد اكتفوا في تحقّق الإيمان تارة بالاذعان القلبي، و أُخرى بالإقرار باللسان، هذه ملاحظة بسيطة </w:t>
      </w:r>
    </w:p>
    <w:p>
      <w:pPr>
        <w:pStyle w:val="BookText"/>
        <w:rPr/>
      </w:pPr>
      <w:r>
        <w:rPr>
          <w:rFonts w:ascii="Amiri" w:hAnsi="Amiri" w:eastAsia="Amiri" w:cs="Amiri"/>
          <w:color w:val="111111"/>
          <w:sz w:val="28"/>
          <w:sz w:val="28"/>
          <w:szCs w:val="28"/>
          <w:rtl w:val="true"/>
          <w:lang w:bidi="ar-SA"/>
        </w:rPr>
        <w:t>حول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ملاحظة أُخرى ربّما تبطل أصلها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التّاريخ يدلّ على أنّ أوّل من قال بالإرجاء هو الحسن بن محمّد بن الحنفيّة، لا بمعنى تقديم القول أو الإذعان القلبي و تأخير العمل، بل المراد تقديم القول في الشيخين و تصديقهما، و تأخير القول في حقّ عثمان و عليّ و طلحة و الزبير و إرجاء أمرهم إلى اللّٰه سبحانه، و التوقّف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النصوص التاريخيّة الّتي تدلّنا على أنّ أساس الإرجاء هو التوقّف في حق الخليفتين الأخيرين و المقاتلين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محمّد بن الحنفيّة أوّل من تكلّم بالإرجاء و عن زاذان و ميسرة أنّهما دخلا على الحسن بن محمّد بن عليّ، فلاماه على الكتاب الّذي وضعه على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لزاذان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 لوددت أنّي كنت مِتُّ و لم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في خلافة عمر بن عبد العزيز</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كثير في ترجمة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عالماً فقيهاً عارفاً بالاختلاف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أيّوب السختياني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تكلّم في الإرجاء، و كتب في ذلك رسالة، ثمّ ندم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يتوقّف في عثمان و طلحة و الزبير، فلا يتولاهم، و لا يذمّهم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أباه محمّد بن الحنفيّة ضربه فشجّه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ألّا تتولّى أباك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أيّام عمر بن عبد العزيز و اللّٰه أعلم</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عساكر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عثمان بن إبراهيم بن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الإرجاء هو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حاضراً يوم تكلّم، و كنت مع عمّي في حلقته، و كان في الحلقة جحدب و قوم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فتكلّموا في عليّ و عثمان و طلحة و الزبير، فأكثروا، و الحسن ساكت، ثمّ 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يرجأ عليّ و عثمان و طلحة و الزبير فلا يتولّى و لا يتبرّأ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ليتخذنّ هؤلاء هذا الكلام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أباه محمّد بن الحنفيّة ما قال، فضربه بعصا فشجّه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تتولّى أباك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ميسرة عليه فلامه على الكتاب الّذي وضعه في الإرجاء،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مِتّ و لم أكتبه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الحسن ما هذا خلاصته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من علماء الناس بالاختلاف، و قال سلام بن أبي مطيع عن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أتبرّأ من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تكلّم فيه رجل من أهل المدينة يقال له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 بن السائب عن زاذان و ميسرة أنّهما دخلا على الحسن بن محمّد فلاماه على الكتاب الّذي وضعه في الإرجاء، فقال لزاذان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لوددت أنّي كنت مِتُّ و لم أكتبه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بالإرجاء الّذي تكلّم الحسن بن محمّد فيه، غير الإرجاء الّذي يعيبه أهل السنّة المتعلّق بالإيمان، و ذلك أنّي وقفت على كتاب الحسن </w:t>
      </w:r>
      <w:bookmarkStart w:id="183" w:name="pg11536_163918"/>
    </w:p>
    <w:p>
      <w:pPr>
        <w:pStyle w:val="BookText"/>
        <w:rPr/>
      </w:pPr>
      <w:bookmarkEnd w:id="183"/>
      <w:r>
        <w:rPr>
          <w:rFonts w:ascii="Amiri" w:hAnsi="Amiri" w:eastAsia="Amiri" w:cs="Amiri"/>
          <w:color w:val="111111"/>
          <w:sz w:val="28"/>
          <w:sz w:val="28"/>
          <w:szCs w:val="28"/>
          <w:rtl w:val="true"/>
          <w:lang w:bidi="ar-SA"/>
        </w:rPr>
        <w:t>بن محمّد المذكور، أخرجه ابن أبي عمر العدني في كتاب الإيمان له في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عيينة عن عبد الواحد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محمّد يأمرني أن أقرأ هذا الكتاب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نوصيكم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كلاماً في الموعظة و الوصيّة لكتاب اللّٰه و اتّباع ما فيه و ذكر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نوالي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نجاهد فيهما، لأنّهما لم تقاتل عليهما الأُمّة و لم نشكّ في أمرهما، و نرجئ من بعدهما ممّن دخل الفتنة، فنكل أمرهم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الّذي تكلّم فيه الحسن أنّه كان يرى عدم القطع على إحدى الطائفتين المقتتلتين في الفتنة بكونه مخطئاً أو مصيباً و كان يرى أنّه يرجئ الأمر فيهما، و أمّا الإرجاء الّذي يتعلّق بالإيمان فلم يعرج عليه فلا يلحقه بذلك عاب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4" w:name="__RefHeading___Toc3907399_73709187"/>
      <w:bookmarkStart w:id="185" w:name="_Toc67"/>
      <w:bookmarkEnd w:id="184"/>
      <w:r>
        <w:rPr>
          <w:rtl w:val="true"/>
        </w:rPr>
        <w:t>هذا التاريخ المتضافر يدلّنا على أُمور</w:t>
      </w:r>
      <w:r>
        <w:rPr>
          <w:rtl w:val="true"/>
        </w:rPr>
        <w:t>:</w:t>
      </w:r>
      <w:bookmarkEnd w:id="18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الحسن بن محمّد الحنفيّة هو الأصل في الإرجاء فيرجع أصل الإرجاء و تاريخه إلى الربع الأخير من القرن الأوّل للهجرة، و قد توفّي محمّد بن الحنفيّة والد المؤسِّس عام ثمانين أو إحدى و ثمانين، عن عمر يناهز خمساً و ستين سنة، و قد توفّي 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تسعة و تسعين أو قبله أو بعده بقليل، و عليه يعود ظهور الإرجاء إلى حوالي عام سبعين من الهجرة، أو ما يقاربه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الحسن بن محمّد هو وليد البيت الهاشمي العريق في الولاء و المحبّة لأمير المؤمنين و شيعته و محبّيه و أصحابه، و عند ذاك كيف يكون مثل هذا الشخص أساساً للإرجاء بهذا المعنى، و لعلّه أظهر هذه الفكرة في بداية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ندم عليه في أواخر عمره و تمنّى الموت قبل كتابة 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توحيد الكلمة، و إيقاف الهجمة على جدّه أمير المؤمنين عليه السلام حيث كان الخطباء و وعّاظ السلاطين يسبّونه على صهوات المنابر أعواماً مديدة، فأراد وليد البيت الهاشمي إيقاف السبّ بهذه الفكرة، و إلّا فمن البعيد جدّاً أن لا يطّلع الحسن بن الحنفيّة على انحراف الناكثين و القاسطين و المارقين الّذين ابتزّوا أمر الخلافة، و تطلّعوا إلى أمرٍ، هم أقصر منه فحاول لنيل غايته بالقول بأنّا نتكلّم في الشيخين و لا نتكلّم في غيرهما ممّن جاءوا بعدهما بشيء من المدح و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الرجل و إن كان حسن النيّة لكنّه كان سيِّئ العمل لما ترتّبت على هذا العمل من التوالي الفاسدة، و لعلّ ندامته في آخر العمر لأجل ما رأى من المفاسد الّتي ترتّبت على هذه الفكرة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الحسن بن محمّد بن الحنفيّة هو الأصل في الإرجاء، فقد عرفت تاريخ حياته و أنّه قام بزرعه في الربع الأخير من القرن الأوّل، و على ذلك لا يصحّ ما نقله أحمد أمين المصري عن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هم الشكّاك الّذين شكّوا و كانوا في المغازي، فلمّا قدموا المدينة بعد قتل عثمان و كان عهدهم بالناس و أمرهم واحد، ليس بينهم اختلاف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تركناكم و أمركم </w:t>
      </w:r>
    </w:p>
    <w:p>
      <w:pPr>
        <w:pStyle w:val="BookText"/>
        <w:rPr/>
      </w:pPr>
      <w:r>
        <w:rPr>
          <w:rFonts w:ascii="Amiri" w:hAnsi="Amiri" w:eastAsia="Amiri" w:cs="Amiri"/>
          <w:color w:val="111111"/>
          <w:sz w:val="28"/>
          <w:sz w:val="28"/>
          <w:szCs w:val="28"/>
          <w:rtl w:val="true"/>
          <w:lang w:bidi="ar-SA"/>
        </w:rPr>
        <w:t>واحد ليس بينكم اختلاف، و قدمنا عليكم و أنتم مختلفون فبعضكم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مظلوماً، و كان أولى بالعدل أصحابه، و بعضكم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أولى بالحقّ، و أصحابه كلّهم ثقة و عندنا مصدّق، فنحن لا نتبرّأ منهما، و لا نلعنهما، و لا نشهد عليهما، و نرجئ أمرهما إلى اللّٰه حتّى يكون اللّٰه هو الذي يحكم بينهما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عثمان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استشهد الإمام أمير المؤمنين في شهر رمضان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مقتضى ما ذكره الدكتور، تكوّن الإرجاء في العقد الرابع من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يتّفق مع ذلك التاريخ المتضافر في أنّ أصل الإرجاء هو الحسن بن محمّد بن الحنفيّة لتأخّر عصره، و قد كان لوالده محمّد بن الحنفية يوم قتل عثمان من العمر خمس عشرة و يوم استشهد الإمام أمير المؤمنين عليه السلام عشرون سنة، و كان الحسن بن محمّد في أصلاب الآباء و أرحام الأُمّهات، و غاية ما يمكن أن يوجّه به هذا النقل، هو أنّ الأحوال الحاضرة بعد قتل الخليفتين و قدوم المسلمين الغزاة، أوجدت أرضيّة لتكوّن هذه الفكرة، و لكنّها كانت خاملة تدور في الذاكرة، و أوّل من أظهرها و طرحها بصورة علميّة و كتب فيها رسالة هو الحسن بن محمّد و لذلك قال عمّ عثمان بن ابراهيم بن حاطب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ليتخذنّ هؤلاء هذا الكلام إماماً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أبعد من هذا الكلام ما ذكره ذلك الكاتب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نواة هذه </w:t>
      </w:r>
    </w:p>
    <w:p>
      <w:pPr>
        <w:pStyle w:val="BookText"/>
        <w:rPr/>
      </w:pPr>
      <w:r>
        <w:rPr>
          <w:rFonts w:ascii="Amiri" w:hAnsi="Amiri" w:eastAsia="Amiri" w:cs="Amiri"/>
          <w:color w:val="111111"/>
          <w:sz w:val="28"/>
          <w:sz w:val="28"/>
          <w:szCs w:val="28"/>
          <w:rtl w:val="true"/>
          <w:lang w:bidi="ar-SA"/>
        </w:rPr>
        <w:t xml:space="preserve">الطائفة كانت موجودة في الصحابة في الصدر الأوّل، بحجّة أنّنا نرى أنّ جماعة من أصحاب رسول اللّٰه صلى الله عليه و آله و سلم امتنعوا أن يدخلوا في النزاع الذي كان في آخر عهد عثمان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بكرة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 القاعد فيها خير من الماشي</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أنّ من المحتمل أن يكون الحافز لمؤسّس هذه الفكرة، هو إيقاف الهجمة على جدّه أمير المؤمنين عليه السلام، و لكنّ العامل المؤثّر في نشوء هذه البذرة و نموّها هو اشتداد الدعاية من جانب الأمويين لتبرئة عثمان من الأحداث المؤلمة المنسوبة إليه، و تنزيه الناكثين و من انضمّت إليهم من أُمّهات المؤمنين في نقض البيعة، و الخروج على الإمام المفترض الطاعة، و إكثار الوقيعة في الإمام أمير المؤمنين عليه السلام، و قد أثّرت تلك الدعايات و الروايات الّتي كذبوا بها على لسان رسول اللّٰه صلى الله عليه و آله و سلم في بسطاء القوم و سذّاجهم بحيث أخذت تلك الأكاذيب صورة الحجاج، فلم يكن لهم بدّ أمام هذه الدعايات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الاجتهاد، و خرق الحجب، و شهود الحقائق بعين الفكر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الوقوف على الرأي الوسط و التوقّف عن التكلّم في حقّ هؤلاء، و إرجاء الأمر إلى اللّٰه، و الفرض الأوّل كان أمراً غير ميسور لبساطة الفهم و سذاجته، فصار الثاني متعيّناً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أحد المصريين حول الدعايات الفارغة بعد عهد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هنا و هناك تألّفت سلسلة الموضوعات و الخرافات و الأساطير الّتي ابتلى بها المسلمون، و انتشرت بينهم التلبيسات الملتوية و الشبه، فشوّهت جمال الشريعة المطهّرة، حتى أصبحت وبالاً على الدين، و شرّاً على المسلمين، و حائلاً دون نهضتهم و تقدّمهم، و عائقاً أمام الوصول إلى كثير من الحقائق التاريخيّة و العلميّة و الدينية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يعتقد الكاتب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المرجئة تكوّنت، بصورة حزب سياسي لا يريد أن يغمس يده في الفتن و لا يريق دماء حزبٍ، بل و لا يحكم بتخطئة فريق و تصويب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حدس لا أساس له، و لقد استنتجه ممّا نقلناه عنه سابقاً من أنّ فكرة الإرجاء ترجع إلى الغزاة القادمين إلى المدينة بعد قتل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أنّه لا ينطبق مع ما تضافر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فكرة الإرجاء نشأت في أحضان الدعايات الأُمويّة، و الفضائل المفتعلة لجملة من أصحاب النبي صلى الله عليه و آله و سلم فغشيت وجه الحقيقة، و عاقت البسطاء عن الخوض في الأبحاث الخطيرة، و اقتحام المعارك المدلهمّة، ممّا نقم به على هؤلاء من الطامّات و الأحداث و ما قيل في براءتهم، فتخيّل لهم أنّ الأصلح و الرأي الأوسط هو عدم الجنوح إلى جانب دون آخر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و إن كانوا غير معذورين في هذا الأمر، 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جانب الاحتياط في مقابل الناقمين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 الإرجاء هو التوقّف و ترك الكلام في حقّ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الأصل قد نسي في الآونة اللاحقة، و أخذ أصل آخر مكانه، بحيث لم يبق من الأصل الأوّل أثر بين المرجئة اللاحقة و فرقهم المختلفة، و هو البحث عن تحديد الإيمان و الكفر، و المؤمن و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تحديد الإيمان بالاقرار دون العمل، أو المعرفة القلبيّة دون القيام بالأركان، ركناً ركيناً لهذه الطائفة بحيث كلّما أطلقت المرجئة، لا يتبادر من هذه الكلمة إلّا من تبنّى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أنهاهم أبو الحسن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خاصّ إلى اثنتي عشرة طائفة اختلفوا في حقيقة الإيمان بعد اتّفاقهم على إبعاد العمل عن ساحته و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يوضح صحّة ما قلناه من أنّ الإرجاء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بصورة حزب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بصورة منهج فكري دينيّ التجأ إليه أصحابه، خضوعاً للدعايات الفارغة، و تسليماً لها، و بما أنّ الإرجاء على كلا الأصلين كان لصالح السلطة من الأمويين، كانت السلطة يومذاك تؤيّدهم لأنّ في تبنّي كل من الأصلين، صلاحهم و دعم عروشهم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الأوّل يدعو إلى أنّ الإنسان قاصر عن تشخيص المصيب و المخطئ، بل يترك أمر المخطئين إلى اللّٰه، و هذا التسليم هو نفس ما يطلبه أصحاب السلطة، حتّى يجتنب الناس عن القضاء في يزيد الخمور، و عبد الملك السفّاك، و عامله الحجّاج بن يوسف الثقفي، ممّن عاشوا قبل الفكرة </w:t>
      </w:r>
      <w:bookmarkStart w:id="186" w:name="pg11536_163924"/>
    </w:p>
    <w:p>
      <w:pPr>
        <w:pStyle w:val="BookText"/>
        <w:rPr/>
      </w:pPr>
      <w:bookmarkEnd w:id="186"/>
      <w:r>
        <w:rPr>
          <w:rFonts w:ascii="Amiri" w:hAnsi="Amiri" w:eastAsia="Amiri" w:cs="Amiri"/>
          <w:color w:val="111111"/>
          <w:sz w:val="28"/>
          <w:sz w:val="28"/>
          <w:szCs w:val="28"/>
          <w:rtl w:val="true"/>
          <w:lang w:bidi="ar-SA"/>
        </w:rPr>
        <w:t>أو بعدها، و سوّدوا صحيفة 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الثاني يعرب عن أنّ الشهادة اللّفظية بالتوحيد أو المعرفة القلبيّة يكفي في دخول الإنسان في عداد المؤمنين، فيحرم قتاله و نضاله بل تكون نفسه و ماله مصونين من الاعتداء، و هذا أيضا كان أُمنية الأمويين، إذ على ضوء ذلك، يكون يزيد الخمور و الحجّاج الظلوم من المؤمنين، و يكون دمهما و مالهما مصونين من الاعتداء</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907401_73709187"/>
      <w:bookmarkStart w:id="188" w:name="_Toc68"/>
      <w:bookmarkEnd w:id="187"/>
      <w:r>
        <w:rPr>
          <w:rtl w:val="true"/>
        </w:rPr>
        <w:t>عقيدة المرجئة</w:t>
      </w:r>
      <w:r>
        <w:rPr>
          <w:rtl w:val="true"/>
        </w:rPr>
        <w:t>:</w:t>
      </w:r>
      <w:bookmarkEnd w:id="188"/>
    </w:p>
    <w:p>
      <w:pPr>
        <w:pStyle w:val="BookText"/>
        <w:rPr/>
      </w:pPr>
      <w:r>
        <w:rPr>
          <w:rFonts w:ascii="Amiri" w:hAnsi="Amiri" w:eastAsia="Amiri" w:cs="Amiri"/>
          <w:color w:val="111111"/>
          <w:sz w:val="28"/>
          <w:sz w:val="28"/>
          <w:szCs w:val="28"/>
          <w:rtl w:val="true"/>
          <w:lang w:bidi="ar-SA"/>
        </w:rPr>
        <w:t>لا تجد للمرجئة رأياً خاصّاً في أبواب المعارف و العقائد سوى باب الإيمان و الكفر، فكلامهم يدور حول هذين الموضوعين و أُسّ نظريّتهم أنّ الإيمان هو التصديق بالقلب، أو التصديق بالقلب و الإقرار باللسان، أو ما يقرب من ذلك، فأخرجوا العمل من حقيقة الإيمان، و اكتفوا بالتصديق القلبي و نحوه و يترتّب على ذلك الأصل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لا يزيد و لا ينقص، لأنّ أمر التصديق دائر بين الوجود و العدم، و مثله تفسير الإيمان بالإقرار باللسان، فهو أيضاً كذلك و ليس العمل داخلاً في حقيقته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يكثر و يقلّ، و سيوافيك نظرنا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مرتكب الكبيرة مؤمن حقيقة، لكفاية التصديق القلبي أو الإقرار باللسان في الاتّصاف بالإيمان، و هؤلاء في هذه العقيدة يخالفون الخوارج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فلأنّهم يعدّون العمل عنصراً مؤثراً في الإيمان بحيث </w:t>
      </w:r>
    </w:p>
    <w:p>
      <w:pPr>
        <w:pStyle w:val="BookText"/>
        <w:rPr/>
      </w:pPr>
      <w:r>
        <w:rPr>
          <w:rFonts w:ascii="Amiri" w:hAnsi="Amiri" w:eastAsia="Amiri" w:cs="Amiri"/>
          <w:color w:val="111111"/>
          <w:sz w:val="28"/>
          <w:sz w:val="28"/>
          <w:szCs w:val="28"/>
          <w:rtl w:val="true"/>
          <w:lang w:bidi="ar-SA"/>
        </w:rPr>
        <w:t>يكون تارك العمل كافراً، و قد اشتهر عنهم بأنّ مرتكب الكبائر كافر، و ليس المؤمن إلّا من تحرّز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يعتقدون أنّ مرتكب الكبيرة في منزلة بين المنزلتين، لا 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أخفّ وطأة من الخوارج، و إن كانت الطائفتان مشتركتين في إدخال العمل في حقيقة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مرتكب الكبيرة لا يخلّد في النار و إن لم يتب، و لا يحكم عليه بالوعيد و العذاب قطعاً لاحتمال شمول عفوه سبحانه له، خلافاً للمعتزلة الّذين يرون أنّ صاحب الكبيرة يستحقّ العقوبة إذا لم يتب و إنّ من مات بلا توبة يدخل النّار، و قد كتبه اللّٰه على نفسه فلا يعفو</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عقيدة المرجئة عرضناها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تأثّر أهل السنّة ببعض هذه الفروع كالقول بعدم تخليد عصاة المؤمنين في النار، و جواز تخلّف الوعيد دون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هاهنا سؤال و هو أنّه إذا كانت حقيقة الإرجاء هو الاكتفاء في الحكم بالإيمان بالتصديق القلبي، أو الإقرار باللسان، فما هو الوجه في لعنهم و التبرّي منهم، إذ ليست هذه النظرية بمجرّدها سبباً للّعن و التحاشي و التبرّي بهذه الدرجة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إنّ التبرّي منهم ليس لأجل هذه النظرية، بل لأجل </w:t>
      </w:r>
    </w:p>
    <w:p>
      <w:pPr>
        <w:pStyle w:val="BookText"/>
        <w:rPr/>
      </w:pPr>
      <w:r>
        <w:rPr>
          <w:rFonts w:ascii="Amiri" w:hAnsi="Amiri" w:eastAsia="Amiri" w:cs="Amiri"/>
          <w:color w:val="111111"/>
          <w:sz w:val="28"/>
          <w:sz w:val="28"/>
          <w:szCs w:val="28"/>
          <w:rtl w:val="true"/>
          <w:lang w:bidi="ar-SA"/>
        </w:rPr>
        <w:t>أنهّم جرّدوا الأعمال من الإيمان و لم يعتقدوها من الفرائض</w:t>
      </w:r>
      <w:r>
        <w:rPr>
          <w:rStyle w:val="FootnoteAnchor"/>
          <w:rtl w:val="true"/>
        </w:rPr>
        <w:footnoteReference w:id="166"/>
      </w:r>
      <w:r>
        <w:rPr>
          <w:rFonts w:ascii="Amiri" w:hAnsi="Amiri" w:eastAsia="Amiri" w:cs="Amiri"/>
          <w:color w:val="111111"/>
          <w:sz w:val="28"/>
          <w:sz w:val="28"/>
          <w:szCs w:val="28"/>
          <w:rtl w:val="true"/>
          <w:lang w:bidi="ar-SA"/>
        </w:rPr>
        <w:t>و لم يتقيّدوا بها في مجال الفعل و الترك، و لأجل ذلك أصبح الإيمان عندهم يتلخّص في التصديق القلبي، و الإقرار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هذه العقيدة خاطئة جدّاً، إذ لو صحّت فعندئذ لا يتجاوز الإيمان عن التصديق القلبي أو الإقرار باللسان، فما أسهل الإسلام و أيسره لكلّ من انتسب إليه و لو انتساباً شكليّاً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المرجئة أنّ قاتل النفس بغير الحقّ، و سارق المال، و مخيف السبل، و مرتكب الزنا، و شارب الخمر، لا يقطع أنّهم من أهل النار، و إن ماتوا 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من أهل النار مخلّدون لا يجدون عنها حولاً، لأنّ اللّٰه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لَفِي جَحِيمٍ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لم يخصّ فاجراً عن فاجر،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عَنْهٰا بِغٰائِبِينَ</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يَغْفِرُ أَنْ يُشْرَكَ بِهِ وَ يَغْفِرُ مٰا </w:t>
      </w:r>
    </w:p>
    <w:p>
      <w:pPr>
        <w:pStyle w:val="BookText"/>
        <w:rPr/>
      </w:pPr>
      <w:r>
        <w:rPr>
          <w:rFonts w:ascii="Amiri" w:hAnsi="Amiri" w:eastAsia="Amiri" w:cs="Amiri"/>
          <w:color w:val="111111"/>
          <w:sz w:val="28"/>
          <w:sz w:val="28"/>
          <w:szCs w:val="28"/>
          <w:rtl w:val="true"/>
          <w:lang w:bidi="ar-SA"/>
        </w:rPr>
        <w:t>دُونَ ذٰلِكَ لِمَنْ يَشٰاءُ</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فالجواب أنّه تعالى 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المشيئة مغيّبة عنّا، إلى أن نعرفها بالأدلّة، 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(_</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فهو يكفّر الصغائر بتجنّب الكبائر، و الكبائر بالتوبة،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هنا وجه آخر للعنهم و هو يرجع إلى قولهم بالإرجاء بالمعنى الأوّل أعني التوقّف في أمر الإمام عليّ أمير المؤمنين عليه السلام و عدم الحكم بشيء فيه من الإيمان 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مصيبة أعظم من التوقّف في إيمان أخي رسول اللّٰه صلى الله عليه و آله و سلم و صنوه و وزيره، و هو الصدّيق الأكبر، و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كنت أتّبعه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الفصيل أثر أُمّه،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يجاور في كلّ سنة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فأراه و لا يراه غيري، و لم يجمع بيت واحد يومئذ في الإسلام غير رسول اللّٰه صلى الله عليه و آله و سلم 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في مثله يتوقّف الإنسان المنصف في الحكم بإيمانه؟</w:t>
      </w:r>
      <w:r>
        <w:rPr>
          <w:rFonts w:eastAsia="Amiri" w:cs="Amiri" w:ascii="Amiri" w:hAnsi="Amiri"/>
          <w:color w:val="111111"/>
          <w:sz w:val="28"/>
          <w:szCs w:val="28"/>
          <w:rtl w:val="true"/>
          <w:lang w:bidi="ar-SA"/>
        </w:rPr>
        <w:t xml:space="preserve">! </w:t>
      </w:r>
      <w:bookmarkStart w:id="189" w:name="pg11536_163928"/>
    </w:p>
    <w:p>
      <w:pPr>
        <w:pStyle w:val="BookText"/>
        <w:rPr/>
      </w:pPr>
      <w:bookmarkEnd w:id="189"/>
      <w:r>
        <w:rPr>
          <w:rFonts w:ascii="Amiri" w:hAnsi="Amiri" w:eastAsia="Amiri" w:cs="Amiri"/>
          <w:color w:val="111111"/>
          <w:sz w:val="28"/>
          <w:sz w:val="28"/>
          <w:szCs w:val="28"/>
          <w:rtl w:val="true"/>
          <w:lang w:bidi="ar-SA"/>
        </w:rPr>
        <w:t xml:space="preserve">فإن كنت لا تدري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تدري فالمصيبة أعظم</w:t>
      </w:r>
    </w:p>
    <w:p>
      <w:pPr>
        <w:pStyle w:val="BookText"/>
        <w:rPr/>
      </w:pPr>
      <w:r>
        <w:rPr>
          <w:rFonts w:ascii="Amiri" w:hAnsi="Amiri" w:eastAsia="Amiri" w:cs="Amiri"/>
          <w:color w:val="111111"/>
          <w:sz w:val="28"/>
          <w:sz w:val="28"/>
          <w:szCs w:val="28"/>
          <w:rtl w:val="true"/>
          <w:lang w:bidi="ar-SA"/>
        </w:rPr>
        <w:t>إذا عرفت هذا فلنرجع إلى تبيين حقيقة الإيمان و تحديده لغةً و كتاباً و سنّةً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907403_73709187"/>
      <w:bookmarkStart w:id="191" w:name="_Toc69"/>
      <w:bookmarkEnd w:id="190"/>
      <w:r>
        <w:rPr>
          <w:rtl w:val="true"/>
        </w:rPr>
        <w:t>آراء و نظريات حول الإيمان</w:t>
      </w:r>
      <w:r>
        <w:rPr>
          <w:rtl w:val="true"/>
        </w:rPr>
        <w:t>:</w:t>
      </w:r>
      <w:bookmarkEnd w:id="191"/>
    </w:p>
    <w:p>
      <w:pPr>
        <w:pStyle w:val="BookText"/>
        <w:rPr/>
      </w:pPr>
      <w:r>
        <w:rPr>
          <w:rFonts w:ascii="Amiri" w:hAnsi="Amiri" w:eastAsia="Amiri" w:cs="Amiri"/>
          <w:color w:val="111111"/>
          <w:sz w:val="28"/>
          <w:sz w:val="28"/>
          <w:szCs w:val="28"/>
          <w:rtl w:val="true"/>
          <w:lang w:bidi="ar-SA"/>
        </w:rPr>
        <w:t>اختلف العلماء في ماهيّة الإيمان و لهم أقوال أربعة نعرضها مع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هو معرفة اللّٰه بالقلب فقط، و إن أظهر اليهوديّة، و النصرانية، و سائر أنواع الكفر بلسانه، فإذا عرف اللّٰه بقلبه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الجهم بن صفوان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هو إقرار باللّسان باللّٰه تعالى و شريعته، و إن اعتقد الكفر بقلبه، فإذا فعل ذلك فهو مؤمن، و هو قول محمد بن كرّام السجستاني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معرفة بالقلب، و إقرار باللسان، و أنّ الأعمال ليست إيماناً، و لكنّها شرائع الإيمان، و هو قول جماعة من الفقهاء، و هو الأقوى كما سيوافيك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هو المعرفة بالقلب، و الإقرار باللسان، و العمل بالجوارح، و أنّ كلّ طاعة واجبة، بل الأعمّ منها و من النافلة فهي إيمان، و كلّما ازداد </w:t>
      </w:r>
      <w:bookmarkStart w:id="192" w:name="pg11536_163929"/>
    </w:p>
    <w:p>
      <w:pPr>
        <w:pStyle w:val="BookText"/>
        <w:rPr/>
      </w:pPr>
      <w:bookmarkEnd w:id="192"/>
      <w:r>
        <w:rPr>
          <w:rFonts w:ascii="Amiri" w:hAnsi="Amiri" w:eastAsia="Amiri" w:cs="Amiri"/>
          <w:color w:val="111111"/>
          <w:sz w:val="28"/>
          <w:sz w:val="28"/>
          <w:szCs w:val="28"/>
          <w:rtl w:val="true"/>
          <w:lang w:bidi="ar-SA"/>
        </w:rPr>
        <w:t>الإنسان عملاً، ازداد ايماناً، و كلّما نقص نقص إيمانه</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إليك تحليل الآراء و الأقوال</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3907405_73709187"/>
      <w:bookmarkStart w:id="194" w:name="_Toc70"/>
      <w:bookmarkEnd w:id="193"/>
      <w:r>
        <w:rPr>
          <w:rtl w:val="true"/>
        </w:rPr>
        <w:t>ما هو الإيمان لغةً و كتاباً</w:t>
      </w:r>
      <w:r>
        <w:rPr>
          <w:rtl w:val="true"/>
        </w:rPr>
        <w:t>:</w:t>
      </w:r>
      <w:bookmarkEnd w:id="194"/>
    </w:p>
    <w:p>
      <w:pPr>
        <w:pStyle w:val="BookText"/>
        <w:rPr/>
      </w:pPr>
      <w:r>
        <w:rPr>
          <w:rFonts w:ascii="Amiri" w:hAnsi="Amiri" w:eastAsia="Amiri" w:cs="Amiri"/>
          <w:color w:val="111111"/>
          <w:sz w:val="28"/>
          <w:sz w:val="28"/>
          <w:szCs w:val="28"/>
          <w:rtl w:val="true"/>
          <w:lang w:bidi="ar-SA"/>
        </w:rPr>
        <w:t xml:space="preserve">إنّ الإيمان لغة هو التصديق، و 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الأمن بمعنى سكون النفس و اطمئنانها لعدم وجود سبب الخوف، فحقيقة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أذعن به، و سكنت نفسه، و اطمأنّت بقبوله فيؤول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الحقيقة إلى السببية، و هو تارة يتعدّى بالباء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بِمٰا أَنْزَلْتَ</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 أُخرى باللام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الإيمان بمعنى التصديق لغة، فهل يكفي التصديق لساناً فقط، أو جناناً فقط، أو لا يكفي هذا و لا ذاك، بل يشترط الجمع، و الظّاهر من الكتاب العزيز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فالإيمان بمقتضى الآيات عبارة عن التّصديق بالقلب، الظّاهر باللسان، أو ما يقوم مقامه، و لا يكفي واحد منهما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التصديق القلبي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جَحَدُوا بِهٰا وَ اِسْتَيْقَنَتْهٰا أَنْفُسُهُمْ </w:t>
      </w:r>
    </w:p>
    <w:p>
      <w:pPr>
        <w:pStyle w:val="BookText"/>
        <w:rPr/>
      </w:pPr>
      <w:r>
        <w:rPr>
          <w:rFonts w:ascii="Amiri" w:hAnsi="Amiri" w:eastAsia="Amiri" w:cs="Amiri"/>
          <w:color w:val="111111"/>
          <w:sz w:val="28"/>
          <w:sz w:val="28"/>
          <w:szCs w:val="28"/>
          <w:rtl w:val="true"/>
          <w:lang w:bidi="ar-SA"/>
        </w:rPr>
        <w:t>ظُلْماً وَ عُلُوًّا</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جٰاءَهُمْ مٰا عَرَفُوا كَفَرُوا بِهِ</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فأثبت لليهود المعرفة و في الوقت نفسه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أنّ الاستيقان النفساني لا بدّ له من مظهر كالإقرار باللسان، أو الكتابة، أو الإشارة كما في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التّصديق القلبي، و لكنّ الإنكار باللسان مانع، فلو علم أنّه مذعن قلباً، و لم ينكره لساناً، لكفى في الحكم بالإيمان، كما كفى في تحقّقه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كفاية التصديق اللّساني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 الأعراب صدّقوا بألسنتهم، و أنكروه بقلوبهم أو شكّوا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جروا في توصيف أنفسهم بالإيمان على مقتضى اللّغة، و ادّعوا أنّهم مصدّقون قلباً و جناناً، فردّ اللّٰه عليهم بأنّهم مصدّقون لساناً، لا جناناً، و أسماهم مسلمين، و نفى كونهم مؤمنين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هذه الآيات يتبيّن فساد القولين الأوّلين و تظهر قوّة القول الثالث و هو كون الإيمان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التّصديق القلبي، لكنّ الكتاب العزيز دلّ على عدم كفاية التصديق القلبي و أنّه يشترط أن يكون معه إقرار أو ما يقوم </w:t>
      </w:r>
    </w:p>
    <w:p>
      <w:pPr>
        <w:pStyle w:val="BookText"/>
        <w:rPr/>
      </w:pPr>
      <w:r>
        <w:rPr>
          <w:rFonts w:ascii="Amiri" w:hAnsi="Amiri" w:eastAsia="Amiri" w:cs="Amiri"/>
          <w:color w:val="111111"/>
          <w:sz w:val="28"/>
          <w:sz w:val="28"/>
          <w:szCs w:val="28"/>
          <w:rtl w:val="true"/>
          <w:lang w:bidi="ar-SA"/>
        </w:rPr>
        <w:t>مقامه من الكتابة و الإشارة يدلّ على التسليم الباطني، و قد عرفت ما احتملناه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الأثر المترتّب على الإيمان بهذا المعنى في الدنيا، فهو حرمة دمه و عرضه و ماله إلّا أن يرتكب قتلاً أو يأتي 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الأثر المترتّب عليه في الآخرة فهو صحّة أعماله و استحقاق الثواب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الخلود في النار، و استحقاق العفو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السعادة الأُخرويّة فهي رهن العمل 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صدّق لساناً و جناناً، و لكن تجرّد عن العمل و الامتثال، فهو مؤمن فاسق، و ليس بكافر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هو في منزلة بين المنزلتين أي بين الايمان و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في النّجاة،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النار و يعذّب فيها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النقطة الّتي يفترق فيها أهل الحقّ عن المرجئة، فإنّهم يقولون إنّ التصديق لساناً أو جناناً أو معاً، يكفي في النجاة من النار و دخول الجنّة، و يثيرون في العصاة روح الطغيان على المُثل و الأخلاق، اعتماداً على أنّهم مؤمنين و إن فعلوا الكبائر و ارتكبوا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تحليل أدلّة سائر الأقوال على ضوء الأقوال الّتي سردناها في صدر البحث</w:t>
      </w:r>
      <w:r>
        <w:rPr>
          <w:rFonts w:eastAsia="Amiri" w:cs="Amiri" w:ascii="Amiri" w:hAnsi="Amiri"/>
          <w:color w:val="111111"/>
          <w:sz w:val="28"/>
          <w:szCs w:val="28"/>
          <w:rtl w:val="true"/>
          <w:lang w:bidi="ar-SA"/>
        </w:rPr>
        <w:t xml:space="preserve">. </w:t>
      </w:r>
      <w:bookmarkStart w:id="195" w:name="pg11536_163932"/>
    </w:p>
    <w:p>
      <w:pPr>
        <w:pStyle w:val="Heading3"/>
        <w:numPr>
          <w:ilvl w:val="2"/>
          <w:numId w:val="1"/>
        </w:numPr>
        <w:rPr/>
      </w:pPr>
      <w:bookmarkStart w:id="196" w:name="__RefHeading___Toc3907407_73709187"/>
      <w:bookmarkStart w:id="197" w:name="_Toc71"/>
      <w:bookmarkEnd w:id="195"/>
      <w:bookmarkEnd w:id="196"/>
      <w:r>
        <w:rPr>
          <w:rtl w:val="true"/>
        </w:rPr>
        <w:t>هل الإيمان هو التصديق القلبي؟</w:t>
      </w:r>
      <w:bookmarkEnd w:id="197"/>
    </w:p>
    <w:p>
      <w:pPr>
        <w:pStyle w:val="BookText"/>
        <w:rPr/>
      </w:pPr>
      <w:r>
        <w:rPr>
          <w:rFonts w:ascii="Amiri" w:hAnsi="Amiri" w:eastAsia="Amiri" w:cs="Amiri"/>
          <w:color w:val="111111"/>
          <w:sz w:val="28"/>
          <w:sz w:val="28"/>
          <w:szCs w:val="28"/>
          <w:rtl w:val="true"/>
          <w:lang w:bidi="ar-SA"/>
        </w:rPr>
        <w:t>استدلّ القائل بأنّ الإيمان هو التصديق القلبي مضافاً إلى ما مرّ من الآيات في صدر البحث</w:t>
      </w:r>
      <w:r>
        <w:rPr>
          <w:rStyle w:val="FootnoteAnchor"/>
          <w:rtl w:val="true"/>
        </w:rPr>
        <w:footnoteReference w:id="180"/>
      </w:r>
      <w:r>
        <w:rPr>
          <w:rFonts w:ascii="Amiri" w:hAnsi="Amiri" w:eastAsia="Amiri" w:cs="Amiri"/>
          <w:color w:val="111111"/>
          <w:sz w:val="28"/>
          <w:sz w:val="28"/>
          <w:szCs w:val="28"/>
          <w:rtl w:val="true"/>
          <w:lang w:bidi="ar-SA"/>
        </w:rPr>
        <w:t>بأنّ القرآن نزل بلسان عربيّ مبين، و خاطبنا اللّٰه بلغة العرب، و هو في اللغة التصديق، و العمل بالجوارح لا يسمّى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إثبات خروج العمل عن حقيقة الإيمان، و أمّا كون التصديق بالقلب كافياً في صدق الإيمان فلا يثبته، كيف و قد دلّت الآية على أنّ الجحد لساناً أو بغيره، و الاستيقان قلباً يوجب دخول الجاحد في عداد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ما يمكن أن يقال ما عرفت من أنّ التصديق القلبي كافٍ في تحقّق الايمان، و الجحد لساناً مانع، فلو تحقّق التصديق القلبي و لم يقترن بالجحد عناداً لكفى في كون الرجل مؤمناً ثبوتاً و واقعاً، و أمّا الحكم بكونه مؤمناً إثباتاً فيحتاج إلى إظهاره باللسان، أو بالعمل، أو العلم بكونه معتقداً بطريق من الطرق</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على هذا القول بوجهين</w:t>
      </w:r>
      <w:r>
        <w:rPr>
          <w:rFonts w:eastAsia="Amiri" w:cs="Amiri" w:ascii="Amiri" w:hAnsi="Amiri"/>
          <w:color w:val="111111"/>
          <w:sz w:val="28"/>
          <w:szCs w:val="28"/>
          <w:rtl w:val="true"/>
          <w:lang w:bidi="ar-SA"/>
        </w:rPr>
        <w:t xml:space="preserve">: </w:t>
      </w:r>
      <w:bookmarkStart w:id="198" w:name="pg11536_163933"/>
    </w:p>
    <w:p>
      <w:pPr>
        <w:pStyle w:val="BookText"/>
        <w:rPr/>
      </w:pPr>
      <w:bookmarkEnd w:id="19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في اللغة ليس هو التصديق، لأنّه لا يسمّى التصديق بالقلب دون التصديق باللسان إيماناً في لغة العرب، و ما قال قطّ عربيّ إنّ من صدّق شيئاً بقلبه فأعلن التكذيب بلسانه، أنّه يسمّى مصدّقاً به و لا مؤمناً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سمّي قطّ التصديق باللسان دون التصديق بالقلب إيماناً في لغة العرب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قالوه صحيحاً لوجب أن يطلق اسم الإيمان لكلّ من صدّق بشيء ما، و لكان من صدّق بإلهيّة الحلّاج و المسيح و الأوثان مؤمنين، لأنّهم مصدّقون بما صدّقوا به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الأوّل صحيح لو رجع إلى ما ذكرنا من كون الإنكار باللسان مانعاً، و إلّا فلو صدّق قلباً و لم ينكره بلسانه فهو مؤمن لغةً و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الحكم في مقام الإثبات يحتاج إلى الدليل من الإقرار باللسان، أو الكتابة باليد، أو الإشارة بالجوارح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فهو من الوهن بمكان لا يحتاج إلى البيان و كم لهذا الرجل من كلمات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ما في كتابه من بذاءة في الكلام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3907409_73709187"/>
      <w:bookmarkStart w:id="200" w:name="_Toc72"/>
      <w:bookmarkEnd w:id="199"/>
      <w:r>
        <w:rPr>
          <w:rtl w:val="true"/>
        </w:rPr>
        <w:t>هل الإيمان هو الإقرار باللسان؟</w:t>
      </w:r>
      <w:bookmarkEnd w:id="200"/>
    </w:p>
    <w:p>
      <w:pPr>
        <w:pStyle w:val="Heading4"/>
        <w:numPr>
          <w:ilvl w:val="3"/>
          <w:numId w:val="1"/>
        </w:numPr>
        <w:rPr/>
      </w:pPr>
      <w:bookmarkStart w:id="201" w:name="__RefHeading___Toc3907411_73709187"/>
      <w:bookmarkStart w:id="202" w:name="_Toc73"/>
      <w:bookmarkEnd w:id="201"/>
      <w:r>
        <w:rPr>
          <w:rtl w:val="true"/>
        </w:rPr>
        <w:t>اشارة</w:t>
      </w:r>
      <w:bookmarkEnd w:id="20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و أصحابه و من بعدهم، اتّفقوا على أنّ من أعلن بلسانه بشهادة الإسلام فإنّه عندهم مسلم محكوم له بحكم الإسلام</w:t>
      </w:r>
      <w:r>
        <w:rPr>
          <w:rFonts w:eastAsia="Amiri" w:cs="Amiri" w:ascii="Amiri" w:hAnsi="Amiri"/>
          <w:color w:val="111111"/>
          <w:sz w:val="28"/>
          <w:szCs w:val="28"/>
          <w:rtl w:val="true"/>
          <w:lang w:bidi="ar-SA"/>
        </w:rPr>
        <w:t xml:space="preserve">. </w:t>
      </w:r>
      <w:bookmarkStart w:id="203" w:name="pg11536_163934"/>
    </w:p>
    <w:p>
      <w:pPr>
        <w:pStyle w:val="BookText"/>
        <w:rPr/>
      </w:pPr>
      <w:bookmarkEnd w:id="203"/>
      <w:r>
        <w:rPr>
          <w:rFonts w:ascii="Amiri" w:hAnsi="Amiri" w:eastAsia="Amiri" w:cs="Amiri"/>
          <w:color w:val="111111"/>
          <w:sz w:val="28"/>
          <w:sz w:val="28"/>
          <w:szCs w:val="28"/>
          <w:rtl w:val="true"/>
          <w:lang w:bidi="ar-SA"/>
        </w:rPr>
        <w:t xml:space="preserve">أضف إليه قول رسول اللّٰه صلى الله عليه و آله و سلم في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اعتقها فإنّها مؤمنة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لهم بالإيمان كان بحسب الظّاهر لا الحكم بأنّه مؤمن عند اللّٰه واقعاً، و لذلك لو علم عدم مطابقة اللّسان مع الجنان يحكم عليه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يَقُولُ آمَنّٰا بِاللّٰهِ وَ بِالْيَوْمِ اَلْآخِرِ وَ مٰا هُمْ بِمُؤْمِنِينَ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الرسول و أصحابه مأمورين بالحكم بحسب الظاهر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يشهدوا أن لا إله الّا اللّٰه و يؤمنوا بما أُرسلت به، فإذا عصموا منّي دماؤهم و أموالهم إلّا بحقّها، و حسابهم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يظهر وجه حكمه صلى الله عليه و آله و سلم في السوداء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حزم عن خالد بن الوليد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رجل يقول بلسانه ما ليس في قلبه،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أُبعث لأشقّ عن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فساد القولين الأوّلين، و أنّ الحقّ هو القول الثالث، و عرفت الأثر المترتّب عليه، إنّما المهم هو نقد القول الرابع الّذي يجعل العمل جزءاً من الإيمان و إليك البحث فيه</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3907413_73709187"/>
      <w:bookmarkStart w:id="205" w:name="_Toc74"/>
      <w:bookmarkEnd w:id="204"/>
      <w:r>
        <w:rPr>
          <w:rtl w:val="true"/>
        </w:rPr>
        <w:t>ليس العمل جزءاً من الايمان</w:t>
      </w:r>
      <w:r>
        <w:rPr>
          <w:rtl w:val="true"/>
        </w:rPr>
        <w:t>:</w:t>
      </w:r>
      <w:bookmarkEnd w:id="20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المرجئة في جانب التفريط، فالخوارج المكفّرة لمرتكبي الكبائر، و المعتزلة القائلة بأنّ من فقد العمل، فهو في منزلة بين المنزلتين، لا </w:t>
      </w:r>
    </w:p>
    <w:p>
      <w:pPr>
        <w:pStyle w:val="BookText"/>
        <w:rPr/>
      </w:pPr>
      <w:r>
        <w:rPr>
          <w:rFonts w:ascii="Amiri" w:hAnsi="Amiri" w:eastAsia="Amiri" w:cs="Amiri"/>
          <w:color w:val="111111"/>
          <w:sz w:val="28"/>
          <w:sz w:val="28"/>
          <w:szCs w:val="28"/>
          <w:rtl w:val="true"/>
          <w:lang w:bidi="ar-SA"/>
        </w:rPr>
        <w:t>مؤمن و لا كافر، في جانب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الدعوة المؤكّدة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العمل جزءاً من الإيمان بل يعطفه عليه، و يراه كمالاً له، لا عنصراً دخيلاً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في ذلك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فالعطف يقتضي المغايرة، فلو كان العمل داخلاً فيه لزم التكرار، و احتمال كون المقام من قبيل ذكر الخاص بعد العام يحتاج إلى وجود نكتة لذكره بعده،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الصالحات جمع معرّف يشمل الفرض و النفل، و القائل بكون العمل جزءاً من الإيمان يريد بها خصوص فعل الواجبات و اجتناب المحرّمات، فحينئذ يصحّ عطف الخاص على العام لحصول المغايرة بين المعطوف و 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الآية تصلح دليلاً على ردّ مقالة من جعل مطلق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كان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يَعْمَلْ مِنَ اَلصّٰالِحٰاتِ وَ هُوَ مُؤْمِنٌ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 الجملة حالية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صالحاً حال كونه مؤمناً، و هذا يقتضي المغايرة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فأطلق المؤمن على الطائفة العاصية و قال ما هذا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إحدى الطائفتين من المؤمنين على الطائفة الأُخرى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المؤمن بلحاظ حال التلبّس أي بما أنّهم كانوا مؤمنين قبل القتال، لا بلحاظ حال الجري و التكلّم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الموصوفين بالإيمان، بالتقوى، أي الإتيان بالطاعات و الاجتناب عن المحرّمات، فدلّ على أنّ الإيمان يجتمع مع عدم التقوى و إلّا كان الأمر به لغواً و تحصيلاً للحاصل، إلّا أن يحمل الأمر على الاستدامة فيخرج عن كونه تحصيلاً للحاصل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الدالّة على كون القلب محلّاً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العمل جزءاً منه لما كان القلب محلاً لجميعه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قَلْبُهُ مُطْمَئِنٌّ بِالْإِيمٰانِ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الطبع و الختم، فإنّها تشعر بأنّ محلّ الإيمان هو القلب، و لأجل ذلك من طبع أو ختم على قلبه لا يؤمن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طَبَعَ اَللّٰهُ عَلىٰ قُلُوبِهِمْ</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خَتَمَ عَلىٰ سَمْعِهِ وَ قَلْبِهِ وَ جَعَلَ عَلىٰ بَصَرِهِ غِشٰاوَةً فَمَنْ يَهْدِيهِ مِنْ بَعْدِ اَللّٰهِ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الكتاب على أنّ الإيمان عبارة عن التصديق الظاهر بالإقرار باللّسان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كيف يكون محلّه هو القلب مع أنّ جزءاً منه الإظهار باللّسان و نحوه؟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الايمان لغة هو التّصديق قلباً، غاية الأمر دلّ الدليل على عدم كفايته إذا أنكره و جحده باللّسان و إن أذعن به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هو التصديق المورث للسكون و السكينة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الجاحد بلسانه لا تحصل له تلك الحالة و إن حصل له العلم، لكن ليس كلّ علم ملازماً للإيمان بل هو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فالإيمان هو المعرفة المورثة للسكون، الباعثة إلى التسليم، و لا تحصل تلك الحالة للجاحد الحاقد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مقتضى الكتاب، و يؤيّده الإجماع حيث جعلوا الإيمان شرطاً </w:t>
      </w:r>
    </w:p>
    <w:p>
      <w:pPr>
        <w:pStyle w:val="BookText"/>
        <w:rPr/>
      </w:pPr>
      <w:r>
        <w:rPr>
          <w:rFonts w:ascii="Amiri" w:hAnsi="Amiri" w:eastAsia="Amiri" w:cs="Amiri"/>
          <w:color w:val="111111"/>
          <w:sz w:val="28"/>
          <w:sz w:val="28"/>
          <w:szCs w:val="28"/>
          <w:rtl w:val="true"/>
          <w:lang w:bidi="ar-SA"/>
        </w:rPr>
        <w:t>لصحّة العبادات، و لا يكون الشيء شرطاً لصحّة 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فهناك روايات تدلّ على أنّ الإقرار المقترن بالعرفان،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بسند صحيح عن جعفر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يكون به العبد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 محمّداً عبده و رسوله، و يقرّ بالطّاعة، و يعرف إمام زمانه، فإذا فعل ذلك فهو مؤمن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زيادة الإيمان و نقصانه، فالظّاهر من المتكلّمين أنّ الإيمان لو كان هو التصديق فلا يزيد و لا ينقص، بخلاف ما لو جعلنا العمل جزءاً منه فهو يزيد و ينقص بزيادته و نقصانه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فهو على كلا القولين يزيد و ينقص، لأنّ التصديق ذو مراتب، و التسليم مثله ذو درجات، و ليس تسليم الرسول صلى الله عليه و آله و سلم و آله عليهم السلام للّٰه و لأحكامه و لفروضه و لسننه أو معرفتهم و إذعانهم، كتسليم و معرفة سائر الناس، و من أنكر ذلك فإنّما ينكره بلسانه و لكن قلبه مطمئنّ ببطلانه</w:t>
      </w:r>
      <w:r>
        <w:rPr>
          <w:rFonts w:eastAsia="Amiri" w:cs="Amiri" w:ascii="Amiri" w:hAnsi="Amiri"/>
          <w:color w:val="111111"/>
          <w:sz w:val="28"/>
          <w:szCs w:val="28"/>
          <w:rtl w:val="true"/>
          <w:lang w:bidi="ar-SA"/>
        </w:rPr>
        <w:t xml:space="preserve">. </w:t>
      </w:r>
      <w:bookmarkStart w:id="206" w:name="pg11536_163939"/>
    </w:p>
    <w:p>
      <w:pPr>
        <w:pStyle w:val="Heading3"/>
        <w:numPr>
          <w:ilvl w:val="2"/>
          <w:numId w:val="1"/>
        </w:numPr>
        <w:rPr/>
      </w:pPr>
      <w:bookmarkStart w:id="207" w:name="__RefHeading___Toc3907415_73709187"/>
      <w:bookmarkStart w:id="208" w:name="_Toc75"/>
      <w:bookmarkEnd w:id="206"/>
      <w:bookmarkEnd w:id="207"/>
      <w:r>
        <w:rPr>
          <w:rtl w:val="true"/>
        </w:rPr>
        <w:t>هل العمل جزء من الايمان؟</w:t>
      </w:r>
      <w:bookmarkEnd w:id="208"/>
    </w:p>
    <w:p>
      <w:pPr>
        <w:pStyle w:val="BookText"/>
        <w:rPr/>
      </w:pPr>
      <w:r>
        <w:rPr>
          <w:rFonts w:ascii="Amiri" w:hAnsi="Amiri" w:eastAsia="Amiri" w:cs="Amiri"/>
          <w:color w:val="111111"/>
          <w:sz w:val="28"/>
          <w:sz w:val="28"/>
          <w:szCs w:val="28"/>
          <w:rtl w:val="true"/>
          <w:lang w:bidi="ar-SA"/>
        </w:rPr>
        <w:t>احتجّ القائل بأنّ العمل جزء من الإيمان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حقيقة الإيمان هي التّصديق، لما قبل الزيادة و النقيصة، لأنّ التصديق أمره دائر بين الوجود 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لو كان العمل جزءاً من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يزيد و ينقص حسب زيادة العمل و نقيصته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الزيادة لا تكون إلّا في كمّية عدد لا في ما سواه، و لا عدد للاعتقاد و لا كمّية له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بمعنى الإذعان أمر مقول بالتشكيك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فلليقين مراتب، فيقين الإنسان بأنّ الاثنين نصف الأربع، يفارق يقينه في الشدّة و الظهور، بأنّ نور القمر مستفاد من الشمس، كما أنّ يقينه الثاني، يختلف عن يقينه بأنّ كلّ ممكن فهو زوج تركيبي له ماهيّة و وجود، و هكذا يتنزّل اليقين من القوّة إلى الضعف، إلى أن يصل إلى أضعف مراتبه الّذي لو تجاوز عنه لزال وصف اليقين، و وصل إلى حدّ الظنّ، و له أيضاً مثل اليقين درجات و مراتب، و يقين الإنسان بالقيامة و مشاهدها في هذه النشأة ليس كيقينه بعد الحشر و النشر، و مشاهدتها بأُمّ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كُنْتَ فِي غَفْلَةٍ مِنْ </w:t>
      </w:r>
    </w:p>
    <w:p>
      <w:pPr>
        <w:pStyle w:val="BookText"/>
        <w:rPr/>
      </w:pPr>
      <w:r>
        <w:rPr>
          <w:rFonts w:ascii="Amiri" w:hAnsi="Amiri" w:eastAsia="Amiri" w:cs="Amiri"/>
          <w:color w:val="111111"/>
          <w:sz w:val="28"/>
          <w:sz w:val="28"/>
          <w:szCs w:val="28"/>
          <w:rtl w:val="true"/>
          <w:lang w:bidi="ar-SA"/>
        </w:rPr>
        <w:t>هٰذٰا 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فمن ادّعى بأنّ أمر الإيمان بمعنى التصديق و الإذعان، دائر بين الوجود و العدم، فقد غفل عن حقيقته و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يصحّ لنا أن ندّعي أنّ إيمان الأنبياء بعالم الغيب، كإيمان الإنسان العادي، مع أنّ مصونيّتهم من العصيان و العدوان رهن علمهم بآثار المعاصي و عواقبه، الّذي يصدّهم عن اقتراف المعاصي و ارتكاب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إذعانهم كإذعان سائر الناس، لما تميّزوا بالعصمة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أنّ الزيادة تستعمل في كميّة العدد منقوض بآيات كثيرة استعملت الزيادة فيها في غير زيادة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صَرَّفْنٰا فِي هٰذَا اَلْقُرْآنِ لِيَذَّكَّرُوا وَ مٰا يَزِيدُهُمْ إِلاّٰ نُفُوراً</w:t>
      </w:r>
      <w:r>
        <w:rPr>
          <w:rFonts w:eastAsia="Amiri" w:cs="Amiri" w:ascii="Amiri" w:hAnsi="Amiri"/>
          <w:color w:val="111111"/>
          <w:sz w:val="28"/>
          <w:szCs w:val="28"/>
          <w:rtl w:val="true"/>
          <w:lang w:bidi="ar-SA"/>
        </w:rPr>
        <w:t>»</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شدّة خشوعهم و نفورهم، لا كثرة عددهما، إلى غير ذلك من الآيات الّتي استعمل فيها ذلك اللّفظ في القوّة و الشدّة لا الكثرة العدديّة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و إنّما عنى بذلك صلاتهم إلى بيت المقدس قبل أن تنسخ بالصّلاة إلى الكعبة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أعمّ من الحقيقة، و لا نشكّ في أنّ العمل أثر للإذعان و ردّ فعل له، و من الممكن أن يطلق السبب و يراد به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الكلام في أنّ الإيمان لغةً و كتاباً موضوع لشيء جزؤه العمل و هذا ممّا لا يثبته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أنّه لو أخذنا بظاهرها الحرفي، لزم أن يكون العمل نفس الإيمان لا جزءاً منه، و لم يقل به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مِمّٰا قَضَيْتَ وَ يُسَلِّمُوا تَسْلِيماً</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سبحانه بنفسه أنّهم لا يؤمنون إلّا بتحكيم النبي صلى الله عليه و آله و سلم و التسليم بالقلب و عدم وجدان الحرج في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التحكيم غير التصديق و التسليم، بل هو عمل خارجي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شأن نزول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يتركون النبي صلى الله عليه و آله و سلم و يرجعون في دعاويهم إلى الأحبار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يدّعون الإيمان بمعنى الإذعان و التسليم للنبي صلى الله عليه و آله و سلم، فنزلت الآية بأنّه لا يقبل منهم ذلك الادّعاء حتّى يرى أثره في حياتهم، و هو تحكيم النبيّ صلى الله عليه و آله و سلم في المرافعات، و التسليم العملي أمام قضائه، و عدم إحساسهم بالحرج ممّا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 متبادر من الآية و شأن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رَبِّكَ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لا يقبل ادّعاء الإيمان منهم إلّا عن ذلك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ثانية؛ إنّ الآية وردت في سياق الآيات الآمرة بإطاعة النّبي صلى الله عليه و آله و سلم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 المنافقون كانوا </w:t>
      </w:r>
    </w:p>
    <w:p>
      <w:pPr>
        <w:pStyle w:val="BookText"/>
        <w:rPr/>
      </w:pPr>
      <w:r>
        <w:rPr>
          <w:rFonts w:ascii="Amiri" w:hAnsi="Amiri" w:eastAsia="Amiri" w:cs="Amiri"/>
          <w:color w:val="111111"/>
          <w:sz w:val="28"/>
          <w:sz w:val="28"/>
          <w:szCs w:val="28"/>
          <w:rtl w:val="true"/>
          <w:lang w:bidi="ar-SA"/>
        </w:rPr>
        <w:t>يدّعون الإيمان، و في الوقت نفسه كانوا يتحاكمون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 أعلنت أنّ مجرّد التصديق لساناً ليس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الايمان تسليم تامّ باطني و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يستكشف ذلك التسليم التامّ، إلّا بالتسليم للرسول ظاهراً، و عدم التحرّج من حكم الرّسول باطناً، و آية ذلك ترك الرُّجوع إلى الطاغوت و رفع النزاع إلى النبي، و قبول حكمه بلا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من كون نفس التحكيم جزءاً من الإيمان؟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سمّى سبحانه تارك الحجّ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إمّا كفران النّعمة و أنّ ترك المأمور به كفران لنعمة الأمر، أو كفر الملة لأجل جحد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المشار إليه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جاء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إقامة الصلاة و إيتاء الزكاة، فدلّت هذه الآية على دخول العبادات في ماهية الدين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الدين، هو الإسلام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على ضوء هذا، فالعبادات داخلة في الدين حسب الآية الأُولى، و المراد من الدين هو الإسلام حسب الآية الثانية، فيثبت أنّ العبادات داخلة في الإسلام، و قد دلّ الدليل على وحدة الإسلام و الإيمان و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المبتغى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 فَلَنْ يُقْبَلَ مِنْهُ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 الإيمان أيضاً هو المبتغى، فيكون الإسلام و الإيمان متّحدين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 إِنْ كُنْتُمْ صٰادِقِينَ</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فجعل الإسلام مرادفاً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و قد أُريد من المؤمنين و المسلمين معنى واحداً، فهذه الآيات تدلّ على وحدة الإسلام و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الطاعات داخلة في الإسلام فتكون داخلة في الإيمان أيضاً لحديث الوحدة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المحتمل قوياً أن يكون المشار إليه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الجملة الأُولى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لِيَعْبُدُوا اَللّٰهَ </w:t>
      </w:r>
    </w:p>
    <w:p>
      <w:pPr>
        <w:pStyle w:val="BookText"/>
        <w:rPr/>
      </w:pPr>
      <w:r>
        <w:rPr>
          <w:rFonts w:ascii="Amiri" w:hAnsi="Amiri" w:eastAsia="Amiri" w:cs="Amiri"/>
          <w:color w:val="111111"/>
          <w:sz w:val="28"/>
          <w:sz w:val="28"/>
          <w:szCs w:val="28"/>
          <w:rtl w:val="true"/>
          <w:lang w:bidi="ar-SA"/>
        </w:rPr>
        <w:t>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جميع ما وقع بعدها من إقامة الصلاة و إيتاء الزكاة، 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 اَللّٰهَ مُخْلِصِينَ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إخلاص العبادة للّٰه، كإخلاص الطاعة</w:t>
      </w:r>
      <w:r>
        <w:rPr>
          <w:rStyle w:val="FootnoteAnchor"/>
          <w:rtl w:val="true"/>
        </w:rPr>
        <w:footnoteReference w:id="211"/>
      </w:r>
      <w:r>
        <w:rPr>
          <w:rFonts w:ascii="Amiri" w:hAnsi="Amiri" w:eastAsia="Amiri" w:cs="Amiri"/>
          <w:color w:val="111111"/>
          <w:sz w:val="28"/>
          <w:sz w:val="28"/>
          <w:szCs w:val="28"/>
          <w:rtl w:val="true"/>
          <w:lang w:bidi="ar-SA"/>
        </w:rPr>
        <w:t>له، و الشّاهد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دِينُ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المشار إليه في الجملة الأُولى هو الدين الحنيف الخالص عن الشرك، بإخلاص العبادة و الطاعة له سبحانه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كون العبادات داخلة في الإسلام حتّى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يَبْتَغِ غَيْرَ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المراد منه هو التسليم أمام اللّٰه و تشريعاته، بإخلاص العبادة و الطاعة له في مقام العمل دون غيره من الأوثان و الأصنام، و بهذا المعنى سمّي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 بهذا المعنى طلب يوسف من ربّه أن يميته مسلماً قال سبحانه حكاية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 وَ أَلْحِقْنِي بِالصّٰالِحِينَ</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إلى غير ذلك من الآيات الواردة حول إخلاص العبادة له، و التجنّب من الشّرك، فلو فرض أنّ العبادة داخلة في مفهوم </w:t>
      </w:r>
    </w:p>
    <w:p>
      <w:pPr>
        <w:pStyle w:val="BookText"/>
        <w:rPr/>
      </w:pPr>
      <w:r>
        <w:rPr>
          <w:rFonts w:ascii="Amiri" w:hAnsi="Amiri" w:eastAsia="Amiri" w:cs="Amiri"/>
          <w:color w:val="111111"/>
          <w:sz w:val="28"/>
          <w:sz w:val="28"/>
          <w:szCs w:val="28"/>
          <w:rtl w:val="true"/>
          <w:lang w:bidi="ar-SA"/>
        </w:rPr>
        <w:t>الدين، فلا دليل على دخولها في مفهوم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الإسلام و الإيمان بمعنى واحد، فالظاهر من الذكر الحكيم اختلافهما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فلو استعمل الإسلام أو المسلمين و أُريد منهما الإيمان و المؤمنين في مورد أو موردين، فهو لوجود قرينة تدلّ على أنّ المراد من العامّ 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الآيات الّتي جمعها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 لا دلالة فيها على ما يرتئيه، و الاستدلال بهذه الآيات يدلّ على أنّ الرّجل ظاهريّ المذهب إلى النهاية يتعبّد بحرفيّة الظواهر، و لا يتأمّل في القرائن الحافّة بالكلام و 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روايات عن أئمّة أهل البيت عليهم السلام تعرب عن كون العمل جزءاً من الإيمان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الكراجكي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و أنّ محمّداً رسول اللّٰه كان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فرائض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الإيمان كلاماً لم ينزل فيه صوم، و لا صلاة، و لا حلال، و لا 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أن لا إله إلّا اللّٰه و أنّ محمّداً رسول اللّٰه فهو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يضربون الحدود؟ و لم تقطع أيديهم؟ و ما خلق اللّٰه عزّ و جلّ خلقاً أكرم على اللّٰه عزّ و جلّ من المؤمن، لأنّ الملائكة خدّام المؤمنين و أنّ جوار اللّٰه للمؤمنين، و أنّ الجنّة للمؤمنين، و أنّ الحور العين للمؤمنين،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من جحد الفرائض كان كافراً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تركها عمداً بلا عذر، لا جحدها قلباً و إلّا لما صلح للاستدلال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تخرج من الإيمان؟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ما دون الكبائر،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w:t>
      </w:r>
    </w:p>
    <w:p>
      <w:pPr>
        <w:pStyle w:val="BookText"/>
        <w:rPr/>
      </w:pPr>
      <w:r>
        <w:rPr>
          <w:rFonts w:ascii="Amiri" w:hAnsi="Amiri" w:eastAsia="Amiri" w:cs="Amiri"/>
          <w:color w:val="111111"/>
          <w:sz w:val="28"/>
          <w:sz w:val="28"/>
          <w:szCs w:val="28"/>
          <w:rtl w:val="true"/>
          <w:lang w:bidi="ar-SA"/>
        </w:rPr>
        <w:t>الزاني و هو مؤمن، و لا يسرق السارق و هو مؤمن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قيس الماصر و عمر بن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معهما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جعفر عليه السلام، فتكلّم ابن قيس الماصر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نخرج أهل دعوتنا و أهل ملّتنا من الإيمان في المعاصي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قيس أمّا رسول اللّٰه صلى الله عليه و آله و سلم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و هو مؤمن، و لا يسرق السارق و هو مؤمن، فاذهب أنت و أصحابك حيث شئت</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الرضا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معرفة بالقلب، و إقرار باللسان، و عمل بالأركان</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إلى غير ذلك من الروايات الّتي جمعها العلاّمة المجلسي قدس سره في بحاره،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مبثوث على الجوارح</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وردت لغاية ردّ المرجئة الّتي تكتفي في الحياة الدينية بالقول و المعرفة، و تؤخّر العمل و ترجو رحمته و غفرانه مع عدم القيام بالوظائف، و قد تضافر عن أئمّة أهل البيت عليهم السلام لعن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القدريّة، لعن اللّٰه الخوارج، لعن اللّٰه المرجئة، لعن اللّٰه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لعنت هؤلاء مرّة مرّة و لعنت هؤلاء مرّتين؟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قَتَلَتَنا مؤمنون، فدماؤنا متلطّخة بثيابهم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حكى عن قوم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نُؤْمِنَ لِرَسُولٍ حَتّٰى يَأْتِيَنٰا بِقُرْبٰانٍ تَأْكُلُهُ اَلنّٰارُ 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القاتلين </w:t>
      </w:r>
    </w:p>
    <w:p>
      <w:pPr>
        <w:pStyle w:val="BookText"/>
        <w:rPr/>
      </w:pPr>
      <w:r>
        <w:rPr>
          <w:rFonts w:ascii="Amiri" w:hAnsi="Amiri" w:eastAsia="Amiri" w:cs="Amiri"/>
          <w:color w:val="111111"/>
          <w:sz w:val="28"/>
          <w:sz w:val="28"/>
          <w:szCs w:val="28"/>
          <w:rtl w:val="true"/>
          <w:lang w:bidi="ar-SA"/>
        </w:rPr>
        <w:t>و القائلين خمسمائة عام فألزمهم اللّٰه القتل برضاهم ما فعلوا</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 روى أيضاً عن أبي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 عن أهل البصرة ما 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مرجئة و قدريّة و حروريّة،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تلك الملل الكافرة المشركة الّتي لا تعبد اللّٰه على شيء</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إلى غير ذلك من الرِّوايات الواردة في ذمّ هذه الفرقة الّتي كانت تثير روح العصيان و التمرّد على الأخلاق و المثل بين الشباب، و تحرّضهم على اقتراف الذنوب و المعاصي رجاء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من ملاحظة مجموع الأدلّة، هو أنّ الايمان ذو مراتب و درجات، و لكل أثره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التصديق بالعقائد الحقّة، و قد عرفت ثمرته و هي حرمة دمه و عرضه و ماله، و به يناط صحّة الأعمال و استحقاق الثّواب، و عدم الخلود في النار، و استحقاق العفو و الشفاعة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التصديق بها مع الاتيان بالفرائض الّتي ثبت وجوبها بالدليل القطعي كالقرآن، و ترك الكبائر الّتي أوعد اللّٰه عليها النار، و بهذا المعنى أطلق الكافر على تارك الصلاة، و مانع الزكاة، و تارك الحجّ، و عليه ورد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و هو مؤمن، و لا يسرق السارق 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ثمرة هذا الإيمان عدم استحقاق الإذلال و الإهانة و العذاب في الدنيا و الآخرة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التصديق بها مع القيام بفعل جميع الواجبات و ترك جميع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ثمرته اللّحوق بالمقرّبين، و الحشر مع الصديقين و تضاعف المثوبات، و رفع الدرجات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نفس ما ذكر في الدرجة الثالثة لكن بإضافة القيام بفعل المندوبات، و ترك المكروهات، بل بعض المباحات، و هذا يختصّ بالأنبياء و الأوصياء</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يعرب عن كون الإيمان ذا درجات و مراتب، ما رواه الكليني عن أبي عمرو الزبيري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 الإيمان؟ أقول هو و عمل، أم قول بلا عمل؟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عمل كلّه، و القول بعض ذلك العمل، بفرض من اللّٰه بيّن في كتابه، واضح نوره، ثابتة حجّته، يشهد له به الكتاب، و يدعوه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جعلت فداك حتّى أفهمه،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حالات و درجات و طبقات، 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المنتهى تمامه، و منه الناقص البيّن نقصانه، و منه الراجح الزائد رجحانه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 ينقص و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تبارك و تعالى فرض الإيمان على جوارح ابن آدم و قسّمه عليها و فرّقه فيها، فليس من جوارحه جارحة إلّا و قد وكلت من الإيمان بغير ما وكلت به أُختها</w:t>
      </w:r>
      <w:r>
        <w:rPr>
          <w:rFonts w:eastAsia="Amiri" w:cs="Amiri" w:ascii="Amiri" w:hAnsi="Amiri"/>
          <w:color w:val="111111"/>
          <w:sz w:val="28"/>
          <w:szCs w:val="28"/>
          <w:rtl w:val="true"/>
          <w:lang w:bidi="ar-SA"/>
        </w:rPr>
        <w:t>...».</w:t>
      </w:r>
      <w:r>
        <w:rPr>
          <w:rStyle w:val="FootnoteAnchor"/>
          <w:rtl w:val="true"/>
        </w:rPr>
        <w:footnoteReference w:id="226"/>
      </w:r>
      <w:bookmarkStart w:id="209" w:name="pg11536_163950"/>
    </w:p>
    <w:p>
      <w:pPr>
        <w:pStyle w:val="BookText"/>
        <w:rPr/>
      </w:pPr>
      <w:bookmarkEnd w:id="209"/>
      <w:r>
        <w:rPr>
          <w:rFonts w:ascii="Amiri" w:hAnsi="Amiri" w:eastAsia="Amiri" w:cs="Amiri"/>
          <w:color w:val="111111"/>
          <w:sz w:val="28"/>
          <w:sz w:val="28"/>
          <w:szCs w:val="28"/>
          <w:rtl w:val="true"/>
          <w:lang w:bidi="ar-SA"/>
        </w:rPr>
        <w:t>و يعرب عنه أيضاً ما رواه الصدوق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الايمان بالتحلّي، و لا بالتمنّي، و لكنّ الإيمان ما خلص في القلب، و صدّقه الأعمال</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المراد بالتحلّي التزيّن بالأعمال من غير يقين بالقلب، كما أنّ المراد من التمنّي هو تمنّي النجاة بمحض العقائد من غير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ما رواه النعماني في كتاب القرآن عن أمير المؤمنين عليه السلام شواهد على ذلك التقسيم</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210" w:name="__RefHeading___Toc3907417_73709187"/>
      <w:bookmarkStart w:id="211" w:name="_Toc76"/>
      <w:bookmarkEnd w:id="210"/>
      <w:r>
        <w:rPr>
          <w:rtl w:val="true"/>
        </w:rPr>
        <w:t>خاتمة المطاف</w:t>
      </w:r>
      <w:bookmarkEnd w:id="211"/>
    </w:p>
    <w:p>
      <w:pPr>
        <w:pStyle w:val="Heading4"/>
        <w:numPr>
          <w:ilvl w:val="3"/>
          <w:numId w:val="1"/>
        </w:numPr>
        <w:rPr/>
      </w:pPr>
      <w:bookmarkStart w:id="212" w:name="__RefHeading___Toc3907419_73709187"/>
      <w:bookmarkStart w:id="213" w:name="_Toc77"/>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إنّ البحث في أنّ العمل هل هو داخل في الإيمان أم لا، و إن كان مهمّاً قابلاً للمعالجة في ضوء الكتاب و السنّة، كما عالجناه، إلّا أنّ للبحث وجهاً آخر لا تقلّ أهميته عن الوجه الأوّل و هو تحديد موضوع ما نطلبه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الدليل على أنّ الموضوع لهذا الأثر أو لهذه الآثار هو نفس الاعتقاد الجازم، أو هو مع العمل، يجب علينا أن نتّبعه سواء أصدق الإيمان على المجرّد أم لا؟ سواء كان العمل عنصراً مقوّماً أم لا؟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إنّ حقن الدماء و حرمة الأعراض و الأموال يترتّب على الإقرار باللسان سواء أ كان مذعناً في القلب أم لا، ما لم تعلم مخالفة اللسان مع </w:t>
      </w:r>
    </w:p>
    <w:p>
      <w:pPr>
        <w:pStyle w:val="BookText"/>
        <w:rPr/>
      </w:pP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كلّ عربيّ و عجميّ و أعرابيّ و قرويّ أقرّ بالشهادتين عند الرسول الأكرم صلى الله عليه و آله و سلم حكم عليه بحقن دمه و احترام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أُقاتل الناس حتّى يقولوا لا إله إلّا اللّٰه، فإذا قالوها فقد حرم عليّ دماؤهم و أموالهم</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الآثار لا تتطلّب أزيد من الإقرار باللّسان ما لم تعلم مخالفته للجنان، سواء أصحّ كونه مؤمناً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هذه من الآثار التي نعبّر عنه بالسعادة الأُخروية فلا شكّ أنّها رهن العمل، و أنّ مجرّد الاعتقاد و الإقرار باللسان لا يسمن و لا يغنى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يظهر بالرجوع إلى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ثُمَّ لَمْ يَرْتٰابُوا وَ جٰاهَدُوا بِأَمْوٰالِهِمْ وَ أَنْفُسِهِمْ فِي سَبِيلِ اَللّٰهِ أُولٰئِكَ هُمُ اَلصّٰادِقُونَ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أنّه ينفي الإيمان عن غير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المراد منه، الإيمان المؤثّر في السعادة الأُخرويّة، و 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 الإسلام هو التسليم، و التسليم هو اليقين، و اليقين هو التصديق، و التصديق هو الإقرار، و الإقرار هو الأداء، و الأداء هو العمل</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فالإمام عليه السلام بصدد بيان الإسلام الناجع في الحياة الأُخروية، و لأجل </w:t>
      </w:r>
      <w:bookmarkStart w:id="214" w:name="pg11536_163952"/>
    </w:p>
    <w:p>
      <w:pPr>
        <w:pStyle w:val="BookText"/>
        <w:rPr/>
      </w:pPr>
      <w:bookmarkEnd w:id="214"/>
      <w:r>
        <w:rPr>
          <w:rFonts w:ascii="Amiri" w:hAnsi="Amiri" w:eastAsia="Amiri" w:cs="Amiri"/>
          <w:color w:val="111111"/>
          <w:sz w:val="28"/>
          <w:sz w:val="28"/>
          <w:szCs w:val="28"/>
          <w:rtl w:val="true"/>
          <w:lang w:bidi="ar-SA"/>
        </w:rPr>
        <w:t>ذلك فسّره نهايةً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الإسلام الّذي ينسلك به الإنسان في عداد المسلمين، و يحكم له و عليه ظاهراً ما يحكم للسائرين من المسلمين، تكفي فيه الشهادة باللّفظ ما لم تعلم المخالفة بالقلب، و على ذلك جرت سيرة النبيّ صلى الله عليه و آله و سلم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أوصلَنا السبر و الدقّة إلى تحديد الإيمان فهو المطلوب، و إلّا فالمهمّ هو النظر إلى الآثار المطلوبة و تحديد موضوعاتها حسب الأدلّة، سواء أصدق عليه الإيمان أم لا، سواء أدخل العمل في حقيقته أم لا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ذكرناه هنا عجالة، و سوف نميط الستر عن وجه الحقيقة عند البحث عن عقيدة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مرتكب الكبيرة، و نحدّد مفهوم الإيمان في ضوء الكتاب و السنّة</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3907421_73709187"/>
      <w:bookmarkStart w:id="216" w:name="_Toc78"/>
      <w:bookmarkEnd w:id="215"/>
      <w:r>
        <w:rPr>
          <w:rtl w:val="true"/>
        </w:rPr>
        <w:t>المرجئة و الفرق الأُخرى</w:t>
      </w:r>
      <w:r>
        <w:rPr>
          <w:rtl w:val="true"/>
        </w:rPr>
        <w:t>:</w:t>
      </w:r>
      <w:bookmarkEnd w:id="21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يتصوّر بادئ بدء أنّ المرجئة كسائر الطوائف لهم آراء في جميع المجالات الكلاميّة، خاصّة بهم، يفترقون بها عن غيرهم، و لكن سرعان ما يتبيّن له أنّ الأصل المقوّم للمرجئة هو مسألة تحديد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الموضوعات الأُخرى فليس لهم فيها رأي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تفرّقوا في آخر أمرهم إلى فرق متبدّدة و متضادّة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مرجئياً يتّبع منهج الخوارج، و مرجئياً آخر يقتفي أثر القدريّة، و ثالثاً يشايع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هذا إلّا لأنّ الإرجاء قام على أصل واحد و هو تحديد الإيمان بالإقرار أو باللسان أو </w:t>
      </w:r>
    </w:p>
    <w:p>
      <w:pPr>
        <w:pStyle w:val="BookText"/>
        <w:rPr/>
      </w:pPr>
      <w:r>
        <w:rPr>
          <w:rFonts w:ascii="Amiri" w:hAnsi="Amiri" w:eastAsia="Amiri" w:cs="Amiri"/>
          <w:color w:val="111111"/>
          <w:sz w:val="28"/>
          <w:sz w:val="28"/>
          <w:szCs w:val="28"/>
          <w:rtl w:val="true"/>
          <w:lang w:bidi="ar-SA"/>
        </w:rPr>
        <w:t>المعرفة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الأُصول الأُخرى فليس لهم فيها رأي خاصّ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هذا سبباً لذوبانهم في الفرق الأُخرى و تفرّقوا على الفرق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مرجئة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مرجئة القدرية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مرجئة الجبرية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المرجئة الخالصة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الطوائف بعضها بالنسبة إلى بعض على نقيض، فمرجئة القدريّة تقول بالاختيار و الحريّة للإنسان، و مرجئة الجبريّة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فالطائفتان تستظلّان تحت سقف واحد، و هو الإرجاء، و إن اختلفوا في سائر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يوجد هناك مرجئة خالصة لم يتكلّموا بشيء في بقيّة المسائل و ذكر الشهرستاني لهم طوائف ستّ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الشعبانيّة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التومينية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الصالحيّة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لم يتكلّموا إلّا في الإرجاء و اختلفوا في تحديد الإيمان بعد </w:t>
      </w:r>
      <w:bookmarkStart w:id="217" w:name="pg11536_163954"/>
    </w:p>
    <w:p>
      <w:pPr>
        <w:pStyle w:val="BookText"/>
        <w:rPr/>
      </w:pPr>
      <w:bookmarkEnd w:id="217"/>
      <w:r>
        <w:rPr>
          <w:rFonts w:ascii="Amiri" w:hAnsi="Amiri" w:eastAsia="Amiri" w:cs="Amiri"/>
          <w:color w:val="111111"/>
          <w:sz w:val="28"/>
          <w:sz w:val="28"/>
          <w:szCs w:val="28"/>
          <w:rtl w:val="true"/>
          <w:lang w:bidi="ar-SA"/>
        </w:rPr>
        <w:t>إخراج العمل منه، و تركوا البحث عن سائر الموضوعات، بخلاف الطوائف الثلاث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اشتركوا في الإرجاء و اختلفوا في سائر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مرجئيّ سلك مسلك الخوارج، يبغض عثماناً و عليّاً، و يناضل ضدّ الحكّام، إلى آخر يتفيّأ بفيء القدريّة يحترم الخلفاء الأربع، و يرى الإنسان فاعلاً مختاراً و فعله متعلّقاً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ثالث يركب مطيّة الجبر و يرى الإنسان أداة طيّعة للقضاء و القدر</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907423_73709187"/>
      <w:bookmarkStart w:id="219" w:name="_Toc79"/>
      <w:bookmarkEnd w:id="218"/>
      <w:r>
        <w:rPr>
          <w:rtl w:val="true"/>
        </w:rPr>
        <w:t>شعراء المرجئة</w:t>
      </w:r>
      <w:r>
        <w:rPr>
          <w:rtl w:val="true"/>
        </w:rPr>
        <w:t>:</w:t>
      </w:r>
      <w:bookmarkEnd w:id="219"/>
    </w:p>
    <w:p>
      <w:pPr>
        <w:pStyle w:val="BookText"/>
        <w:rPr/>
      </w:pPr>
      <w:r>
        <w:rPr>
          <w:rFonts w:ascii="Amiri" w:hAnsi="Amiri" w:eastAsia="Amiri" w:cs="Amiri"/>
          <w:color w:val="111111"/>
          <w:sz w:val="28"/>
          <w:sz w:val="28"/>
          <w:szCs w:val="28"/>
          <w:rtl w:val="true"/>
          <w:lang w:bidi="ar-SA"/>
        </w:rPr>
        <w:t>قد وجد بين المرجئة شعراء عبّروا عن عقيدتهم في قصائدهم و نذكر هنا شاعرين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ثابت بن قطنة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صحابة يزيد بن المهلّب يولّيه أعمالاً من أعمال الثغور، و قد روى أبو الفرج الأصفهاني قصيدة له في أغانيه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هند فاستمعي لي أنّ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نعبد اللّٰه لم نشرك به أحداً</w:t>
      </w:r>
    </w:p>
    <w:p>
      <w:pPr>
        <w:pStyle w:val="BookText"/>
        <w:rPr/>
      </w:pPr>
      <w:r>
        <w:rPr>
          <w:rFonts w:ascii="Amiri" w:hAnsi="Amiri" w:eastAsia="Amiri" w:cs="Amiri"/>
          <w:color w:val="111111"/>
          <w:sz w:val="28"/>
          <w:sz w:val="28"/>
          <w:szCs w:val="28"/>
          <w:rtl w:val="true"/>
          <w:lang w:bidi="ar-SA"/>
        </w:rPr>
        <w:t xml:space="preserve">نرجئ الأُمور إذا كانت مشبهة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نصدق القول فيمن جار أو عندا</w:t>
      </w:r>
    </w:p>
    <w:p>
      <w:pPr>
        <w:pStyle w:val="BookText"/>
        <w:rPr/>
      </w:pPr>
      <w:r>
        <w:rPr>
          <w:rFonts w:ascii="Amiri" w:hAnsi="Amiri" w:eastAsia="Amiri" w:cs="Amiri"/>
          <w:color w:val="111111"/>
          <w:sz w:val="28"/>
          <w:sz w:val="28"/>
          <w:szCs w:val="28"/>
          <w:rtl w:val="true"/>
          <w:lang w:bidi="ar-SA"/>
        </w:rPr>
        <w:t xml:space="preserve">المسلمون على الاسلام كلّهموا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المشركون استووا في دينهم قددا</w:t>
      </w:r>
    </w:p>
    <w:p>
      <w:pPr>
        <w:pStyle w:val="BookText"/>
        <w:rPr/>
      </w:pPr>
      <w:r>
        <w:rPr>
          <w:rFonts w:ascii="Amiri" w:hAnsi="Amiri" w:eastAsia="Amiri" w:cs="Amiri"/>
          <w:color w:val="111111"/>
          <w:sz w:val="28"/>
          <w:sz w:val="28"/>
          <w:szCs w:val="28"/>
          <w:rtl w:val="true"/>
          <w:lang w:bidi="ar-SA"/>
        </w:rPr>
        <w:t xml:space="preserve">و لا أرى أنّ ذنباً بالغ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النّاس شركا إذا ما وحّدوا الصمدا</w:t>
      </w:r>
    </w:p>
    <w:p>
      <w:pPr>
        <w:pStyle w:val="BookText"/>
        <w:rPr/>
      </w:pPr>
      <w:r>
        <w:rPr>
          <w:rFonts w:ascii="Amiri" w:hAnsi="Amiri" w:eastAsia="Amiri" w:cs="Amiri"/>
          <w:color w:val="111111"/>
          <w:sz w:val="28"/>
          <w:sz w:val="28"/>
          <w:szCs w:val="28"/>
          <w:rtl w:val="true"/>
          <w:lang w:bidi="ar-SA"/>
        </w:rPr>
        <w:t xml:space="preserve">لا نسفك الدم إلّا أن يراد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طريقاً واحداً جددا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يتّق اللّٰه في الدنيا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التقيّ إذا وفّى الحساب غدا </w:t>
      </w:r>
      <w:bookmarkStart w:id="220" w:name="pg11536_163955"/>
    </w:p>
    <w:p>
      <w:pPr>
        <w:pStyle w:val="BookText"/>
        <w:rPr/>
      </w:pPr>
      <w:bookmarkEnd w:id="220"/>
      <w:r>
        <w:rPr>
          <w:rFonts w:ascii="Amiri" w:hAnsi="Amiri" w:eastAsia="Amiri" w:cs="Amiri"/>
          <w:color w:val="111111"/>
          <w:sz w:val="28"/>
          <w:sz w:val="28"/>
          <w:szCs w:val="28"/>
          <w:rtl w:val="true"/>
          <w:lang w:bidi="ar-SA"/>
        </w:rPr>
        <w:t xml:space="preserve">و ما قضى اللّٰه من أمر فليس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و ما يقض من شيء يكن رشدا</w:t>
      </w:r>
    </w:p>
    <w:p>
      <w:pPr>
        <w:pStyle w:val="BookText"/>
        <w:rPr/>
      </w:pPr>
      <w:r>
        <w:rPr>
          <w:rFonts w:ascii="Amiri" w:hAnsi="Amiri" w:eastAsia="Amiri" w:cs="Amiri"/>
          <w:color w:val="111111"/>
          <w:sz w:val="28"/>
          <w:sz w:val="28"/>
          <w:szCs w:val="28"/>
          <w:rtl w:val="true"/>
          <w:lang w:bidi="ar-SA"/>
        </w:rPr>
        <w:t xml:space="preserve">كلّ الخوارج مُخطٍ في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تعبّد فيما قال و اجتهدا</w:t>
      </w:r>
    </w:p>
    <w:p>
      <w:pPr>
        <w:pStyle w:val="BookText"/>
        <w:rPr/>
      </w:pPr>
      <w:r>
        <w:rPr>
          <w:rFonts w:ascii="Amiri" w:hAnsi="Amiri" w:eastAsia="Amiri" w:cs="Amiri"/>
          <w:color w:val="111111"/>
          <w:sz w:val="28"/>
          <w:sz w:val="28"/>
          <w:szCs w:val="28"/>
          <w:rtl w:val="true"/>
          <w:lang w:bidi="ar-SA"/>
        </w:rPr>
        <w:t xml:space="preserve">أمّا عليّ و عثمان فانّهما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عبدان لم يشركا باللّٰه مذ عبدا</w:t>
      </w:r>
    </w:p>
    <w:p>
      <w:pPr>
        <w:pStyle w:val="BookText"/>
        <w:rPr/>
      </w:pPr>
      <w:r>
        <w:rPr>
          <w:rFonts w:ascii="Amiri" w:hAnsi="Amiri" w:eastAsia="Amiri" w:cs="Amiri"/>
          <w:color w:val="111111"/>
          <w:sz w:val="28"/>
          <w:sz w:val="28"/>
          <w:szCs w:val="28"/>
          <w:rtl w:val="true"/>
          <w:lang w:bidi="ar-SA"/>
        </w:rPr>
        <w:t xml:space="preserve">و كان بينهما شغب و قد 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العصا و بعين اللّٰه ما شهدا</w:t>
      </w:r>
    </w:p>
    <w:p>
      <w:pPr>
        <w:pStyle w:val="BookText"/>
        <w:rPr/>
      </w:pPr>
      <w:r>
        <w:rPr>
          <w:rFonts w:ascii="Amiri" w:hAnsi="Amiri" w:eastAsia="Amiri" w:cs="Amiri"/>
          <w:color w:val="111111"/>
          <w:sz w:val="28"/>
          <w:sz w:val="28"/>
          <w:szCs w:val="28"/>
          <w:rtl w:val="true"/>
          <w:lang w:bidi="ar-SA"/>
        </w:rPr>
        <w:t xml:space="preserve">يجزى عليّاً و عثماناً بسعيهما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أدري بحقٍ آيةً وردا</w:t>
      </w:r>
    </w:p>
    <w:p>
      <w:pPr>
        <w:pStyle w:val="BookText"/>
        <w:rPr/>
      </w:pPr>
      <w:r>
        <w:rPr>
          <w:rFonts w:ascii="Amiri" w:hAnsi="Amiri" w:eastAsia="Amiri" w:cs="Amiri"/>
          <w:color w:val="111111"/>
          <w:sz w:val="28"/>
          <w:sz w:val="28"/>
          <w:szCs w:val="28"/>
          <w:rtl w:val="true"/>
          <w:lang w:bidi="ar-SA"/>
        </w:rPr>
        <w:t xml:space="preserve">اللّٰه يعلم ما ذا يحضران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عبد سيلقى اللّٰه منفردا</w:t>
      </w:r>
      <w:r>
        <w:rPr>
          <w:rStyle w:val="FootnoteAnchor"/>
          <w:rtl w:val="true"/>
        </w:rPr>
        <w:footnoteReference w:id="2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عون بن عبد اللّه بن عقبة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وصف بكونه من أهل الفقه و الأدب و كان يقول بالإرجاء ثمّ عدل عنه و قال مخطئاً ما اعتقده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أُفارق غير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ما يقول المرجئونا</w:t>
      </w:r>
    </w:p>
    <w:p>
      <w:pPr>
        <w:pStyle w:val="BookText"/>
        <w:rPr/>
      </w:pPr>
      <w:r>
        <w:rPr>
          <w:rFonts w:ascii="Amiri" w:hAnsi="Amiri" w:eastAsia="Amiri" w:cs="Amiri"/>
          <w:color w:val="111111"/>
          <w:sz w:val="28"/>
          <w:sz w:val="28"/>
          <w:szCs w:val="28"/>
          <w:rtl w:val="true"/>
          <w:lang w:bidi="ar-SA"/>
        </w:rPr>
        <w:t xml:space="preserve">و قالوا مؤمن من آل 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المؤمنون بجائرينا</w:t>
      </w:r>
    </w:p>
    <w:p>
      <w:pPr>
        <w:pStyle w:val="BookText"/>
        <w:rPr/>
      </w:pPr>
      <w:r>
        <w:rPr>
          <w:rFonts w:ascii="Amiri" w:hAnsi="Amiri" w:eastAsia="Amiri" w:cs="Amiri"/>
          <w:color w:val="111111"/>
          <w:sz w:val="28"/>
          <w:sz w:val="28"/>
          <w:szCs w:val="28"/>
          <w:rtl w:val="true"/>
          <w:lang w:bidi="ar-SA"/>
        </w:rPr>
        <w:t xml:space="preserve">و قالوا مؤمن دمه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حرمت دماء المؤمنينا</w:t>
      </w:r>
      <w:r>
        <w:rPr>
          <w:rStyle w:val="FootnoteAnchor"/>
          <w:rtl w:val="true"/>
        </w:rPr>
        <w:footnoteReference w:id="233"/>
      </w:r>
    </w:p>
    <w:p>
      <w:pPr>
        <w:pStyle w:val="Heading4"/>
        <w:numPr>
          <w:ilvl w:val="3"/>
          <w:numId w:val="1"/>
        </w:numPr>
        <w:rPr/>
      </w:pPr>
      <w:bookmarkStart w:id="221" w:name="__RefHeading___Toc3907425_73709187"/>
      <w:bookmarkStart w:id="222" w:name="_Toc80"/>
      <w:bookmarkEnd w:id="221"/>
      <w:r>
        <w:rPr>
          <w:rtl w:val="true"/>
        </w:rPr>
        <w:t>خطر المرجئة على أخلاق المجتمع</w:t>
      </w:r>
      <w:r>
        <w:rPr>
          <w:rtl w:val="true"/>
        </w:rPr>
        <w:t>:</w:t>
      </w:r>
      <w:bookmarkEnd w:id="22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التطوّر في فكرة الإرجاء و أنّه استقرّ رأي المرجئة أخيراً على أنّ الإيمان عبارة عن الإقرار باللّسان أو الإذعان بالقلب، و هذا يكفي في </w:t>
      </w:r>
    </w:p>
    <w:p>
      <w:pPr>
        <w:pStyle w:val="BookText"/>
        <w:rPr/>
      </w:pPr>
      <w:r>
        <w:rPr>
          <w:rFonts w:ascii="Amiri" w:hAnsi="Amiri" w:eastAsia="Amiri" w:cs="Amiri"/>
          <w:color w:val="111111"/>
          <w:sz w:val="28"/>
          <w:sz w:val="28"/>
          <w:szCs w:val="28"/>
          <w:rtl w:val="true"/>
          <w:lang w:bidi="ar-SA"/>
        </w:rPr>
        <w:t>اتّصاف الإنسان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صحّ ما نسب إليهم في شرح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العقاب على المعاصي</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فالمصيبة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الفكرة فكرة خاطئة تسير بالمجتمع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خصوصاً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الخلاعة و الانحلال الأخلاقي و ترك القيم، بحجّة أنّه يكفي في اتّصاف الإنسان بالإيمان، و انسلاكه في سلك المؤمنين، الإقرار باللّسان أو الإذعان بالقلب، و لا نحتاج وراء ذلك إلى شيء من الصوم و الصلاة، و لا يضرّه شرب الخمر و فعل الميسر، و يجتمع مع حفظ العفاف 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قدر لهذه الفكرة أن تسود في المجتمع، لم يبق من الإسلام إلّا رسمه، و من الدين إلّا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المتديّن بهذه الفكرة كافراً واقعياً، اتّخذ هذه الفكرة واجهة لما يكنّ في 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شعر أئمّة أهل البيت عليهم السلام بخطورة الموقف، و علموا بأن إشاعة هذه الفكرة عند المسلمين عامّة، و الشيعة خاصّة، سترجعهم إلى الجاهليّة، فقاموا بتحذير الشيعة و أولادهم من خطر المرجئة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يحتمل أن يكون المراد هو الثاني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فكرة الإرجاء بالمعنى الأوّل تضرّ الكلّ، و بالمعنى الثاني تضر الشباب الّذين تهدّدهم الغرائز الجامحة كما أوعزنا إليه في المتن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فكرة الإرجاء فكرة خاطئة تضرّ بالمجتمع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خصّ الإمام منهم الشباب لكونهم سريعي التقبّل لهذه الفكرة، لما فيها من إعطاء الضوء الأخضر للشباب لاقتراف الذنوب و الانحلال الأخلاقي و الانكباب وراء الشهوات مع كونهم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ما ادّعته المرجئة من الإيمان و المعرفة القلبيّة، و المحبّة لإله العالم، لوجب أن تكون لتلك المحبّة القلبيّة مظاهر في الحياة، فإنّها رائدة الإنسان و راسمة حياته، و الإنسان أسير الحبّ و سجين العشق، فلو كان عارفاً باللّٰه، محبّاً له، لاتّبع أوامره و نواهيه، و تجنّب ما يسخطه و يتّبع ما يرضيه، فما معنى هذه المحبّة للخالق و ليس لها أثر في حياة المحبِّ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وردت الإشارة إلى التأثير الذي يتركه الحبّ و الودّ في نفس المحبّ في كلام الإمام الصادق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اللّٰه عزّ و جلّ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أنشد الإمام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Style w:val="FootnoteAnchor"/>
          <w:rtl w:val="true"/>
        </w:rPr>
        <w:footnoteReference w:id="23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للإمام الصادق عليه السلام احتجاجاً على المرجئة، علّمه لأحد أصحابه </w:t>
      </w:r>
      <w:bookmarkStart w:id="223" w:name="pg11536_163958"/>
    </w:p>
    <w:p>
      <w:pPr>
        <w:pStyle w:val="BookText"/>
        <w:rPr/>
      </w:pPr>
      <w:bookmarkEnd w:id="223"/>
      <w:r>
        <w:rPr>
          <w:rFonts w:ascii="Amiri" w:hAnsi="Amiri" w:eastAsia="Amiri" w:cs="Amiri"/>
          <w:color w:val="111111"/>
          <w:sz w:val="28"/>
          <w:sz w:val="28"/>
          <w:szCs w:val="28"/>
          <w:rtl w:val="true"/>
          <w:lang w:bidi="ar-SA"/>
        </w:rPr>
        <w:t>و أبطل فيه حجّة القائل بكفاية الإقرار بالإيمان قياساً على كفاية الإنكار باللسان في الكفر، و إليك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حفص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قول المرجئة في الكفر و الإيمان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الكافر عندنا هو الكافر عند اللّٰه، فكذلك نجد المؤمن إذا أقرّ بإيمانه أنّه عند اللّٰه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كيف يستوي هذان، و الكفر إقرار من العبد فلا يكلّف بعد إقراره ببيّنة، و الإيمان دعوى لا يجوز إلّا ببيّنة، و بيّنته عمله و نيّته، فإذا اتّفقا فالعبد عند اللّٰه مؤمن، و الكفر موجود بكلّ جهة من هذه الجهات الثلاث، من نيّة، أو قول، أو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الأحكام تجري على القول و العمل، فما أكثر من يشهد له المؤمنون بالإيمان، و يجري عليه أحكام المؤمنين، و هو عند اللّٰه كافر، و قد أصاب من أجرى عليه أحكام المؤمنين بظاهر قوله و عمله</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الرواية؛ أنّ الامام عليه السلام شبّه الإقرار الظاهري بالدعوة كسائر الدعاوى، كما أنّ الدعوة في الدعاوى لا تقبل إلّا ببيّنة، فكذا جعل اللّٰه تعالى هذه الدعوة غير مقبولة إلّا بشاهدين من قلبه و جوارحه فلا يثبت إلّا بهما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907427_73709187"/>
      <w:bookmarkStart w:id="225" w:name="_Toc81"/>
      <w:bookmarkEnd w:id="224"/>
      <w:r>
        <w:rPr>
          <w:rtl w:val="true"/>
        </w:rPr>
        <w:t>المرجئة و علماء الشيعة</w:t>
      </w:r>
      <w:bookmarkEnd w:id="2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علماء الشيعة الإماميّة تبعاً لأئمتهم، قاموا في وجه المرجئة و حذّروا الأُمّة من ألوان خدعهم، علماً منهم بأنّ في نفوذ فكرة الإرجاء، </w:t>
      </w:r>
    </w:p>
    <w:p>
      <w:pPr>
        <w:pStyle w:val="BookText"/>
        <w:rPr/>
      </w:pPr>
      <w:r>
        <w:rPr>
          <w:rFonts w:ascii="Amiri" w:hAnsi="Amiri" w:eastAsia="Amiri" w:cs="Amiri"/>
          <w:color w:val="111111"/>
          <w:sz w:val="28"/>
          <w:sz w:val="28"/>
          <w:szCs w:val="28"/>
          <w:rtl w:val="true"/>
          <w:lang w:bidi="ar-SA"/>
        </w:rPr>
        <w:t xml:space="preserve">مسخ الإسلام و محوه من أديم الأرض، و إليك كلمة قيّمة لفضل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الأئمة الثلاثة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الجواد و الهادي و العسكري عليهم السلام ذكرها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المرجئة الّذين يروي منهم أعلامهم مثل إبراهيم النخعي، و إبراهيم بن يزيد التيمي، و من دونهما مثل سفيان الثوري، و ابن المبارك و وكيع، و هشام، و علي بن عاصم عن رجالهم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صنفان من أُمّتي ليس لهما في الإسلام نصيب؛ القدريّة و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المرجئة؟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ما هم عليه أنّهم يدينون بأنّ أحدهم لو ذبح أباه و أُمّه و ابنه و بنته و أخاه و أُخته، و أحرقهم بالنار، أو زنى، أو سرق، أو قتل النفس الّتي حرّم اللّٰه، أو أحرق المصاحف، أو هدم الكعبة، أو نبش القبور، أو أتى أيّ كبيرة نهى اللّٰه عنها، إنّ ذلك لا يفسد عليه إيمانه، و لا يخرجه منه، و أنّه إذا أقرّ بلسانه بالشهادتين إنّه مستكمل الإيمان، إيمانه كإيمان جبرئيل و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فعل، و ارتكب ما ارتكب ممّا نهى اللّٰه عنه، و يحتجّون بأنّ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نقاتل الناس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هذا قبل أن يفرض سائر الفرائض و هو منسوخ</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محمد بن الفضل، عن أبيه، عن المغيرة بن سعيد، عن أبيه، عن مقسم،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يهود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نسخ احتجاجهم قول النبي صلى الله عليه و آله و سلم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w:t>
      </w:r>
      <w:bookmarkStart w:id="226" w:name="pg11536_163960"/>
    </w:p>
    <w:p>
      <w:pPr>
        <w:pStyle w:val="BookText"/>
        <w:rPr/>
      </w:pPr>
      <w:bookmarkEnd w:id="226"/>
      <w:r>
        <w:rPr>
          <w:rFonts w:ascii="Amiri" w:hAnsi="Amiri" w:eastAsia="Amiri" w:cs="Amiri"/>
          <w:color w:val="111111"/>
          <w:sz w:val="28"/>
          <w:sz w:val="28"/>
          <w:szCs w:val="28"/>
          <w:rtl w:val="true"/>
          <w:lang w:bidi="ar-SA"/>
        </w:rPr>
        <w:t>إله إلّا اللّٰه و أنّ محمّداً رسول اللّٰه، و إقام الصلاة، و إيتاء الزكاة، و حجّ البيت، وصوم شهر رمضان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رحمه الله احتجاج و مناشدة مع المرجئة في كتابه، فمن أراد فليرجع إليه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907429_73709187"/>
      <w:bookmarkStart w:id="228" w:name="_Toc82"/>
      <w:bookmarkEnd w:id="227"/>
      <w:r>
        <w:rPr>
          <w:rtl w:val="true"/>
        </w:rPr>
        <w:t>هل كان أبو حنيفة مرجئياً؟</w:t>
      </w:r>
      <w:bookmarkEnd w:id="228"/>
    </w:p>
    <w:p>
      <w:pPr>
        <w:pStyle w:val="BookText"/>
        <w:rPr/>
      </w:pPr>
      <w:r>
        <w:rPr>
          <w:rFonts w:ascii="Amiri" w:hAnsi="Amiri" w:eastAsia="Amiri" w:cs="Amiri"/>
          <w:color w:val="111111"/>
          <w:sz w:val="28"/>
          <w:sz w:val="28"/>
          <w:szCs w:val="28"/>
          <w:rtl w:val="true"/>
          <w:lang w:bidi="ar-SA"/>
        </w:rPr>
        <w:t xml:space="preserve">إنّ المشهور بين أرباب الملل و النحل أنّ الامام أبا حنيفة كان مرجئيّاً، و ممّن نقل ذلك، الشيخ أبو الحسن الأشعري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الفرقة التاسعة من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 أصحابه يزعمون أنّ الإيمان المعرفة باللّٰه، و الإقرار باللّٰه و المعرفة بالرسول و الإقرار بما جاء به من عند اللّٰه في الجملة دون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عن غسّان و أكثر أصحاب أبي حنيفة أنّهم ينقلون عن أسلافهم أنّ الإيمان هو الإقرار و المحبّة للّٰه و التعظيم له و الهيبة منه، و ترك الاستخفاف بحقّه، و أنّه يزيد و لا ينقص</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هو الأوّل لتنصيصه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أملاه و كتبه تلاميذه على ذلك و إليك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العالم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هو التصديق و المعرفة و اليقين و الإقرار و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في التصديق على ثلاث 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باللّٰه و بما جاء منه بقلبه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بلسانه و يكذّب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 بقلبه و يكذّب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المتعلّم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فتحت لي باب مسألة لم أهتد إليه، فأخبرني عن أهل هذه المنازل الثلاث أهم عند اللّٰه مؤمنون؟</w:t>
      </w:r>
    </w:p>
    <w:p>
      <w:pPr>
        <w:pStyle w:val="BookText"/>
        <w:rPr/>
      </w:pPr>
      <w:r>
        <w:rPr>
          <w:rFonts w:ascii="IRNazanin" w:hAnsi="IRNazanin" w:eastAsia="IRNazanin"/>
          <w:color w:val="111111"/>
          <w:sz w:val="28"/>
          <w:sz w:val="28"/>
          <w:szCs w:val="28"/>
          <w:rtl w:val="true"/>
          <w:lang w:bidi="fa-IR"/>
        </w:rPr>
        <w:t>قال العالم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صدّق باللّٰه و بما جاء من عند اللّٰه بقلبه و لسانه فهو عند اللّٰه و عند الناس 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صدّق بلسانه و كذّب بقلبه كان عند اللّٰه كافراً و عند الناس مؤمناً، لأنّ الناس لا يعلمون ما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يسمّونه مؤمناً بما ظهر لهم من الإقرار بهذه الشهادة، و ليس لهم أن يتكلّفوا علم ما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يكون عند اللّٰه مؤمناً و عند الناس كافراً، و ذلك بأنّ الرجل يكون مؤمناً باللّٰه و بما جاء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الكفر بلسانه في حال التقيّة، أي الإكراه، فيسمّيه من لا يعرف أنّه يتّقي، كافراً، و هو عند اللّٰه مؤمن</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له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هو الإقرار </w:t>
      </w:r>
    </w:p>
    <w:p>
      <w:pPr>
        <w:pStyle w:val="BookText"/>
        <w:rPr/>
      </w:pPr>
      <w:r>
        <w:rPr>
          <w:rFonts w:ascii="Amiri" w:hAnsi="Amiri" w:eastAsia="Amiri" w:cs="Amiri"/>
          <w:color w:val="111111"/>
          <w:sz w:val="28"/>
          <w:sz w:val="28"/>
          <w:szCs w:val="28"/>
          <w:rtl w:val="true"/>
          <w:lang w:bidi="ar-SA"/>
        </w:rPr>
        <w:t>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يستوي المؤمنون كلّهم في المعرفة و اليقين و التوكّل و المحبّة و الرضا و الرجاء و يتفاوتون فيما دون الإيمان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متفضّل على عباده عادل قد يعطي في الثّواب أضعاف ما يستوجبه العبد، تفضّلاً منه و قد يعاقب على الذنب عدلاً منه و قد يعفو فضلاً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نكفّر أحداً بذنب و لا ننفي أحداً عن الإيمان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الإيمان هو التصديق القلبي فقط، لا يُدخل القائل في عداد المرجئة إذا كان مهتمّاً بالعمل و يرى النجاة و السعادة فيه، و أنّه لولاه لكان خاسراً غير 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فالمرجئة هم الّذين يهتمّون بالعقيدة و لا يهتمّون بالعمل و لا يعدّونه عنصراً مؤثراً في الحياة الأُخرويّة، و يعيشون على أساس العفو و الرجاء، و بالجملة يهتمّون بالرغبة دون الرهبة و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يُسٰارِعُونَ فِي اَلْخَيْرٰاتِ وَ يَدْعُونَنٰا رَغَباً وَ رَهَباً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فرمي كلّ من قال بأنّ الإيمان هو التصديق بالإرجاء، رمي في غير محلّه، فإذا كان المرميّ ذا عناية خاصّة بالعمل بالأركان، و القيام بالجوارح، و كان شعاره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فهو على طرف النقيض منهم، خصوصاً على ما نقله شارح المواقف من المرجئة </w:t>
      </w:r>
    </w:p>
    <w:p>
      <w:pPr>
        <w:pStyle w:val="BookText"/>
        <w:rPr/>
      </w:pPr>
      <w:r>
        <w:rPr>
          <w:rFonts w:ascii="Amiri" w:hAnsi="Amiri" w:eastAsia="Amiri" w:cs="Amiri"/>
          <w:color w:val="111111"/>
          <w:sz w:val="28"/>
          <w:sz w:val="28"/>
          <w:szCs w:val="28"/>
          <w:rtl w:val="true"/>
          <w:lang w:bidi="ar-SA"/>
        </w:rPr>
        <w:t>بأنّهم ينفون العقاب على الكبائر إذا كان المرتكب مؤمناً على مذهبهم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إجمال القول في عقيدة المرجئة و ما يترتّب عليها من المفاسد، و لأئمّة أهل البيت عليهم السلام كلمات في حقّهم حذّروا المجتمع فيها من تلك الطائفة يجدها المتتبّع في محلّه</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الأمير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المرجئة في عصره في الأوساط الإسلاميّة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كورة من كور الإسلام إلّا و المرجئة غالبون عليها إلّا القليل</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أعاذنا اللّٰه من شرّ الأبالسة</w:t>
      </w:r>
      <w:r>
        <w:rPr>
          <w:rFonts w:eastAsia="Amiri" w:cs="Amiri" w:ascii="Amiri" w:hAnsi="Amiri"/>
          <w:color w:val="111111"/>
          <w:sz w:val="28"/>
          <w:szCs w:val="28"/>
          <w:rtl w:val="true"/>
          <w:lang w:bidi="ar-SA"/>
        </w:rPr>
        <w:t xml:space="preserve">. </w:t>
      </w:r>
      <w:bookmarkStart w:id="229" w:name="pg11536_163964"/>
    </w:p>
    <w:p>
      <w:pPr>
        <w:pStyle w:val="Heading4"/>
        <w:numPr>
          <w:ilvl w:val="3"/>
          <w:numId w:val="1"/>
        </w:numPr>
        <w:rPr/>
      </w:pPr>
      <w:bookmarkStart w:id="230" w:name="__RefHeading___Toc3907431_73709187"/>
      <w:bookmarkStart w:id="231" w:name="_Toc83"/>
      <w:bookmarkEnd w:id="229"/>
      <w:bookmarkEnd w:id="230"/>
      <w:r>
        <w:rPr>
          <w:rtl w:val="true"/>
        </w:rPr>
        <w:t>إكمال</w:t>
      </w:r>
      <w:r>
        <w:rPr>
          <w:rtl w:val="true"/>
        </w:rPr>
        <w:t>:</w:t>
      </w:r>
      <w:bookmarkEnd w:id="231"/>
    </w:p>
    <w:p>
      <w:pPr>
        <w:pStyle w:val="BookText"/>
        <w:rPr/>
      </w:pPr>
      <w:r>
        <w:rPr>
          <w:rFonts w:ascii="Amiri" w:hAnsi="Amiri" w:eastAsia="Amiri" w:cs="Amiri"/>
          <w:color w:val="111111"/>
          <w:sz w:val="28"/>
          <w:sz w:val="28"/>
          <w:szCs w:val="28"/>
          <w:rtl w:val="true"/>
          <w:lang w:bidi="ar-SA"/>
        </w:rPr>
        <w:t xml:space="preserve">قد عرفت التطوّر في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أنّها تستعمل تارة في تأخير القول في عثمان و عليّ، و عدم القضاء في حقّهما بشيء، و إرجاع أمرهما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تقديم القول على العمل و تأخيره عنه قائلاً بأنّه لا تضرّ مع الإيمان المعصية، كما لا تنفع مع الكفر الطاعة، و الحسن بن محمّد بن الحنفيّة مبدع الإرجاء بالمعنى الأوّل،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إطلاقها على المعنيين لاشتراكهما في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الدكتور جلال محمّد عبد الحميد موسى نسب الإرجاء بالمعنى الثاني الى الحسن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إنّنا نجد بذور هذا المذهب عند الحسن بن محمّد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عالم من علماء أهل البيت، قد تصدّى للردّ على الخوارج حين نشروا مبدأهم الخطير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عقد بدون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يستلزم تكفير مرتكب الكبيرة و استحلال قتله، فأعلن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مع الإيمان معصية و أنّ الطاعات و ترك المعاصي ليست من أصل الإيمان، حتى يزول الإيمان بزوالها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خلط بين معنيي الإرجاء فلاحظ، و قد تقدّم في كلام ابن حجر التصريح بذلك</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المرجئة </w:t>
      </w:r>
      <w:bookmarkStart w:id="232" w:name="pg11536_163965"/>
    </w:p>
    <w:p>
      <w:pPr>
        <w:pStyle w:val="Heading2"/>
        <w:numPr>
          <w:ilvl w:val="1"/>
          <w:numId w:val="1"/>
        </w:numPr>
        <w:rPr/>
      </w:pPr>
      <w:bookmarkStart w:id="233" w:name="__RefHeading___Toc3907433_73709187"/>
      <w:bookmarkStart w:id="234" w:name="_Toc84"/>
      <w:bookmarkEnd w:id="232"/>
      <w:bookmarkEnd w:id="233"/>
      <w:r>
        <w:rPr/>
        <w:t>3</w:t>
      </w:r>
      <w:r>
        <w:rPr>
          <w:rtl w:val="true"/>
        </w:rPr>
        <w:t xml:space="preserve"> - </w:t>
      </w:r>
      <w:r>
        <w:rPr>
          <w:rtl w:val="true"/>
        </w:rPr>
        <w:t>القدريّة</w:t>
      </w:r>
      <w:bookmarkEnd w:id="234"/>
    </w:p>
    <w:p>
      <w:pPr>
        <w:pStyle w:val="Heading3"/>
        <w:numPr>
          <w:ilvl w:val="2"/>
          <w:numId w:val="1"/>
        </w:numPr>
        <w:rPr/>
      </w:pPr>
      <w:bookmarkStart w:id="235" w:name="__RefHeading___Toc3907435_73709187"/>
      <w:bookmarkStart w:id="236" w:name="_Toc85"/>
      <w:bookmarkEnd w:id="235"/>
      <w:r>
        <w:rPr>
          <w:rtl w:val="true"/>
        </w:rPr>
        <w:t>القدريّة أسلاف المعتزلة</w:t>
      </w:r>
      <w:bookmarkEnd w:id="23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المسلمون من الجزيرة العربيّة بدافع نشر الإسلام و بسط نفوذه، فلمّا استولوا على البلاد و استتبّ لهم الأمر، تفاجئوا بثقافات و حضارات، و شرائع و ديانات، لم يكن لهم بها عهد، ففرضت الظروف عليهم الاختلاط و التعايش مع غير المسلمين، و ربّما انتهى الأمر إلى التفاعل و التأثر بمبادئهم و أفكارهم، فوقفوا على أُصول و مبادئ تخالف دينهم، فأوجد ذلك اضطراباً فكريّاً بين الأوساط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قد كان الخصم متدرّعاً بالسلاح العلمي، و مجهّزاً بأساليب كلاميّة، و المسلمون الغزاة بسطاء غير مجيدين كيفيّة البرهنة، و المجادلة العلميّة مع خصمائهم، فصار ذلك سبباً لطرح أسئلة و نموّ إشكالات في أذهان المسلمين خارج الجزيرة العربيّة و داخلها، و قد كان الغزاة ينقلون ما سمعوا أو ما تأثّروا به في حلّهم و ترحالهم داخل المدن و خارجها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التلاقح الفكري بين المسلمين و غيرهم أدّى إلى افتراق الأُمّة الإسلاميّة إلى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يشكّلون الأكثريّة الساحقة بين المسلمين، جنحت إلى الجانب السلبي و أراحت نفسها من الخوض في تلك المباحث، و إن كانت لها صلة بصميم الدين كالقضاء و القدر، و عينيّة الصفات للذات أو زيادتها عليها، و كيفيّة الحشر و النشر، و وجود الشرّ في العالم، مع كون خالقه حكيماً إلى غير ذلك ممّا لا يمكن فصلها عن الدين، و أقصى ما كان لدى هؤلاء المتزمّتين، دعوة المسلمين إلى التعبّد بما جاء من النصوص في القرآن و السنّة، و قد تصدّر هذه الطائفة الفقهاء و أهل الحديث و لقد أثر عنهم قول و عمل يعرِّفان موقفهم في هذه التيّارات، و يرجع مغزى ذلك إلى الأخذ بالجانب السلبي و ترك الكلام الّذي هو أسهل الأمرين، و لأجل ذلك قامت تلك الطائفة بتحريم علم الكلام و المنطق و الفلسفة، و إن كان يهدف إلى تقرير العقائد الإسلاميّة عن طريق العقل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نماذج من أقوالهم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يوسف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علم الكلام هو الجهل، و الجهل بالكلام هو العلم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يلقى اللّٰه تبارك و تعالى بكلّ ذنب ما خلا </w:t>
      </w:r>
    </w:p>
    <w:p>
      <w:pPr>
        <w:pStyle w:val="BookText"/>
        <w:rPr/>
      </w:pPr>
      <w:r>
        <w:rPr>
          <w:rFonts w:ascii="Amiri" w:hAnsi="Amiri" w:eastAsia="Amiri" w:cs="Amiri"/>
          <w:color w:val="111111"/>
          <w:sz w:val="28"/>
          <w:sz w:val="28"/>
          <w:szCs w:val="28"/>
          <w:rtl w:val="true"/>
          <w:lang w:bidi="ar-SA"/>
        </w:rPr>
        <w:t>الشرك خير له من أن يلقاه بشيء من علم الكلام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الإمام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كيفيّة الاستواء على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 معقول، و الكيف مجهول، و الإيمان به واجب، و السؤال عنه بدعة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فهؤلاء صوّروا البحث عن قوانين الكون، و صحيفة الوجود جهلاً، و الجهل بها علماً، و البرهنة على وجوده سبحانه أمراً مذموماً، و السؤال عن مفاد الآية و مرماها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القرآن أُنزل للتلاوة و القراءة دون الفهم و التدبّر، و كأنّ القرآن لم يأمر النّاس بسؤال أهل الذكر إذا كانوا 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قادة الأُمّة و فقهائها، فكيف حال من يَقتدي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رجل عن مالك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سماء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بعلمه أم بما ذا؟ فصاح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عن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غضب غضباً شديدا</w:t>
      </w:r>
      <w:r>
        <w:rPr>
          <w:rFonts w:eastAsia="Amiri" w:cs="Amiri" w:ascii="Amiri" w:hAnsi="Amiri"/>
          <w:color w:val="111111"/>
          <w:sz w:val="28"/>
          <w:szCs w:val="28"/>
          <w:rtl w:val="true"/>
          <w:lang w:bidi="ar-SA"/>
        </w:rPr>
        <w:t>.</w:t>
      </w:r>
      <w:r>
        <w:rPr>
          <w:rStyle w:val="FootnoteAnchor"/>
          <w:rtl w:val="true"/>
        </w:rPr>
        <w:footnoteReference w:id="252"/>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 تطرّف إمام الحنابلة إلى حدٍّ أنّ أبا 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حديث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يستلزم التجسيم و التشبيه بإرجاع الضمير إلى آدم حتّى يتخلّص من </w:t>
      </w:r>
    </w:p>
    <w:p>
      <w:pPr>
        <w:pStyle w:val="BookText"/>
        <w:rPr/>
      </w:pPr>
      <w:r>
        <w:rPr>
          <w:rFonts w:ascii="Amiri" w:hAnsi="Amiri" w:eastAsia="Amiri" w:cs="Amiri"/>
          <w:color w:val="111111"/>
          <w:sz w:val="28"/>
          <w:sz w:val="28"/>
          <w:szCs w:val="28"/>
          <w:rtl w:val="true"/>
          <w:lang w:bidi="ar-SA"/>
        </w:rPr>
        <w:t>مغبّتهما، فهجره أحمد، فأتاه أبو ثور،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كانت لآدم يخلق عليها، كيف تصنع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آدم على صورة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أبو ثور و تاب بين يديه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فالدواء عنده لكلّ داء هو الدعوة إلى التعبّد بالنصوص تعبّداً حرفياً من غير تحليل و لا 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 أصحابه، الحارث المحاسبي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كتاباً في الردّ على المعتزلة، فأنكره أحمد و 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اعترض عليه المحاسبي بأنّ الردّ على البدعة فرض، أجاب أحمد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حكيت شبهتهم أوّلاً ثمّ أجبت عنها فلم تأمن أطالع الشبهة و لا ألتفت إلى الجواب أو أنظر إلى الجواب و لا أفهم كنهها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 أنّ الردود على أصحاب البدع و الضلالات، يجب أن تكون بشكل تهدي الأُمّة و لا تضلّها، و تقمع الإشكال و لا ترسّخه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تلك الصلاحية فعليه القيام بالردّ و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القرآن الكريم الأُسوة المباركة، ينقل آراء المشركين ثمّ ينقضها و يدمِّرها، و إلّا فمعنى ذلك أن يفسح المعنيّون من علماء الإسلام للأبالسة أن يهاجموا الإسلام و يضعضعوا أركانه، و يتّخذوا الأحداث و الشبّان فريسة لأفكارهم يفتكون بهم، و يكون الغيارى من المسلمين القادرون على دفع هجومهم، </w:t>
      </w:r>
    </w:p>
    <w:p>
      <w:pPr>
        <w:pStyle w:val="BookText"/>
        <w:rPr/>
      </w:pPr>
      <w:r>
        <w:rPr>
          <w:rFonts w:ascii="Amiri" w:hAnsi="Amiri" w:eastAsia="Amiri" w:cs="Amiri"/>
          <w:color w:val="111111"/>
          <w:sz w:val="28"/>
          <w:sz w:val="28"/>
          <w:szCs w:val="28"/>
          <w:rtl w:val="true"/>
          <w:lang w:bidi="ar-SA"/>
        </w:rPr>
        <w:t xml:space="preserve">متفرّجين في مقابل جرأة العاصي و حملة الماجن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هكذا تورد يا سعد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يرضى الشارع الّذي جعل الأمر بالمعروف و النّهي عن المنكر فريضة على المسلمين بهذه النكسة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الطائفة الأُولى و إليك نبذة عن وضع الطائفة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الأقليّة من أصحاب الفكر، و قد عاينوا المشاكل عن كثب و حاولوا حلّها بالدراسة و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تلك الغاية تدرّعوا بمنطق الخصم و أساليبه الكلاميّة، فقلعوا بها الشبه و صانوا دينهم و إيمان أحداثهم عن زيغ المبطلين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بدافع الذبّ عن حريم الدين و صيانته، و تجسيداً للأصل الأصيل في الكتاب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أُسوةً بالنبي الأكرم صلى الله عليه و آله و سلم الّذي كان يدافع عن دين اللّٰه بسيفه و سنانه، و بنانه و بيانه، و كتبه و رسائله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نجم بين الأُمّة في هذه الطائفة علماء أخيار اشتروا رضا اللّٰه سبحانه بغضب المخلوق، فكانوا يحمون جسد الإسلام من النّبال المرشوقة و الموجّهة من السلطة الحاكمة إليه، تحت ستار الدفاع عن الدين و مكافحة المضلّين، و قد أساء لهم التاريخ فأسماهم بالقدريّة، حطّاً من شأنهم، و إدخالاً لهم تحت الحديث المرويّ عن الرسول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العصر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الوقت الّذي استولى فيه معاوية على عرش الملك إلى آخر من تولّى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يسوده القول بالجبر، الّذي يصوِّر الإنسان و المجتمع أنّهما مسيّران لا مخيّران، و أنّ كلّ ما يجري في الكون من صلاح </w:t>
      </w:r>
    </w:p>
    <w:p>
      <w:pPr>
        <w:pStyle w:val="BookText"/>
        <w:rPr/>
      </w:pPr>
      <w:r>
        <w:rPr>
          <w:rFonts w:ascii="Amiri" w:hAnsi="Amiri" w:eastAsia="Amiri" w:cs="Amiri"/>
          <w:color w:val="111111"/>
          <w:sz w:val="28"/>
          <w:sz w:val="28"/>
          <w:szCs w:val="28"/>
          <w:rtl w:val="true"/>
          <w:lang w:bidi="ar-SA"/>
        </w:rPr>
        <w:t>و فساد، وسعة و ضيق، و جوع و كظّة، و صلح و قتال بين الناس أمر حتمي قضى به عليهم، و ليس للبشر فيه أيّ صنع و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اتّخذت الطغمة الأمويّة هذه الفكرة غطاءً لأفعالهم الشنيعة حتّى يسدّوا بذلك باب الاعتراض على أفعالهم بحجّة أنّ الاعتراض عليهم اعتراض على صنعه سبحانه و قضائه و قدره، و أنّ اللّٰه سبحانه فرض على الإنسان حكم ابن آكلة الأكباد و ابنه السكّير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أبناء البيت الأموي الخبيث يعيشون عيشة رغد و رخاء و ترف، و يعيش الآخرون على بطون غرثى و أكباد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الفكرة تروّج بالخطباء و وعّاظ السلاطين مرتزقة البلاط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نهض رجال ذوو بصيرة لا يستسيغون هذه الفكرة، بل يرونها من حبائل الشيطان، أُلقيت لاصطياد المستضعفين، و سلب حرّياتهم و نهب إمكانيّاتهم، فثاروا على الفكرة و أصحابها و ناضلوا من أجل ذلك بصمود و حماس، و كان عملهم هذا انتفاضة في وجه المجبّرة تنزيهاً لساحته سبحانه عمّا وصفه به الجاهلون، و سكت عنه الآخرون رهباً أو رغباً، فكان جزاؤهم القتل و الصّلب و التنكيل بعد الحكم بتكفيرهم من جانب قضاة الجور، بدعوى مروقهم عن الدّين و خروجهم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سيفه الشاهر الحجّاج بن يوسف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نقدّم إليك لمحات من حياتهم و نضالهم في طريق عقيدتهم، و أنّهم </w:t>
      </w:r>
      <w:bookmarkStart w:id="237" w:name="pg11536_163971"/>
    </w:p>
    <w:p>
      <w:pPr>
        <w:pStyle w:val="BookText"/>
        <w:rPr/>
      </w:pPr>
      <w:bookmarkEnd w:id="237"/>
      <w:r>
        <w:rPr>
          <w:rFonts w:ascii="Amiri" w:hAnsi="Amiri" w:eastAsia="Amiri" w:cs="Amiri"/>
          <w:color w:val="111111"/>
          <w:sz w:val="28"/>
          <w:sz w:val="28"/>
          <w:szCs w:val="28"/>
          <w:rtl w:val="true"/>
          <w:lang w:bidi="ar-SA"/>
        </w:rPr>
        <w:t>لم يكونوا يدينون بشيء ممّا رموا به إلّا القول بأنّ الإنسان مختار في حياته، و أنّه ليس له إلّا ما سعى، و لم تكن عندهم فكرة التفويض التي تعادل الشرك الخفيّ، و إنّما حدثت فكرة التفويض بعدهم بين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فهؤلاء المسمّون بالقدريّة ظلماً و عدوانا، أسلاف المعتزلة في الدعوة إلى حريّة الإنسان، لا في الدعوة إلى التفويض البغيض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استغلّت الأشاعرة و مؤلّفو الملل و النّحل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فاستعملوها في مخالفيهم تبعاً لأهل الحديث في هذه الظروف، فأطلقوها على كلِّ من ادّعى للانسان حريّة في العمل و اختياراً في الفعل الّذي هو مناط صحّة التكليف، و مدار بعث الرسل، فدعاة الحريّة عندهم قدرية إمّا لاتّهامهم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و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 تقدير اللّٰه و قضائه، من باب إطلاق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إرادة نقيضه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القدر و نفيه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لاتّهامهم بأنّهم يقولون نحن نقدّر أعمالنا و أفعالنا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بحث حول هذه اللفظة عند خاتمة البحث</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3907437_73709187"/>
      <w:bookmarkStart w:id="239" w:name="_Toc86"/>
      <w:bookmarkEnd w:id="238"/>
      <w:r>
        <w:rPr>
          <w:rtl w:val="true"/>
        </w:rPr>
        <w:t>دعاة الحرية</w:t>
      </w:r>
      <w:bookmarkEnd w:id="23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معبد بن عبد اللّه الجهني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بالقدر 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الحديث من ابن عبّاس، و عمران بن حصين و غيرهما و حضر يوم التحكيم، و انتقل من البصرة إلى المدينة فنشر فيها مذهبه، و كان صدوقاً ثقة في الحديث و من التّابعين، و خرج مع ابن الأشعث على الحجّاج بن يوسف، فخرج و أقام بمكّة فقتله الحجّاج صبراً بعد أن عذّبه، و قيل صلبه </w:t>
      </w:r>
    </w:p>
    <w:p>
      <w:pPr>
        <w:pStyle w:val="BookText"/>
        <w:rPr/>
      </w:pPr>
      <w:r>
        <w:rPr>
          <w:rFonts w:ascii="Amiri" w:hAnsi="Amiri" w:eastAsia="Amiri" w:cs="Amiri"/>
          <w:color w:val="111111"/>
          <w:sz w:val="28"/>
          <w:sz w:val="28"/>
          <w:szCs w:val="28"/>
          <w:rtl w:val="true"/>
          <w:lang w:bidi="ar-SA"/>
        </w:rPr>
        <w:t>عبد الملك بن مروان في دمشق على القول بالقدر ثمّ قتله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قال المقريزي في خططه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قال بالقدر في الإسلام معبد بن خالد الجهني، و كان يجالس الحسن بن الحسين البصري، فتكلّم بالقدر في البصرة، و سلك أهل البصرة مسلكه لمّا رأوا عمرو بن عبيد ينتحله، و أخذ معبد هذا الرأي عن رجل من الأساورة يقال له أبو يونس سنسويه و يعرف بالأسواري، فلمّا عظمت الفتنة به عذّبه الحجّاج و صلبه بأمر عبد الملك بن مروان، سنة ثمانين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عطاء بن يسار قاضياً يرى القدر و كان يأتي هو و معبد الجهني إلى الحسن البصري، فيقولان له إنّ هؤلاء يسفكون الدماء و يقولون إنّما تجري أعمالنا على قدر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فطعن عليه بهذا</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غيلان بن مسلم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ثاني من تكلّم بالقدر و دعا إليه و لم يسبقه سوى 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غيلان يقول بالقدر خيره و شرّه من العبد، و قيل تاب عن القول بالقدر على يد عمر بن عبد العزيز، فلمّا مات عمر جاهر بمذهبه فطلبه هشام بن عبد الملك و أحضر الأوزاعي لمناظرته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فأفتى الأوزاعي بقتله، فصلب على باب كيسان بدمشق و قتل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الرابعة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مسلم، أخذ العلم عن الحسن بن محمّد بن الحنفيّة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المرتضى نقلاً عن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غيلان الدمشقي المذهب عن الحسن بن محمّد بن الحنفيّة و لم تكن مخالفته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 لأخيه إلّا في شيء من الإرجاء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الحسن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غيلان في الموسم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هذا، هو حجّة اللّٰه على أهل الشام، و لكنّ الفتى مقتول، و كان وحيد دهره في العلم و الزهد و الدعاء إلى اللّٰه و توحيده و عدله، قتله هشام بن عبد الملك و قتل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قتله أنّ غيلان كتب إلى عمر بن عبد العزيز كتاباً يحذِّره فيه من انطفاء السنّة و ظهور البدعة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وصلت الرسالة إلى عمر بن عبد العزيز دعاه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على 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بيع الخزائن و ردّ المظالم فولّاه فكان يبيعها و ينادي عليها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متاع الخونة، تعالوا إلى متاع الظلمة، تعالوا إلى متاع من خلَف الرسول في أُمّته بغير سنّته و سيرته، و كان فيما نادى عليه جوراب خزّ فبلغ ثلاثين ألف درهم، و قد أتكل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ممّن يزعم أنّ هؤلاء كانوا أئمّة هدى و هكذا يأتكل و الناس يموتون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هذا يعيبني و يعيب آبائي و إن ظفرت به لأُقطّعنّ يديه و رجليه، فلمّا ولي هشام قتله على النّحو الّذي وعده</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ما ذكرناه من النُّصوص يوقفنا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القول بكون الإنسان مخيّراً لا مسيّراً يتّصل جذورها بالبيت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أنّ معبداً الجهني كان تلميذاً لابن عبّاس، و غيلان الدمشقي تتلمذ للحسن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المقريزي من أنّه أخذ ذلك الرأي من أبي يونس سنسويه لا يركن إليه، بعد ثبوت تتلمذهما لقادة الفكر من البيت الهاشمي و لعمران بن حصين الصحابي الجليل و من أعلام أصحاب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نضال الرجلين في العهد الأموي كان ضدّ ولاة الجور الّذين كانوا يسفكون الدماء و ينسبونه إلى قضاء اللّٰه و قدره، فهؤلاء الأحرار قاموا في وجههم و أنكروا القدر بالمعنى الّذي استغلّته السلطة و برّرت به أعمالها الشنيعة، و إلّا فمن البعيد جدّاً من مسلم واع أن ينكر القضاء و القدر الواردين في الكتاب و السنّة على وجه لا يسلب الحريّة من الإنسان و لا يجعله مكتوف الأيدي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التاريخ يدلنا على أنّ رجال العيث و الفساد إذا أرادوا إخفاء دعوة الصالحين اتّهموهم بالكفر و الزندقة و مخالفة الكتاب و السنّة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صلب معبد الجهني بيد الحجّاج السفّاك بأمر عبد الملك أوضح دليل على أنّ الرجل كان من دعاة الإصلاح، و لكن ثقل أمره على الطغمة الأمويّة فاستفزّوه من أديم الأرض و قطعوا جذوره بالصلب و القتل، كما أنّ قيام غيلان في وجه هشام بن عبد الملك يعرب عن صموده في سبيل الحقّ </w:t>
      </w:r>
    </w:p>
    <w:p>
      <w:pPr>
        <w:pStyle w:val="BookText"/>
        <w:rPr/>
      </w:pPr>
      <w:r>
        <w:rPr>
          <w:rFonts w:ascii="Amiri" w:hAnsi="Amiri" w:eastAsia="Amiri" w:cs="Amiri"/>
          <w:color w:val="111111"/>
          <w:sz w:val="28"/>
          <w:sz w:val="28"/>
          <w:szCs w:val="28"/>
          <w:rtl w:val="true"/>
          <w:lang w:bidi="ar-SA"/>
        </w:rPr>
        <w:t>و إزهاق الباطل و قتله به يدلّ على قداسة ما كان يذهب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فهذان الرجلان، في الطليعة من دعاة الحريّة و الاختيار، و يعدّان أسلافاً للاعتزال و لا يمتّان له بصلة غير الاشتراك في نفي الجبر و التسيير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هؤلاء الأحرار و إن رُموا بالقدرية بمعنى إنكار القضاء و القدر، و لكنّهم كانوا بصدد إثبات الاختيار و الحريّة للإنسان في مقابل الجبر و إغلال الأيدي الّذي كانت السلطة تشجّعه، و الاختيار هو الّذي بُنيت عليه الشرائع و عليه شرّعت التكاليف، فإنكاره إنكار للأمر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السلطة لأجل إخماد ثورتهم اتّهمتهم بالقدريّة حتّى تطعن بهم أنّهم خالفوا الكتاب و السنّة الدالّين على تقدير الأشياء من جانبه سبحانه و قضائه عليها، و أين هذه التهمة ممّا تمسّك به القوم من الدعوة إلى الاختيار و الحريّة؟</w:t>
      </w:r>
    </w:p>
    <w:p>
      <w:pPr>
        <w:pStyle w:val="BookText"/>
        <w:rPr/>
      </w:pPr>
      <w:r>
        <w:rPr>
          <w:rFonts w:ascii="Amiri" w:hAnsi="Amiri" w:eastAsia="Amiri" w:cs="Amiri"/>
          <w:color w:val="111111"/>
          <w:sz w:val="28"/>
          <w:sz w:val="28"/>
          <w:szCs w:val="28"/>
          <w:rtl w:val="true"/>
          <w:lang w:bidi="ar-SA"/>
        </w:rPr>
        <w:t>و أمّا تفسير القدريّة في حقّ هؤلاء بتفويض الإنسان إلى نفسه و أفعاله، أنّه ليس للّٰه سبحانه أي صنع في فعله فهو تفسير جديد حدث بعد هؤلاء، و به رُميت المعتزلة كما سيأتي الكلام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الحقيقة كانت دعوة هؤلاء ردّ فعل لأسطورة الجبر الّتي كانت ذائعة في الصدر الأوّل عن طريق أهل الكتاب الّذين تلبّسوا بالإسلام، و كانت الأكثريّة الساحقة من المسلمين يؤمنون بالقدر على وجه يجعل </w:t>
      </w:r>
    </w:p>
    <w:p>
      <w:pPr>
        <w:pStyle w:val="BookText"/>
        <w:rPr/>
      </w:pPr>
      <w:r>
        <w:rPr>
          <w:rFonts w:ascii="Amiri" w:hAnsi="Amiri" w:eastAsia="Amiri" w:cs="Amiri"/>
          <w:color w:val="111111"/>
          <w:sz w:val="28"/>
          <w:sz w:val="28"/>
          <w:szCs w:val="28"/>
          <w:rtl w:val="true"/>
          <w:lang w:bidi="ar-SA"/>
        </w:rPr>
        <w:t>الإنسان مغلول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أحد رجّاز ذلك الزمان معبّراً عن تلك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المضمِر همّاً لا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تُقْدَر لك الحمّى تُحَم</w:t>
      </w:r>
    </w:p>
    <w:p>
      <w:pPr>
        <w:pStyle w:val="BookText"/>
        <w:rPr/>
      </w:pPr>
      <w:r>
        <w:rPr>
          <w:rFonts w:ascii="Amiri" w:hAnsi="Amiri" w:eastAsia="Amiri" w:cs="Amiri"/>
          <w:color w:val="111111"/>
          <w:sz w:val="28"/>
          <w:sz w:val="28"/>
          <w:szCs w:val="28"/>
          <w:rtl w:val="true"/>
          <w:lang w:bidi="ar-SA"/>
        </w:rPr>
        <w:t xml:space="preserve">و لو علوت شاهقاً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توقِّيك و قد جفّ القلم</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فإذا كان الرأي العام عند المسلمين هذا، فعلى العالم أن يظهر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نرى أنّ معبداً الجهني و غيلان الدمشقي و القاضي عطاء بن يسار و غيرهم كعمر المقصوص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ظهر بدمشق و كان أُستاذاً للخليفة معاوية بن يزيد بن معاوية و قتله الأمويّون بتهمة إفساد الخليفة</w:t>
      </w:r>
      <w:r>
        <w:rPr>
          <w:rStyle w:val="FootnoteAnchor"/>
          <w:rtl w:val="true"/>
        </w:rPr>
        <w:footnoteReference w:id="262"/>
      </w:r>
      <w:r>
        <w:rPr>
          <w:rFonts w:ascii="Amiri" w:hAnsi="Amiri" w:eastAsia="Amiri" w:cs="Amiri"/>
          <w:color w:val="111111"/>
          <w:sz w:val="28"/>
          <w:sz w:val="28"/>
          <w:szCs w:val="28"/>
          <w:rtl w:val="true"/>
          <w:lang w:bidi="ar-SA"/>
        </w:rPr>
        <w:t>انتفضوا ضدّ هذه الفكرة الفاسدة فلقوا ما لقوا من القتل و التنكيل، و قد أدّوا رسالتهم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علماء الإسلام في السنّة و الجماعة قاموا بواجبهم في تلك الحقبة التأريخيّة و ما هابوا السلطة، لما ظهرت الحركات الرجعيّة بين الأُمّة الإسلاميّة في أوائل القرن الثاني، الّتي كانت تدعو إلى الجاهليّة الأُولى، و لأجل إيقاف القارئ على هذه الحركات و مبادئها سنعرض عليه بعض الحركات الرجعية الّتي ظهرت في القرن الثاني و الثالث بعد إكمال البحث في المقام، فانتظر</w:t>
      </w:r>
      <w:r>
        <w:rPr>
          <w:rFonts w:eastAsia="Amiri" w:cs="Amiri" w:ascii="Amiri" w:hAnsi="Amiri"/>
          <w:color w:val="111111"/>
          <w:sz w:val="28"/>
          <w:szCs w:val="28"/>
          <w:rtl w:val="true"/>
          <w:lang w:bidi="ar-SA"/>
        </w:rPr>
        <w:t xml:space="preserve">. </w:t>
      </w:r>
      <w:bookmarkStart w:id="240" w:name="pg11536_163977"/>
    </w:p>
    <w:p>
      <w:pPr>
        <w:pStyle w:val="Heading3"/>
        <w:numPr>
          <w:ilvl w:val="2"/>
          <w:numId w:val="1"/>
        </w:numPr>
        <w:rPr/>
      </w:pPr>
      <w:bookmarkStart w:id="241" w:name="__RefHeading___Toc3907439_73709187"/>
      <w:bookmarkStart w:id="242" w:name="_Toc87"/>
      <w:bookmarkEnd w:id="240"/>
      <w:bookmarkEnd w:id="241"/>
      <w:r>
        <w:rPr>
          <w:rtl w:val="true"/>
        </w:rPr>
        <w:t>رسالة غيلان إلى عمر بن عبد العزيز</w:t>
      </w:r>
      <w:bookmarkEnd w:id="242"/>
    </w:p>
    <w:p>
      <w:pPr>
        <w:pStyle w:val="BookText"/>
        <w:rPr/>
      </w:pPr>
      <w:r>
        <w:rPr>
          <w:rFonts w:ascii="Amiri" w:hAnsi="Amiri" w:eastAsia="Amiri" w:cs="Amiri"/>
          <w:color w:val="111111"/>
          <w:sz w:val="28"/>
          <w:sz w:val="28"/>
          <w:szCs w:val="28"/>
          <w:rtl w:val="true"/>
          <w:lang w:bidi="ar-SA"/>
        </w:rPr>
        <w:t>الرسالة الّتي بعث بها غيلان إلى عمر بن عبد العزيز توقفنا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مكانته من الصمود في وجه المخالفين، و ممّا جاء في تلك الرسالة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أبصرت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كدت أعلم يا عمر، أنّك أدركت من الإسلام خلقاً بالياً، و رسماً عافياً، فيا ميّت بين الأموات، لا ترى أثراً فتتبع، و لا تسمع صوتاً فتنتفع، طفئ أمر السنّة، و ظهرت البدعة، أُخيف العالم فلا يتكلّم، و لا يعطى الجاهل فيسأل، و ربّما نجحت الأُمة بالإمام، و ربّما هلكت بالإمام، فانظر أيّ الإمامين أنت، فإنّه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فهذا إمام هدى، و من اتّبعه شريكان؛ و أمّا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يَدْعُونَ إِلَى اَلنّٰارِ وَ يَوْمَ اَلْقِيٰامَةِ لاٰ يُنْصَرُونَ</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و لن تجد داعياً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يتبعه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الدعاة إلى النار هم الدعاة إلى معاصي اللّٰه، فهل وجدت يا عمر حكيماً يعيب ما يصنع، أو يصنع ما يعيب، أو يعذّب على ما قضى، أو يقضي ما يعذّب عليه، أم هل وجدت رشيداً يدعو إلى الهدى ثمّ يضل عنه، أم هل وجدت رحيماً يكلّف العباد فوق الطاقة، أو يعذّبهم على الطاعة، أم هل وجدت عدلاً يحمل الناس على الظلم و التظالم، و هل وجدت صادقاً يحمل الناس على الكذب أو التكاذب </w:t>
      </w:r>
    </w:p>
    <w:p>
      <w:pPr>
        <w:pStyle w:val="BookText"/>
        <w:rPr/>
      </w:pPr>
      <w:r>
        <w:rPr>
          <w:rFonts w:ascii="Amiri" w:hAnsi="Amiri" w:eastAsia="Amiri" w:cs="Amiri"/>
          <w:color w:val="111111"/>
          <w:sz w:val="28"/>
          <w:sz w:val="28"/>
          <w:szCs w:val="28"/>
          <w:rtl w:val="true"/>
          <w:lang w:bidi="ar-SA"/>
        </w:rPr>
        <w:t>بينهم؟ كفى ببيان هذا بياناً، و بالعمى عنه عمى</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الرسالة الّتي نقلها ابن المرتضى تعرب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الرّجل كان ذا همّة قعساء، و غيرة لا يرضى معها بتدهور الأُمور في المجتمع و رجوعه القهقرى، أنّه بلغ من الإصحار بالحقيقة أن خاطب خليفة الزمان بما جاء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كلامه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أيّ الإمامين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مرتزقة البلاط الأموي من حيث تقريظهم للخلفاء و الثناء على أعمالهم القبيحة، و وصفهم بالسير على خطى الرسول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جرير بن عطية الخطفي يمدح بني أُميّة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أندى العالمين بطون راح</w:t>
      </w:r>
    </w:p>
    <w:p>
      <w:pPr>
        <w:pStyle w:val="BookText"/>
        <w:rPr/>
      </w:pPr>
      <w:r>
        <w:rPr>
          <w:rFonts w:ascii="Amiri" w:hAnsi="Amiri" w:eastAsia="Amiri" w:cs="Amiri"/>
          <w:color w:val="111111"/>
          <w:sz w:val="28"/>
          <w:sz w:val="28"/>
          <w:szCs w:val="28"/>
          <w:rtl w:val="true"/>
          <w:lang w:bidi="ar-SA"/>
        </w:rPr>
        <w:t>و هذه ليلى الأخيلية تمدح الحجّاج بن يوسف بقولها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هبط الحجاج أرضاً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أقصى دائها فشفاها</w:t>
      </w:r>
    </w:p>
    <w:p>
      <w:pPr>
        <w:pStyle w:val="BookText"/>
        <w:rPr/>
      </w:pPr>
      <w:r>
        <w:rPr>
          <w:rFonts w:ascii="Amiri" w:hAnsi="Amiri" w:eastAsia="Amiri" w:cs="Amiri"/>
          <w:color w:val="111111"/>
          <w:sz w:val="28"/>
          <w:sz w:val="28"/>
          <w:szCs w:val="28"/>
          <w:rtl w:val="true"/>
          <w:lang w:bidi="ar-SA"/>
        </w:rPr>
        <w:t xml:space="preserve">شفاها من الداء العضال الّذي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إذا هزّ القناة سقاها</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الوليد بن اليزيد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شديداً بأعباء الخلافة كاهله </w:t>
      </w:r>
      <w:bookmarkStart w:id="243" w:name="pg11536_163979"/>
    </w:p>
    <w:p>
      <w:pPr>
        <w:pStyle w:val="BookText"/>
        <w:rPr/>
      </w:pPr>
      <w:bookmarkEnd w:id="243"/>
      <w:r>
        <w:rPr>
          <w:rFonts w:ascii="Amiri" w:hAnsi="Amiri" w:eastAsia="Amiri" w:cs="Amiri"/>
          <w:color w:val="111111"/>
          <w:sz w:val="28"/>
          <w:sz w:val="28"/>
          <w:szCs w:val="28"/>
          <w:rtl w:val="true"/>
          <w:lang w:bidi="ar-SA"/>
        </w:rPr>
        <w:t>إلى غيرهم من الشعراء و الأُدباء الّذين يمدحون الطغاة بشعرهم لا بشعورهم، و نثرهم لا بعقولهم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يعذّب على ما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إنكار القضاء الدارج في ألسن الأمويين من غلّ الأيدي و جعل الإنسان كالريشة في مهبّ الريح، و أمّا القضاء بمعنى العلم الأزلي بالأشياء و الحوادث فلم يعرف إنكاره له</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3907441_73709187"/>
      <w:bookmarkStart w:id="245" w:name="_Toc88"/>
      <w:bookmarkEnd w:id="244"/>
      <w:r>
        <w:rPr>
          <w:rtl w:val="true"/>
        </w:rPr>
        <w:t>محاكمة غيلان</w:t>
      </w:r>
      <w:bookmarkEnd w:id="245"/>
    </w:p>
    <w:p>
      <w:pPr>
        <w:pStyle w:val="BookText"/>
        <w:rPr/>
      </w:pPr>
      <w:r>
        <w:rPr>
          <w:rFonts w:ascii="Amiri" w:hAnsi="Amiri" w:eastAsia="Amiri" w:cs="Amiri"/>
          <w:color w:val="111111"/>
          <w:sz w:val="28"/>
          <w:sz w:val="28"/>
          <w:szCs w:val="28"/>
          <w:rtl w:val="true"/>
          <w:lang w:bidi="ar-SA"/>
        </w:rPr>
        <w:t xml:space="preserve">و من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هشام بن عبد الملك قبض على غيلان الدمشقي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كلام الناس فيك، فبعث إلى الأوزاعي، فلمّا حضر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ناظر لنا هذا القدريّ، فقال الأوزاعي مخاطباً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إن شئت ثلاث كلمات و إن شئت أربع كلمات و إن شئت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هل قضى على ما نهى؟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في هذا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أحال دون ما أمر؟</w:t>
      </w:r>
    </w:p>
    <w:p>
      <w:pPr>
        <w:pStyle w:val="BookText"/>
        <w:rPr/>
      </w:pP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أشدّ من الأُولى، ما عندي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اثنتان يا أمير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عزّ و جلّ هل أعان على ما حرّم؟</w:t>
      </w:r>
    </w:p>
    <w:p>
      <w:pPr>
        <w:pStyle w:val="BookText"/>
        <w:rPr/>
      </w:pPr>
      <w:r>
        <w:rPr>
          <w:rFonts w:ascii="Amiri" w:hAnsi="Amiri" w:eastAsia="Amiri" w:cs="Amiri"/>
          <w:color w:val="111111"/>
          <w:sz w:val="28"/>
          <w:sz w:val="28"/>
          <w:szCs w:val="28"/>
          <w:rtl w:val="true"/>
          <w:lang w:bidi="ar-SA"/>
        </w:rPr>
        <w:t>فقال 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أشدّ من الأُولى و الثانية، ما عندي في هذا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هشام فضربت عنقه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هشاماً طلب من الأوزاعيّ أن يفسّر له هذه الكلمات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فإنّ اللّٰه تعالى قضى على ما نهى، نهى آدم عن الأكل من الشجرة ثمّ قضى عليه بأكلها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فإنّ اللّٰه تعالى حال دون ما أمر، أمر إبليس بالسجود لآدم ثمّ حال بينه و بين السجود، و أمّا الثالث، فإنّ اللّٰه تعالى أعان على ما حرّم، حرّم الميتة و الدم و لحم الخنزير، ثمّ أعان عليها بالاضطرار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هذه المناظرة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الجهل بهذه الأسئلة الثلاثة لو كان مبرّراً لضرب العنق، فهشام بن عبد الملك خليفة الزمان أولى بهذا، لأنّه كان أيضاً جاهلاً بها بدليل سأل الأوزاعي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ذا لا تضرب عنقه أيضاً؟ و هذا يعرب عن أنّ الحكم بالإعدام كان صادراً قبل المناظرة، و إنّما كانت المناظرة بين يدي الأوزاعي </w:t>
      </w:r>
    </w:p>
    <w:p>
      <w:pPr>
        <w:pStyle w:val="BookText"/>
        <w:rPr/>
      </w:pPr>
      <w:r>
        <w:rPr>
          <w:rFonts w:ascii="Amiri" w:hAnsi="Amiri" w:eastAsia="Amiri" w:cs="Amiri"/>
          <w:color w:val="111111"/>
          <w:sz w:val="28"/>
          <w:sz w:val="28"/>
          <w:szCs w:val="28"/>
          <w:rtl w:val="true"/>
          <w:lang w:bidi="ar-SA"/>
        </w:rPr>
        <w:t>تبريراً للإعدام حتّى لا يقال إنّ الحكم صدر اعتباطاً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سأله الأوزاعي عنه ثمّ أجاب عنه، يدل على أنّه كان يمشي على خطّ الجبر، و أنّه كان معتقداً بأنّ قضاء اللّٰه يسلب عن الإنسان الحريّة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أكل آدم من الشجرة بقضاء من اللّٰه و ما كان له محيص عن الأكل، كما أنّ تخلّف إبليس عن السجود كان بقضاء اللّٰه و لم يكن له مفرّ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حال سبحانه بينه و بين السجود لآدم، و من المعلوم أنّ غيلان الدمشقي و كلّ موحّدٍ يعتقد بصحّة بعث الرسل و صحّة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المناظرة لم تكن مبنيّة على 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أدب المناظرة أن يطرح السؤال أو الإشكال على وجه واضح، حتى يتدبّر الآخر فيما يرتئيه المناظر من الجواب، و أمّا الأسئلة الّتي طرحها الفقيه الأوزاعي فإنّها أشبه بالأحاجي و اللّغز، لا يستفاد منها إلّا في مواضع خاصّة لاختبار ذكاء الإنسان، و لم يكن المقام إلّا مقام السيف و الدم لا الاختبار للذكاء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حدسي أنّ غيلان الدمشقي قد وقف على نيّة الأوزاعي و أنّه يريد أن يأخذ منه الاعتراف بأحد الأمرين إمّا بالجبر إذا أجاب بمثل ما يريد، و عندئذ يكون مناقضاً لعقيدته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بالاختيار و الحريّة فيكون محكوماً بالإعدام و ضرب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السكوت و عدم الإجابة حتّى يتخلّص من كلتا المغبّتين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المسكين عارفاً بأنّ الحكم بالإعدام قد سبق السؤال و الجواب، و هذه </w:t>
      </w:r>
    </w:p>
    <w:p>
      <w:pPr>
        <w:pStyle w:val="BookText"/>
        <w:rPr/>
      </w:pPr>
      <w:r>
        <w:rPr>
          <w:rFonts w:ascii="Amiri" w:hAnsi="Amiri" w:eastAsia="Amiri" w:cs="Amiri"/>
          <w:color w:val="111111"/>
          <w:sz w:val="28"/>
          <w:sz w:val="28"/>
          <w:szCs w:val="28"/>
          <w:rtl w:val="true"/>
          <w:lang w:bidi="ar-SA"/>
        </w:rPr>
        <w:t>المناظرة مسرحيّة رُتّبت لتبرير إراقة دمه تحت غطاء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قام بعض المعنيّين بالملل و النحل، بنشر ما وصل إليه من الوثائق عن بدايات علم الكلام في الاسلام، فنشر ضمن مجموعةِ رسالتين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الحسن بن محمّد ابن الحنفيّة في القدر، و رسالة عمر بن عبد العزيز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الكلام حولهما في آخر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للكتاب ملحق يهدف إلى تبيان بعض القضايا المتعلّقة بشخصيّة من شخصيات القدريّة المفكّرين و هو غيلان الدمشقي، و خاصة تلك القضايا المتعلّقة بحياته و إعدامه في زمن خلافة هشام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معظم الروايات على أنّها أقاصيص موضوعة اختلقتها رواتها ليبرهنوا على أنّ غيلان كان خارجاً عن الجماعة، و أنّ حججه كانت غير مقنعة، و أنّ السلطة السياسيّة كانت على حقّ عند ما أعدمته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كلّه مما يجعل استخلاص ما حدث على وجه الدقّة أمراً صعباً، على أنّني حاولت توضيح الأمر بمعلومات استقيتها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للبلاذري، بالاضافة إلى المصادر الأُخرى</w:t>
      </w:r>
      <w:r>
        <w:rPr>
          <w:rFonts w:eastAsia="Amiri" w:cs="Amiri" w:ascii="Amiri" w:hAnsi="Amiri"/>
          <w:color w:val="111111"/>
          <w:sz w:val="28"/>
          <w:szCs w:val="28"/>
          <w:rtl w:val="true"/>
          <w:lang w:bidi="ar-SA"/>
        </w:rPr>
        <w:t>.</w:t>
      </w:r>
      <w:r>
        <w:rPr>
          <w:rStyle w:val="FootnoteAnchor"/>
          <w:rtl w:val="true"/>
        </w:rPr>
        <w:footnoteReference w:id="268"/>
      </w:r>
      <w:bookmarkStart w:id="246" w:name="pg11536_163983"/>
    </w:p>
    <w:p>
      <w:pPr>
        <w:pStyle w:val="Heading3"/>
        <w:numPr>
          <w:ilvl w:val="2"/>
          <w:numId w:val="1"/>
        </w:numPr>
        <w:rPr/>
      </w:pPr>
      <w:bookmarkStart w:id="247" w:name="__RefHeading___Toc3907443_73709187"/>
      <w:bookmarkStart w:id="248" w:name="_Toc89"/>
      <w:bookmarkEnd w:id="246"/>
      <w:bookmarkEnd w:id="247"/>
      <w:r>
        <w:rPr>
          <w:rtl w:val="true"/>
        </w:rPr>
        <w:t>خاتمة المطاف</w:t>
      </w:r>
      <w:bookmarkEnd w:id="248"/>
    </w:p>
    <w:p>
      <w:pPr>
        <w:pStyle w:val="Heading4"/>
        <w:numPr>
          <w:ilvl w:val="3"/>
          <w:numId w:val="1"/>
        </w:numPr>
        <w:rPr/>
      </w:pPr>
      <w:bookmarkStart w:id="249" w:name="__RefHeading___Toc3907445_73709187"/>
      <w:bookmarkStart w:id="250" w:name="_Toc90"/>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قد تكرّر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أهل الحديث و المتكلّمين و مؤلّفي الفرق و الملل و النحل، و رويت حولها أحاديث و هي إحدى المصطلحات الدارجة بينهم، و تحاول كلّ طائفة أن تتبرّأ منها و تتّهم مخالفها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إكمال البحث نتحدّث عن سند الحديث أوّلاً، و دلالته ثانياً على وجه الإجمال، و إليك متن الحديث بصوره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داود عن عبد اللّه بن عمر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مجوس هذه الأُمّة، إن مرضوا فلا تعودوهم، و إن ماتوا فلا تشهدوهم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أيضاً عن عبد اللّه بن عبّاس</w:t>
      </w:r>
      <w:r>
        <w:rPr>
          <w:rStyle w:val="FootnoteAnchor"/>
          <w:rtl w:val="true"/>
        </w:rPr>
        <w:footnoteReference w:id="269"/>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تجالسوا أهل القدر و لا تفاتحوهم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أُمّتي ليس لهم في الإسلام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المرجئة، و القدرية</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متن الحديث فإنّ الكلام يقع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روي بسند صحيح يمكن الاحتجاج به أو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المقصود من القدريّة على فرض صحّته؟</w:t>
      </w:r>
    </w:p>
    <w:p>
      <w:pPr>
        <w:pStyle w:val="BookText"/>
        <w:rPr/>
      </w:pPr>
      <w:r>
        <w:rPr>
          <w:rFonts w:ascii="Amiri" w:hAnsi="Amiri" w:eastAsia="Amiri" w:cs="Amiri"/>
          <w:color w:val="111111"/>
          <w:sz w:val="28"/>
          <w:sz w:val="28"/>
          <w:szCs w:val="28"/>
          <w:rtl w:val="true"/>
          <w:lang w:bidi="ar-SA"/>
        </w:rPr>
        <w:t>أمّا من ناحية السند، فيكفي في ضعف الأوّل ما قاله المنذري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منقطع لأنّه يرويه سلمة بن دينار عن ابن عمر، و لم يدركه، و قد روى عن ابن عمر من طرق لا يثبت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في ضعف سند الثاني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شريك الهذلي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هو مجهول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ضعف سند الثالث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جمعاً من الحفّاظ عدّوا أصل الحديث من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سراج الدين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و تعقّبه ابن حجر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باطل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لعن القدريّة لا شكّ في وضعه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وضع السند، و أمّا الدلالة، فقد اختلف النظر في مفاده، كلّ من المجبّرة و العدليّة يتبرّأ منه، و يريد تطبيقه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الحديث و الحشويّة و السلفيّة و الأشعريّة الّذين يتّسمون بسمة الجبر الجليّ أو الخفيّ، يفسّرون القدريّة بنفاة القدر، من باب إطلاق الشيء و إرادة نقيضه، و المعتزلة و أسلافهم،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الحريّة و الاختيار يتّهمون الجبرية بالقدريّة، لأنّهم قائلون بالقدر و التقدير، و أنّ كل شيء يتحقّق بتقدير من اللّٰه سبحانه و لا محيص عمّا قدّر و 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كلمة للعلاّمة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تلاميذ الشيخ المفيد لا بأس بنقلها،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نجد في أسماء الفرق ما ينكره أصحابه و يتبرّأ منه سوى القدرية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العدل يقولون لأهل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أهل الجبر يقولون لأهل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القدريّة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إنّما تبرّأ الجميع من ذلك، لأنّهم 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لعن القدرية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مجوس هذه الأُمّة، إن مرضوا فلا تعودوهم، و إن ماتوا فلا تشهدوهم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الأشعري تطبيق الحديث على المعتزلة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زعمت 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المعتزلة و أسلافهم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نستحقّ اسم القدر،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قدّر الشرّ و الكفر، فمن يثبت القدر كان قدريّاً دون من لم يثبته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أجاب عن استدلال المعتزلة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 من يثبت القدر لنفسه دون ربّه عزّ و جلّ، و أنّه يقدّر أفعاله دون خالقه، و كذلك هو في اللّغة، لأنّ الصائغ هو من زعم أنّه يصوغ دون من يقول إنّه يصاغ له، فلمّا كانت المعتزلة تزعم أنّهم يقدّرون أعمالهم و يفعلونها دون ربّهم، وجب أن يكونوا قدريّة، و لم نكن نحن قدريّة لأنّا لم نضف الأعمال إلى أنفسنا دون ربّنا و لم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نقدّرها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إنّك تقدّر لنا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و القدر من الكلمات الواردة في الكتاب و السنّة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الفاعل في الجميع هو اللّٰه سبحانه و تعالى، لا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قَدَّرَ فَهَدىٰ</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المعتقد لما جاء في المصدرين من قضاء اللّٰه و قدره، لا المعتقد بأنّ الإنسان هو الّذي يقدّر أفعاله و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قياسه اسم الفاعل على المصادر المنسوبة، فالأوّل كالصائغ يراد منه الفاعل أي من يصوغ،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يراد منها المعتقد بالمصدر الّذي نسب إليه، كالجبريّة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بالجبر، و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يعتقد بالعدل، و هكذا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هنا محاولات أُخرى لأجل تطبيق الحديث على عقيدة دعاة </w:t>
      </w:r>
    </w:p>
    <w:p>
      <w:pPr>
        <w:pStyle w:val="BookText"/>
        <w:rPr/>
      </w:pPr>
      <w:r>
        <w:rPr>
          <w:rFonts w:ascii="Amiri" w:hAnsi="Amiri" w:eastAsia="Amiri" w:cs="Amiri"/>
          <w:color w:val="111111"/>
          <w:sz w:val="28"/>
          <w:sz w:val="28"/>
          <w:szCs w:val="28"/>
          <w:rtl w:val="true"/>
          <w:lang w:bidi="ar-SA"/>
        </w:rPr>
        <w:t>الحريّة و الاختيار غير ما عرفته من كلام الأشعري من أنّ الإنسان هو المقدّر لأعماله، كما عرفت ضعفه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القدريّة 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الاستطاعة، فمن قال بتأثير قدرة الإنسان في فعله و أنّها المصدر له، فهو 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هذا الوجه لوجب ضمّ الفاء دون فتحها، و المشهور هو الأوّل و لم يسمع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أنّ المناسب على هذا الوجه هو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الّذي هو غير مأنوس للأذهان و الأفهام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الحديث من باب إطلاق الشيء و إرادة نقيضه، أي نفاة القدر و منكروه، و سيأتي في حديث أحمد ما يوافق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مثله في أمثالها، فلا تطلق الجبريّة، و لا العدليّة على نفاة الجبر و العدل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إليه أنّه لم يظهر 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معبداً الجهني و لا غيلان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التقدير بالمعنى الصحيح، غير المنافي للحريّة و الاختيار، فإذا أردنا أن نعرف مذهبهم في مجال القضاء و القدر، فيلزم علينا الرجوع إلى مذهب خصومهم، فإنّ الأُمور تعرف بأضدادها، و حاشا أن يكون المسلم الواعي منكراً للقضاء و القدر الواردين في الكتاب و السنّة، غير السالبين للاختيار و الحريّة، غير المنافيين لصحّة التكليف و بعث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أنكروا القدر بالمعنى الّذي كان البلاط و مرتزقته ينتحلونه لتبرير </w:t>
      </w:r>
    </w:p>
    <w:p>
      <w:pPr>
        <w:pStyle w:val="BookText"/>
        <w:rPr/>
      </w:pPr>
      <w:r>
        <w:rPr>
          <w:rFonts w:ascii="Amiri" w:hAnsi="Amiri" w:eastAsia="Amiri" w:cs="Amiri"/>
          <w:color w:val="111111"/>
          <w:sz w:val="28"/>
          <w:sz w:val="28"/>
          <w:szCs w:val="28"/>
          <w:rtl w:val="true"/>
          <w:lang w:bidi="ar-SA"/>
        </w:rPr>
        <w:t>أعمالهم الإجراميّة، و لا يرون للإنسان و لا لأنفسهم أيّة مسئوليّة فيها، و يرفعون عقيرتهم بأنّ كلّ ما في الكون من خير و شرّ، و كظّة و سغب، إنّما يرجع إلى إرادته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الاعتراض على جوع المظلوم و شبع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هؤلاء الأحرار قد قاموا في وجه الأمويين و أنكروا القدر بهذا المعنى الّذي يعرّف الإنسان كالريشة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القدر بهذا المعنى، غير نفيه بالمعنى الصحيح سواء فسّر بالعلم و الارادة الأزليين، أم بتقدير الأشياء و القضاء على وجودها و تقدير الإنسان بينهما موجوداً مختاراً مسئولاً عن فعله، و القضاء على ما يصدر منه بهذه الصورة على ما أوضحناه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الشيخ أبو زهرة عن الشيخ مصطفى الصبري شيخ 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هو مقاربة رأيهم بعض عقائد المجوس، فالمجوس ينسبون الخير إلى اللّٰه و الشرّ إلى الشيطان و كذلك هؤلاء القدريّة يفرقون بين الخير و الشر فيسندون الخير إلى اللّٰه و الشرّ إلى الشيطان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الثنوية بالمعنى الّذي ذكره شيخ إسلام تركيا إلى المعتزلة رجم بالغيب، فإنّ المعروف من مذهب المعتزلة فضلاً عن أسلافهم هو نسبة الخير و الشرّ إلى الإنسان نفسه لا التّفريق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كلام قاضي القضاة عبد الجبّار، يمنع بتاتاً عن انتساب فعل الإنسان إلى اللّٰه خيره و شرّه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أفعال العباد لا يجوز أن توصف </w:t>
      </w:r>
    </w:p>
    <w:p>
      <w:pPr>
        <w:pStyle w:val="BookText"/>
        <w:rPr/>
      </w:pPr>
      <w:r>
        <w:rPr>
          <w:rFonts w:ascii="Amiri" w:hAnsi="Amiri" w:eastAsia="Amiri" w:cs="Amiri"/>
          <w:color w:val="111111"/>
          <w:sz w:val="28"/>
          <w:sz w:val="28"/>
          <w:szCs w:val="28"/>
          <w:rtl w:val="true"/>
          <w:lang w:bidi="ar-SA"/>
        </w:rPr>
        <w:t>بأنّها من اللّٰه و من عنده و من قبله، و ذلك واضح، فإنّ أفعالهم حدثت من جهتهم و حصلت بدواعيهم و قصودهم، و استحقّوا عليها المدح و الذّم، و الثواب و العقاب فلو كانت من جهته تعالى أو من عنده أو من قبله لما جاز ذلك</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بعض الكلام حول الحديث و مفاده، و من أراد البسط و الاستيعاب فعليه المراجعة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772-778</w:t>
      </w:r>
      <w:r>
        <w:rPr>
          <w:rFonts w:ascii="Amiri" w:hAnsi="Amiri" w:eastAsia="Amiri" w:cs="Amiri"/>
          <w:color w:val="111111"/>
          <w:sz w:val="28"/>
          <w:sz w:val="28"/>
          <w:szCs w:val="28"/>
          <w:rtl w:val="true"/>
          <w:lang w:bidi="ar-SA"/>
        </w:rPr>
        <w:t>؛ و شرح التجريد للعلاّمة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صيدا؛ و شرح المقاصد للتفتازاني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و التمهيد للباقلاني الفصل الثامن و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الرسول يعدّ القدريّة في هذا الحديث مجوس هذه الأُمّة، ففي بعض ما روي عن ابن عمر عن الرسول صلى الله عليه و آله و سلم عدّت نفاة القدر مجوس الأُمّة، و إليك نزراً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في مسنده عن ابن عمر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مجوس، و مجوس أُمّتي الّذين يقولون لا قدر، إن مرضوا فلا تعودوهم و إن ماتوا فلا تشهدوهم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الترمذي و أبو داود عن نافع مولى ابن عمر أنّ رجلاً جاء ابن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يقرأ عليك السلام،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قد أحدث التكذيب بالقدر، فإن كان قد أحدث فلا تقرأ مني السلام فإنّي سمعت رسول </w:t>
      </w:r>
    </w:p>
    <w:p>
      <w:pPr>
        <w:pStyle w:val="BookText"/>
        <w:rPr/>
      </w:pPr>
      <w:r>
        <w:rPr>
          <w:rFonts w:ascii="Amiri" w:hAnsi="Amiri" w:eastAsia="Amiri" w:cs="Amiri"/>
          <w:color w:val="111111"/>
          <w:sz w:val="28"/>
          <w:sz w:val="28"/>
          <w:szCs w:val="28"/>
          <w:rtl w:val="true"/>
          <w:lang w:bidi="ar-SA"/>
        </w:rPr>
        <w:t>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يكون في هذه الأُمّة، أو في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و مسخ و ذلك بالمكذّبين بالقدر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لا يخفى وجود التعارض الصريح بين كون القدريّة مجوس الأُمّة، و كون نافي القدر مجوسها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الأوّل بنفاة القدر تفسير بلا دليل، بل تفسير على خلاف اللّغة 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ضعف الحديث الثاني أنّه وقع التكذيب و صدر الشك في القدر في العصور الماضية، و لم يعمّ الخسف و المسخ للمكذّبين و الشاكّين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السابر في كتب الحديث و التاريخ و الملل و النحل يرى العناية التامّة من أصحاب الحديث و غيره لمسألة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تحتلّ في تلك العصور، المكانة العليا بين المسائل العقيديّة حتّى كان مدار الإيمان و الكفر فكان المثبت مؤمناً و النافي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الرسول الأعظم صلى الله عليه و آله و سلم كان يقبل إسلام آلاف القائلين بالشهادتين من دون أن يسألهم و لو في مورد عن القضاء و القدر، و أنّه هل يعتقد القائل، بأنّ اللّٰه سبحانه يقدّر أفعال الإنسان و أعماله، فيحكم عليه بالإسلام أو لا، فيحكم عليه بالكفر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فما معنى هذه العناية الحادثة بعد رحلة الرسول صلى الله عليه و آله و سلم بهذه المسألة؟ </w:t>
      </w:r>
    </w:p>
    <w:p>
      <w:pPr>
        <w:pStyle w:val="BookText"/>
        <w:rPr/>
      </w:pPr>
      <w:r>
        <w:rPr>
          <w:rFonts w:ascii="Amiri" w:hAnsi="Amiri" w:eastAsia="Amiri" w:cs="Amiri"/>
          <w:color w:val="111111"/>
          <w:sz w:val="28"/>
          <w:sz w:val="28"/>
          <w:szCs w:val="28"/>
          <w:rtl w:val="true"/>
          <w:lang w:bidi="ar-SA"/>
        </w:rPr>
        <w:t>أ ليس هذا يدفع الإنسان إلى القول بأنّها كانت مسألة مستوردة، زرعها الأحبار و الرهبان، و غذّتها السلطة الأموية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بالتالي شقّ بها عصا المسلمين و صاروا يكفّر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الشيخ البخاري يروي عن رسول اللّٰه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و إقام الصلاة، و إيتاء الزّكاة، و الحجّ، وصوم رمضان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روى عبادة بن الصامت و كان شهد بدراً و هو أحد النقباء ليلة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حوله عصابة من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بايعوني على أن لا تشركوا باللّٰه شيئاً و لا تسرقوا و لا تزنوا و لا تقتلوا أولادكم و لا تأتوا ببهتان تفترونه بين أيديكم و أرجلكم و لا تعصوا في معروف، فمن وفّى منكم فأجره على اللّٰه، و من أصاب من ذلك شيئاً فعوقب في الدنيا فهو كفّارة له، و من أصاب من ذلك شيئاً ثمّ ستره اللّٰه، فهو إلى اللّٰه، إن شاء عفا عنه و إن شاء 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فبايعناه على ذلك</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للاعتقاد بالقدر، تلك المكانة العظمى، فلما ذا لم يذكره رسول اللّٰه صلى الله عليه و آله و سلم و لو في مورد، و لما ذا تركه سبحانه عند أمره رسوله بأخذ البيعة عن النساء؟</w:t>
      </w:r>
      <w:r>
        <w:rPr>
          <w:rStyle w:val="FootnoteAnchor"/>
          <w:rtl w:val="true"/>
        </w:rPr>
        <w:footnoteReference w:id="284"/>
      </w:r>
      <w:bookmarkStart w:id="251" w:name="pg11536_163992"/>
    </w:p>
    <w:p>
      <w:pPr>
        <w:pStyle w:val="BookText"/>
        <w:rPr/>
      </w:pPr>
      <w:bookmarkEnd w:id="251"/>
      <w:r>
        <w:rPr>
          <w:rFonts w:ascii="Amiri" w:hAnsi="Amiri" w:eastAsia="Amiri" w:cs="Amiri"/>
          <w:color w:val="111111"/>
          <w:sz w:val="28"/>
          <w:sz w:val="28"/>
          <w:szCs w:val="28"/>
          <w:rtl w:val="true"/>
          <w:lang w:bidi="ar-SA"/>
        </w:rPr>
        <w:t>كلّ ذلك يشرف الإنسان على القطع بأنّ البحث عن القدر و المغالاة فيه، كان بحثاً سياسياً وراءه غاية سياسية لأصحاب السلطة و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لأن يتركه الوحي في أخذ البيعة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الرسول الأكرم صلى الله عليه و آله و سلم في عرض الإسلام و تبيينه و قبوله من الآلاف المؤلفة من المتشرفين بالإسلام</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3907447_73709187"/>
      <w:bookmarkStart w:id="253" w:name="_Toc91"/>
      <w:bookmarkEnd w:id="252"/>
      <w:r>
        <w:rPr>
          <w:rtl w:val="true"/>
        </w:rPr>
        <w:t>رسائل ثلاث حول القدر</w:t>
      </w:r>
      <w:bookmarkEnd w:id="253"/>
    </w:p>
    <w:p>
      <w:pPr>
        <w:pStyle w:val="BookText"/>
        <w:rPr/>
      </w:pPr>
      <w:r>
        <w:rPr>
          <w:rFonts w:ascii="Amiri" w:hAnsi="Amiri" w:eastAsia="Amiri" w:cs="Amiri"/>
          <w:color w:val="111111"/>
          <w:sz w:val="28"/>
          <w:sz w:val="28"/>
          <w:szCs w:val="28"/>
          <w:rtl w:val="true"/>
          <w:lang w:bidi="ar-SA"/>
        </w:rPr>
        <w:t>و لو طلب القارئ الكريم التعرّف على التشاجر الّذي كان قائماً على قدم و ساق في بيان معنى القدر و أنّه ما ذا كان يراد منه، و أنّه هل كان الاعتقاد به يوم ذاك ملازماً للجبر أو لا؟ فعليه بدراسة ثلاث رسائل في هذا المجال، تعدّ من بدايات علم الكلام في الإسلام و قد نشرت تلك الرسائل حديثاً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المنسوبة إلى الحسن بن محمّد بن الحنفيّة، و الرسالة كتبت بإيحاء من الخليفة الأموي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يرجع تأريخ تأليفها إلى عام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فتكون أقدم رسالة في هذا المجال إن صحّت النسبة إليه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كتبه الخليفة الأموي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القدريّة المجهول الهوية، و قد جاء القدر في الرسالتين مساوقاً للجبر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فرض الحاكم الأموي قدريّاً ينكر علمه سبحانه الأزلي بالأشياء و أفعال العباد، فيردّ عليه بحماس على نحو يستنتج منه الجبر، و الرسالة جديرة </w:t>
      </w:r>
    </w:p>
    <w:p>
      <w:pPr>
        <w:pStyle w:val="BookText"/>
        <w:rPr/>
      </w:pPr>
      <w:r>
        <w:rPr>
          <w:rFonts w:ascii="Amiri" w:hAnsi="Amiri" w:eastAsia="Amiri" w:cs="Amiri"/>
          <w:color w:val="111111"/>
          <w:sz w:val="28"/>
          <w:sz w:val="28"/>
          <w:szCs w:val="28"/>
          <w:rtl w:val="true"/>
          <w:lang w:bidi="ar-SA"/>
        </w:rPr>
        <w:t>بالقراءة حتّى يعلم أنّ الأمويين من صالحهم إلى طالحهم كيف شوّهوا الإسلام، و صاروا أصدق موضوع لقول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لولاكم لعمّ الإسلام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نشرت هذه الرسالة بصورة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طبعت ضمن ترجمة عمر بن عبد العزيز في كتاب حلية الأولياء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كتبه الحسن بن يسار المعروف بالحسن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الحجّاج بن يوسف كتب إلى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عنك في القدر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رسالة طويلة ذكر أطرافاً منها ابن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رسالة</w:t>
      </w:r>
      <w:r>
        <w:rPr>
          <w:rStyle w:val="FootnoteAnchor"/>
          <w:rtl w:val="true"/>
        </w:rPr>
        <w:footnoteReference w:id="285"/>
      </w:r>
      <w:r>
        <w:rPr>
          <w:rFonts w:ascii="Amiri" w:hAnsi="Amiri" w:eastAsia="Amiri" w:cs="Amiri"/>
          <w:color w:val="111111"/>
          <w:sz w:val="28"/>
          <w:sz w:val="28"/>
          <w:szCs w:val="28"/>
          <w:rtl w:val="true"/>
          <w:lang w:bidi="ar-SA"/>
        </w:rPr>
        <w:t>نسبت إلى الحسن البصري كتبها إلى عبد الملك بن مروان و قد سأله عن القول بالقدر و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فيها بما يوافق مذهب القدريّة، و استدلّ فيها بآيات من الكتاب و دلائل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لعلّها لواصل بن عطاء فما كان الحسن ممّن يخالف السلف في أنّ القدر خيره و شرّه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الكلمات كالمجمع عليها عندهم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أنّه حمل هذا اللّفظ الوارد في الخبر على البلاء و العافية، و الشدّة و الرخاء، و المرض و الشفاء، و الموت و الحياة، إلى غير ذلك من أفعال اللّٰه تعالى دون الخير و الشرّ، و الحسن و القبيح، الصادرين من اكتساب العباد</w:t>
      </w:r>
      <w:r>
        <w:rPr>
          <w:rFonts w:eastAsia="Amiri" w:cs="Amiri" w:ascii="Amiri" w:hAnsi="Amiri"/>
          <w:color w:val="111111"/>
          <w:sz w:val="28"/>
          <w:szCs w:val="28"/>
          <w:rtl w:val="true"/>
          <w:lang w:bidi="ar-SA"/>
        </w:rPr>
        <w:t xml:space="preserve">. </w:t>
      </w:r>
      <w:bookmarkStart w:id="254" w:name="pg11536_163994"/>
    </w:p>
    <w:p>
      <w:pPr>
        <w:pStyle w:val="BookText"/>
        <w:rPr/>
      </w:pPr>
      <w:bookmarkEnd w:id="254"/>
      <w:r>
        <w:rPr>
          <w:rFonts w:ascii="Amiri" w:hAnsi="Amiri" w:eastAsia="Amiri" w:cs="Amiri"/>
          <w:color w:val="111111"/>
          <w:sz w:val="28"/>
          <w:sz w:val="28"/>
          <w:szCs w:val="28"/>
          <w:rtl w:val="true"/>
          <w:lang w:bidi="ar-SA"/>
        </w:rPr>
        <w:t>و كذلك أورده جماعة من المعتزلة في المقالات عن أصحابهم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وجه لما احتمله من كون الرسالة لواصل، إلّا تصلّبه في مذهب الأشعري، و أنّ فاعل الخير و الشر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الصادر من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سبحانه دون العبد، و من كان هذا مذهبه، يستبعد أن ينسب ما في الرسالة إلى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الإمام المقدّم عند أهل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المذهب الحقّ من أنّ الفاعل الحقيقي لأفعال الإنسان هو نفسه، لا على وجه التفويض من اللّٰه إليه، بل بقدرة مفاضة منه إليه في كلّ حين، و اختيار كُوِّنت ذاته به، و حريّة فطرت بها فالفعل فعل الإنسان، و في الوقت نفسه فعل اللّٰه تسبيباً، بل أدقّ و أرقّ منه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أخيراً نلفت نظر القارئ إلى ما كتبه كافي الكفاة الصاحب إسماعيل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القدريّة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مذهب أهل العدل بحجج القرآن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هذه الرّسالة طريفة في بابها نأتي بنصّ ما يخصّ بردّ القدريّة، و يريد من هذه اللّفظة القائلين بالقدر على وجه يستلزم الجبر و إليك نصّها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3907449_73709187"/>
      <w:bookmarkStart w:id="256" w:name="_Toc92"/>
      <w:bookmarkEnd w:id="255"/>
      <w:r>
        <w:rPr>
          <w:rtl w:val="true"/>
        </w:rPr>
        <w:t xml:space="preserve">رسالة الصاحب في الرد على القدريّة </w:t>
      </w:r>
      <w:r>
        <w:rPr>
          <w:rtl w:val="true"/>
        </w:rPr>
        <w:t>(</w:t>
      </w:r>
      <w:r>
        <w:rPr>
          <w:rtl w:val="true"/>
        </w:rPr>
        <w:t>المجبّرة</w:t>
      </w:r>
      <w:r>
        <w:rPr>
          <w:rtl w:val="true"/>
        </w:rPr>
        <w:t>)</w:t>
      </w:r>
      <w:bookmarkEnd w:id="25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زعمت المجبّرة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يريد الظلم و الفساد، و يحبُّ الكفر و العدوان، و يشاء أن يشرك به و لا يعبد، و يرضى أن يجحد و يسبّ و يشتم، </w:t>
      </w:r>
    </w:p>
    <w:p>
      <w:pPr>
        <w:pStyle w:val="BookText"/>
        <w:rPr/>
      </w:pPr>
      <w:r>
        <w:rPr>
          <w:rFonts w:ascii="Amiri" w:hAnsi="Amiri" w:eastAsia="Amiri" w:cs="Amiri"/>
          <w:color w:val="111111"/>
          <w:sz w:val="28"/>
          <w:sz w:val="28"/>
          <w:szCs w:val="28"/>
          <w:rtl w:val="true"/>
          <w:lang w:bidi="ar-SA"/>
        </w:rPr>
        <w:t>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لا يرضى إلّا الصلاح و لا يريد إلّا الاستقامة و السداد، و كيف يريد الفساد و قد نهى عنه و توعّد، و كيف لا يريد الصلاح و قد أمر به و دعا إليه، و لو لم يفعل العباد إلّا ما أراد اللّٰه تعالى لكان كلّهم مطيعاً للّٰه تعالى، فإن كان الكافر قد فعل ما أراد منه مولاه فليس بعاص، و أطوع ما يكون العبد لمولاه إذا فعل ما يريده، و أيضاً فليس بحكيم من أراد أن يشتم، و لم يرد أن يعظّم، و رضى أن تجحد نعمه، و أحبّ أن لا تشكر مننه،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 قال تعالى في تكذيب من زعم أنّ الكفّار كفروا بمشيئة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اَلَّذِينَ أَشْرَكُوا لَوْ شٰاءَ اَللّٰهُ مٰا أَشْرَكْنٰا وَ لاٰ آبٰاؤُنٰا وَ لاٰ حَرَّمْنٰا مِنْ شَيْ‌ءٍ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أَنْتُمْ إِلاّٰ تَخْرُصُونَ</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أي تكذبون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وردت على الخير دون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 في سورة أُخرى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من العبد شيئاً و لم يفعل لكان العبد قد غلبه، فهذا ينقلب في الأمر، لأنّه قد خولف و لم يكن مغلوباً، و كذلك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من قال و أراد من مملوك شيئاً و لم يفعله، و أمر آخر بفعل فخالف لكان المخالف في الأمر أعظم في النفوس عصيانا،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الغالب، و إنّما أمهل العصاة حلماً و لم يجبرهم على الإيمان، لأنّ المكره لا يستحقّ ثواباً، بل أزاح عللهم، و أقدرهم و أمكنهم، فمن أحسن فإلى ثوابه، و من أساء فإلى عقابه، و لو شاء لأكرههم على الإيمان أجمعين،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شِئْنٰا لَآتَيْنٰا كُلَّ نَفْسٍ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 قَدْ تَبَيَّنَ اَلرُّشْدُ مِنَ اَلْغَيِّ</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خالق الكفر و فاعله، و منشئ الزنا و مخترعه و متولّي القيادة و موجدها، و مبتدع السرقة و محدثها، و كلّ قبائح العباد من صنعته، و كلّ تفاوت فمن عنده، و كلّ فساد فمن تقديره، و كلّ خطأ فمن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على سبب التلبيس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يكتسب ذلك، فإذا طولبوا بمعنى الكسب لم يأتوا بشيء معقول، و قالت العدليّة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معاذ الله أن يكون فعله إلّا حكمة و حقّاً، و صواباً و عدلاً، فالزنا فعل الزاني انفرد بفعله، فكلّ قبيح </w:t>
      </w:r>
    </w:p>
    <w:p>
      <w:pPr>
        <w:pStyle w:val="BookText"/>
        <w:rPr/>
      </w:pPr>
      <w:r>
        <w:rPr>
          <w:rFonts w:ascii="Amiri" w:hAnsi="Amiri" w:eastAsia="Amiri" w:cs="Amiri"/>
          <w:color w:val="111111"/>
          <w:sz w:val="28"/>
          <w:sz w:val="28"/>
          <w:szCs w:val="28"/>
          <w:rtl w:val="true"/>
          <w:lang w:bidi="ar-SA"/>
        </w:rPr>
        <w:t>منسوب إلى المذموم به، و إنّما تولّى المذمّة العاصي، إذ باع الآخرة بالدُّنيا، و لم يعلم أنّ ما عند اللّٰه خير و أبقى، و لو كان قد خلق أعمال العباد لما جاز أن يأمر بها و ينهاهم عنها كما لم يجز أن يأمرهم بتطويل جوارحهم و تقصيرها، إذ خلقها على ما خلقها، و لو خلق الكفر لما جاز أن يعيب ما خلق، و لو كان فاعل الكفر لما جاز أن يذمّ و يعيب ما خلق و يذمّ ما فعل، و لو كان مخترعَ الفساد لما جاز أن يعاقب على ما اخترع، و لا تنفكّ القبائح من أن تكون من اللّٰه تعالى فلا حجّة على العبد، أو من اللّٰه و من العبد فمن الظلم أن يفرده بعقاب ما شارك في فعله، أو من العبد فهو يستحقّ العقاب،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يَلْوُونَ أَلْسِنَتَهُمْ بِالْكِتٰابِ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يَعْلَمُونَ</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فلو كان لوي ألسنتهم من خلق اللّٰه تعالى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مِنْ عِنْدِ اَللّٰهِ</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فالكفر قبيح و أفعال اللّٰه حسنة، فعلمنا أنّ الكفر ليس منها، و هكذا أخبر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أَحْسَنَ كُلَّ شَيْ‌ءٍ خَلَقَهُ</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 اَللّٰهِ اَلَّذِي أَتْقَنَ كُلَّ شَيْ‌ءٍ</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سألوا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لو تلوتم صدرها لعلمتم أن لا حجّة لكم فيها، لأنّه تعالى أراد بالأعمال </w:t>
      </w:r>
    </w:p>
    <w:p>
      <w:pPr>
        <w:pStyle w:val="BookText"/>
        <w:rPr/>
      </w:pPr>
      <w:r>
        <w:rPr>
          <w:rFonts w:ascii="Amiri" w:hAnsi="Amiri" w:eastAsia="Amiri" w:cs="Amiri"/>
          <w:color w:val="111111"/>
          <w:sz w:val="28"/>
          <w:sz w:val="28"/>
          <w:szCs w:val="28"/>
          <w:rtl w:val="true"/>
          <w:lang w:bidi="ar-SA"/>
        </w:rPr>
        <w:t>هاهنا الأصنام، و الأصنام أجساد، و ليس من مذهبنا أنّا خلقنا الأصنام، بل اللّٰه خلقها، أ لا ترى أنّه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تَعْبُدُونَ مٰا تَنْحِتُونَ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أدلّ على العدل، لأنّ العباد يُسألون عن أفعالهم لما كان فيها العبث و الظلم و القبيح، و اللّٰه تعالى لمّا كانت أفعاله كلّها حسنة لا قبيح فيها، و عدلاً لا ظلم معها، تنزّه عن أن يسأل، و لم يرد بهذا ما تريده الفراعنة إذ قالت لرعيّتها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سألناكم فلا تسألونا لم أظلمكم و أفسقكم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لم يدع للسؤال موضعاً بإحسانه الشامل، و عدله الفائض، و لو لا ذلك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أفعالنا الصالحة من اللّٰه ليس بمعنى أنّه فعلها، و كيف يفعلها و فيها خضوع و طاعة، و اللّٰه تعالى لا يكون خاضعاً و لا مطيعاً،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منه، بمعنى أنّه مكّن منها، و دعا إليها و أمر بها و حرّض عليها،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القبائح ليست منه لأنّه نهى عنها، و زجر و توعّد عليها، و خوّف منها و أنذر،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 الشيطان بمعنى أنّه دعا إليها و أغوى، و مَنّى في الغرور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و قال تعالى في صفة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 وَ يُمَنِّيهِمْ وَ مٰا يَعِدُهُمُ اَلشَّيْطٰانُ إِلاّٰ غُرُوراً</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غير ما قدّرت و لو قدّرتها كما نقدّر لعلمت أن لا حجّة فيها لك، لأنّه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تُصِبْهُمْ حَسَنَةٌ يَقُولُوا هٰذِهِ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فإنّما هذا في الكفّار حيث تطيّروا بنبيّ اللّٰه عليه السلام و كانوا إذا أتاهم الخصب يقولون هذا من عند اللّٰه و إذا أتاهم الجدب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تُصِبْهُمْ سَيِّئَةٌ يَطَّيَّرُوا بِمُوسىٰ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xml:space="preserve">، فبيّن اللّٰه تعالى أنّ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الخصب و الجدب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إلّا أنّه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تصبهم سيئة يقولوا هذه من عندنا على ما تذكره المجبّرة، و قد دلّ اللّٰه على بطلان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زعمت المجبّرة القدريّة أنّ اللّٰه خلق أكثر العباد للنّار، و خلقهم أشقياء بلا ذنب و لا جرم، و غضب عليهم و هو حليم من غير أن يغضبوه، و خذلهم من قبل أن يعصوه، و أضلّهم عن الطريق الواضح من غير أن خالفوه، 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لطاعته، و لم يخلقهم لمخالفته، و أوضح الدلالة و الرسل لصلاح الجماعة، و لم يضلّ عن دينه و سبيله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أخبر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يمنع إبليس من السجدة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سألوا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ذَرَأْنٰا لِجَهَنَّمَ كَثِيراً مِنَ اَلْجِنِّ وَ اَلْإِنْسِ</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أنّ مصيرهم إلى النار،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فَالْتَقَطَهُ آلُ فِرْعَوْنَ لِيَكُونَ لَهُمْ عَدُوًّا وَ حَزَناً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 إن كانوا التقطوه ليكون لهم قرّة عين، و قد بيّن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اِمْرَأَتُ فِرْعَوْنَ قُرَّتُ عَيْنٍ لِي وَ لَكَ</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الجواب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نُمْلِي لَهُمْ لِيَزْدٰادُوا إِثْماً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زعمت المجبّرة القدريّة أنّ اللّٰه يضلّ أكثر عباده من دينه، فإنّه ما هدى أحداً من العصاة إلى ما أمرهم به، و أنّ الأنبياء عليهم السلام أراد اللّٰه ببعثهم الزيادة في عمى الكافرين، 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يضلّ عن دينه أحداً، و لم يمنع أحداً الهدى الّذي هو الدلالة، و قد هدى و من لم يهتد فبسوء اختياره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فَهَدَيْنٰاهُمْ فَاسْتَحَبُّوا اَلْعَمىٰ عَلَى اَلْهُدىٰ</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على أنّا نقول أنّ اللّٰه يضلّ من شاء و يهدي، و أنّه يضلّ الظالمين عن ثوابه و جنّاته، و ذلك جزاء على سيئاتهم، و عقاب على جرمهم،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يُضِلُّ بِهِ إِلاَّ 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فأمّا الضلال عن الدين فهو فعل شياطين الجنّ و الإنس، أ لا ترى أنّ اللّٰه تعالى ذمّ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أَضَلَّهُمُ اَلسّٰامِرِيُّ</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 قد حكى عن أهل النّار أنّهم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و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أضلّنا إلّا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المجبّرة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كلّف العباد ما لا يطيقون، و ذلك بادّعائها أنّ اللّٰه خلق الكفر في الكفّار، و لا يُقدرهم على الإيمان ثمّ يأمرهم به، فإذا لم يفعلوا الإيمان الّذي لم يُقدره عليهم، و فعلوا الكفر الّذي خلقه فيهم، و أراده منهم، و قضاه عليهم، عاقبهم عذاباً دائماً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يكلّف العباد ما لا يتّسعون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تكليف ما لا يطاق ظلم و عبث، و أنّه لا يظلم و لا يعبث و لو جاز أن يكلّف من لا يُقدره على الإيمان لجاز أن يكلّف من لا مال له بإخراج الزكاة، و أن يكلّف المُقعد بالمشي و العدو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فهو لا يكلّف من لا يستطيع قبل الفعل أن يفعل،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يأمر بالحجّ قبل الحجّ، فكذلك استطاعته قبل أن يحجّ، و لو لم يستطيعوا الإيمان لم يقل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و لو نصرهم على الإفك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يُؤْفَكُونَ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ادّعت المجبّرة أنّ الأقدار المذمومة حتم من اللّٰه، و نفيناها عنه سبحانه، لأنّ تقديره لا يكون باطلاً و لا متناقضاً، فلمّا وجدنا الأشياء المتناقضة الباطلة علمنا أنّه لا يقدّرها و كفى القدريّة إذا أثبتوا ما تنازعنا فيه و نفيناه، و لو جاز لجاز أن يكون من ينفي التنصّر نصرانيّاً، و من ينفي التهوّد يهوديّاً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أثبتّم ذلك لأنفسكم، و مثبت الشيء لنفسه أولى ممّن ينسبه إليه،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التنازع بيننا لم يقع في كوننا قادرين، فإنّما تنازعنا في أنّ الأقدار المذمومة تثبت للّٰه سبحانه و تعالى أو ينزّه عنها، فأثبتوها إن كنتم قدريّة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أثبتها لنفسه قدريّاً لكان على زعمكم قد أثبته اللّٰه لنفسه فهو قدريّ و بعد هذا القول، فلو كان هذا اسم ذمّ فهو لكم أليق، لأنّكم فعلتم القبائح و أضفتموها إلى اللّٰه تعالى البريء منها، و 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يَكْسِبْ خَطِيئَةً أَوْ إِثْماً ثُمَّ يَرْمِ بِهِ بَرِيئاً</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القدريّة </w:t>
      </w:r>
      <w:bookmarkStart w:id="257" w:name="pg11536_164003"/>
    </w:p>
    <w:p>
      <w:pPr>
        <w:pStyle w:val="Heading2"/>
        <w:numPr>
          <w:ilvl w:val="1"/>
          <w:numId w:val="1"/>
        </w:numPr>
        <w:rPr/>
      </w:pPr>
      <w:bookmarkStart w:id="258" w:name="__RefHeading___Toc3907451_73709187"/>
      <w:bookmarkStart w:id="259" w:name="_Toc93"/>
      <w:bookmarkEnd w:id="257"/>
      <w:bookmarkEnd w:id="258"/>
      <w:r>
        <w:rPr/>
        <w:t>4</w:t>
      </w:r>
      <w:r>
        <w:rPr>
          <w:rtl w:val="true"/>
        </w:rPr>
        <w:t xml:space="preserve"> - </w:t>
      </w:r>
      <w:r>
        <w:rPr>
          <w:rtl w:val="true"/>
        </w:rPr>
        <w:t>الجهميّة</w:t>
      </w:r>
      <w:bookmarkEnd w:id="259"/>
    </w:p>
    <w:p>
      <w:pPr>
        <w:pStyle w:val="Heading3"/>
        <w:numPr>
          <w:ilvl w:val="2"/>
          <w:numId w:val="1"/>
        </w:numPr>
        <w:rPr/>
      </w:pPr>
      <w:bookmarkStart w:id="260" w:name="__RefHeading___Toc3907453_73709187"/>
      <w:bookmarkStart w:id="261" w:name="_Toc94"/>
      <w:bookmarkEnd w:id="260"/>
      <w:r>
        <w:rPr>
          <w:rtl w:val="true"/>
        </w:rPr>
        <w:t>الحركات الرجعية</w:t>
      </w:r>
      <w:bookmarkEnd w:id="261"/>
    </w:p>
    <w:p>
      <w:pPr>
        <w:pStyle w:val="BookText"/>
        <w:rPr/>
      </w:pPr>
      <w:r>
        <w:rPr>
          <w:rFonts w:ascii="Amiri" w:hAnsi="Amiri" w:eastAsia="Amiri" w:cs="Amiri"/>
          <w:color w:val="111111"/>
          <w:sz w:val="28"/>
          <w:sz w:val="28"/>
          <w:szCs w:val="28"/>
          <w:rtl w:val="true"/>
          <w:lang w:bidi="ar-SA"/>
        </w:rPr>
        <w:t>الحركات الرجعية و نعني بها الحركات الفكرية الّتي ظهرت بين المسلمين بين القرنين الثاني و الثالث، و هي ترمي إلى إرجاع الأُمّة إلى العقائد السائدة في العصر الجاهلي بين المشركين و أهل الكتاب، من القول بالجبر و التجسيم إلى غير ذلك من البضائع الفكريّة المستوردة منهم إلى أوساط المسلمين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إيقاف القارئ على نماذج من هذه الحركات، نبحث عن عدّة مناهج زرعت شروراً في المجتمع الإسلامي، و بقيت آثارها إلى العصر الحاضر لكن بتغيير الاسم و العنوان، و تحت غطاء 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السبب الوحيد لبثّ هذه السموم هو إقصاء العقل عن ساحة العقائد و إخضاعه لكلّ رطب و يابس يتّسم بسمة الحديث، و ليس بحديث، بل يعدّ من مرويات العهدين </w:t>
      </w:r>
      <w:bookmarkStart w:id="262" w:name="pg11536_164004"/>
    </w:p>
    <w:p>
      <w:pPr>
        <w:pStyle w:val="BookText"/>
        <w:rPr/>
      </w:pPr>
      <w:bookmarkEnd w:id="262"/>
      <w:r>
        <w:rPr>
          <w:rFonts w:ascii="Amiri" w:hAnsi="Amiri" w:eastAsia="Amiri" w:cs="Amiri"/>
          <w:color w:val="111111"/>
          <w:sz w:val="28"/>
          <w:sz w:val="28"/>
          <w:szCs w:val="28"/>
          <w:rtl w:val="true"/>
          <w:lang w:bidi="ar-SA"/>
        </w:rPr>
        <w:t>و أقاصيص الأحبار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الحركات 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الجهمية، و الكرامية،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بيانها واحدة تلو الأُخرى</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907455_73709187"/>
      <w:bookmarkStart w:id="264" w:name="_Toc95"/>
      <w:bookmarkEnd w:id="263"/>
      <w:r>
        <w:rPr>
          <w:rtl w:val="true"/>
        </w:rPr>
        <w:t>الجهميّة و سماتها</w:t>
      </w:r>
      <w:r>
        <w:rPr>
          <w:rtl w:val="true"/>
        </w:rPr>
        <w:t xml:space="preserve">: </w:t>
      </w:r>
      <w:r>
        <w:rPr>
          <w:rtl w:val="true"/>
        </w:rPr>
        <w:t>الجبر و التعطيل</w:t>
      </w:r>
      <w:bookmarkEnd w:id="264"/>
    </w:p>
    <w:p>
      <w:pPr>
        <w:pStyle w:val="BookText"/>
        <w:rPr/>
      </w:pPr>
      <w:r>
        <w:rPr>
          <w:rFonts w:ascii="Amiri" w:hAnsi="Amiri" w:eastAsia="Amiri" w:cs="Amiri"/>
          <w:color w:val="111111"/>
          <w:sz w:val="28"/>
          <w:sz w:val="28"/>
          <w:szCs w:val="28"/>
          <w:rtl w:val="true"/>
          <w:lang w:bidi="ar-SA"/>
        </w:rPr>
        <w:t xml:space="preserve">مؤسّسها جهم بن صفوان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جهم بن صفوان، أبو محرز السمرقندي الضالّ المبتدع، رأس الجهميّة، هلك في زمان صغار التّابعين، و ما علمته روى شيئاً، لكنّه زرع شرّاً عظيماً</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الجهميّة أتباع جهم بن صفوان التّرمذي مولى راسب، و قتل في آخر دولة بني أُميّة، و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ينفي الصفات الإلهية كلّها،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يوصف الباري بصفة يوصف بها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الإنسان لا يقدر على شيء و لا يوصف بالقدرة، و لا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الجنّة و النار يفنيان، و تنقطع حركات أهلهما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عرف اللّٰه و لم ينطق بالإيمان لم يكفر، لأنّ العلم لا يزول بالصمت، و هو مؤمن مع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كفّره المعتزلة في نفي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كفّره أهل السنّة بنفي الصفات و خلق القرآن و نفي الرؤية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انفرد بجواز الخروج على السلطان الجائر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زعم أنّ علم اللّٰه حادث لا بصفة يوصف بها غيره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ابن الأثير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قتله بيد نصر بن سيّار، و من أراد فليرجع إليه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إليه عبد القاهر البغدادي، أُصولاً تقرب ممّا نسب إليه المقريزي في خططه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جهم مع ضلالاته الّتي ذكرناها يحمل السلاح و يقاتل السلطان و خرج مع السريج بن حارث</w:t>
      </w:r>
      <w:r>
        <w:rPr>
          <w:rStyle w:val="FootnoteAnchor"/>
          <w:rtl w:val="true"/>
        </w:rPr>
        <w:footnoteReference w:id="330"/>
      </w:r>
      <w:r>
        <w:rPr>
          <w:rFonts w:ascii="Amiri" w:hAnsi="Amiri" w:eastAsia="Amiri" w:cs="Amiri"/>
          <w:color w:val="111111"/>
          <w:sz w:val="28"/>
          <w:sz w:val="28"/>
          <w:szCs w:val="28"/>
          <w:rtl w:val="true"/>
          <w:lang w:bidi="ar-SA"/>
        </w:rPr>
        <w:t xml:space="preserve">على نصر بن سيّار و قتله سلم بن أحوز المازني في آخر زمان بني مروان، و أتباعه اليوم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إليهم في زماننا إسماعيل بن إبراهيم بن كبوس الشيرازي الديلمي، فدعاهم إلى مذهب شيخنا أبي الحسن الأشعري، فأجابه قوم منهم و صاروا مع أهل السنّة</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قد نسب إليه الشهرستاني عدّة أُمور نذكر منها أمرين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لا يقدر على شيء، و لا يوصف بالاستطاعة و إنّما هو مجبور على أفعاله لا قدرة له، و اللّٰه هو الّذي يخلق الأفعال فيه على حسب ما </w:t>
      </w:r>
    </w:p>
    <w:p>
      <w:pPr>
        <w:pStyle w:val="BookText"/>
        <w:rPr/>
      </w:pPr>
      <w:r>
        <w:rPr>
          <w:rFonts w:ascii="Amiri" w:hAnsi="Amiri" w:eastAsia="Amiri" w:cs="Amiri"/>
          <w:color w:val="111111"/>
          <w:sz w:val="28"/>
          <w:sz w:val="28"/>
          <w:szCs w:val="28"/>
          <w:rtl w:val="true"/>
          <w:lang w:bidi="ar-SA"/>
        </w:rPr>
        <w:t>يخلق في سائر الجمادات، و تنسب إليه الأفعال مجازاً كما تنسب إلى الجمادات، كما يقال أثمرت الشجرة، و جرى الماء، و تحرّك الحجر، و طلعت الشّمس و غربت، و تغيّمت السماء و أمطرت، و اهتزّت الأرض و أنبتت، إلى غير ذلك، و الثواب و العقاب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الأفعال كلّها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الجبر فالتكليف إذاً جبر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حركات أهل الخلدين تنقطع، و الجنّة و النار تفنيان بعد دخول أهلهما فيهما، و تلذّذ أهل الجنّة بنعيمها، و تألّم أهل النار بجحيمها، إذ لا تتصوّر حركات لا تتناهى آخراً، كما لا تتصوّر حركات لا تتناهى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و التأكيد دون الحقيقة في التخليد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خلد اللّٰه ملك فلان، و استشهد على الانقطاع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مٰا دٰامَتِ اَلسَّمٰاوٰاتُ وَ اَلْأَرْضُ إِلاّٰ مٰا شٰاءَ رَبُّكَ</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فالآية اشتملت على شريطة و استثناء، و الخلود و التأبيد لا شرط فيه و لا استثناء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نقل الشهرستاني عنه أُموراً أُخر، مضى بعضها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مذهبه أمران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نفي الاستطاعة و القدرة، فالجهم بن صفوان رأس الجبر و أساسه، و يطلق عليه و على أتباعه الجبريّة الخالصة في مقابل غير الخالص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هو نفي الفعل حقيقة عن العبد و إضافته إلى الربّ تعالى، و الجبريّة أصناف، فالجبرية الخالصة هي الّتي لا تثبت للعبد فعلاً و لا قدرة على الفعل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الجبريّة المتوسطة هي الّتي تثبت للعبد قدرة غير مؤثّرة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أثبت للقدرة الحادثة أثراً ما في الفعل و سمّى ذلك كسباً فليس بجبري</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الثلاث كلّهم جبريّون من غير فرق بين نافي القدرة و الاستطاعة كما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مثبتها، لكن قدرة غير مؤثّرة، بل مقارنة لإيجاده سبحانه فعل العبد و عمله، أو مؤثّرة في اتّصاف الفاعل بكونه كاسباً و الفعل كسباً، لما عرفت من أنّ القول بالكسب نظريّة مبهمة جدّاً لا ترجع إلى أصل صحيح، و أنّ القول بأنّه سبحانه هو الخالق المباشر لكلّ شيء لا يترك لنظريّة الكسب مجالاً للصحّة، لأنّ الكسب لو كان أمراً وجوديّاً فاللّٰه هو خالقه و موجده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 بانحصار الخلق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أمراً عدميّاً اعتبارياً، فلا يخرج الفاعل من كونه فاعلاً مجبوراً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فالقول بالجبر و إذاعته بين الناس و انقيادهم له كان حركة رجعيّة إلى العصر الجاهلي، و قد كان الجبر سائداً على مشركي العرب و غيرهم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ذاته سبحانه عن التوصيف بصفات الكمال و الجمال و من هنا نجمت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لم يتبيّن لي صدق ما نسبه إليه البغداديّ و الشهرستاني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يوصف الباري تعالى بصفة يوصف بها خلقه، لأنّ ذلك يقتضي تشبيهاً، فنفى كونه حيّاً عالماً و أثبت كونه قادراً، فاعلاً، خالقاً، لأنّه لا يوصف شيء من خلقه بالقدرة و الفعل و الخلق</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بصفة يوصف بها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الخبرية، كاليد، و العين، و الرجل، و ما أشبهها، مما أصرّ أهل الحديث و الحشوية على توصيفه سبحانه بها، بالمعنى اللغوي الملازم للتجسيم و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قاعدتا مذهب الجهم، و أمّا غيرهما ممّا نسب إليه، فمشكوك جدّاً، و بما أنّه استدلّ لمذهبه في مورد عدم الخلود في الجنّة و النار بما عرفت من الآية، فنرجع إلى توضيح الآية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الجهم الاستثناء في الآية دليلاً على عدم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استدلّ بالآية على عدم الخلود بوجهين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الخلود بمدّة دوام السماوات و الأرض و هما غير مؤبّدتين بالضرورة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اَلسَّمٰاوٰاتِ وَ اَلْأَرْضَ وَ مٰا بَيْنَهُمٰا </w:t>
      </w:r>
    </w:p>
    <w:p>
      <w:pPr>
        <w:pStyle w:val="BookText"/>
        <w:rPr/>
      </w:pPr>
      <w:r>
        <w:rPr>
          <w:rFonts w:ascii="Amiri" w:hAnsi="Amiri" w:eastAsia="Amiri" w:cs="Amiri"/>
          <w:color w:val="111111"/>
          <w:sz w:val="28"/>
          <w:sz w:val="28"/>
          <w:szCs w:val="28"/>
          <w:rtl w:val="true"/>
          <w:lang w:bidi="ar-SA"/>
        </w:rPr>
        <w:t>إِلاّٰ بِالْحَقِّ وَ أَجَلٍ مُسَمًّى</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الوارد في الآية من الخلود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الجنّة و عذاب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فالإجابة عنه واضحة، لأنّ المراد من السماوات و الأرض فيها، ليس سماء الدنيا و أرضها، بل سماء الآخرة و أرضها، و الأُوليتان فانيتان، و الأُخريتان باقيتان و اللّٰه سبحانه يذكر للنظام الآخر أرضاً و سماءً غير ما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 قال حاكياً عن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اَلَّذِي صَدَقَنٰا وَعْدَهُ وَ أَوْرَثَنَا اَلْأَرْضَ نَتَبَوَّأُ مِنَ اَلْجَنَّةِ حَيْثُ نَشٰاءُ</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فللآخرة سماء و أرض، كما أنّ فيها جنّة و ناراً و لهما أهل، و تحديد بقاء الجنّة و النار و أهلها بمدّة دوام السماوات و الأرض راجع إلى سماء الآخرة و أرضها و هما مؤبّدتان غير فانيتين، و إنّما تفنى سماء الدنيا و أرضها، و أمّا السماوات الّتي تظلّل الجنّة مثلاً و الأرض الّتي تقلّها و قد أشرقت بنور ربّها فهما ثابتتان غير زائلتين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أنّه سبحانه وصف الجنّه بأنّها عنده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عِنْدَكُمْ </w:t>
      </w:r>
    </w:p>
    <w:p>
      <w:pPr>
        <w:pStyle w:val="BookText"/>
        <w:rPr/>
      </w:pPr>
      <w:r>
        <w:rPr>
          <w:rFonts w:ascii="Amiri" w:hAnsi="Amiri" w:eastAsia="Amiri" w:cs="Amiri"/>
          <w:color w:val="111111"/>
          <w:sz w:val="28"/>
          <w:sz w:val="28"/>
          <w:szCs w:val="28"/>
          <w:rtl w:val="true"/>
          <w:lang w:bidi="ar-SA"/>
        </w:rPr>
        <w:t>يَنْفَدُ وَ مٰا عِنْدَ اَللّٰهِ بٰاقٍ</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فالجنّة باقية غير فانية، و لا يفترق عنها الجحيم و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عنه في مورد الجنّة أوضح من الآخر، لأنّه يذكر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دوام النعمة و عدم تحقّق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أنّه سبحانه يقول في مورد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اَلَّذِينَ شَقُوا فَفِي اَلنّٰارِ لَهُمْ فِيهٰا زَفِيرٌ وَ شَهِيقٌ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 اَلْأَرْضُ إِلاّٰ مٰا شٰاءَ رَبُّكَ إِنَّ رَبَّكَ فَعّٰالٌ لِمٰا يُرِيدُ</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 سبحانه يذيّل المشيئة في آية الجنّة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الدالّ على عدم انقطاع النعمة، و أنّ تلك المشيئة أي مشيئة الخروج لا تتحقّق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فالجواب عن الاستثناء في الآيتين هو أنّ الاستثناء </w:t>
      </w:r>
      <w:bookmarkStart w:id="265" w:name="pg11536_164011"/>
    </w:p>
    <w:p>
      <w:pPr>
        <w:pStyle w:val="BookText"/>
        <w:rPr/>
      </w:pPr>
      <w:bookmarkEnd w:id="265"/>
      <w:r>
        <w:rPr>
          <w:rFonts w:ascii="Amiri" w:hAnsi="Amiri" w:eastAsia="Amiri" w:cs="Amiri"/>
          <w:color w:val="111111"/>
          <w:sz w:val="28"/>
          <w:sz w:val="28"/>
          <w:szCs w:val="28"/>
          <w:rtl w:val="true"/>
          <w:lang w:bidi="ar-SA"/>
        </w:rPr>
        <w:t>مسوق لإثبات قدرة اللّٰه المطلقة، و أنّ قدرة اللّٰه سبحانه لا تنقطع عنهم بإدخالهم الجنّة و النار، و ملكه لا يزول و لا يبطل، و أنّ قدرته على الإخراج باقية، فله تعالى أن يخرجهم من الجنّة و إن وعد لهم البقاء فيها دائماً، لكنّه سبحانه لا يخرجهم لمكان وعده، و اللّٰه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قوله سبحانه في آية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تحقّق المشيئة في جانب النار كما في المسلمين العصاة دون المشركين و الكفّار</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3907457_73709187"/>
      <w:bookmarkStart w:id="267" w:name="_Toc96"/>
      <w:bookmarkEnd w:id="266"/>
      <w:r>
        <w:rPr>
          <w:rtl w:val="true"/>
        </w:rPr>
        <w:t xml:space="preserve">التطوير في لفظ </w:t>
      </w:r>
      <w:r>
        <w:rPr>
          <w:rtl w:val="true"/>
        </w:rPr>
        <w:t>«</w:t>
      </w:r>
      <w:r>
        <w:rPr>
          <w:rtl w:val="true"/>
        </w:rPr>
        <w:t>الجهمي</w:t>
      </w:r>
      <w:r>
        <w:rPr>
          <w:rtl w:val="true"/>
        </w:rPr>
        <w:t>»</w:t>
      </w:r>
      <w:bookmarkEnd w:id="267"/>
    </w:p>
    <w:p>
      <w:pPr>
        <w:pStyle w:val="BookText"/>
        <w:rPr/>
      </w:pPr>
      <w:r>
        <w:rPr>
          <w:rFonts w:ascii="Amiri" w:hAnsi="Amiri" w:eastAsia="Amiri" w:cs="Amiri"/>
          <w:color w:val="111111"/>
          <w:sz w:val="28"/>
          <w:sz w:val="28"/>
          <w:szCs w:val="28"/>
          <w:rtl w:val="true"/>
          <w:lang w:bidi="ar-SA"/>
        </w:rPr>
        <w:t xml:space="preserve">لمّا كان نفي الصفات عن اللّٰه، و القول بخلق القرآن و نفي الرؤية، ممّا نسب إلى منهج الجهم و قد عرفت أساس مذهبه فيما مرّ، صار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لكلّ من قال بأحد هذه الأُمور، و إن كان غير قائل بالجبر و نفي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ربّما تطلق الجهميّة و يراد منها المعتزلة أو القدريّة، و على هذا الأساس يقول أحمد بن حنبل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القرآن كلام اللّٰه ليس بمخلوق، فمن زعم أنّ القرآن مخلوق فهو جهمي كافر، و من زعم أنّ القرآن كلام اللّٰه و وقف و لم يقل مخلوق و لا غير مخلوق، فهو أخبث من الأوّل، و من زعم أنّ ألفاظنا بالقرآن و تلاوتنا له مخلوقة، و القرآن كلام اللّٰه، فهو جهميّ، و من لم يكفِّر هؤلاء القوم كلّهم فهو مثلهم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القوم و إن نسبوا إلى الجهم كون القرآن مخلوقاً، لكنّه بعيد جدّاً، لأنّه مات في آخر دولة الأمويين و لم تكن المسألة معنونة في تلك الأيّام، و إنّما طرحت في العصر العبّاسي خصوصاً في عصر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البخاري و الإمام أحمد</w:t>
      </w:r>
      <w:r>
        <w:rPr>
          <w:rStyle w:val="FootnoteAnchor"/>
          <w:rtl w:val="true"/>
        </w:rPr>
        <w:footnoteReference w:id="347"/>
      </w:r>
      <w:r>
        <w:rPr>
          <w:rFonts w:ascii="Amiri" w:hAnsi="Amiri" w:eastAsia="Amiri" w:cs="Amiri"/>
          <w:color w:val="111111"/>
          <w:sz w:val="28"/>
          <w:sz w:val="28"/>
          <w:szCs w:val="28"/>
          <w:rtl w:val="true"/>
          <w:lang w:bidi="ar-SA"/>
        </w:rPr>
        <w:t>كتابين في الردّ على الجهمية و عنيا بهم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المعتزلة يتبرّءون من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يتبرّأ بشر بن المعتمر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الجهميّة في ارجوزته إذ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ننفيهم عنّا و لسنا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منّا و لا نرضاهم</w:t>
      </w:r>
    </w:p>
    <w:p>
      <w:pPr>
        <w:pStyle w:val="BookText"/>
        <w:rPr/>
      </w:pPr>
      <w:r>
        <w:rPr>
          <w:rFonts w:ascii="Amiri" w:hAnsi="Amiri" w:eastAsia="Amiri" w:cs="Amiri"/>
          <w:color w:val="111111"/>
          <w:sz w:val="28"/>
          <w:sz w:val="28"/>
          <w:szCs w:val="28"/>
          <w:rtl w:val="true"/>
          <w:lang w:bidi="ar-SA"/>
        </w:rPr>
        <w:t xml:space="preserve">إمامهم جهم و ما 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 عمرو ذي التقى و العلم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يريد عمرو بن عبيد الرئيس الثاني للمعتزلة بعد واصل بن عطاء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فعدُّ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و اعتساف، و لم يذكر أحد منهم الجهم من رجالهم، و قد أرسل واصل بن عطاء، حفص بن سالم إلى خراسان، و أمره بلقائه فمناظرته و إنّه لقيه في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قطعه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bookmarkStart w:id="268" w:name="pg11536_164013"/>
    </w:p>
    <w:p>
      <w:pPr>
        <w:pStyle w:val="Heading3"/>
        <w:numPr>
          <w:ilvl w:val="2"/>
          <w:numId w:val="1"/>
        </w:numPr>
        <w:rPr/>
      </w:pPr>
      <w:bookmarkStart w:id="269" w:name="__RefHeading___Toc3907459_73709187"/>
      <w:bookmarkStart w:id="270" w:name="_Toc97"/>
      <w:bookmarkEnd w:id="268"/>
      <w:bookmarkEnd w:id="269"/>
      <w:r>
        <w:rPr>
          <w:rtl w:val="true"/>
        </w:rPr>
        <w:t>مقاتل بن سليمان المجسِّم</w:t>
      </w:r>
      <w:bookmarkEnd w:id="270"/>
    </w:p>
    <w:p>
      <w:pPr>
        <w:pStyle w:val="BookText"/>
        <w:rPr/>
      </w:pPr>
      <w:r>
        <w:rPr>
          <w:rFonts w:ascii="Amiri" w:hAnsi="Amiri" w:eastAsia="Amiri" w:cs="Amiri"/>
          <w:color w:val="111111"/>
          <w:sz w:val="28"/>
          <w:sz w:val="28"/>
          <w:szCs w:val="28"/>
          <w:rtl w:val="true"/>
          <w:lang w:bidi="ar-SA"/>
        </w:rPr>
        <w:t xml:space="preserve">إنّ القضاء على العقل في ساحة العقائد، و الاعتماد على النّقل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انقطع أثره بعد رحلة رسول اللّٰه صلى الله عليه و آله و سلم إلى عصر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شيئاً لا يذكر أيّد هذه الحركات الرجعيّة لو لم نقل إنّه أنتجها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رافع ألوية التشبيه و التجسيم، و ناقل أقاصيص الأحبار و الرهبان في القرن الثاني، هو مقاتل بن سليمان الذي كان هو و جهم بن صفوان في مسألة التنزيه و التشبيه على طرفي نقيض، فالأوّل غلا في التنزيه حتى عطّل، و ذاك غلا في الاثبات حتى شبّه، فهذا معطّل و ذاك مشبّه، و قد مُلئت كتب التفاسير بأقوال مقاتل و آرائه فليعرف القارئ مكانه في الوثاقة و تنزيه الربّ عن صفات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يأخذ من اليهود و النصارى في علم القرآن الّذي يوافق كتبهم، و كان يشبّه الربّ بالمخلوقات، و كان يكذب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أفرط جهم في نفي التشبيه، حتّى قال إنّه تعالى ليس بشيء، و أفرط مقاتل في الإثبات حتّى جعله مثل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مقاتلاً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p>
    <w:p>
      <w:pPr>
        <w:pStyle w:val="BookText"/>
        <w:rPr/>
      </w:pPr>
      <w:r>
        <w:rPr>
          <w:rFonts w:ascii="Amiri" w:hAnsi="Amiri" w:eastAsia="Amiri" w:cs="Amiri"/>
          <w:color w:val="111111"/>
          <w:sz w:val="28"/>
          <w:sz w:val="28"/>
          <w:szCs w:val="28"/>
          <w:rtl w:val="true"/>
          <w:lang w:bidi="ar-SA"/>
        </w:rPr>
        <w:t>يخرج الدجّال في سنة خمسين و مائة فاعلموا أنّي كذّاب</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مقاتل يكذب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دجّالاً جسوراً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هاهنا فلمّا أن صلّى الإمام أسند ظهره إلى القبلة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و حدّثت أنّه قال مثلها بمكّة،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الجهمية </w:t>
      </w:r>
      <w:bookmarkStart w:id="271" w:name="pg11536_164015"/>
    </w:p>
    <w:p>
      <w:pPr>
        <w:pStyle w:val="Heading2"/>
        <w:numPr>
          <w:ilvl w:val="1"/>
          <w:numId w:val="1"/>
        </w:numPr>
        <w:rPr/>
      </w:pPr>
      <w:bookmarkStart w:id="272" w:name="__RefHeading___Toc3907461_73709187"/>
      <w:bookmarkStart w:id="273" w:name="_Toc98"/>
      <w:bookmarkEnd w:id="271"/>
      <w:bookmarkEnd w:id="272"/>
      <w:r>
        <w:rPr/>
        <w:t>5</w:t>
      </w:r>
      <w:r>
        <w:rPr>
          <w:rtl w:val="true"/>
        </w:rPr>
        <w:t xml:space="preserve"> - </w:t>
      </w:r>
      <w:r>
        <w:rPr>
          <w:rtl w:val="true"/>
        </w:rPr>
        <w:t>الكراميّة</w:t>
      </w:r>
      <w:bookmarkEnd w:id="273"/>
    </w:p>
    <w:p>
      <w:pPr>
        <w:pStyle w:val="BookText"/>
        <w:rPr/>
      </w:pPr>
      <w:r>
        <w:rPr>
          <w:rFonts w:ascii="Amiri" w:hAnsi="Amiri" w:eastAsia="Amiri" w:cs="Amiri"/>
          <w:color w:val="111111"/>
          <w:sz w:val="28"/>
          <w:sz w:val="28"/>
          <w:szCs w:val="28"/>
          <w:rtl w:val="true"/>
          <w:lang w:bidi="ar-SA"/>
        </w:rPr>
        <w:t xml:space="preserve">و هذه الفرقة منسوبة إلى محمّد بن كرّام السجستاني شيخ الكرامية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 الحديث على بدعته، أكثر عن أحمد الجويباري و محمّد بن تميم السعدي و كانا كذّابين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 حتّى التقط من المذاهب أردأها، و من الأحاديث أوهاها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الإيمان قولاً بلا معرفة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باللسان، و إن اعتقد الكفر بقلبه فهو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بدع الكرّاميّة قولهم في المعبود تعالى إنّه جسم لا كالأجسام و قد سُقت أخبار ابن كرّام في تأريخي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أتباع و مريدون و قد سجن في نيسابور لأجل بدعته ثمانية أعوام، ثمّ أخرج و سار إلى بيت المقدس، و مات بالشام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أسماه مؤمناً سمّاه القرآن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 قٰالُوا نَشْهَدُ إِنَّكَ لَرَسُولُ اَللّٰهِ وَ اَللّٰهُ يَعْلَمُ إِنَّكَ لَرَسُولُهُ وَ اَللّٰهُ يَشْهَدُ إِنَّ اَلْمُنٰافِقِينَ لَكٰاذِبُونَ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قاعدة مذهبه التجسيم، و توصيف الواجب بأُمور حادثة، و كلّ ما يذكره أصحاب الملل و النحل يرجع إلى هذا الأصل، و أمّا أصنافهم فقد ذكر البغدادي أنّ للكرّامية بخراسان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حقائقية، و الطرائقية و إسحاقية</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الشهرستاني لها اثنتي عشرة فرقة و أنّ أُصولها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الحركة الكرّامية، حركة رجعية بحتة حيث دعا أتباعه إلى تجسيم معبوده، و أنّه جسم له حدّ و نهاية من تحت و الجهة الّتي منها يلاقي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شبيه بقول 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معبودهم الّذي سمّوه نوراً، يتناهى من الجهة التي تُلاقي الظلام و إن لم يتناه من خمس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معبودهم محلّ للحوادث و زعموا أنّ أقواله و إراداته، و إدراكاته للمرئيات، و إدراكاته للمسموعات، و ملاقاته للصفحة العليا من العالم، أعراض حادثة فيه، و هو محلّ لتلك الحوادث الحادثة فيه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غرائب آرائه أنّه وصف معبوده بالثِّقل و ذلك أنّه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اَلسَّمٰاءُ اِنْفَطَرَتْ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انفطرت من ثقل الرحمن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المضحكات و المبكيات في الأُصول و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البغدادي آراءه الفقهيّة أيضاً و ذكر فيه قصّة عجيبة من أرادها فليرجع إليه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للكرّامية نظريات في موضوعات أُخر، ذكرها البغدادي، و قد بلغت جرأتهم في باب النبوّة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أخطأ في تبليغ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الغرانيق العلى، و إنّ شفاعتها ترتجى</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قصّة الغرانيق اقصوصة ابتدعها قوم من أهل الضلالة و قد أوضحنا حالها في محاضراتنا باسم سيّد المرسلين صلى الله عليه و آله و سلم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بهذا النزر في بيان عقائدهم و كلّها وليد إقصاء العقل و المنطق عن ساحة العقائد و الاكتفاء بالروايات، مع ما فيها من أباطيل و ترّهات وضعها الأعداء، و اختلقتها الأهواء فهي من أسوأ الحركات الرجعية، الظاهرة في أواسط القرن الثالث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الكلام في الكرّامية </w:t>
      </w:r>
      <w:bookmarkStart w:id="274" w:name="pg11536_164018"/>
    </w:p>
    <w:p>
      <w:pPr>
        <w:pStyle w:val="Heading2"/>
        <w:numPr>
          <w:ilvl w:val="1"/>
          <w:numId w:val="1"/>
        </w:numPr>
        <w:rPr/>
      </w:pPr>
      <w:bookmarkStart w:id="275" w:name="__RefHeading___Toc3907463_73709187"/>
      <w:bookmarkStart w:id="276" w:name="_Toc99"/>
      <w:bookmarkEnd w:id="274"/>
      <w:bookmarkEnd w:id="275"/>
      <w:r>
        <w:rPr/>
        <w:t>6</w:t>
      </w:r>
      <w:r>
        <w:rPr>
          <w:rtl w:val="true"/>
        </w:rPr>
        <w:t xml:space="preserve"> - </w:t>
      </w:r>
      <w:r>
        <w:rPr>
          <w:rtl w:val="true"/>
        </w:rPr>
        <w:t>الظاهرية</w:t>
      </w:r>
      <w:bookmarkEnd w:id="276"/>
    </w:p>
    <w:p>
      <w:pPr>
        <w:pStyle w:val="Heading3"/>
        <w:numPr>
          <w:ilvl w:val="2"/>
          <w:numId w:val="1"/>
        </w:numPr>
        <w:rPr/>
      </w:pPr>
      <w:bookmarkStart w:id="277" w:name="__RefHeading___Toc3907465_73709187"/>
      <w:bookmarkStart w:id="278" w:name="_Toc100"/>
      <w:bookmarkEnd w:id="277"/>
      <w:r>
        <w:rPr>
          <w:rtl w:val="true"/>
        </w:rPr>
        <w:t>اشارة</w:t>
      </w:r>
      <w:bookmarkEnd w:id="2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الظاهرية</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 هذا المسلك الفقهي منسوب إلى داود بن علي الاصفهاني الظاهري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 سليمان بن حرب و أبي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ورعاً، زاهداً ناسكاً، و في كتبه حديث كثير لكنّ الرواية عنه عزيزة جدّاً</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أكثر النّاس تعصّباً للإمام الشافعي و صنّف في فضائله و الثناء عليه كتابين، و كان صاحب مذهب مستقلّ و تبعه جمع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بالظّاهرية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مذهبه، و انتهت إليه رئاسة العلم ببغداد</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بسط الخطيب الكلام في تأريخه و نقل بعض ما رواه و أشار إلى جوانب من حياته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أسّسه من المذهب يرتبط بالفروع و الأحكام، لا العقائد و الأُصول فالمصدر الفقهي عنده هو النصوص، بلا رأي في حكم من أحكام الشرع، فهم يأخذون بالنصوص وحدها و إذا لم يكن النصّ أخذوا بالإباحة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إقصاء العقل عن ساحة العقائد يستلزم طرده عن ساحة الفقه بوجه أولى، لأنّ أساسه هو التعبّد بالنصوص، و عدم الإفتاء بشيء لا يوجد له أصل في الكتاب و السنّة، لكنّ الجمود على حرفيّة النصوص شيء و التعبّد بالنصوص و عدم الإفتاء في مورد لا يوجد فيه أصل و دلالة في المصدرين الرئيسيين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فالظاهرية على الأوّل، و الفقهاء على الثاني، و لأجل إيضاح الحال نأتي بمثالين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الشكل الأوّل من الأشكال الأربعة ضروريّ الإنتاج من غير فرق بين الأُمور التكوينيّة أو الأحكام الشرعيّة، فكما أنّ الحكم بحدوث العالم نتيجة حتميّة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كلّ متغيّر حادث، فهكذا الحكم بحرمة كلّ مسكر، نتيجة قطعيّة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مسكر، و كلّ مسكر حرام، فالفقاع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الظاهري يقبل المقدّمتين و لكن لا يفتي بالنتيجة بحجّة أنّها غير مذكورة في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يسمّيه الفقهاء بلحن الخطاب و إن كان شيئاً غير مذكور في نفس الخطاب، لكنّه من اللوازم البيِّنة له، بحيث يتبادر إلى الذّهن من سماعه، فإذا خاطبنا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يتوجّه الذهن إلى حرمة ضربهما و شتمهما بطريق أولى، و لكنّ الفقيه الظاهري يأبى عن الأخذ به بحجّة كونه غير 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 xml:space="preserve">، فالموضوع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 ما سلف عند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الكافر، لكن الذهن السليم يتبادر إلى فهم شيء آخر لازم لهذا الحكم بالضّرورة و هو تعميم الحكم إلى المسلم أيضاً بوجه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الظاهري يتركه بحجّة أنَّه غير مذكور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الجمود يجعل النُّصوص غير كافلة لاستخراج الفروع الكثيرة و تصبح الشريعة ناقصة من حيث التشريع و التقنين، و غير صالحة لجميع الأجيال و العصور، و فاقدة للمرونة اللازمة الّتي عليها أساس خاتمية نبوّة نبيّنا محمد صلى الله عليه و آله و سلم و كتابه و سنّته و</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هؤلاء بين السنّة كالاخباريين بين الشيعة، غير أنّ الظاهرية ظهرت في القرن الثالث و قد عمل فيما لا نصّ فيه بالإباحة الأصليّة، و الأخباريّة ظهرت في الشيعة في القرن العاشر و هم يعملون فيما لا نصّ فيه بالاحتياط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الاكتفاء بظاهر الشريعة و أخذ الأحكام من ظواهر النصوص له تفسيران؛ أحدهما صحيح جدّاً، و الآخر باطل، فإن أُريد منه نفي الظنون الّتي لم يدلّ على صحّة الاحتجاج بها دليل، فهو نفس نصّ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فالشيعة الإماميّة بفضل النصوص الوافرة عن أئمّة أهل البيت المتصلة أسنادها إلى الرسول الأكرم صلى الله عليه و آله و سلم استطاعت أن تستخرج أحكام الحوادث و الموضوعات الكثيرة منها، و امتنعت عن العمل بالقياس و الاستحسان و غيرهما من الأدلّة الظنّية الّتي لم يقم الدليل القطعي على صحّة الاحتجاج بها، بل قام الدّليل على حرمة العمل على بعضها كالقياس و قد ورد في نصوص أئمّتهم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السنّة إذا قيست محق الدين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بها لوازم الخطاب أي ما يكون في نظر العقلاء كالمذكور أخذاً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الكناية أبلغ من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التفكيك بينهما أمراً غير صحيح، فليس ذلك عملاً بغير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ليس عملاً بالظاهر الحرفي، و لكنّه عمل بها بما يفهمه المخاطبون بها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الأساس يكون لوازم الخطاب حجّة إذا كانت الملازمة ثابتة بيّنة في نظر العقلاء الّذين هم المعنيّون بهذه الخطابات، كادّعائها بين وجوب الشيء و وجوب مقدّمته، أو حرمة ضدّه، أو امتناع اجتماع وجوبه </w:t>
      </w:r>
    </w:p>
    <w:p>
      <w:pPr>
        <w:pStyle w:val="BookText"/>
        <w:rPr/>
      </w:pPr>
      <w:r>
        <w:rPr>
          <w:rFonts w:ascii="Amiri" w:hAnsi="Amiri" w:eastAsia="Amiri" w:cs="Amiri"/>
          <w:color w:val="111111"/>
          <w:sz w:val="28"/>
          <w:sz w:val="28"/>
          <w:szCs w:val="28"/>
          <w:rtl w:val="true"/>
          <w:lang w:bidi="ar-SA"/>
        </w:rPr>
        <w:t>مع حرمته، إلى غير ذلك من المداليل الالتزامية كمفاهيم الجمل الشرطية أو الوصفيّة أو المغيّاة بغاية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كون هذه المداليل على فرض ثبوت الملازمة، بحكم المنطوق، ذهب المحقّقون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النزاع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ثبوت أصل المفهوم و الملازمة، و أنّه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زيد فأكرمه، هل يتبادر منه إلى الأذهان الصافية وجوب الإكرام عند التسليم، و ارتفاعه عند انتفائه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كبروي، بمعنى البحث عن حجّية هذه الملازمة بعد ثبوتها، إذ لا كلام في الحجية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يتبيّن الحقّ الصراح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تبعية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الخروج عن إطارها، و أنّ أهل السنّة فيها بين مفرط و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الوسطى هي الجادة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فأصحاب القياس و الاستحسان مفرطون في الخروج عن النُّصوص الشرعيّة، و يعملون بما لم يدلّ على الاحتجاج به دليل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الظاهرية مفرِّطة في عدم الخروج عن ظواهر النصوص بحرفيتها، و إن كان العقلاء على خلافهم في محاوراتهم العرفيّة، و من المعلوم أنّه ليست للشارع طريقة للمفاهمة غير الطريقة الدارجة</w:t>
      </w:r>
      <w:r>
        <w:rPr>
          <w:rFonts w:eastAsia="Amiri" w:cs="Amiri" w:ascii="Amiri" w:hAnsi="Amiri"/>
          <w:color w:val="111111"/>
          <w:sz w:val="28"/>
          <w:szCs w:val="28"/>
          <w:rtl w:val="true"/>
          <w:lang w:bidi="ar-SA"/>
        </w:rPr>
        <w:t xml:space="preserve">. </w:t>
      </w:r>
      <w:bookmarkStart w:id="279" w:name="pg11536_164023"/>
    </w:p>
    <w:p>
      <w:pPr>
        <w:pStyle w:val="Heading3"/>
        <w:numPr>
          <w:ilvl w:val="2"/>
          <w:numId w:val="1"/>
        </w:numPr>
        <w:rPr/>
      </w:pPr>
      <w:bookmarkStart w:id="280" w:name="__RefHeading___Toc3907467_73709187"/>
      <w:bookmarkStart w:id="281" w:name="_Toc101"/>
      <w:bookmarkEnd w:id="279"/>
      <w:bookmarkEnd w:id="280"/>
      <w:r>
        <w:rPr>
          <w:rtl w:val="true"/>
        </w:rPr>
        <w:t>تلاميذه و مدى سلطان مذهبه</w:t>
      </w:r>
      <w:bookmarkEnd w:id="281"/>
    </w:p>
    <w:p>
      <w:pPr>
        <w:pStyle w:val="BookText"/>
        <w:rPr/>
      </w:pPr>
      <w:r>
        <w:rPr>
          <w:rFonts w:ascii="Amiri" w:hAnsi="Amiri" w:eastAsia="Amiri" w:cs="Amiri"/>
          <w:color w:val="111111"/>
          <w:sz w:val="28"/>
          <w:sz w:val="28"/>
          <w:szCs w:val="28"/>
          <w:rtl w:val="true"/>
          <w:lang w:bidi="ar-SA"/>
        </w:rPr>
        <w:t>قال الخطيب في تأريخه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ابنه محمّد، و زكريّا بن يحيى الساجي، و يوسف بن يعقوب بن مهران الداودي، و العباس بن أحمد المذكّر، و هؤلاء رووا عنه و انتحلوا مذهبه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عامّة الفقهاء و المحدّثين تركوا الرواية عنه كما تركوا مذهبه، و كثرت المعارضة، و قلّ التأييد، و لم يكن لمذهبه سلطان إلّا في بلاد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نيسابور و 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القرنين 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رابع مذهب في القرن الرابع في الشرق، و كان الثّلاثة الّتي هو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الشافعي، و مذهب أبي حنيفة، و مالك، فكأنّه كان في الشرق أكثر انتشاراً أو تابعاً من مذهب أحمد إمام السنّة في القرن الرابع الهجري، و لكن في القرن الخامس جاء أبو يعلى و جعل المذهب الحنبلي مكانه، و بذلك زحزح المذهب الظاهري و حلّ محلّه</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3907469_73709187"/>
      <w:bookmarkStart w:id="283" w:name="_Toc102"/>
      <w:bookmarkEnd w:id="282"/>
      <w:r>
        <w:rPr>
          <w:rtl w:val="true"/>
        </w:rPr>
        <w:t xml:space="preserve">ابن حزم </w:t>
      </w:r>
      <w:r>
        <w:rPr>
          <w:rtl w:val="true"/>
        </w:rPr>
        <w:t>(</w:t>
      </w:r>
      <w:r>
        <w:rPr/>
        <w:t>384</w:t>
      </w:r>
      <w:r>
        <w:rPr>
          <w:rtl w:val="true"/>
        </w:rPr>
        <w:t>-</w:t>
      </w:r>
      <w:r>
        <w:rPr/>
        <w:t>458</w:t>
      </w:r>
      <w:r>
        <w:rPr>
          <w:rtl w:val="true"/>
        </w:rPr>
        <w:t xml:space="preserve"> </w:t>
      </w:r>
      <w:r>
        <w:rPr>
          <w:rtl w:val="true"/>
        </w:rPr>
        <w:t>ه</w:t>
      </w:r>
      <w:r>
        <w:rPr>
          <w:rtl w:val="true"/>
        </w:rPr>
        <w:t xml:space="preserve">) </w:t>
      </w:r>
      <w:r>
        <w:rPr>
          <w:rtl w:val="true"/>
        </w:rPr>
        <w:t>آخر تلميذ فكري لداود الظاهري</w:t>
      </w:r>
      <w:bookmarkEnd w:id="28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أبا يعلى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زحزح المذهب الظاهري، و أحلّ محلّه مذهب إمامه أحمد في أواسط القرن الخامس و بذلك </w:t>
      </w:r>
      <w:bookmarkStart w:id="284" w:name="pg11536_164024"/>
    </w:p>
    <w:p>
      <w:pPr>
        <w:pStyle w:val="BookText"/>
        <w:rPr/>
      </w:pPr>
      <w:bookmarkEnd w:id="284"/>
      <w:r>
        <w:rPr>
          <w:rFonts w:ascii="Amiri" w:hAnsi="Amiri" w:eastAsia="Amiri" w:cs="Amiri"/>
          <w:color w:val="111111"/>
          <w:sz w:val="28"/>
          <w:sz w:val="28"/>
          <w:szCs w:val="28"/>
          <w:rtl w:val="true"/>
          <w:lang w:bidi="ar-SA"/>
        </w:rPr>
        <w:t>خبأ ضوؤه و انحسر عن المدارس الفقهيّة، و لم يبق له وجود إلّا في ثنايا الكتب، لو لا أنّ عليّ بن أحمد بن حزم الأندلسي أعاد ذكره بلسانه و قلمه، و ألّف حول ذلك المذهب كتباً و رسائل و انتقل المذهب الظاهري من الشرق إلى الغرب، و دخل الأندلس و قد حمل العبء وحده و خدم المذهب الظاهري بتأليفه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أُصول المذهب الظاهري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خلاصة ذلك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انتشر في عشرة أجزاء، جمع أحاديث الأحكام وفقه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 بتحقيق أحمد محمّد شاكر</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907471_73709187"/>
      <w:bookmarkStart w:id="286" w:name="_Toc103"/>
      <w:bookmarkEnd w:id="285"/>
      <w:r>
        <w:rPr>
          <w:rtl w:val="true"/>
        </w:rPr>
        <w:t>نزر من آرائه الشاذّة</w:t>
      </w:r>
      <w:bookmarkEnd w:id="286"/>
    </w:p>
    <w:p>
      <w:pPr>
        <w:pStyle w:val="Heading4"/>
        <w:numPr>
          <w:ilvl w:val="3"/>
          <w:numId w:val="1"/>
        </w:numPr>
        <w:rPr/>
      </w:pPr>
      <w:bookmarkStart w:id="287" w:name="__RefHeading___Toc3907473_73709187"/>
      <w:bookmarkStart w:id="288" w:name="_Toc104"/>
      <w:bookmarkEnd w:id="287"/>
      <w:r>
        <w:rPr/>
        <w:t>1</w:t>
      </w:r>
      <w:r>
        <w:rPr>
          <w:rtl w:val="true"/>
        </w:rPr>
        <w:t xml:space="preserve"> - </w:t>
      </w:r>
      <w:r>
        <w:rPr>
          <w:rtl w:val="true"/>
        </w:rPr>
        <w:t>بطلان الاجتهاد</w:t>
      </w:r>
      <w:r>
        <w:rPr>
          <w:rtl w:val="true"/>
        </w:rPr>
        <w:t>:</w:t>
      </w:r>
      <w:bookmarkEnd w:id="28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أفتى ببطلان الاجتهاد في استخراج الأحكام الفقهيّة مستدلاً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و لو كان ثمّة موضع للرأي لكان الكتاب قد فرّط في شيء،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w:t>
      </w:r>
    </w:p>
    <w:p>
      <w:pPr>
        <w:pStyle w:val="BookText"/>
        <w:rPr/>
      </w:pPr>
      <w:r>
        <w:rPr>
          <w:rFonts w:ascii="Amiri" w:hAnsi="Amiri" w:eastAsia="Amiri" w:cs="Amiri"/>
          <w:color w:val="111111"/>
          <w:sz w:val="28"/>
          <w:sz w:val="28"/>
          <w:szCs w:val="28"/>
          <w:rtl w:val="true"/>
          <w:lang w:bidi="ar-SA"/>
        </w:rPr>
        <w:t>وَ اَلرَّسُولِ إِنْ كُنْتُمْ تُؤْمِنُونَ بِاللّٰهِ وَ اَلْيَوْمِ اَلْآخِرِ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بهاتين الآيتين يعرب عن كون ابن حزم فقيهاً ظاهريّاً بحتاً، ينظر إلى الظواهر بحرفيّتها و لا يتأمّل حتّى في القرائن الموجودة في نفس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الآية الأُولى؛ فالمراد من الكتاب فيها، هو صحيفة الكون لقوله سبحانه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دَابَّةٍ فِي اَلْأَرْضِ وَ لاٰ طٰائِرٍ يَطِيرُ بِجَنٰاحَيْهِ إِلاّٰ أُمَمٌ أَمْثٰالُكُمْ مٰا فَرَّطْنٰا فِي اَلْكِتٰابِ مِنْ شَيْ‌ءٍ ثُمَّ</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التفريط في المقام بمعنى التضييع و التقصير، و المعنى أنّ الدوابّ و الطيور لمّا كانت أُمماً أمثال الإنسان، فما قصّر سبحانه في حقّهم من إعطاء الكمال بمقدار ما لها من اللّياقة و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هو اللّوح المحفوظ الّذي يسمّيه سبحانه في موارد من كلامه كتاباً مكتوباً فيه كلّ شيء، و أمّا تفسيره بالقرآن فضعيف لا يركن إليه بعد ملاحظة جمل الآية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 الثانية؛ فهي راجعة إلى القضاء في المنازعات و المرافعات فالمرجع هو اللّٰه سبحانه و رسوله، و لا صلة للآية بحصر المصادر في الكتاب و السنّة</w:t>
      </w:r>
      <w:r>
        <w:rPr>
          <w:rFonts w:eastAsia="Amiri" w:cs="Amiri" w:ascii="Amiri" w:hAnsi="Amiri"/>
          <w:color w:val="111111"/>
          <w:sz w:val="28"/>
          <w:szCs w:val="28"/>
          <w:rtl w:val="true"/>
          <w:lang w:bidi="ar-SA"/>
        </w:rPr>
        <w:t xml:space="preserve">. </w:t>
      </w:r>
      <w:bookmarkStart w:id="289" w:name="pg11536_164026"/>
    </w:p>
    <w:p>
      <w:pPr>
        <w:pStyle w:val="BookText"/>
        <w:rPr/>
      </w:pPr>
      <w:bookmarkEnd w:id="289"/>
      <w:r>
        <w:rPr>
          <w:rFonts w:ascii="Amiri" w:hAnsi="Amiri" w:eastAsia="Amiri" w:cs="Amiri"/>
          <w:color w:val="111111"/>
          <w:sz w:val="28"/>
          <w:sz w:val="28"/>
          <w:szCs w:val="28"/>
          <w:rtl w:val="true"/>
          <w:lang w:bidi="ar-SA"/>
        </w:rPr>
        <w:t>و لأجل ذلك لم يذكر فيه الإجماع الّذي هو حجّة عند ابن حزم و مؤسّس منهجه، و ما هذا إلّا أنّ الآية وردت في مجال القضاء في المرافعات، دون الإفتاء في الأحكام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في المنازعات يشترك مع الاجتهاد في الأحكام الشرعيّة في أنّ كلّاً من القاضي و المجتهد يسعى لكسح الجهل و رفع الشبهة، غير أنّ الشبهة في مجال القضاء، موضوعيّة على الأغلب مع كون الحكم الكلّي معلوماً، كاختلاف الناس في الأموال و الديون، بخلاف الشبهة في مجال الاجتهاد فإنّ الحكم الكلّي مشتبه غير معلوم، و المجتهد يسعى بكلّ حول و قوّة لدفع الشبهة، و إراءة مُحيّا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كما هو صريح سياقها، ناظرة إلى المقام الأوّل، و لا صلة لها بالمقام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بعد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و قد ورد في أسباب نزولها ما يؤيّد ما ذكرناه فلاحظ</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3907475_73709187"/>
      <w:bookmarkStart w:id="291" w:name="_Toc105"/>
      <w:bookmarkEnd w:id="290"/>
      <w:r>
        <w:rPr/>
        <w:t>2</w:t>
      </w:r>
      <w:r>
        <w:rPr>
          <w:rtl w:val="true"/>
        </w:rPr>
        <w:t xml:space="preserve"> - </w:t>
      </w:r>
      <w:r>
        <w:rPr>
          <w:rtl w:val="true"/>
        </w:rPr>
        <w:t>يجوز للجنب مسُّ المصحف</w:t>
      </w:r>
      <w:bookmarkEnd w:id="2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مسّ المصحف، فإنّ الآثار الّتي احتجّ بها من لم يجز للجنب مسّه، فإنّه لا يصحّ منها شيء، لأنّها إمّا مرسلة، و إمّا ضعيفة لا </w:t>
      </w:r>
    </w:p>
    <w:p>
      <w:pPr>
        <w:pStyle w:val="BookText"/>
        <w:rPr/>
      </w:pPr>
      <w:r>
        <w:rPr>
          <w:rFonts w:ascii="Amiri" w:hAnsi="Amiri" w:eastAsia="Amiri" w:cs="Amiri"/>
          <w:color w:val="111111"/>
          <w:sz w:val="28"/>
          <w:sz w:val="28"/>
          <w:szCs w:val="28"/>
          <w:rtl w:val="true"/>
          <w:lang w:bidi="ar-SA"/>
        </w:rPr>
        <w:t>تسند، و إمّا عن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ذكروا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حجّة لهم فيه، لأنّه ليس أمراً، و إنّما هو خبره و اللّٰه تعالى لا يقول إلّا حقّاً، و لا يجوز أن يصرف لفظ الخبر إلى معنى الأمر إلّا بنصّ جلي أو إجماع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رأينا المصحف يمسّه الطّاهر و غير الطّاهر علمنا أنّه عزّ و جلّ لم يعن المصحف و إنّما عنى به كتاباً آخر</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استدلّ على الجواز بعمل النبي و أنّه كتب كتاباً إلى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ليدفعه إلى هرقل و فيه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أيقن أنّهم يمسّون ذلك الكتاب</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ثان للقرآن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 القرآن في كتاب محفوظ من التّغيير و التبديل، و المراد من الكتاب هو اللّوح المحفوظ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منه المصحف، لاستلزامه وحدة الظرف و المظروف</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ابن حزم الظاهري، أنّ الاستدلال على حرمة </w:t>
      </w:r>
    </w:p>
    <w:p>
      <w:pPr>
        <w:pStyle w:val="BookText"/>
        <w:rPr/>
      </w:pPr>
      <w:r>
        <w:rPr>
          <w:rFonts w:ascii="Amiri" w:hAnsi="Amiri" w:eastAsia="Amiri" w:cs="Amiri"/>
          <w:color w:val="111111"/>
          <w:sz w:val="28"/>
          <w:sz w:val="28"/>
          <w:szCs w:val="28"/>
          <w:rtl w:val="true"/>
          <w:lang w:bidi="ar-SA"/>
        </w:rPr>
        <w:t>مسّ المصحف للجنب مبنيّ على تعيين المراد من الكتاب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منه هو المصحف أو غيره؟ فعلى الأوّل يثبت حرمة مسّ المصحف لغير المتطهّر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فرجّح كون المراد منه هو غيره، لما ذكر من الدليل و لكن خفى عليه أنّ الاستدلال ليس مبنيّاً على ما ذكره، بل الاستدلال مبنيّ على 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عائد إلى القرآن، أو إلى الكتاب، المتقدّمين عليه في الآية؟ فإن قلنا بالأوّل يكون المراد من المسّ هو مسّ كتابة القرآن، و من التطهير هو الطهارة من الخبث 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مناص عندئذ من حمل النفي على النهي لصيانة كلامه عن الكذب،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الحق</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قلنا بالثاني، يكون المراد من المسّ، هو العلم به، و يكون المراد من المطهّرين، من طهّر اللّٰه نفوسهم من أرجاس المعاصي و أقذار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تعيين أحد الاحتمالين فخارج عن موضوع البحث، و إنّما الهدف إراءة نماذج من تفكير ابن حزم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الاستدلال بكتابة الآية و بعثها إلى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يعلم أنّ الكافر سيمسّها</w:t>
      </w:r>
      <w:r>
        <w:rPr>
          <w:rFonts w:eastAsia="Amiri" w:cs="Amiri" w:ascii="Amiri" w:hAnsi="Amiri"/>
          <w:color w:val="111111"/>
          <w:sz w:val="28"/>
          <w:szCs w:val="28"/>
          <w:rtl w:val="true"/>
          <w:lang w:bidi="ar-SA"/>
        </w:rPr>
        <w:t xml:space="preserve">. </w:t>
      </w:r>
      <w:bookmarkStart w:id="292" w:name="pg11536_164029"/>
    </w:p>
    <w:p>
      <w:pPr>
        <w:pStyle w:val="BookText"/>
        <w:rPr/>
      </w:pPr>
      <w:bookmarkEnd w:id="292"/>
      <w:r>
        <w:rPr>
          <w:rFonts w:ascii="Amiri" w:hAnsi="Amiri" w:eastAsia="Amiri" w:cs="Amiri"/>
          <w:color w:val="111111"/>
          <w:sz w:val="28"/>
          <w:sz w:val="28"/>
          <w:szCs w:val="28"/>
          <w:rtl w:val="true"/>
          <w:lang w:bidi="ar-SA"/>
        </w:rPr>
        <w:t>فيلاحظ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كون الكفّار مكلّفين بالفروع كما هم مكلّفون بالأُصول و هو بعدُ أمر 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التسبيب إنّما يحرم إذا كان مؤدّياً إلى مسّ الجاهل القاصر، كما إذا وضع الإنسان يد غير المتطهّر على كتابة القرآن و هو جاهل أو غافل، لا ما إذا كان غير معذور كعظيم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الطغاة غير المعذورين في ترك الأُصول و مخالفة الفروع، إذ في وسعهم أن يعتنقوا الإسلام و يدخلوا تحت السلم و يتعرّفوا على أُصوله و يعملوا بفروعه و يجتنبوا محرّماته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الجواب سائد في تمكين الكافرين من الكتب الّتي فيها أسماؤه سبحانه بعد إتمام الحجّة عليهم و إن كان في جريانه في المقام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الكبرى الّتي تتبلور في بثّ الدعوة الإسلاميّة في المناطق المعمورة و إنقاذ الأجيال عن الوثنيّة و عبادة الطغاة ربّما ترخّص للرسول أن يقوم بعمل ربّما ينتهي إلى مسّ غير المتطهّر آية من الكتاب العزيز و له نظائر في الشريعة الإسلاميّة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907477_73709187"/>
      <w:bookmarkStart w:id="294" w:name="_Toc106"/>
      <w:bookmarkEnd w:id="293"/>
      <w:r>
        <w:rPr/>
        <w:t>3</w:t>
      </w:r>
      <w:r>
        <w:rPr>
          <w:rtl w:val="true"/>
        </w:rPr>
        <w:t xml:space="preserve"> - </w:t>
      </w:r>
      <w:r>
        <w:rPr>
          <w:rtl w:val="true"/>
        </w:rPr>
        <w:t>قاتل الإمام عليّ عليه السلام كان مجتهدا</w:t>
      </w:r>
      <w:bookmarkEnd w:id="29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هو النموذج الثالث من آراء الرجل نأتي بنصّه من كتاب المحلّى،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 مقتول كان في أوليائه غائب أو صغير أو مجنون اختلف الناس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للمقتول بنون و فيهم واحد كبير و غيرهم صغار، أنّ للكبير أن يقتل و لا ينتظر بلوغ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على </w:t>
      </w:r>
    </w:p>
    <w:p>
      <w:pPr>
        <w:pStyle w:val="BookText"/>
        <w:rPr/>
      </w:pPr>
      <w:r>
        <w:rPr>
          <w:rFonts w:ascii="Amiri" w:hAnsi="Amiri" w:eastAsia="Amiri" w:cs="Amiri"/>
          <w:color w:val="111111"/>
          <w:sz w:val="28"/>
          <w:sz w:val="28"/>
          <w:szCs w:val="28"/>
          <w:rtl w:val="true"/>
          <w:lang w:bidi="ar-SA"/>
        </w:rPr>
        <w:t>الشافعيّة القائلة بعدم الجواز بأنّ الحسن بن عليّ عليهما السلام قد قتل عبد الرحمن بن ملجم، و لعليّ بنون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عائدة على الحنفيّين بمثل ما شنّعوا على الشافعيين سواء سواء، لأنّهم و المالكيّين لا يختلفون في أنّ من قتل آخر على تأويل فلا قود في ذلك، و لا خلاف بين أحد من الأُمّة في أنّ عبد الرحمن بن ملجم لم يقتل عليّاً عليه السلام إلّا متأوّلاً مجتهداً مقدّراً أنّه على صواب، و في ذلك يقول عمران بن حطّان شاعر الصفرية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 xml:space="preserve">إنّي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أي لأُفكّر فيه ثمّ أحسبه، فقد حصل الحنفيّون من خلاف الحسن بن عليّ على مثل ما شنّعوا به على الشافعيّين و ما ينقلون أبداً في رجوع سهامهم عليهم، و من الوقوع فيما حفروه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الأندلسي قد خرج في فتياه هذه عن مسلكه و هو التقيّد بالنصوص الشرعية تعبّداً حرفيّاً غير معتمد على العقل و الاجتهاد، مع أنّه هو طرح النصّ و لجأ إلى الاجتهاد الخاطئ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النّبيّ الأكرم صلى الله عليه و آله و سلم يقول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 بأشدّ الناس عذاباً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أشدّ الناس عذاباً يوم القيامة عاقر ناقة ثمود و خاضب لحيتك بدم رأسك</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قد وصف النبيّ صلى الله عليه و آله و سلم قاتل عليّ في غير واحد من أحاديثه بأنّه أشقى الآخرين و أشقى هذه الأُمّة</w:t>
      </w:r>
      <w:r>
        <w:rPr>
          <w:rFonts w:eastAsia="Amiri" w:cs="Amiri" w:ascii="Amiri" w:hAnsi="Amiri"/>
          <w:color w:val="111111"/>
          <w:sz w:val="28"/>
          <w:szCs w:val="28"/>
          <w:rtl w:val="true"/>
          <w:lang w:bidi="ar-SA"/>
        </w:rPr>
        <w:t>.</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الأحاديث الواردة في هذا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الاجتهاد الّذي يؤدّي إلى وجوب قتل الإمام المفترض طاعته بالنصّ، اجتهاد يهتزّ منه العرش، و نحن أيضاً نصافق ابن حزم و أُستاذه داود الاصفهاني في ردّ هذا القسم من الاجتهاد الّذي تكون نتيجته نجاح الخوارج المارقين عن الدين، و ما ذكره من الشعر هو لعمران بن حطّان رأس الخوارج في عصره، و قد أجابه معاصره القاضي أبو الطيب طاهر بن عبد اللّه الشافعي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ليهدم للاسلام أركاناً</w:t>
      </w:r>
    </w:p>
    <w:p>
      <w:pPr>
        <w:pStyle w:val="BookText"/>
        <w:rPr/>
      </w:pPr>
      <w:r>
        <w:rPr>
          <w:rFonts w:ascii="Amiri" w:hAnsi="Amiri" w:eastAsia="Amiri" w:cs="Amiri"/>
          <w:color w:val="111111"/>
          <w:sz w:val="28"/>
          <w:sz w:val="28"/>
          <w:szCs w:val="28"/>
          <w:rtl w:val="true"/>
          <w:lang w:bidi="ar-SA"/>
        </w:rPr>
        <w:t xml:space="preserve">إنّي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 ألعن عمراناً و حطّاناً</w:t>
      </w:r>
    </w:p>
    <w:p>
      <w:pPr>
        <w:pStyle w:val="BookText"/>
        <w:rPr/>
      </w:pPr>
      <w:r>
        <w:rPr>
          <w:rFonts w:ascii="Amiri" w:hAnsi="Amiri" w:eastAsia="Amiri" w:cs="Amiri"/>
          <w:color w:val="111111"/>
          <w:sz w:val="28"/>
          <w:sz w:val="28"/>
          <w:szCs w:val="28"/>
          <w:rtl w:val="true"/>
          <w:lang w:bidi="ar-SA"/>
        </w:rPr>
        <w:t xml:space="preserve">عليه ثمّ عليه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إسراراً و إعلانا</w:t>
      </w:r>
    </w:p>
    <w:p>
      <w:pPr>
        <w:pStyle w:val="BookText"/>
        <w:rPr/>
      </w:pPr>
      <w:r>
        <w:rPr>
          <w:rFonts w:ascii="Amiri" w:hAnsi="Amiri" w:eastAsia="Amiri" w:cs="Amiri"/>
          <w:color w:val="111111"/>
          <w:sz w:val="28"/>
          <w:sz w:val="28"/>
          <w:szCs w:val="28"/>
          <w:rtl w:val="true"/>
          <w:lang w:bidi="ar-SA"/>
        </w:rPr>
        <w:t xml:space="preserve">فأنتما من كلاب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نصّ الشريعة برهاناً و تبيانا</w:t>
      </w:r>
      <w:r>
        <w:rPr>
          <w:rStyle w:val="FootnoteAnchor"/>
          <w:rtl w:val="true"/>
        </w:rPr>
        <w:footnoteReference w:id="3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يشبه ما ذكره في قاتل الإمام حيث عدّ فيه </w:t>
      </w:r>
    </w:p>
    <w:p>
      <w:pPr>
        <w:pStyle w:val="BookText"/>
        <w:rPr/>
      </w:pPr>
      <w:r>
        <w:rPr>
          <w:rFonts w:ascii="Amiri" w:hAnsi="Amiri" w:eastAsia="Amiri" w:cs="Amiri"/>
          <w:color w:val="111111"/>
          <w:sz w:val="28"/>
          <w:sz w:val="28"/>
          <w:szCs w:val="28"/>
          <w:rtl w:val="true"/>
          <w:lang w:bidi="ar-SA"/>
        </w:rPr>
        <w:t>قاتل عمّار و هو أبو الغادية يسار بن سبع السلمي متأوّلاً مجتهداً مخطئاً مأجوراً بأجر واحد، و عدّ عمّاراً الثائر على الخليفة فاسقاً محارباً سافكاً دماً حراماً عمداً بلا تأويل على سبيل الظلم و العدوان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تلك المذاهب إلّا نتيجة تقاعس العلماء الأخيار عن وظيفتهم، و نتيجة طرد العقل الصحيح الفطري عن مناهج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أنّ إنساناً منصفاً يفكّر في هذه المناهج و المسالك، يعدّ دعاة الحرية و الاختيار و التعقّل ضلّالاً كفّاراً، و دعاة الجبرية و التشبيه و التجسيم و الجمود الفكري علماء وعاة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جِئْنٰاهُمْ بِكِتٰابٍ فَصَّلْنٰاهُ عَلىٰ عِلْمٍ هُدىً وَ رَحْمَةً لِقَوْمٍ يُؤْمِنُونَ</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حول الحركات الرجعية الثلاث </w:t>
      </w:r>
      <w:bookmarkStart w:id="295" w:name="pg11536_164033"/>
    </w:p>
    <w:p>
      <w:pPr>
        <w:pStyle w:val="Heading2"/>
        <w:numPr>
          <w:ilvl w:val="1"/>
          <w:numId w:val="1"/>
        </w:numPr>
        <w:rPr/>
      </w:pPr>
      <w:bookmarkStart w:id="296" w:name="__RefHeading___Toc3907479_73709187"/>
      <w:bookmarkStart w:id="297" w:name="_Toc107"/>
      <w:bookmarkEnd w:id="295"/>
      <w:bookmarkEnd w:id="296"/>
      <w:r>
        <w:rPr/>
        <w:t>7</w:t>
      </w:r>
      <w:r>
        <w:rPr>
          <w:rtl w:val="true"/>
        </w:rPr>
        <w:t xml:space="preserve"> - </w:t>
      </w:r>
      <w:r>
        <w:rPr>
          <w:rtl w:val="true"/>
        </w:rPr>
        <w:t>المعتزلة</w:t>
      </w:r>
      <w:bookmarkEnd w:id="297"/>
    </w:p>
    <w:p>
      <w:pPr>
        <w:pStyle w:val="Heading3"/>
        <w:numPr>
          <w:ilvl w:val="2"/>
          <w:numId w:val="1"/>
        </w:numPr>
        <w:rPr/>
      </w:pPr>
      <w:bookmarkStart w:id="298" w:name="__RefHeading___Toc3907481_73709187"/>
      <w:bookmarkStart w:id="299" w:name="_Toc108"/>
      <w:bookmarkEnd w:id="298"/>
      <w:r>
        <w:rPr>
          <w:rtl w:val="true"/>
        </w:rPr>
        <w:t>[</w:t>
      </w:r>
      <w:r>
        <w:rPr>
          <w:rtl w:val="true"/>
        </w:rPr>
        <w:t>تمهيد</w:t>
      </w:r>
      <w:r>
        <w:rPr>
          <w:rtl w:val="true"/>
        </w:rPr>
        <w:t>]</w:t>
      </w:r>
      <w:bookmarkEnd w:id="299"/>
    </w:p>
    <w:p>
      <w:pPr>
        <w:pStyle w:val="Heading4"/>
        <w:numPr>
          <w:ilvl w:val="3"/>
          <w:numId w:val="1"/>
        </w:numPr>
        <w:rPr/>
      </w:pPr>
      <w:bookmarkStart w:id="300" w:name="__RefHeading___Toc3907483_73709187"/>
      <w:bookmarkStart w:id="301" w:name="_Toc109"/>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المعتزلة بين المدارس الكلاميّة المختلفة، مدرسة فكريّة عقليّة، أعطت للعقل القسط الأوفر و السهم الأكبر حتّى فيما لا سبيل له للقضاء فيه، و لها من نتائج الفكر و المعرفة ما شهد له التأريخ، و دلّت عليه كتب القوم و رسائلهم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نقله عنهم خصومهم و أعداؤهم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باختصار، إنّه مذهب فكري كبير يزخر بمعارف حول المبدأ و المعاد، و بأنظار عقليّة أو تجريبيّة حول صحيفة الكون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المؤسف جدّاً أنّ هوى العصبيّة بل يد الخيانة و الجناية لعبت بكثير من مخلّفاتهم الفكريّة و أطاحت به فأضاعتها بالخرق و المزق و إن كان فيما بقي و ما كشفت عنه بعثة وزارة المعارف المصريّة إلى اليمن و نشرتها</w:t>
      </w:r>
      <w:r>
        <w:rPr>
          <w:rStyle w:val="FootnoteAnchor"/>
          <w:rtl w:val="true"/>
        </w:rPr>
        <w:footnoteReference w:id="386"/>
      </w:r>
      <w:r>
        <w:rPr>
          <w:rFonts w:ascii="Amiri" w:hAnsi="Amiri" w:eastAsia="Amiri" w:cs="Amiri"/>
          <w:color w:val="111111"/>
          <w:sz w:val="28"/>
          <w:sz w:val="28"/>
          <w:szCs w:val="28"/>
          <w:rtl w:val="true"/>
          <w:lang w:bidi="ar-SA"/>
        </w:rPr>
        <w:t xml:space="preserve">كفاية لمن أراد التعرّف على المذهب عن لسان شيوخهم، ثمّ </w:t>
      </w:r>
    </w:p>
    <w:p>
      <w:pPr>
        <w:pStyle w:val="BookText"/>
        <w:rPr/>
      </w:pPr>
      <w:r>
        <w:rPr>
          <w:rFonts w:ascii="Amiri" w:hAnsi="Amiri" w:eastAsia="Amiri" w:cs="Amiri"/>
          <w:color w:val="111111"/>
          <w:sz w:val="28"/>
          <w:sz w:val="28"/>
          <w:szCs w:val="28"/>
          <w:rtl w:val="true"/>
          <w:lang w:bidi="ar-SA"/>
        </w:rPr>
        <w:t xml:space="preserve">دراستها، و سنتلو عليك قائمة الكتب الباقية أو المنشورة في هذه الآونة الأخيرة عنهم، و بالنظر إليها يعلم أنّ الباقي يشكل طفيفاً من الكثير المضاع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يستطيع أن يرسم لنا معالم هذا المذهب بوضوح بحيث يغني عن المراجعة إلى كتب خصومهم و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ضياع كتب المعتزلة في القرون السابقة و عدم عثور الباحثين عليها، ألجأهم في كتابة عقائدهم و تحليل أُصولهم إلى الاعتماد على كتب الأشاعرة في مجال علم الكلام و الملل و النحل، و من الواضح جدّاً أنّ كثيراً من الخصوم ليسوا بمنصفين و موضوعيين و قد نسبوا إليهم ما لا يوافق الأُصول الموثوق بها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الدراسة الموضوعيّة الهادفة تكلّف الباحث الرجوع إلى الكتب المؤلفة بيد أعلام المذاهب و خبرائه المعروفين بالحذق و الوثاقة، و الاعتماد على كتب الخصوم خارج عن أدب الجدل و رسم التحقيق</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أنّنا نرى كثيراً من الكتّاب المعاصرين يعتمدون في تحليل عقائد الطوائف الإسلاميّة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الأشعري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 </w:t>
      </w:r>
    </w:p>
    <w:p>
      <w:pPr>
        <w:pStyle w:val="BookText"/>
        <w:rPr/>
      </w:pPr>
      <w:r>
        <w:rPr>
          <w:rFonts w:ascii="Amiri" w:hAnsi="Amiri" w:eastAsia="Amiri" w:cs="Amiri"/>
          <w:color w:val="111111"/>
          <w:sz w:val="28"/>
          <w:sz w:val="28"/>
          <w:szCs w:val="28"/>
          <w:rtl w:val="true"/>
          <w:lang w:bidi="ar-SA"/>
        </w:rPr>
        <w:t>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البغدادي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للشهرستاني، و هؤلاء كلّهم من أعلام الأشاعرة و يرجع إليهم في الوقوف على التفكير الأشعري، و أمّا في غيره فلا يكون قولهم و نقلهم حجّة في حقّهم، إلّا إذا طابق الأصل، فإنّ الكاتب مهما يكون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موقف الجدال و النِّقاش و حاول إثبات مقاله و تدمير مقالة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الرُّكون إلى نقله، إلّا إذا أتى بنصّ عبارة الخصم بلا تصرّف و لا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الكتب المؤلّفة في العصور الماضية لا تسير على هذا المنهاج، كما هو واضح لمن سبر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الظلم البارز الاعتماد في تحليل عقائد الطوائف الإسلاميّة على كتب ابن حزم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خلدون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خصوصاً فيما كتبوه حول الشيعة لبعدهم عن البيئة الشيعيّة و مؤلّفاتهم، و لذلك ترى فيها الخبط و الخطاء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مبلغ علم الشهرستاني و اطّلاعه عنهم حيث يذكر الأئمّة الاثني عشر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محمّد النقي مشهده بقم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 xml:space="preserve">و يكفيك فيما ذكرناه ما قاله أحد معاصريه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مشايخه في الفقه و أُصوله و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تخبّطه في الاعتقاد و ميله إلى الإلحاد لكان هو الإمام، و كثيراً ما كنّا نتعجّب في وفور فضله و كمال عقله، و كيف مال إلى شيء لا أصل له و اختار أمراً لا دليل عليه لا معقولاً و لا منقولاً، و نعوذ باللّٰه من الخذلان و الحرمان من نور الإيمان</w:t>
      </w:r>
      <w:r>
        <w:rPr>
          <w:rFonts w:eastAsia="Amiri" w:cs="Amiri" w:ascii="Amiri" w:hAnsi="Amiri"/>
          <w:color w:val="111111"/>
          <w:sz w:val="28"/>
          <w:szCs w:val="28"/>
          <w:rtl w:val="true"/>
          <w:lang w:bidi="ar-SA"/>
        </w:rPr>
        <w:t>».</w:t>
      </w:r>
      <w:r>
        <w:rPr>
          <w:rStyle w:val="FootnoteAnchor"/>
          <w:rtl w:val="true"/>
        </w:rPr>
        <w:footnoteReference w:id="389"/>
      </w:r>
      <w:bookmarkStart w:id="302" w:name="pg11536_164036"/>
    </w:p>
    <w:p>
      <w:pPr>
        <w:pStyle w:val="Heading4"/>
        <w:numPr>
          <w:ilvl w:val="3"/>
          <w:numId w:val="1"/>
        </w:numPr>
        <w:rPr/>
      </w:pPr>
      <w:bookmarkStart w:id="303" w:name="__RefHeading___Toc3907485_73709187"/>
      <w:bookmarkStart w:id="304" w:name="_Toc110"/>
      <w:bookmarkEnd w:id="302"/>
      <w:bookmarkEnd w:id="303"/>
      <w:r>
        <w:rPr>
          <w:rtl w:val="true"/>
        </w:rPr>
        <w:t>اهتمام المستشرقين بتراث المعتزلة</w:t>
      </w:r>
      <w:bookmarkEnd w:id="304"/>
    </w:p>
    <w:p>
      <w:pPr>
        <w:pStyle w:val="BookText"/>
        <w:rPr/>
      </w:pPr>
      <w:r>
        <w:rPr>
          <w:rFonts w:ascii="Amiri" w:hAnsi="Amiri" w:eastAsia="Amiri" w:cs="Amiri"/>
          <w:color w:val="111111"/>
          <w:sz w:val="28"/>
          <w:sz w:val="28"/>
          <w:szCs w:val="28"/>
          <w:rtl w:val="true"/>
          <w:lang w:bidi="ar-SA"/>
        </w:rPr>
        <w:t>اهتمّ المستشرقون في العصور الأخيرة بدراسة مذهب الاعتزال و ما فيه من الخطوط و الأُصول في الكون و حياة الإنسان و اختياره و حرّيته، و لقد أعجبتهم فكرتهم في أفعال العباد و صار ذلك سبباً لاهتمام الجدد من أهل السنّة و بالأخص المصريّين منهم إلى دراسة مذهبهم و نشر كتبهم و تقدير فكرتهم و الدفاع عنهم قدر الإمكان و ردّ الاعتبار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نشرت في العهد القريب كتب تتناول البحث عن ذلك المذهب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الجهمية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القاسمي الدمشقي، طبع في القاهرة 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زهدي حسن جار اللّٰه طبع في القاهرة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رسالة تبحث في تأريخ المعتزلة و عقائدهم و أثرهم في تطوّر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 مؤلّفها إلى دائرة التأريخ العربي في كلّية العلوم و الآداب بجامعة بيروت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نال عليه رتبة أُستاذ في العلوم و له في الكتاب مواقف موضوعيّة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أمين المصري، الفصل الرابع،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الفصل الأوّل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أبو زهرة فصل القدريّة،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فؤاد السيّد، نشرته الدار التونسيّة للنشر،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الثّانية، و هو يضمّ كتباً ثلاثة لأئمّة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البلخي، و القاضي عبد الجبّار، و الحاكم الجشمي، و الكتاب مزدان بتحقيقات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العناية الكبيرة المؤكّدة من أبناء الأشاعرة لبيان تأريخ المعتزلة و عقائدهم و إظهار الأسف و الأسى لذهاب ثروتهم العلميّة، و إنشاء بعثة علميّة لأخذ الصّور من مخلّفاتهم الخطّية المبعثرة في بلاد اليمن و القيام بنشرها، عمل مبارك و جهد مقدّر، لكن أثاره أبناء الاستشراق في نفوس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آلفرد جيوم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الدراسات الشّرقية في جامعة لندن يقول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انتهى إلينا من كتابات رجال الاعتزال قليل جدّاً إلى حدّ أنّنا مضطرّون إلى أن نعتمد على ما يقوله مخالفوهم عنهم، و قد كانوا يحملون لهم ذكريات مريرة لما قام به المعتزلة من أعمال تعسّفيّة لذلك، فإنّ أملنا لكبير، إذا كانت مكتبات الشيعة في اليمن أو في غير اليمن تحوي مخطوطات من أصل معتزلي أن نقوم بنشرها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إنّ أُولئك الّذين يرغبون في الوقوف على نتاج العقل العربي في عصور الخلافة الذهبية، </w:t>
      </w:r>
    </w:p>
    <w:p>
      <w:pPr>
        <w:pStyle w:val="BookText"/>
        <w:rPr/>
      </w:pPr>
      <w:r>
        <w:rPr>
          <w:rFonts w:ascii="Amiri" w:hAnsi="Amiri" w:eastAsia="Amiri" w:cs="Amiri"/>
          <w:color w:val="111111"/>
          <w:sz w:val="28"/>
          <w:sz w:val="28"/>
          <w:szCs w:val="28"/>
          <w:rtl w:val="true"/>
          <w:lang w:bidi="ar-SA"/>
        </w:rPr>
        <w:t>يحسنون صنعاً إذا أقدموا على درس هذه الرسالة اللمّاعة في تأريخ حركة عظيمة في حركات الفكر العربي</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المستشرق وصفهم بأنّهم المفكِّرون الأحرار في الإسلام، و ألّف كتاباً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وصفهم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دعاة الحريّة الفكرية و الاستنارة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المعتزلة وسّعوا معين المعرفة الدينية بأن أدخلوا فيها عنصراً مهمّاً آخر قيّماً و هو العقل الّذي كان حتّى ذلك الحين مبعداً بشدّة عن هذه الناحية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يرد على الأخير بأنّه تجاسر على قلب الحقائق مسقطاً الواقع الّذي يثبت اجتهاد الرسول و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السنّة و السيرة و التاريخ و الفقه و الخلاف و المقارنات الفقهيّة حافلة بما يؤيِّد اجتهادهم و تعويلهم على العقل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هذا الرادّ أقرب إلى قلب الواقع ممّا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جولد تسيهر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المستشرق الحاقد على الإسلام و نبيّه، و ذلك لأنّ أهل الحديث </w:t>
      </w:r>
      <w:bookmarkStart w:id="305" w:name="pg11536_164039"/>
    </w:p>
    <w:p>
      <w:pPr>
        <w:pStyle w:val="BookText"/>
        <w:rPr/>
      </w:pPr>
      <w:bookmarkEnd w:id="305"/>
      <w:r>
        <w:rPr>
          <w:rFonts w:ascii="Amiri" w:hAnsi="Amiri" w:eastAsia="Amiri" w:cs="Amiri"/>
          <w:color w:val="111111"/>
          <w:sz w:val="28"/>
          <w:sz w:val="28"/>
          <w:szCs w:val="28"/>
          <w:rtl w:val="true"/>
          <w:lang w:bidi="ar-SA"/>
        </w:rPr>
        <w:t>و الحنابلة ينكرون الحسن و القبح العقليّين، و إنكار ذلك مساوق لإنكار كثير من المعارف الدينيّة، و المعارف الدينيّة عندهم قائمة على السنّة فقط، و أحيانا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العقل فهو محكوم عندهم بالإعدام، حتّى أنّ طريق الإمام أبي الحسن الأشعري غير مقبول لدى أهل الحديث و الحنابلة، و لأجل ذلك ما ذكروه في طبقاتهم، قائلين بأنّ الشيخ الأشعري يستدلّ على العقائد، مكان أن يعتمد فيها على الحديث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الاعتماد على العقل في الفقه، فلو أُريد منه القياس و الاستحسان فهو من قبيل العقل الظنّي الذي لا يغني من الحقّ شيئاً، و إن أُريد منه الحكم القطعي من العقل، فهو مبنيّ على التحسين و التقبيح العقليين، و أهل الحديث و الحنابلة حتّى الأشاعرة ينكرون إمكان هذا الإدراك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للمستشرقين كلمات أُخر في تحسين منهج الاعتزال ضربنا عنها صفحاً</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907487_73709187"/>
      <w:bookmarkStart w:id="307" w:name="_Toc111"/>
      <w:bookmarkEnd w:id="306"/>
      <w:r>
        <w:rPr>
          <w:rtl w:val="true"/>
        </w:rPr>
        <w:t>أحمد أمين و مدرسة الاعتزال</w:t>
      </w:r>
      <w:bookmarkEnd w:id="30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 الشهير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يقف من كتب المعتزلة إلّا على الأقل القليل، كالانتصار لأبي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الكشّاف للزمخشري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 كتب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اعتمد في نقل عقائد المعتزلة على كتب الأشاعرة، كمقالات الإسلاميين للشيخ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نهاية الاقدام </w:t>
      </w:r>
    </w:p>
    <w:p>
      <w:pPr>
        <w:pStyle w:val="BookText"/>
        <w:rPr/>
      </w:pPr>
      <w:r>
        <w:rPr>
          <w:rFonts w:ascii="Amiri" w:hAnsi="Amiri" w:eastAsia="Amiri" w:cs="Amiri"/>
          <w:color w:val="111111"/>
          <w:sz w:val="28"/>
          <w:sz w:val="28"/>
          <w:szCs w:val="28"/>
          <w:rtl w:val="true"/>
          <w:lang w:bidi="ar-SA"/>
        </w:rPr>
        <w:t xml:space="preserve">للشهرستاني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الاقتصاد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المواقف للعضدي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و هؤلاء كلّهم أعداء المعتزلة و لا يستطيعون تقرير مواقف خصومهم في المسائل مجرّدين عن كلّ انحياز،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لم يقف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 كثيراً بمنهج الاعتزال تبعاً لأساتذته الغربيّين، و لولاهم لما خرج الأُستاذ أحمد أمين عمّا حاكت عليه البيئة المصريّة الأشعريّة من الشباك الفكري قدر أنملة، و لا بأس بنقل جمل من إطرائه للمعتزلة في فصول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حول توحيد المعتزلة و تنزيههم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كانت نظرتهم في توحيد اللّٰه نظرة في غاية السموّ و الرفعة، فطبّقوا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أبدع تطبيق، و فصّلوه خير تفصيل و حاربوا الأنظار الوضعيّة من مثل أنظار الّذين جعلوا اللّٰه تعالى جسماً</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حول نظريّتهم في حرّية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المعتزلة بحرّية الإرادة و غلوا فيها أمام قوم سلبوا الإنسان إرادته حتّى جعلوه كالريشة في مهبّ الريح أو كالخشبة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أنّ الخطأ في القول بسلطان العقل و حرّية الإرادة و الغلوّ فيهما خير من الغلوّ في أضدادهما، و في رأيي أنّه لو سادت تعاليم المعتزلة إلى اليوم لكان للمسلمين موقف آخر في التأريخ غير موقفهم الحالي، و قد أعجزهم التسليم و شلّهم الجبر و قعد بهم التواكل</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في حقّ إبراهيم بن سيّار المعروف بالنظّام، الشخصيّة الرابعة بين المعتزلة بعد واصل بن عطاء، و عمرو بن عبيد، و أبي الهذيل العلاف، أُستاذ الجاحظ و قد توفّي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ناحيته العقليّة ففيها الركنان الأساسيّان اللّذان سبّبا النهضة الحديثة في أروبا و هما الشكّ و التجربة، و أمّا الشكّ فقد كان يعتبره النظّام أساساً للبحث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الشاكّ أقرب إليك من الجاحد، و لم يكن يقين قطّ حتّى صار فيه شكّ، و لم ينتقل أحد من اعتقاد إلى اعتقاد غيره حتّى يكون بينهما حال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التجربة فقد استخدمها كما يستخدمها الطبيعي أو الكيمياوي اليوم في معمله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أحمد أمين في مقال خاصّ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و المحدثون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للمعتزلة منهج خاصّ أشبه ما يكون بمنهج من يسمّيهم الإفرنج العقليين، عمادهم الشكّ أوّلاً و التجربة ثانياً، و الحكم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للجاحظ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طريف عن الشكّ، و كانوا وفق هذا المنهج لا يقبلون الحديث إلّا إذا أقرّه العقل، و يؤوّلون الآيات حسب ما يتّفق و العقل كما فعل الزمخشري في الكشّاف، و لا يؤمنون برؤية الإنسان للجنّ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يَرٰاكُمْ هُوَ وَ قَبِيلُهُ مِنْ حَيْثُ لاٰ تَرَوْنَهُمْ</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 يهزءون بمن يخاف من الجنّ، و لا يؤمنون بالخرافات و الأوهام، و يؤسّسون دعوتهم إلى </w:t>
      </w:r>
    </w:p>
    <w:p>
      <w:pPr>
        <w:pStyle w:val="BookText"/>
        <w:rPr/>
      </w:pPr>
      <w:r>
        <w:rPr>
          <w:rFonts w:ascii="Amiri" w:hAnsi="Amiri" w:eastAsia="Amiri" w:cs="Amiri"/>
          <w:color w:val="111111"/>
          <w:sz w:val="28"/>
          <w:sz w:val="28"/>
          <w:szCs w:val="28"/>
          <w:rtl w:val="true"/>
          <w:lang w:bidi="ar-SA"/>
        </w:rPr>
        <w:t xml:space="preserve">الإسلام حسب مقتضيات العقل و فلسفة اليونان، و لهم في ذلك باع طويل، و لا يؤمنون بأقوال أرسطو لأنّه أرسطو، بل نرى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الجاحظ يفضّل أحياناً قول أعرابيّ جاهلي بدويّ على قول أرسطو الفيلسوف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 منهجهم، و هو منهج لا يناسب إلّا الخاصّة، و لذلك لم يعتنق الاعتزال إلّا خاصّة المثقّفين، أمّا العوام فكانوا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يقابل هذا المنهج منهج المحدِّثين، و هو منهج يعتمد على الرواية لا على الدراية، و لذلك كان نقدهم للحديث نقد سند لا متن، و متى صحّ السند صحّ المتن و لو خالف العقل، و قلّ أن نجد حديثاً نُقد من ناحية المتن عندهم، و إذا عُرض عليهم أمر رجعوا إلى الحديث و لو كان ظاهره لا يتّفق و العقل، كما يتجلّى ذلك في مذهب الحنابلة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سوء الحظّ أن تدخل المعتزلة في السياسة و لم يقتصروا على الدين، و السياسة دائماً شائكة، فنصرهم على ذلك المأمون و الواثق و المعتصم، و امتحنوا الناس و أكرهوهم على الاعتزال، فكرههم العامّة و استبطلوا الإمام ابن حنبل الّذي وقف في وجههم، فلمّا جاء المتوكّل انتصر للرأي العام ضدّهم، و انتصر للإمام أحمد بن حنبل على الجاحظ و ابن أبي دؤاد و أمثالهما، و نكّل بهم تنكيلاً شديداً، فبعد أن كان يتظاهر الرجل بأنّه معتزلي، كان الرجل يعتزل و يختفي حتّى عدّ جريئاً كلّ الجراءة الزمخشري الّذي كان يتظاهر بالاعتزال و يؤلّف فيه، و لم يكن له كلّ هذا </w:t>
      </w:r>
    </w:p>
    <w:p>
      <w:pPr>
        <w:pStyle w:val="BookText"/>
        <w:rPr/>
      </w:pPr>
      <w:r>
        <w:rPr>
          <w:rFonts w:ascii="Amiri" w:hAnsi="Amiri" w:eastAsia="Amiri" w:cs="Amiri"/>
          <w:color w:val="111111"/>
          <w:sz w:val="28"/>
          <w:sz w:val="28"/>
          <w:szCs w:val="28"/>
          <w:rtl w:val="true"/>
          <w:lang w:bidi="ar-SA"/>
        </w:rPr>
        <w:t>الفضل، لأنّه أتى بعد هدوء الفورة الّتي حدثت ضدّ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فلنتصوّر الآن ما ذا كان لو سار المسلمون على منهج الاعتزال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مذهب الشكّ و التجربة و اليقين بعدهما كان يكون قد ربى و ترعرع و نضج في غضون الألف سنة الّتي مرّت عليه، و كنّا نفضّل الأروبيّين في فخفختهم و طنطنتهم بالشكّ و التجربة الّتي ينسبانها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يعمل أكثر من بسط مذهب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الشكّ و هذه التجربة مما يؤدّي حتماً إلى الاختراع و بدل تأخّر الاختراع إلى ما بعد بيكن و ديكارت، كان يتقدم مئات من السنين، و كان العالم قد وصل إلى ما لم يصل إليه إلى اليوم، و كان وصوله على يد المسلمين لا على يد الغربيّين، و كان لا يموت خلق الابتكار في الشرق و يقتصر على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عهدنا المسلمين بفضل منهج المحدِّثين يقتصرون على جمع متفرّق أو تفريق مجتمع، و قلّ أن نجد مبتكراً كابن خلدون الّذي كانت له مدرسة خاصّة، تلاميذها الغربيّون لا الشرقيون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خسارة المسلمين بإزالة المعتزلة من الوجود كانت خسارة كبرى لا تعوّض</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 المسلمون ينهجون منهج الحضارة الغربيّة تقليداً من الخارج لا بعثاً من الداخل، و شتّان ما بينهما، فالتقليد للخارج بثّ فيهم ما يسمّيه علماء النفس مركب النقص، فهم يرون أنّهم عالة على الغربيّين في منهجهم، و لو </w:t>
      </w:r>
    </w:p>
    <w:p>
      <w:pPr>
        <w:pStyle w:val="BookText"/>
        <w:rPr/>
      </w:pPr>
      <w:r>
        <w:rPr>
          <w:rFonts w:ascii="Amiri" w:hAnsi="Amiri" w:eastAsia="Amiri" w:cs="Amiri"/>
          <w:color w:val="111111"/>
          <w:sz w:val="28"/>
          <w:sz w:val="28"/>
          <w:szCs w:val="28"/>
          <w:rtl w:val="true"/>
          <w:lang w:bidi="ar-SA"/>
        </w:rPr>
        <w:t>كان من أنفسهم لاعتزّوا به و افتخروا، و لكن ما قُدّر لا بدّ أن يكون، و للّٰه في خلقه شئون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ما تأثّر به الأُستاذ المصري بمنهج الاعتزال فأطلق قلمه بمدحهم، و لكن لمّا وقف في غضون التأريخ على أنّ المعتزلة تربّت في أحضان البيت العلوي و أنّ واصل بن عطاء مؤسّس المنهج تتلمذ على أبي هاشم بن محمّد الحنفيّة، و أنّهم أخذوا التوحيد و العدل من الأُصول الخمسة من خطب الإمام أمير المؤمنين عليه السلام، ثارت ثورته و ثقل عليه البحث لما يكنّه في نفسه من عداء و حقد للشيعة و أئمّتهم، فانبرى لتحريف التأريخ و إسدال الستر على الحقيقة و إنكار كون الأصل لبعض أُصول المعتزلة هو البيت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معه في ذلك الفصل بحث ضاف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الكلام حول هذه الطائفة يأتي في فصول</w:t>
      </w:r>
      <w:r>
        <w:rPr>
          <w:rFonts w:eastAsia="Amiri" w:cs="Amiri" w:ascii="Amiri" w:hAnsi="Amiri"/>
          <w:color w:val="111111"/>
          <w:sz w:val="28"/>
          <w:szCs w:val="28"/>
          <w:rtl w:val="true"/>
          <w:lang w:bidi="ar-SA"/>
        </w:rPr>
        <w:t xml:space="preserve">: </w:t>
      </w:r>
      <w:bookmarkStart w:id="308" w:name="pg11536_164045"/>
    </w:p>
    <w:p>
      <w:pPr>
        <w:pStyle w:val="Heading3"/>
        <w:numPr>
          <w:ilvl w:val="2"/>
          <w:numId w:val="1"/>
        </w:numPr>
        <w:rPr/>
      </w:pPr>
      <w:bookmarkStart w:id="309" w:name="__RefHeading___Toc3907489_73709187"/>
      <w:bookmarkStart w:id="310" w:name="_Toc112"/>
      <w:bookmarkEnd w:id="308"/>
      <w:bookmarkEnd w:id="309"/>
      <w:r>
        <w:rPr>
          <w:rtl w:val="true"/>
        </w:rPr>
        <w:t>الفصل الأوّل</w:t>
      </w:r>
      <w:r>
        <w:rPr>
          <w:rtl w:val="true"/>
        </w:rPr>
        <w:t xml:space="preserve">: </w:t>
      </w:r>
      <w:r>
        <w:rPr>
          <w:rtl w:val="true"/>
        </w:rPr>
        <w:t>سبب تسميتهم بالمعتزلة</w:t>
      </w:r>
      <w:bookmarkEnd w:id="310"/>
    </w:p>
    <w:p>
      <w:pPr>
        <w:pStyle w:val="Heading4"/>
        <w:numPr>
          <w:ilvl w:val="3"/>
          <w:numId w:val="1"/>
        </w:numPr>
        <w:rPr/>
      </w:pPr>
      <w:bookmarkStart w:id="311" w:name="__RefHeading___Toc3907491_73709187"/>
      <w:bookmarkStart w:id="312" w:name="_Toc11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لقد شغل بال الباحثين من المسلمين و المستشرقين سبب تسمية هذه الطائفة بالمعتزلة، فاختار كلّ مذهباً، و نحن نأتي بجميع الآراء أو أكثرها على وجه الإجمال، مع التحليل و القضاء بينها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3907493_73709187"/>
      <w:bookmarkStart w:id="314" w:name="_Toc114"/>
      <w:bookmarkEnd w:id="313"/>
      <w:r>
        <w:rPr/>
        <w:t>1</w:t>
      </w:r>
      <w:r>
        <w:rPr>
          <w:rtl w:val="true"/>
        </w:rPr>
        <w:t xml:space="preserve"> - </w:t>
      </w:r>
      <w:r>
        <w:rPr>
          <w:rtl w:val="true"/>
        </w:rPr>
        <w:t>اعتزالهم عن علي عليه السلام في محاربته لمخالفيه</w:t>
      </w:r>
      <w:bookmarkEnd w:id="31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محمّد الحسن بن موسى النوبختي من أعلام القرن الثالث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الأحداث الواقعة بعد قتل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قُتِل بايع الناس عليّاً فسمّوا الجماعة، ثمّ افترقوا بعد ذلك و صاروا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أقامت على ولايته عليه السلام، و فرقة خالفت عليّاً و هم طلحة و الزبير و عائشة؛ و فرقة اعتزلت مع سعد بن مالك و هو سعد بن أبي وقّاص، و عبد اللّٰه بن عمر بن الخطّاب، و محمّد بن مسلمة الأنصاري، و أُسامة بن زيد بن حارثة الكلبي مولى رسول اللّٰه صلى الله عليه و آله و سلم، فإنّ هؤلاء اعتزلوا عن علي عليه السلام و امتنعوا عن محاربته و المحاربة معه بعد دخولهم في بيعته و الرضا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فسمّوا المعتزلة، و صاروا أسلاف المعتزلة إلى آخر الأبد،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قتال عليّ و لا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بعض أهل العلم أنّ الأحنف بن قيس التميمي اعتزل بعد ذلك في خاصّة قومه من بني تميم لا على التديّن بالاعتزال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على طلب السلامة في القتل و ذهاب المال و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الفتنة أصلح لكم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ذكر نصر بن مزاحم المنقري أنّ المغيرة بن شعبة كان مقيماً بالطائف لم يشهد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لو وسعني أن أنصرك لنصرتك، و لكن عليّ أن آتيك بأمر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موسى الأشعري و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حتّى أتى دومة الجندل، فدخل على أبي موسى كأنّه زائر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اعتزل هذا الأمر و كره الدماء؟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خيار الناس خفّت ظهورهم من دمائهم و خمصت بطونهم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عمراً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اعتزل هذا الأمر و كره الدماء؟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الناس لم يعرفوا حقّاً و لم ينكروا باطلا</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شيوخ المعتزلة يردّون هذه الرواية و لا يقيمون لها وزناً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 البلخي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يقول سمّوا معتزلة لاعتزالهم عليّ بن أبي </w:t>
      </w:r>
    </w:p>
    <w:p>
      <w:pPr>
        <w:pStyle w:val="BookText"/>
        <w:rPr/>
      </w:pPr>
      <w:r>
        <w:rPr>
          <w:rFonts w:ascii="Amiri" w:hAnsi="Amiri" w:eastAsia="Amiri" w:cs="Amiri"/>
          <w:color w:val="111111"/>
          <w:sz w:val="28"/>
          <w:sz w:val="28"/>
          <w:szCs w:val="28"/>
          <w:rtl w:val="true"/>
          <w:lang w:bidi="ar-SA"/>
        </w:rPr>
        <w:t>طالب في حروبه، و ليس كذلك، لأنّ جمهور المعتزلة بل أكثرهم إلّا القليل الشاذّ منهم يقولون إنّ عليّاً عليه السلام كان على صواب، و إنّ من حاربه فهو ضالّ، و تبرّءوا ممّن لم يتب عن محاربته، و لا يتولّون أحداً ممّن حاربه إلّا من صحّت عندهم توبته منهم، و من كان بهذه الصفة فليس بمعتزل عنه عليه السلام، و لا يجوز أن يسمّى بهذا الاسم</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النوبختي ذكر بعد نقل هذه الرواية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صاروا أسلاف المعتزلة إلى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المناقشة في كونه وجه التّسمية، و أنّ الاعتزال بالطابع الفكري و العقلي كان استمراراً للاعتزال بطابعه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الممكن أن تستعمل كلمة واحدة في طائفتين يجمعهما جامع و هو العزلة و ترك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خذلوا عليّاً بترك البيعة و الحرب معه ضدّ الناكثين و القاسطين معتزلون، كما أنّ واصل بن عطاء و تلاميذه معتزلون لأجل تركهم مجلس درس أُستاذه و تلاميذه كما يأتي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كلمة واحدة على الطائفتين اللّتين لهما طابعان مختلفان لا يدلّ على أنّ الطائفة الثانية هي استمرار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يمنعنا عن ردّ هذه النظرية على وجه القطع هو صراحة كلام النوبختي في ذلك</w:t>
      </w:r>
      <w:r>
        <w:rPr>
          <w:rFonts w:eastAsia="Amiri" w:cs="Amiri" w:ascii="Amiri" w:hAnsi="Amiri"/>
          <w:color w:val="111111"/>
          <w:sz w:val="28"/>
          <w:szCs w:val="28"/>
          <w:rtl w:val="true"/>
          <w:lang w:bidi="ar-SA"/>
        </w:rPr>
        <w:t xml:space="preserve">. </w:t>
      </w:r>
      <w:bookmarkStart w:id="315" w:name="pg11536_164048"/>
    </w:p>
    <w:p>
      <w:pPr>
        <w:pStyle w:val="Heading4"/>
        <w:numPr>
          <w:ilvl w:val="3"/>
          <w:numId w:val="1"/>
        </w:numPr>
        <w:rPr/>
      </w:pPr>
      <w:bookmarkStart w:id="316" w:name="__RefHeading___Toc3907495_73709187"/>
      <w:bookmarkStart w:id="317" w:name="_Toc115"/>
      <w:bookmarkEnd w:id="315"/>
      <w:bookmarkEnd w:id="316"/>
      <w:r>
        <w:rPr/>
        <w:t>2</w:t>
      </w:r>
      <w:r>
        <w:rPr>
          <w:rtl w:val="true"/>
        </w:rPr>
        <w:t xml:space="preserve"> - </w:t>
      </w:r>
      <w:r>
        <w:rPr>
          <w:rtl w:val="true"/>
        </w:rPr>
        <w:t>اعتزالهم عن الحسن بن علي عليهما السلام</w:t>
      </w:r>
      <w:bookmarkEnd w:id="317"/>
    </w:p>
    <w:p>
      <w:pPr>
        <w:pStyle w:val="BookText"/>
        <w:rPr/>
      </w:pPr>
      <w:r>
        <w:rPr>
          <w:rFonts w:ascii="Amiri" w:hAnsi="Amiri" w:eastAsia="Amiri" w:cs="Amiri"/>
          <w:color w:val="111111"/>
          <w:sz w:val="28"/>
          <w:sz w:val="28"/>
          <w:szCs w:val="28"/>
          <w:rtl w:val="true"/>
          <w:lang w:bidi="ar-SA"/>
        </w:rPr>
        <w:t xml:space="preserve">و هناك رواية أُخرى تدلّ على أنّ تسميتهم بهذا اللّقب لاعتزالهم عن الحسن بن عليّ و معاوية، نقله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الكوثري</w:t>
      </w:r>
      <w:r>
        <w:rPr>
          <w:rStyle w:val="FootnoteAnchor"/>
          <w:rtl w:val="true"/>
        </w:rPr>
        <w:footnoteReference w:id="401"/>
      </w:r>
      <w:r>
        <w:rPr>
          <w:rFonts w:ascii="Amiri" w:hAnsi="Amiri" w:eastAsia="Amiri" w:cs="Amiri"/>
          <w:color w:val="111111"/>
          <w:sz w:val="28"/>
          <w:sz w:val="28"/>
          <w:szCs w:val="28"/>
          <w:rtl w:val="true"/>
          <w:lang w:bidi="ar-SA"/>
        </w:rPr>
        <w:t>و حسب أنّه وقف على أمر 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الملطي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سمّوا أنفسهم معتزلة و ذلك عند ما بايع الحسن بن عليّ عليهما السلام معاوية و سلّم إليه الأمر اعتزلوا الحسن بن علي و معاوية و جميع الناس، و ذلك أنّهم كانوا من أصحاب علي و لزموا منازلهم و مساجدهم و قالوا نشتغل بالعلم و العبادة و سمّوا بذلك معتزلة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قريب من جهة، لأنّ المعتزلة أخذوا تعاليمهم في التوحيد و العدل عن عليّ عليه السلام كما سيأتي، فليس ببعيد أن يرجع وجه التسمية إلى زمن تصالح الإمام الحسن عليه السلام مع معاوية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يمكن أن يقال فيه مثل ما قلناه في النظرية السابقة، و هو أنّه كانت طائفتان مختلفتان لا صلة بينهما سوى الاشتراك الاسمي، ظهرت إحداهما بعد صلح الحسن عليه السلام و كان لها طابع سياسي؛ و ظهرت الأُخرى في زمن الحسن البصري عند اعتزال واصل عن حلقة بحثه كما سيأتي بيانه، لها طابع عقلي</w:t>
      </w:r>
      <w:r>
        <w:rPr>
          <w:rFonts w:eastAsia="Amiri" w:cs="Amiri" w:ascii="Amiri" w:hAnsi="Amiri"/>
          <w:color w:val="111111"/>
          <w:sz w:val="28"/>
          <w:szCs w:val="28"/>
          <w:rtl w:val="true"/>
          <w:lang w:bidi="ar-SA"/>
        </w:rPr>
        <w:t xml:space="preserve">. </w:t>
      </w:r>
      <w:bookmarkStart w:id="318" w:name="pg11536_164049"/>
    </w:p>
    <w:p>
      <w:pPr>
        <w:pStyle w:val="BookText"/>
        <w:rPr/>
      </w:pPr>
      <w:bookmarkEnd w:id="318"/>
      <w:r>
        <w:rPr>
          <w:rFonts w:ascii="Amiri" w:hAnsi="Amiri" w:eastAsia="Amiri" w:cs="Amiri"/>
          <w:color w:val="111111"/>
          <w:sz w:val="28"/>
          <w:sz w:val="28"/>
          <w:szCs w:val="28"/>
          <w:rtl w:val="true"/>
          <w:lang w:bidi="ar-SA"/>
        </w:rPr>
        <w:t>و هناك إشكال آخر يتوجّه على رواية الملطي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سمّوا أنفسهم 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لفظ الاعتزال ليس لفظاً يعرب عن المنهج حتّى يطلقوا هذا الاسم على أنفسهم، إن لم يكن فيه دلالة على ذمٍّ ما</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3907497_73709187"/>
      <w:bookmarkStart w:id="320" w:name="_Toc116"/>
      <w:bookmarkEnd w:id="319"/>
      <w:r>
        <w:rPr/>
        <w:t>3</w:t>
      </w:r>
      <w:r>
        <w:rPr>
          <w:rtl w:val="true"/>
        </w:rPr>
        <w:t xml:space="preserve"> - </w:t>
      </w:r>
      <w:r>
        <w:rPr>
          <w:rtl w:val="true"/>
        </w:rPr>
        <w:t>اعتزال عامر عن مجلس الحسن البصري</w:t>
      </w:r>
      <w:bookmarkEnd w:id="320"/>
    </w:p>
    <w:p>
      <w:pPr>
        <w:pStyle w:val="BookText"/>
        <w:rPr/>
      </w:pPr>
      <w:r>
        <w:rPr>
          <w:rFonts w:ascii="Amiri" w:hAnsi="Amiri" w:eastAsia="Amiri" w:cs="Amiri"/>
          <w:color w:val="111111"/>
          <w:sz w:val="28"/>
          <w:sz w:val="28"/>
          <w:szCs w:val="28"/>
          <w:rtl w:val="true"/>
          <w:lang w:bidi="ar-SA"/>
        </w:rPr>
        <w:t>و هناك رواية ثالثة رواها ابن دريد يتحدّث عن بني العنبر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رجالهم في الإسلام عامر بن عبد اللّه يقال له عامر بن عبد قيس، و كان عثمان بن عفّان كتب إلى عبد اللّه بن عامر أن يسيّره إلى الشام، لأنّه يطعن عليهم و كان من خيار المسلمين و له كلام في التوحيد كثير، و هو الّذي اعتزل الحسن البصري فسمّوا المعتزلة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نعيم بالإسناد عن الحسن البصري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لعامر بن عبد اللّه بن عبد قيس مجلس في المسجد فتركه حتّى ظننّا أنّه قد ضارع أصحاب الأهواء،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 مجلس في المسجد فتركته؟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إنّه مجلس كثير اللغط و التخليط،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فأيقنّا أنّه قد ضارع أصحاب الأهواء،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عسى أن أقول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أبو نعيم الاصفهاني أيضاً أنّه عتب أبو موسى الأشعري</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عامر بن عبد قيس اعتزاله مجلسه الّذي اعتاده في المسجد، فكتب إليه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عهدتك على أمر و بلغني أنّك تغيّرت فاتّق اللّٰه و عد</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المعلِّق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دريد و أبو نعيم لم يحدّدا لنا زمن اعتزال عامر بن عبد قيس، فمن الممكن أن نستنتج أنّه تمّ في خلال تسع سنوات من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تأريخ اعتزال جماعة سعد بن أبي وقّاص إذ عناهم الحسن البصري في حديثه، إلى سنة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تأريخ وفاة أبي موسى الأشعري إذ أفاد أبو نعيم أنّه عاتب عامر لاعتزاله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البصري ولد بالمدينة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سكن البصرة و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البعيد أن يكون له مجلس بحث في المسجد و هو من أبناء العشرين أو دونه، فلو صحّ ما حدّده المعلّق من زمن الاعتزال يلزم أن يكون له مجلس بحث في المسجد بين أعوام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و يكون عامر بن عبد اللّه الشخصيّة المعروفة أحد حضّار بحثه، و قد قدّر الزركلي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عامر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عتب أبي موسى لا يصحّ أن يكون في خلال تسع سنوات بين أعوام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عزل عن الولاية عام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غادر الكوفة و لم يرجع إليها، و لمّا أصدر حكمه الجائر في دومة الجندل ضدّ عليّ عليه السلام خاف من انتفاضة الناس و ثورتهم عليه، و غادرها إلى مكّة المكرّمة و مات بها عام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321" w:name="pg11536_164051"/>
    </w:p>
    <w:p>
      <w:pPr>
        <w:pStyle w:val="BookText"/>
        <w:rPr/>
      </w:pPr>
      <w:bookmarkEnd w:id="321"/>
      <w:r>
        <w:rPr>
          <w:rFonts w:ascii="Amiri" w:hAnsi="Amiri" w:eastAsia="Amiri" w:cs="Amiri"/>
          <w:color w:val="111111"/>
          <w:sz w:val="28"/>
          <w:sz w:val="28"/>
          <w:szCs w:val="28"/>
          <w:rtl w:val="true"/>
          <w:lang w:bidi="ar-SA"/>
        </w:rPr>
        <w:t xml:space="preserve">و لو صحّ عتابه لكان قبل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هذا يستلزم أن تكون للحسن حلقة بحث في أوان البلوغ، و هو بعيد، مع وجود وجوه الصحابة و أكابر التابعين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صحّت الرواية لما صحّ أن يكون عامر بن عبد اللّه، المؤسّس الأوّل لمذهب الاعتزال و إن استعمل في حقّه كلمة الاعتزال، لأنّ كلمة الاعتزال في تلك العصور كانت رمزاً للتخلّف عن الفكرة السائدة في المجتمع، فمن خالف الفكرة و انحاز عنها، أُطلق على فعله الاعتزال و على نفسه المعتزل، ازدراءً به، و تلك الكلمة بمنزلة الرجعية في أعصارنا هذه، و ما جاء في تلك الروايات إشارة إلى أنّ هؤلاء اعتزلوا عن السياسة السائدة على المجتمع كما في اعتزال سعد بن أبي وقّاص و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اعتزال جماعة عن الحسن بن عليّ عليهما السلام أو عن الفكرة الدينيّة كما في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في التسمية ما نذكره في القول الرابع و قد تواتر نقله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3907499_73709187"/>
      <w:bookmarkStart w:id="323" w:name="_Toc117"/>
      <w:bookmarkEnd w:id="322"/>
      <w:r>
        <w:rPr/>
        <w:t>4</w:t>
      </w:r>
      <w:r>
        <w:rPr>
          <w:rtl w:val="true"/>
        </w:rPr>
        <w:t xml:space="preserve"> - </w:t>
      </w:r>
      <w:r>
        <w:rPr>
          <w:rtl w:val="true"/>
        </w:rPr>
        <w:t>اعتزال واصل عن مجلس الحسن البصري</w:t>
      </w:r>
      <w:bookmarkEnd w:id="323"/>
    </w:p>
    <w:p>
      <w:pPr>
        <w:pStyle w:val="BookText"/>
        <w:rPr/>
      </w:pPr>
      <w:r>
        <w:rPr>
          <w:rFonts w:ascii="Amiri" w:hAnsi="Amiri" w:eastAsia="Amiri" w:cs="Amiri"/>
          <w:color w:val="111111"/>
          <w:sz w:val="28"/>
          <w:sz w:val="28"/>
          <w:szCs w:val="28"/>
          <w:rtl w:val="true"/>
          <w:lang w:bidi="ar-SA"/>
        </w:rPr>
        <w:t>قد عرفت أنّ حكم مرتكب الكبيرة قد أوجد ضجّة كبيرة في الأوساط الإسلاميّة في عصر عليّ عليه السلام و بعده، حيث عدّ الخوارج مرتكب الكبيرة كافراً، كما عدّه غيرهم مؤمناً فاسقاً، و عدّت المرجئة من شهد بالتوحيد و الرسالة لساناً أو جناناً مؤمناً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أخذت المسألة لنفسها مجالاً خاصّاً للبحث عدّة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للمسألة في زمن الحسن البصري دويّ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نقل الشهرستاني أنّه دخل واحد على الحسن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ظهرت في زماننا جماعة يكفّرون أصحاب الكبائر، و الكبيرة عندهم لا تضرّ مع الإيمان، بل العمل على مذهبهم ليس ركناً من الإيمان، و لا يضرّ مع الإيمان معصية، كما لا تنفع مع الكفر طاعة و هم مرجئة الأُمّة فكيف تحكم لنا في ذلك اعتقاداً؟</w:t>
      </w:r>
    </w:p>
    <w:p>
      <w:pPr>
        <w:pStyle w:val="BookText"/>
        <w:rPr/>
      </w:pPr>
      <w:r>
        <w:rPr>
          <w:rFonts w:ascii="Amiri" w:hAnsi="Amiri" w:eastAsia="Amiri" w:cs="Amiri"/>
          <w:color w:val="111111"/>
          <w:sz w:val="28"/>
          <w:sz w:val="28"/>
          <w:szCs w:val="28"/>
          <w:rtl w:val="true"/>
          <w:lang w:bidi="ar-SA"/>
        </w:rPr>
        <w:t>فتفكّر الحسن في ذلك و قبل أن يجيب،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إنّ صاحب الكبيرة مؤمن مطلقاً و لا كافر مطلقاً، بل هو في منزلة بين المنزلتين لا 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اعتزل إلى اسطوانة المسجد يقرّر ما أجاب به على جماعة من أصحاب الحسن،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عنّا واصل، فسمّي هو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معتزلة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نسبت هذه الواقعة بشكل 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ترجمة قتادة السدوسي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قتادة من أنسب الناس كان قد أدرك دغفلاً و كان يدور البصرة أعلاها و أسفلها بغير قائد فدخل مسجد البصرة، فإذا بعمرو بن عبيد و نفر معه قد اعتزلوا من حلقة الحسن البصري و حلّقوا و ارتفعت أصواتهم، فأمّهم و هو يظن أنّها حلقة الحسن، فلمّا صار معهم عرف أنّها ليست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المعتزلة، ثمّ قام عنهم فمذ يومئذ سمّوا المعتزلة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تظهر تلك النظرية من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المعتزلة و ما وسمت به من اسم الاعتزال، فهو لقب حدث لها عند القول بالمنزلة بين المنزلتين، و ما أحدثه واصل بن العطاء من المذهب في ذلك و نصب من الاحتجاج له، فتابعه عمرو بن عبيد، و وافقه على التديّن به من قال بها و من اتّبعهما عليه، إلى اعتزال الحسن البصري و أصحابه و التحيّز عن مجلسه فسمّاهم الناس المعتزلة لاعتزالهم مجلس الحسن بعد أن كانوا من أهله و تفرّدهم بما ذهبوا إليه من هذه المسألة من جميع الأُمّة و سائر العلماء و لم يكن قبل ذلك يعرف الاعتزال و لا كان علماً على فريق من الناس</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تفرّدهم بما ذهبوا إليه في هذه المسألة من جميع الأُمّة و سائر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نصّاً في هذه النظرية، إلّا أنّ هذا الذيل يمكن أن يكون إشارة إلى النظرية الأُخرى الّتي ستبيّن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اعتزال واصل حلقة الحسن جماعة كثيرة، فنقلها المرتضى في أماليه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و البغدادي في الفرق بين الفرق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الشهرستاني في الملل و النحل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ابن خلكان في وفيات الأعيان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المقريزي في خططه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تقدير فقد ناقش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نيبريج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 هذه النظرية بأنّه وردت تسمية هذه المدرسة بأهل الاعتزال بمن قال بالاعتزال، و لو كان </w:t>
      </w:r>
      <w:bookmarkStart w:id="324" w:name="pg11536_164054"/>
    </w:p>
    <w:p>
      <w:pPr>
        <w:pStyle w:val="BookText"/>
        <w:rPr/>
      </w:pPr>
      <w:bookmarkEnd w:id="324"/>
      <w:r>
        <w:rPr>
          <w:rFonts w:ascii="Amiri" w:hAnsi="Amiri" w:eastAsia="Amiri" w:cs="Amiri"/>
          <w:color w:val="111111"/>
          <w:sz w:val="28"/>
          <w:sz w:val="28"/>
          <w:szCs w:val="28"/>
          <w:rtl w:val="true"/>
          <w:lang w:bidi="ar-SA"/>
        </w:rPr>
        <w:t>معنى الكلمة ما زعموه لما جاز مثل هذه التسمية، ثمّ إنّ لها عدّة نظائر في عرف ذلك الزمان كالمرجئة يرادفها أهل الإرجاء و هم الّذين قالوا بالإرجاء، و الرافضة يرادفها أهل الرفض و من قال بالرفض</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المناقشة في محلّها كما سيظهر ممّا ننقله عن المسعودي في النظرية السادسة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907501_73709187"/>
      <w:bookmarkStart w:id="326" w:name="_Toc118"/>
      <w:bookmarkEnd w:id="325"/>
      <w:r>
        <w:rPr/>
        <w:t>5</w:t>
      </w:r>
      <w:r>
        <w:rPr>
          <w:rtl w:val="true"/>
        </w:rPr>
        <w:t xml:space="preserve"> - </w:t>
      </w:r>
      <w:r>
        <w:rPr>
          <w:rtl w:val="true"/>
        </w:rPr>
        <w:t>الاعتزال عن القولين السائدين في ذلك العصر</w:t>
      </w:r>
      <w:bookmarkEnd w:id="326"/>
    </w:p>
    <w:p>
      <w:pPr>
        <w:pStyle w:val="BookText"/>
        <w:rPr/>
      </w:pPr>
      <w:r>
        <w:rPr>
          <w:rFonts w:ascii="Amiri" w:hAnsi="Amiri" w:eastAsia="Amiri" w:cs="Amiri"/>
          <w:color w:val="111111"/>
          <w:sz w:val="28"/>
          <w:sz w:val="28"/>
          <w:szCs w:val="28"/>
          <w:rtl w:val="true"/>
          <w:lang w:bidi="ar-SA"/>
        </w:rPr>
        <w:t xml:space="preserve">و هناك رأي خامس في تسميتهم بالاعتزال يظهر من شيخ المعتزلة 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السبب الّذي له سمّيت المعتزلة بالاعتزال؛ أنّ الاختلاف وقع في أسماء مرتكبي الكبائر من أهل الصلاة، فقالت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كفّار مشركون و هم مع ذلك فسّاق، و قال بعض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مؤمنون لإقرارهم باللّٰه و رسوله و بكتابه و بما جاء به رسوله و إن لم يعملوا به، فاعتزلت المعتزلة جميع ما اختلف فيه هؤلاء و قالوا نأخذ بما اجتمعوا عليه من تسميتهم بالفسق و ندع ما اختلفوا فيه من تسميتهم بالكفر و الإيمان و النفاق و الشرك،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وليّ اللّٰه، و اللّٰه يجب تعظيمه و تكريمه و ليس الفاسق كذلك، و الكافر و المشرك و المنافق يجب قتل بعضهم و أخذ الجزية من بعض، و بعضهم يعبد في السرّ إلهاً غير اللّٰه، و ليس الفاسق بهذه الصفة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من هذه الأحكام، خرج من أن يكون مسمّى بأسماء أهلها و هذا هو القول بالمنزلة بين المنزلتين، أي الفسق منزلة بين الكفر و الإيمان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هذا من البغدادي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منها اتّفاقهم على دعواهم في الفاسق من أُمّة الإسلام بالمنزلة بين المنزلتين، و هي أنّه فاسق لا مؤمن و لا كافر، و لأجل هذا سمّاهم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لاعتزالهم قول الأُمّة بأسرها</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و في الوقت نفسه نقل البغدادي، قصّة اعتزال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الحسن بنحو يوهم كون وجه التسمية هو اعتزال واصل مجلس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ابن المرتضى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ذيل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و أصحابه معتزلة لاعتزالهم كلّ الأقوال المحدّثة و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على من زعم أنّ إطلاق المعتزلة لمخالفتهم الإجماع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يخالفوا الإجماع، بل عملوا بالمجمع عليه في الصدر الأوّل و رفضوا المحدثات المبتدعة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هذا أيضاً من نشوان بن سعيد اليمني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 المعتزلة معتزلة لقولهم بالمنزلة بين المنزلتين، و ذلك أنّ المسلمين اختلفوا في أهل الكبائر فقالت الخوارج</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كفّار مشركون، و قال </w:t>
      </w:r>
      <w:bookmarkStart w:id="327" w:name="pg11536_164056"/>
    </w:p>
    <w:p>
      <w:pPr>
        <w:pStyle w:val="BookText"/>
        <w:rPr/>
      </w:pPr>
      <w:bookmarkEnd w:id="327"/>
      <w:r>
        <w:rPr>
          <w:rFonts w:ascii="Amiri" w:hAnsi="Amiri" w:eastAsia="Amiri" w:cs="Amiri"/>
          <w:color w:val="111111"/>
          <w:sz w:val="28"/>
          <w:sz w:val="28"/>
          <w:szCs w:val="28"/>
          <w:rtl w:val="true"/>
          <w:lang w:bidi="ar-SA"/>
        </w:rPr>
        <w:t>بعض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مؤمنون، 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نسمّيهم بالكفر و لا بالإيمان، و لا نقول إنّهم مشركون و لا مؤمنون بل فسّاق، فاعتزلوا القولين جميعاً و قالوا بالمنزلة بين المنزلتين فسمّوا بالمعتزلة</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3907503_73709187"/>
      <w:bookmarkStart w:id="329" w:name="_Toc119"/>
      <w:bookmarkEnd w:id="328"/>
      <w:r>
        <w:rPr/>
        <w:t>6</w:t>
      </w:r>
      <w:r>
        <w:rPr>
          <w:rtl w:val="true"/>
        </w:rPr>
        <w:t xml:space="preserve"> - </w:t>
      </w:r>
      <w:r>
        <w:rPr>
          <w:rtl w:val="true"/>
        </w:rPr>
        <w:t>جعل الفاسق معتزلاً عن الإيمان و الكفر</w:t>
      </w:r>
      <w:bookmarkEnd w:id="329"/>
    </w:p>
    <w:p>
      <w:pPr>
        <w:pStyle w:val="Heading5"/>
        <w:numPr>
          <w:ilvl w:val="4"/>
          <w:numId w:val="1"/>
        </w:numPr>
        <w:rPr/>
      </w:pPr>
      <w:bookmarkStart w:id="330" w:name="__RefHeading___Toc3907505_73709187"/>
      <w:bookmarkStart w:id="331" w:name="_Toc120"/>
      <w:bookmarkEnd w:id="330"/>
      <w:r>
        <w:rPr>
          <w:rtl w:val="true"/>
        </w:rPr>
        <w:t>اشارة</w:t>
      </w:r>
      <w:bookmarkEnd w:id="331"/>
    </w:p>
    <w:p>
      <w:pPr>
        <w:pStyle w:val="BookText"/>
        <w:rPr/>
      </w:pPr>
      <w:r>
        <w:rPr>
          <w:rFonts w:ascii="Amiri" w:hAnsi="Amiri" w:eastAsia="Amiri" w:cs="Amiri"/>
          <w:color w:val="111111"/>
          <w:sz w:val="28"/>
          <w:sz w:val="28"/>
          <w:szCs w:val="28"/>
          <w:rtl w:val="true"/>
          <w:lang w:bidi="ar-SA"/>
        </w:rPr>
        <w:t>و هذه النظرية غير النظرية الماضية، فإنّ الاعتزال فيها كان وصفاً لنفس المعتزلة فهم اعتزلوا عن جميع ما اختلفت فيه من الآراء و أخذوا بالمتّفق عليه، و لكنّه في هذه النظرية وصف لمورد الخلاف،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فجعلوه معتزلاً عن الإيمان و الكفر، فلا هو مؤمن و لا كافر، و تظهر تلك النظرية من المسعودي في مروجه، قال في بيان الأصل الرابع من الأُصول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القول بالمنزلة بين المنزلتين و هو الأصل الرابع، فهو أنّ الفاسق المرتكب للكبائر ليس بمؤمن و لا كافر، بل يسمّى فاسقاً على حسب ما ورد التوقيف بتسميته و أجمع أهل الصلاة على فسوقه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بهذا الباب سمّيت المعتزلة، و هو الاعتزال، و هو الموصوف بالأسماء و الأحكام مع ما تقدّم من الوعيد في الفاسق من الخلود في النار</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بأبي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p>
    <w:p>
      <w:pPr>
        <w:pStyle w:val="BookText"/>
        <w:rPr/>
      </w:pPr>
      <w:r>
        <w:rPr>
          <w:rFonts w:ascii="Amiri" w:hAnsi="Amiri" w:eastAsia="Amiri" w:cs="Amiri"/>
          <w:color w:val="111111"/>
          <w:sz w:val="28"/>
          <w:sz w:val="28"/>
          <w:szCs w:val="28"/>
          <w:rtl w:val="true"/>
          <w:lang w:bidi="ar-SA"/>
        </w:rPr>
        <w:t>إحدى و ثلاثين و مائة و هو شيخ المعتزلة و قديمها، و أوّل من أظهر القول بالمنزلة بين المنزلتين و هو أنّ الفاسق من أهل الملّة ليس بمؤمن و لا كافر، و به سمّيت المعتزلة و هو الاعتزال</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الدقّة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سمّيت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بعزل الفاسق عن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أنّ وجه التسمية يعود إلى جعل الفاسق منعزلاً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نظريّة سابعة ذكرها أحمد أمين المصري في فجر الإسلام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و لكنّها من الوهن بمكان لم يرتضها هو نفسه في كتبه اللاحقة فلنضرب عنها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خرجنا بهذه النتيجة أنّه لو كان أساس الاعتزال هو واصل بن عطاء أو عمرو بن عبيد، فتسميتهم بالمعتزلة، إمّا لاعتزال المؤسّس عن مجلس البحث أو باعتزاله عن الرأيين السائدين، أو لاعتقادهم بكون الفاسق منعزلاً عن الكفر و الإيمان، و خروج مرتكب الكبيرة عن عداد المؤمنين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أُستاذ واصل كان يذهب إلى أنّه منافق، و أراد بذلك تخفيف أمره بالنسبة إلى الكافر، مع أنّ جزاء المنافق في الآخرة لو لم يكن أشدّ من الكافر ليس بأقلّ منه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أنّ إفاضة الكلام في تحقيق وجه التسمية أزيد من هذا خروج عن وضع الرسالة، فلنرجع إلى سائر أسمائهم</w:t>
      </w:r>
      <w:r>
        <w:rPr>
          <w:rFonts w:eastAsia="Amiri" w:cs="Amiri" w:ascii="Amiri" w:hAnsi="Amiri"/>
          <w:color w:val="111111"/>
          <w:sz w:val="28"/>
          <w:szCs w:val="28"/>
          <w:rtl w:val="true"/>
          <w:lang w:bidi="ar-SA"/>
        </w:rPr>
        <w:t xml:space="preserve">. </w:t>
      </w:r>
      <w:bookmarkStart w:id="332" w:name="pg11536_164058"/>
    </w:p>
    <w:p>
      <w:pPr>
        <w:pStyle w:val="Heading5"/>
        <w:numPr>
          <w:ilvl w:val="4"/>
          <w:numId w:val="1"/>
        </w:numPr>
        <w:rPr/>
      </w:pPr>
      <w:bookmarkStart w:id="333" w:name="__RefHeading___Toc3907507_73709187"/>
      <w:bookmarkStart w:id="334" w:name="_Toc121"/>
      <w:bookmarkEnd w:id="332"/>
      <w:bookmarkEnd w:id="333"/>
      <w:r>
        <w:rPr>
          <w:rtl w:val="true"/>
        </w:rPr>
        <w:t>سائر ألقاب المعتزلة</w:t>
      </w:r>
      <w:bookmarkEnd w:id="334"/>
    </w:p>
    <w:p>
      <w:pPr>
        <w:pStyle w:val="BookText"/>
        <w:rPr/>
      </w:pPr>
      <w:r>
        <w:rPr>
          <w:rFonts w:ascii="Amiri" w:hAnsi="Amiri" w:eastAsia="Amiri" w:cs="Amiri"/>
          <w:color w:val="111111"/>
          <w:sz w:val="28"/>
          <w:sz w:val="28"/>
          <w:szCs w:val="28"/>
          <w:rtl w:val="true"/>
          <w:lang w:bidi="ar-SA"/>
        </w:rPr>
        <w:t>فقد ذكر ابن المرتضى لهم أسماء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بعدل اللّٰه و حكمته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لقولهم لا قديم مع اللّٰه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هذا يطلق على هذه الطائفة أهل العدل و التوحيد، و لعلّهم يعنون بالعدل مضافاً إلى ما ذكر ابن المرتضى نفي القدر بالمعنى المستلزم للجبر، أو يريدون بذلك نفي كونه سبحانه خالقاً لأفعال العباد، إذ فيه الظلم و القبح و الجور، و أمّا التوحيد فإنّهم يريدون منه نفي الصفات الزائدة القديمة، فإنّ في الاعتقاد بزيادة الصفات اعتراف بقدماء معه سبحانه، و تنزيهه سبحانه عن التشبيه و التجسيم، و سيأتي أنّ هذين الأصلين اللّذين يعدّان الركنين الأساسيين لمدرسة الاعتزال مأخوذان من خطب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يعتبرون أنفسهم أهل الحقّ، و الفرقة الناجية من ثلاث و سبعين فرقة، و قد فرغنا الكلام عن هذا الحديث و تعيين الفرقة الناجية في الجزء الأوّل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المعتزلة في الكتب الكلاميّة بالقدريّة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المعتزلة </w:t>
      </w:r>
    </w:p>
    <w:p>
      <w:pPr>
        <w:pStyle w:val="BookText"/>
        <w:rPr/>
      </w:pPr>
      <w:r>
        <w:rPr>
          <w:rFonts w:ascii="Amiri" w:hAnsi="Amiri" w:eastAsia="Amiri" w:cs="Amiri"/>
          <w:color w:val="111111"/>
          <w:sz w:val="28"/>
          <w:sz w:val="28"/>
          <w:szCs w:val="28"/>
          <w:rtl w:val="true"/>
          <w:lang w:bidi="ar-SA"/>
        </w:rPr>
        <w:t>يطلقونها على خصمائهم، و ذلك لما 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القدريّة مجوس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القدريّة منسوبة إلى القدر عِدْل القضاء، فتنطبق على خصماء المعتزلة القائلين بالقدر السالب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قلنا بأنّها منسوبة إلى القدرة، أي القائلين بتأثير قدرة الإنسان في فعله و اختياره و تمكّنه في إيجاده، فتنطبق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 الخصماء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المعتزلة لقولهم بتأثير قدرة الإنسان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طال الكلام بين المتكلّمين في تفسير الحديث و ذكر كلّ طائفة وجهاً لانطباقه على خصمها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 أنّ المتبادر من الحديث هو القدريّة المنسوبة إلى القدر الّذي هو بمعنى التقدير، و إطلاقه على مثبت القدر كأهل الحديث و الحنابلة متعيّن، إذ لا يطلق الشيء و يراد منه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المراد منه المعتزلة يجب أن يراد منها نفي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عن زيد بن عليّ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أبو الخطّاب عمّا يذهب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أبرأ من القدريّة الّذين حملوا ذنوبهم على اللّٰه و من المرجئة الّذين أطمعوا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لقد أوضحنا المراد من الحديث في محلّه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يدعون بالثنوية و لعلّ وجهه ما يتراءى من </w:t>
      </w:r>
    </w:p>
    <w:p>
      <w:pPr>
        <w:pStyle w:val="BookText"/>
        <w:rPr/>
      </w:pPr>
      <w:r>
        <w:rPr>
          <w:rFonts w:ascii="Amiri" w:hAnsi="Amiri" w:eastAsia="Amiri" w:cs="Amiri"/>
          <w:color w:val="111111"/>
          <w:sz w:val="28"/>
          <w:sz w:val="28"/>
          <w:szCs w:val="28"/>
          <w:rtl w:val="true"/>
          <w:lang w:bidi="ar-SA"/>
        </w:rPr>
        <w:t>بعضهم لقولهم الخير من اللّٰه و الشرّ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لتسميتهم بالثنويّة، أو المجوسيّة، و هو أنّ المعتزلة قالت باستقلال الإنسان في إيجاد فعله، بل نقل عن بعضهم القول بحاجة الموجود في حدوثه إلى الواجب دون بقائه و استمراره، فصيّروا الإنسان كأنّه مستقلّ في فعله، بل صيّروا الممكنات كواجب غنىٍّ عن العلّة في بقائه و استمراره، دون حدوثه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النسبة غير صحيحة، إلّا إلى بعض المتأخّرين من المعتزلة، و لم يظهر لنا أنّ المتقدّمين منهم كانوا على هذا الرأي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أُطلقت عليهم هذه الكلمة لقولهم بالوعد و الوعيد، و أنّ اللّٰه صادق في وعده، كما هو صادق في وعيده و أنّه لا يغفر الذنوب إلّا بعد التوبة، فلو مات بدونها يكون معذّباً قطعاً و لا يغفر له جزماً و يخلّد في النار و يعذّب عذاباً أضعف من عذاب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تعطيل ذاته سبحانه عن الصفات الذاتية، و هذا ألصق بالجهميّة الّذين يعدّون في الرعيل الأوّل في نفي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المعتزلة فلهم في الصفات مذهبان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بالنيابة، أي خلوّ الذات عن الصفات و لكن تنوب الذات مكان الصفات في الآثار المطلوبة منها، و قد اشتهر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الغايات و اترك المبادئ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مخالف لكتاب اللّٰه و السنّة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النقل يدلّ بوضوح على اتّصافه سبحانه بالصفات الكماليّة، و أمّا العقل، فحدث عنه و لا </w:t>
      </w:r>
    </w:p>
    <w:p>
      <w:pPr>
        <w:pStyle w:val="BookText"/>
        <w:rPr/>
      </w:pPr>
      <w:r>
        <w:rPr>
          <w:rFonts w:ascii="Amiri" w:hAnsi="Amiri" w:eastAsia="Amiri" w:cs="Amiri"/>
          <w:color w:val="111111"/>
          <w:sz w:val="28"/>
          <w:sz w:val="28"/>
          <w:szCs w:val="28"/>
          <w:rtl w:val="true"/>
          <w:lang w:bidi="ar-SA"/>
        </w:rPr>
        <w:t>حرج، لأنّ الكمال يساوق الوجود و كلّما كان الوجود أعلى و أشرف يكون الكمالات فيه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عينيّة الصفات مع الذات و اشتمالها على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يكون ذات و صفة، بل الذات بلغت في الكمال إلى درجة صار نفس العلم و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الظاهر من خطب الإمام أمير المؤمنين عليه السلام، و تعضده البراهين العقليّة و إطلاق المعطّلة على هذه الطائفة لا يخلو من تجنٍّ و 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بهذا الاسم أهل الحديث و الحنابلة، فإنّهم المعطِّلة حقيقة، إذ عطّلوا العقول عن معرفة اللّٰه و أسمائه و صفاته و أفعاله، و منعوا الخوض في المسائل العقليّة، و كأنّ العقل خلق لا لغاية إلّا للسعي وراء الحياة الماديّة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الجهميّة</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 هذا اللّقب منحه أحمد بن حنبل لهم، فكلّما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الجهميّة، أو يصف القائل بأنّه جهمي يريد به المعتزلة لما وجد من موافقتهم الجهميّة في بعض المسائل، و إن كانت الجهمية متقدّمة على المعتزلة، لكنّها على زعمهم مهّدت السبيل للمعتزلة، مع أنّك عرفت أنّ واصلاً أرسل أحد تلاميذه إلى معارضته و أنّهم لا يعدّون الجهم من رجالهم أو طبقاتهم لاختلافهم معه في بعض المسائل الجوهرية، فإنّ الجهم جبريّ </w:t>
      </w:r>
    </w:p>
    <w:p>
      <w:pPr>
        <w:pStyle w:val="BookText"/>
        <w:rPr/>
      </w:pPr>
      <w:r>
        <w:rPr>
          <w:rFonts w:ascii="Amiri" w:hAnsi="Amiri" w:eastAsia="Amiri" w:cs="Amiri"/>
          <w:color w:val="111111"/>
          <w:sz w:val="28"/>
          <w:sz w:val="28"/>
          <w:szCs w:val="28"/>
          <w:rtl w:val="true"/>
          <w:lang w:bidi="ar-SA"/>
        </w:rPr>
        <w:t xml:space="preserve">و المعتزلة قائلة بالاختيار، و لعلّ بعض هذه التسميات من مصاديق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القبريّة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الالقاب ذكرها المقريزي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يوصفون بالمفنية لما نسب إلى أبي الهذيل من فناء حركات أهل الجنّة و النار، و اللّفظيّة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القرآن مخلوقة، و القبريّة، لإنكارهم عذاب القبر</w:t>
      </w:r>
      <w:r>
        <w:rPr>
          <w:rFonts w:eastAsia="Amiri" w:cs="Amiri" w:ascii="Amiri" w:hAnsi="Amiri"/>
          <w:color w:val="111111"/>
          <w:sz w:val="28"/>
          <w:szCs w:val="28"/>
          <w:rtl w:val="true"/>
          <w:lang w:bidi="ar-SA"/>
        </w:rPr>
        <w:t>.</w:t>
      </w:r>
      <w:r>
        <w:rPr>
          <w:rStyle w:val="FootnoteAnchor"/>
          <w:rtl w:val="true"/>
        </w:rPr>
        <w:footnoteReference w:id="422"/>
      </w:r>
      <w:bookmarkStart w:id="335" w:name="pg11536_164063"/>
    </w:p>
    <w:p>
      <w:pPr>
        <w:pStyle w:val="Heading3"/>
        <w:numPr>
          <w:ilvl w:val="2"/>
          <w:numId w:val="1"/>
        </w:numPr>
        <w:rPr/>
      </w:pPr>
      <w:bookmarkStart w:id="336" w:name="__RefHeading___Toc3907509_73709187"/>
      <w:bookmarkStart w:id="337" w:name="_Toc122"/>
      <w:bookmarkEnd w:id="335"/>
      <w:bookmarkEnd w:id="336"/>
      <w:r>
        <w:rPr>
          <w:rtl w:val="true"/>
        </w:rPr>
        <w:t>الفصل الثاني</w:t>
      </w:r>
      <w:r>
        <w:rPr>
          <w:rtl w:val="true"/>
        </w:rPr>
        <w:t xml:space="preserve">: </w:t>
      </w:r>
      <w:r>
        <w:rPr>
          <w:rtl w:val="true"/>
        </w:rPr>
        <w:t>المبادئ الفكرية للاعتزال و خطب الإمام عليّ عليه السلام</w:t>
      </w:r>
      <w:bookmarkEnd w:id="337"/>
    </w:p>
    <w:p>
      <w:pPr>
        <w:pStyle w:val="BookText"/>
        <w:rPr/>
      </w:pPr>
      <w:r>
        <w:rPr>
          <w:rFonts w:ascii="Amiri" w:hAnsi="Amiri" w:eastAsia="Amiri" w:cs="Amiri"/>
          <w:color w:val="111111"/>
          <w:sz w:val="28"/>
          <w:sz w:val="28"/>
          <w:szCs w:val="28"/>
          <w:rtl w:val="true"/>
          <w:lang w:bidi="ar-SA"/>
        </w:rPr>
        <w:t xml:space="preserve">قد تعرّفت فيما مضى على تأريخ ظهور المعتزلة و أنّ الاعتزال بعنوان المنهج الفكري العلمي لا السياسي يرجع إلى أوائل القرن الثاني، و ذلك عند ما اعتزل واصل بن عطاء عن حلقة الحسن البصري و شكّل حلقة دراسية فكريّة في مقابل أُستاذه، و القرائن القطعيّة تؤكّد ظهوره في أوائل ذلك القرن، فإنّ واصل بن عطاء من مواليد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قد توفّي أُستاذه الحسن البصري عام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 ليس من البعيد أن يشكّل حلقة دراسية قابلة للذكر و له من العمر دون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يؤكّد على أنّ الاعتزال ظهر في أوائل القرن الثاني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القول بالمنزلة بين المنزلتين و إن كان يعدُّ منطلق الاعتزال، و مغرس بذره، و لكن حقيقة الاعتزال لا تقوم بهذا الأصل، و لا يعدّ الدرجة </w:t>
      </w:r>
    </w:p>
    <w:p>
      <w:pPr>
        <w:pStyle w:val="BookText"/>
        <w:rPr/>
      </w:pPr>
      <w:r>
        <w:rPr>
          <w:rFonts w:ascii="Amiri" w:hAnsi="Amiri" w:eastAsia="Amiri" w:cs="Amiri"/>
          <w:color w:val="111111"/>
          <w:sz w:val="28"/>
          <w:sz w:val="28"/>
          <w:szCs w:val="28"/>
          <w:rtl w:val="true"/>
          <w:lang w:bidi="ar-SA"/>
        </w:rPr>
        <w:t>الأُولى من أُصوله، فإنّ الأصلين التوحيد و العدل يعدّان حجر الأساس لهذا المنهج، و سائر الأُصول في الدرجة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هذا يقف القارئ بفضل النصوص الآتية على أنّ الاعتزال أخذ ذينك الأصلين من البيت العلويّ عامّة، و من خطب الإمام عليّ عليه السلام و كلماته خاصّة، و لأجل ذلك يجب أن يعترف بأنّ الاعتزال أخذ الأُصول الأصليّة لمنهجه من بيت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هذا الاستنتاج، نضع أمامه شواهد من التأريخ و الاعترافات الّتي أجهر بها شيوخ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هو الكعبي إمام المعتزلة في أوائل القرن الرابع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المعتزلة يقال إنّ لها و لمذهبها إسناداً تتّصل بالنبيّ و ليس لأحد من فرق الأُمّة مثلها، و ليس يمكن لخصومهم دفعهم عنه، و هو أنّ خصومهم يقرّون بأنّ مذهبهم يسند إلى واصل بن عطاء، و أنّ واصلاً يسند إلى محمّد بن عليّ بن أبي طالب و ابنه أبي هاشم عبد اللّه بن محمد بن علي، و أنّ محمّداً أخذ عن أبيه عليّ و أنّ علياً عن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واصل بن عطاء من أهل المدينة ربّاه محمّد بن عليّ بن أبي طالب و علّمه، و كان مع ابنه أبي هاشم عبد اللّه بن محمّد في الكتاب، ثمّ صحبه بعد موت أبيه صحبة طويلة، و حكي عن بعض السلف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علم محمّد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ذلك فانظر إلى أثره </w:t>
      </w:r>
    </w:p>
    <w:p>
      <w:pPr>
        <w:pStyle w:val="BookText"/>
        <w:rPr/>
      </w:pPr>
      <w:r>
        <w:rPr>
          <w:rFonts w:ascii="Amiri" w:hAnsi="Amiri" w:eastAsia="Amiri" w:cs="Amiri"/>
          <w:color w:val="111111"/>
          <w:sz w:val="28"/>
          <w:sz w:val="28"/>
          <w:szCs w:val="28"/>
          <w:rtl w:val="true"/>
          <w:lang w:bidi="ar-SA"/>
        </w:rPr>
        <w:t>في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واصل إلى البصرة فلزم الحسن ابن أبي الحسن</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واصل العلم عن محمّد بن الحنفيّة و كان خالاً لأبي هاشم و كان يلازم مجلس الحسن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القاضي لا ينطبق على الحقيقة، فإنّ واصل بن عطاء الغزّال ولد بالمدينة سنة ثمانين، و قد مات محمّد بن الحنفيّة عام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فلا يصحّ أخذ العلم منه، و الصحيح أن يقال أخذ واصل العلم من أبي هاشم بن محمّد بن الحنفيّة، و قد نقل المحقّق أنّ في حاشية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ما في عبارته التالية،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الهذيل قد أخذ هذا العلم عن عثمان الطويل، و أخذ هو عن واصل بن عطاء و عمرو بن عبيد، و أخذ واصل و عمرو عن أبي هاشم بن محمّد بن الحنفيّة، و أخذ أبو هاشم عن أبيه محمّد بن الحنفيّة، و أخذ محمّد عن أبيه عليّ بن أبي طالب عليه السلام و أخذ عليّ عن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تنبّه الشريف المرتضى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أبو الحسين الخيّاط أنّ واصلاً كان من أهل مدينة الرسول صلى الله عليه و آله و سلم و مولده سنة ثمانين و مات سنة إحدى و ثلاثين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واصل ممّن لقى أبا هاشم عبد اللّه بن محمّد بن </w:t>
      </w:r>
    </w:p>
    <w:p>
      <w:pPr>
        <w:pStyle w:val="BookText"/>
        <w:rPr/>
      </w:pPr>
      <w:r>
        <w:rPr>
          <w:rFonts w:ascii="Amiri" w:hAnsi="Amiri" w:eastAsia="Amiri" w:cs="Amiri"/>
          <w:color w:val="111111"/>
          <w:sz w:val="28"/>
          <w:sz w:val="28"/>
          <w:szCs w:val="28"/>
          <w:rtl w:val="true"/>
          <w:lang w:bidi="ar-SA"/>
        </w:rPr>
        <w:t>الحنفيّة و صحبه، و أخذ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لقى أباه محمّداً و ذلك غلط، لأنّ محمّداً توفّي سنة ثمانين أو إحدى و ثمانين و واصل ولد في سنة ثمانين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القاضي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أبو هاشم عبد اللّه بن محمّد بن عليّ، فلو لم يظهر علمه و فضله إلّا بما ظهر عن واصل بن عطاء لكفى، و كان يأخذ العلم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واصل بما أظهر بمنزلة كتاب مصنّفه أبو هاشم، و ذكر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أخوه، فإنّ غيلان يقال إنّه أخذ العلم من الحسن بن محمّد بن الحنفيّة أخي أبي هاشم</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أخذ واصل عن أبي هاشم عبد اللّه بن محمّد بن الحنفيّة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سند المعتزلة لمذهبهم أوضح من الفلق، إذ يتّصل إلى واصل و عمرو اتّصالاً شاهراً ظاهراً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أخذا عن محمّد بن علي بن أبي طالب و ابنه أبي هاشم عبد اللّه بن محمد، و محمّد هو الذي ربّى واصلاً و علّمه حتّى تخرّج و استحكم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أخذ عن أبيه عليّ بن أبي طالب عليه السلام عن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أولاد عليّ عليه السلام أبو هاشم عبد اللّه بن محمّد بن الحنفيّة و هو الّذي أخذ عنه واصل و كان معه في المكتب فأخذ عنه و عن أبيه، و كذلك أخوه الحسن بن محمّد أُستاذ غيلان و يميل إلى الإرجاء</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أشرف العلوم هو العلم الإلهي، لأنّ شرف العلم بشرف المعلوم و معلومه أشرف الموجودات، فكان هو أشرف العلوم و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 و عنه نقل، و منه ابتدأ و إليه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أهل التوحيد و العدل و أرباب النظر، و منهم تعلّم الناس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تلامذته و أصحابه، لأنّ كبيرهم واصل بن عطاء تلميذ أبي هاشم عبد اللّه بن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هاشم تلميذ أبيه، و أبوه تلميذه عليه السلام</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المرتضى في 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أُصول التوحيد و العدل مأخوذة من كلام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خطبه، فإنّها تتضمّن من ذلك ما لا زيادة عليه و لا غاية وراءه، و من تأمّل المأثور في ذلك من كلامه، علم أنّ جميع ما أسهب المتكلّمون من بعد في تصنيفه و جمعه، إنّما هو تفصيل لتلك الجمل و شرح لتلك الأُصول، و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أبنائه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يكاد لا يحاط به كثرة، و من أحبّ الوقوف عليه و طلبه </w:t>
      </w:r>
    </w:p>
    <w:p>
      <w:pPr>
        <w:pStyle w:val="BookText"/>
        <w:rPr/>
      </w:pPr>
      <w:r>
        <w:rPr>
          <w:rFonts w:ascii="Amiri" w:hAnsi="Amiri" w:eastAsia="Amiri" w:cs="Amiri"/>
          <w:color w:val="111111"/>
          <w:sz w:val="28"/>
          <w:sz w:val="28"/>
          <w:szCs w:val="28"/>
          <w:rtl w:val="true"/>
          <w:lang w:bidi="ar-SA"/>
        </w:rPr>
        <w:t>من مظانّه أصاب منه الكثير الغزير الّذي في بعضه شفاء للصدور السقيمة، و نتاج للعقول العقيمة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الكبيرة لا يكون مؤمناً و لا كافراً و لا منافقاً بل يكون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واصل بن عطاء عن أبي هاشم عبد اللّه بن محمّد بن الحنفيّة و كان من أصحابه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الدكتور حسن إبراهيم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نسبت المعتزلة عقائدها إلى عليّ بن أبي طالب، و قلّما نجد كتاباً من كتبهم و على الأخصّ كتب المتأخّرين منهم إلّا ادّعوا فيه أنّهُ ليس ثمّة مؤسّس لمذهب الاعتزال و علم الكلام غير الإمام عليّ عليه السلام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محقّق كتاب شرح الأُصول الخمسة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يؤكّد المعتزلة أنّهم تلقّوا هذه الأُصول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يذكرون سندهم في ذلك و نحن نثبت فيما يلي هذا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على أوّل ورقة من شرح الأُصول</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الفرزاذي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هذه الأُصول من الفقيه الإمام الأوحد نجم الدين أحمد بن أبي الحسين الكني، و هو عن الفقيه الإمام الأجلّ محمّد بن أحمد الفرزاذي، </w:t>
      </w:r>
    </w:p>
    <w:p>
      <w:pPr>
        <w:pStyle w:val="BookText"/>
        <w:rPr/>
      </w:pPr>
      <w:r>
        <w:rPr>
          <w:rFonts w:ascii="Amiri" w:hAnsi="Amiri" w:eastAsia="Amiri" w:cs="Amiri"/>
          <w:color w:val="111111"/>
          <w:sz w:val="28"/>
          <w:sz w:val="28"/>
          <w:szCs w:val="28"/>
          <w:rtl w:val="true"/>
          <w:lang w:bidi="ar-SA"/>
        </w:rPr>
        <w:t xml:space="preserve">و هو عن عمّه الشيخ السعيد البارع إسماعيل بن عليّ الفرزاذي، و هو عن محمّد بن مزدك، و هو عن أبي محمّد بن متّويه، و هو عن الشيخ أبي رشيد النيسابوري، و هو عن قاضي القضاة عماد الدين عبد الجبار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الشيخ المرشد أبي عبد اللّه البصري، و هو عن الشيخ أبي علي ابن خلّاد، و هو عن الشيخ أبي هاشم، و هو عن أبيه الشيخ أبي علي الجبائي، و هو عن أبي يعقوب الشحّام، و هو عن عثمان الطويل، و هو عن الشيخ أبي الهذيل، و هو عن واصل بن عطاء، و هو عن أبي هاشم</w:t>
      </w:r>
      <w:r>
        <w:rPr>
          <w:rStyle w:val="FootnoteAnchor"/>
          <w:rtl w:val="true"/>
        </w:rPr>
        <w:footnoteReference w:id="436"/>
      </w:r>
      <w:r>
        <w:rPr>
          <w:rFonts w:ascii="Amiri" w:hAnsi="Amiri" w:eastAsia="Amiri" w:cs="Amiri"/>
          <w:color w:val="111111"/>
          <w:sz w:val="28"/>
          <w:sz w:val="28"/>
          <w:szCs w:val="28"/>
          <w:rtl w:val="true"/>
          <w:lang w:bidi="ar-SA"/>
        </w:rPr>
        <w:t xml:space="preserve">محمّد بن الحنفية، و هو عن أبيه أمير المؤمنين عليّ عليه السلام، و هو عن خير الأوّلين و الآخرين و خاتم النبيّين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 جبرئيل عليه السلام، و هو عن اللّٰه تعالى و ليس لأحد من أرباب المذاهب مثل هذا الإسناد</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 فبعد هذه التصريحات يبقى شكّ في أنّ المعتزلة في أُصولهم عالة لعلوم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التصريح من القاضي عبد الجبّار أنّ أُصول الاعتزال ترجع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أمّا الأُصول الثلاثة فهي داخلة تحت الأصلين، و قد عرفت أنّ المعتزلة أخذت الأصلين من أئمّة أهل البيت عليهم السلام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أبو سعيد بن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لمذهب المعتزلة أسانيد تتصل بالنبي صلى الله عليه و آله و سلم و ليس لأحد من فرق الأُمّة مثلهم، و لا </w:t>
      </w:r>
    </w:p>
    <w:p>
      <w:pPr>
        <w:pStyle w:val="BookText"/>
        <w:rPr/>
      </w:pPr>
      <w:r>
        <w:rPr>
          <w:rFonts w:ascii="Amiri" w:hAnsi="Amiri" w:eastAsia="Amiri" w:cs="Amiri"/>
          <w:color w:val="111111"/>
          <w:sz w:val="28"/>
          <w:sz w:val="28"/>
          <w:szCs w:val="28"/>
          <w:rtl w:val="true"/>
          <w:lang w:bidi="ar-SA"/>
        </w:rPr>
        <w:t xml:space="preserve">يمكن لخصومهم دفعه، و ذلك ان مذهبهم مستند إلى واصل بن عطاء، و أنّ واصلاً يستند إلى محمد بن علي بن أبي طالب و هو ابن الحنفية، و إلى ابنه أبي هاشم عبد اللّٰه بن محمد بن علي، و أنّ محمداً يسند إلى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علياً يسند إلى النبي صلى الله عليه و آله و سلم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مذهبهم أصح أسانيد أهل القبلة إذ يتصل إلى واصل 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اللّٰه بن محمد، عن أبيه محمد بن علي بن الحنفية، عن أبيه علي عليه السلام، عنه صلى الله عليه و آله و سلم، و ما ينطق عن الهوى</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ذَكَرَهُ</w:t>
      </w:r>
      <w:r>
        <w:rPr>
          <w:rFonts w:eastAsia="Amiri" w:cs="Amiri" w:ascii="Amiri" w:hAnsi="Amiri"/>
          <w:color w:val="111111"/>
          <w:sz w:val="28"/>
          <w:szCs w:val="28"/>
          <w:rtl w:val="true"/>
          <w:lang w:bidi="ar-SA"/>
        </w:rPr>
        <w:t xml:space="preserve">». </w:t>
      </w:r>
      <w:bookmarkStart w:id="338" w:name="pg11536_164071"/>
    </w:p>
    <w:p>
      <w:pPr>
        <w:pStyle w:val="Heading3"/>
        <w:numPr>
          <w:ilvl w:val="2"/>
          <w:numId w:val="1"/>
        </w:numPr>
        <w:rPr/>
      </w:pPr>
      <w:bookmarkStart w:id="339" w:name="__RefHeading___Toc3907511_73709187"/>
      <w:bookmarkStart w:id="340" w:name="_Toc123"/>
      <w:bookmarkEnd w:id="338"/>
      <w:bookmarkEnd w:id="339"/>
      <w:r>
        <w:rPr>
          <w:rtl w:val="true"/>
        </w:rPr>
        <w:t>الفصل الثالث</w:t>
      </w:r>
      <w:r>
        <w:rPr>
          <w:rtl w:val="true"/>
        </w:rPr>
        <w:t xml:space="preserve">: </w:t>
      </w:r>
      <w:r>
        <w:rPr>
          <w:rtl w:val="true"/>
        </w:rPr>
        <w:t>الشيعة و المعتزلة أيّتهما أصل للآخر</w:t>
      </w:r>
      <w:bookmarkEnd w:id="340"/>
    </w:p>
    <w:p>
      <w:pPr>
        <w:pStyle w:val="Heading4"/>
        <w:numPr>
          <w:ilvl w:val="3"/>
          <w:numId w:val="1"/>
        </w:numPr>
        <w:rPr/>
      </w:pPr>
      <w:bookmarkStart w:id="341" w:name="__RefHeading___Toc3907513_73709187"/>
      <w:bookmarkStart w:id="342" w:name="_Toc124"/>
      <w:bookmarkEnd w:id="341"/>
      <w:r>
        <w:rPr>
          <w:rtl w:val="true"/>
        </w:rPr>
        <w:t>اشارة</w:t>
      </w:r>
      <w:bookmarkEnd w:id="342"/>
    </w:p>
    <w:p>
      <w:pPr>
        <w:pStyle w:val="BookText"/>
        <w:rPr/>
      </w:pPr>
      <w:r>
        <w:rPr>
          <w:rFonts w:ascii="Amiri" w:hAnsi="Amiri" w:eastAsia="Amiri" w:cs="Amiri"/>
          <w:color w:val="111111"/>
          <w:sz w:val="28"/>
          <w:sz w:val="28"/>
          <w:szCs w:val="28"/>
          <w:rtl w:val="true"/>
          <w:lang w:bidi="ar-SA"/>
        </w:rPr>
        <w:t>إنّ بعض المتسرِّعين من الكتّاب المتأخّرين كأحمد أمين المصريّ و من حذا حذوه، يصرّون على أنّ الشيعة أخذت منهجها الفكري في الأُصول و العقائد من المعتزلة، لما رأوا من وحدة العقيدة في القول بالتوحيد و العدل، و إنكار الرؤية و إثبات الحسن و القبح العقليين، و قدرة العبد و اختياره في أفعاله إلى غير ذلك من المبادئ المشتركة بين الطّائفتين</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3907515_73709187"/>
      <w:bookmarkStart w:id="344" w:name="_Toc125"/>
      <w:bookmarkEnd w:id="343"/>
      <w:r>
        <w:rPr>
          <w:rtl w:val="true"/>
        </w:rPr>
        <w:t>نظريّة أحمد أمين و مناقشتها</w:t>
      </w:r>
      <w:bookmarkEnd w:id="344"/>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قرأت كتاب الياقوت لأبي إسحاق إبراهيم من قدماء متكلّمي الشيعة الإماميّة، فكنت كأنّي أقرأ كتاباً من كتب أُصول المعتزلة إلّا في مسائل معدودة كالفصل الأخير في الإمامة، و لكن أيّهما أخذ من الآخر؟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الشيعة فيزعم أنّ المعتزلة أخذوا عنهم، و أنّ واصل بن عطاء تتلمذ على جعفر الصادق عليه السلام، و إنّي أُرجّح أنّ الشيعة أخذوا من المعتزلة </w:t>
      </w:r>
    </w:p>
    <w:p>
      <w:pPr>
        <w:pStyle w:val="BookText"/>
        <w:rPr/>
      </w:pPr>
      <w:r>
        <w:rPr>
          <w:rFonts w:ascii="Amiri" w:hAnsi="Amiri" w:eastAsia="Amiri" w:cs="Amiri"/>
          <w:color w:val="111111"/>
          <w:sz w:val="28"/>
          <w:sz w:val="28"/>
          <w:szCs w:val="28"/>
          <w:rtl w:val="true"/>
          <w:lang w:bidi="ar-SA"/>
        </w:rPr>
        <w:t>تعاليمهم، و نشوء مذهب الاعتزال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أحمد أمين على ما يرتئيه بأنّ زيد بن عليّ زعيم الفرقة الشيعيّة الزيديّة تتلمذ لواصل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جعفر الصادق عليه السلام يتّصل بعمّه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أبو الفرج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جعفر بن محمّد يمسك لزيد بن عليّ بالركاب، و يسوي ثيابه على السرج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صحّ ما ذكره الشهرستاني و غيره من تتلمذ زيد لواصل، فلا يعقل كثيراً أن يتتلمذ واصل لجعفر، و كثير من المعتزلة كان يتشيّع، فالظّاهر أنّه عن طريق هؤلاء تسرّبت اُصول المعتزلة إلى الشيعة</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الكاتب المصري اجتهاد في مقابل تنصيص أئمّة المعتزلة أنفسهم بأنّهم أخذوا أُصولهم من أبي هاشم ابن محمّد الحنفيّة، و أخذ هو عن أبيه محمّد، و هو أخذ من عليّ بن أبي طالب، و مع هذا التنصيص من نفس المعتزلة فما معنى هذا الاجتهاد؟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ابن المرتضى يعدّ عليّاً من الطبقة الأُولى للمعتزلة، كما يعدّ الحسنين اللّذين اشتهر منهما القول بالتوحيد و العدل من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يذكر عدّة من علماء أهل البيت كالنفس الزكيّة و غيره من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 كتابه هذا كلمات أئمّة أهل البيت و علمائهم في الأُصول و العقائد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 هذا كيف يصحّ أن تكون الشيعة عالة على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ذكره القاضي عبد الجبّار المعتزلي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هذا التنصيص منهم يصحّ 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استند إليه أحمد أمين، فالحقّ أنّه لم يثبت أوّلاً تتلمذ واصل للإمام الصادق عليه السلام حتّى يثبت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كان يمسك الركاب لتلميذ واصل و هو زيد، و لم يدّع أحد من المحقّقين تتلمذه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يثبت تتلمذ زيد بن عليّ لواصل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سبر تأريخ أئمّة أهل البيت و ذرّيتهم الطيّبة وقف على أنّهم لم يدقّوا باب أحد من الناس، بل تلقّوا ما تلقّوه عن نفس الأئمّة، على أنّ زيد بن عليّ قد صلب عام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العمر في ذلك الوقت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مواليد عام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و كان واصل من مواليد عام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فمن البعيد أن يكون وليد البيت العلويّ تلميذاً لمن هو أصغر منه سنّاً أو مثله، و قد عدّه الرجاليون من أصحاب أبيه عليّ السجاد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أخيه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الصادق عليه السلام الّذي استشهد زيد في حياته</w:t>
      </w:r>
      <w:r>
        <w:rPr>
          <w:rFonts w:eastAsia="Amiri" w:cs="Amiri" w:ascii="Amiri" w:hAnsi="Amiri"/>
          <w:color w:val="111111"/>
          <w:sz w:val="28"/>
          <w:szCs w:val="28"/>
          <w:rtl w:val="true"/>
          <w:lang w:bidi="ar-SA"/>
        </w:rPr>
        <w:t xml:space="preserve">. </w:t>
      </w:r>
      <w:bookmarkStart w:id="345" w:name="pg11536_164074"/>
    </w:p>
    <w:p>
      <w:pPr>
        <w:pStyle w:val="Heading4"/>
        <w:numPr>
          <w:ilvl w:val="3"/>
          <w:numId w:val="1"/>
        </w:numPr>
        <w:rPr/>
      </w:pPr>
      <w:bookmarkStart w:id="346" w:name="__RefHeading___Toc3907517_73709187"/>
      <w:bookmarkStart w:id="347" w:name="_Toc126"/>
      <w:bookmarkEnd w:id="345"/>
      <w:bookmarkEnd w:id="346"/>
      <w:r>
        <w:rPr>
          <w:rtl w:val="true"/>
        </w:rPr>
        <w:t>نظريّة بعض المستشرقين و مناقشتها</w:t>
      </w:r>
      <w:bookmarkEnd w:id="347"/>
    </w:p>
    <w:p>
      <w:pPr>
        <w:pStyle w:val="Heading5"/>
        <w:numPr>
          <w:ilvl w:val="4"/>
          <w:numId w:val="1"/>
        </w:numPr>
        <w:rPr/>
      </w:pPr>
      <w:bookmarkStart w:id="348" w:name="__RefHeading___Toc3907519_73709187"/>
      <w:bookmarkStart w:id="349" w:name="_Toc127"/>
      <w:bookmarkEnd w:id="348"/>
      <w:r>
        <w:rPr>
          <w:rtl w:val="true"/>
        </w:rPr>
        <w:t>اشارة</w:t>
      </w:r>
      <w:bookmarkEnd w:id="349"/>
    </w:p>
    <w:p>
      <w:pPr>
        <w:pStyle w:val="BookText"/>
        <w:rPr/>
      </w:pPr>
      <w:r>
        <w:rPr>
          <w:rFonts w:ascii="Amiri" w:hAnsi="Amiri" w:eastAsia="Amiri" w:cs="Amiri"/>
          <w:color w:val="111111"/>
          <w:sz w:val="28"/>
          <w:sz w:val="28"/>
          <w:szCs w:val="28"/>
          <w:rtl w:val="true"/>
          <w:lang w:bidi="ar-SA"/>
        </w:rPr>
        <w:t>و هناك رجال آخرون قد وقعوا في نفس هذه الشبهة، و أرسلوها إرسال المسلّمات، إمّا مجرّدة عن الدليل أو مقرونة بتلفيقات غير منتجة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الطائفة الأُولى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للشيعة حتّى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كلامي خاصّ بهم، فاقتبسوا عن المعتزلة أُصول الكلام و أساليبه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إنّ ابن بابويه أكبر علماء الشيعة في القرن الرابع الهجري اتّبع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علماء المعتزلة الّذين كانوا يبحثون عن علل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من حيث العقيدة و المذهب هم ورثة المعتزلة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يعرب عن قلّة اطّلاع المستشرق على الثقافة الشيعية، و عدم تعرّفه على المتكلمين البارزين فيهم قبل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ذلك مراجعة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تأسيس الشيعة الكرام لعلوم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الصدر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للشيعة متكلّمون بارعون في الجدل و المناظرة في أبواب العقائد في القرون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نأتي بأسماء نماذج من أبرع متكلّمي الشيعة في القرن الثاني، و نترك البحث عن غيرهم من السابقين و اللاحقين إلى محلّه</w:t>
      </w:r>
      <w:r>
        <w:rPr>
          <w:rFonts w:eastAsia="Amiri" w:cs="Amiri" w:ascii="Amiri" w:hAnsi="Amiri"/>
          <w:color w:val="111111"/>
          <w:sz w:val="28"/>
          <w:szCs w:val="28"/>
          <w:rtl w:val="true"/>
          <w:lang w:bidi="ar-SA"/>
        </w:rPr>
        <w:t xml:space="preserve">. </w:t>
      </w:r>
      <w:bookmarkStart w:id="350" w:name="pg11536_164075"/>
    </w:p>
    <w:p>
      <w:pPr>
        <w:pStyle w:val="Heading5"/>
        <w:numPr>
          <w:ilvl w:val="4"/>
          <w:numId w:val="1"/>
        </w:numPr>
        <w:rPr/>
      </w:pPr>
      <w:bookmarkStart w:id="351" w:name="__RefHeading___Toc3907521_73709187"/>
      <w:bookmarkStart w:id="352" w:name="_Toc128"/>
      <w:bookmarkEnd w:id="350"/>
      <w:bookmarkEnd w:id="351"/>
      <w:r>
        <w:rPr/>
        <w:t>1</w:t>
      </w:r>
      <w:r>
        <w:rPr>
          <w:rtl w:val="true"/>
        </w:rPr>
        <w:t xml:space="preserve"> - </w:t>
      </w:r>
      <w:r>
        <w:rPr>
          <w:rtl w:val="true"/>
        </w:rPr>
        <w:t>عيسى بن روضة</w:t>
      </w:r>
      <w:bookmarkEnd w:id="352"/>
    </w:p>
    <w:p>
      <w:pPr>
        <w:pStyle w:val="BookText"/>
        <w:rPr/>
      </w:pPr>
      <w:r>
        <w:rPr>
          <w:rFonts w:ascii="Amiri" w:hAnsi="Amiri" w:eastAsia="Amiri" w:cs="Amiri"/>
          <w:color w:val="111111"/>
          <w:sz w:val="28"/>
          <w:sz w:val="28"/>
          <w:szCs w:val="28"/>
          <w:rtl w:val="true"/>
          <w:lang w:bidi="ar-SA"/>
        </w:rPr>
        <w:t>يعرّفه النجاشي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عيسى بن روضة حاجب المنصور كان متكلّماً جيّد الكلام، و له كتاب في الإمامة و قد وصفه أحمد بن أبي طاهر في كتاب بغداد، و ذكر أنّه رأى الكتاب، و قال بعض أصحابنا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في بعض الكتب أنّ المنصور لما كان بالحيرة تسمّع على عيسى بن روضة و كان مولاه و هو يتكلّم في الإمامة فأُعجب به و استجاد كلامه</w:t>
      </w:r>
      <w:r>
        <w:rPr>
          <w:rFonts w:eastAsia="Amiri" w:cs="Amiri" w:ascii="Amiri" w:hAnsi="Amiri"/>
          <w:color w:val="111111"/>
          <w:sz w:val="28"/>
          <w:szCs w:val="28"/>
          <w:rtl w:val="true"/>
          <w:lang w:bidi="ar-SA"/>
        </w:rPr>
        <w:t>».</w:t>
      </w:r>
      <w:r>
        <w:rPr>
          <w:rStyle w:val="FootnoteAnchor"/>
          <w:rtl w:val="true"/>
        </w:rPr>
        <w:footnoteReference w:id="444"/>
      </w:r>
    </w:p>
    <w:p>
      <w:pPr>
        <w:pStyle w:val="Heading5"/>
        <w:numPr>
          <w:ilvl w:val="4"/>
          <w:numId w:val="1"/>
        </w:numPr>
        <w:rPr/>
      </w:pPr>
      <w:bookmarkStart w:id="353" w:name="__RefHeading___Toc3907523_73709187"/>
      <w:bookmarkStart w:id="354" w:name="_Toc129"/>
      <w:bookmarkEnd w:id="353"/>
      <w:r>
        <w:rPr/>
        <w:t>2</w:t>
      </w:r>
      <w:r>
        <w:rPr>
          <w:rtl w:val="true"/>
        </w:rPr>
        <w:t xml:space="preserve"> - </w:t>
      </w:r>
      <w:r>
        <w:rPr>
          <w:rtl w:val="true"/>
        </w:rPr>
        <w:t>علي بن إسماعيل بن ميثم التمّار البغداديّ‌</w:t>
      </w:r>
      <w:bookmarkEnd w:id="354"/>
    </w:p>
    <w:p>
      <w:pPr>
        <w:pStyle w:val="BookText"/>
        <w:rPr/>
      </w:pPr>
      <w:r>
        <w:rPr>
          <w:rFonts w:ascii="Amiri" w:hAnsi="Amiri" w:eastAsia="Amiri" w:cs="Amiri"/>
          <w:color w:val="111111"/>
          <w:sz w:val="28"/>
          <w:sz w:val="28"/>
          <w:szCs w:val="28"/>
          <w:rtl w:val="true"/>
          <w:lang w:bidi="ar-SA"/>
        </w:rPr>
        <w:t>يقول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تكلّم في مذهب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إسماعيل بن ميثم التمّار، و ميثم من جلّة أصحاب عليّ عليه السلام و لعليّ من الكتب كتاب الإمامة و كتاب الاستحقاق</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سكن البصرة، و كان من وجوه المتكلّمين من أصحابنا، كلّم أبا الهذيل و النظام، له مجالس و كتب منها كتاب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مجالس هشام بن الحكم</w:t>
      </w:r>
      <w:r>
        <w:rPr>
          <w:rFonts w:eastAsia="Amiri" w:cs="Amiri" w:ascii="Amiri" w:hAnsi="Amiri"/>
          <w:color w:val="111111"/>
          <w:sz w:val="28"/>
          <w:szCs w:val="28"/>
          <w:rtl w:val="true"/>
          <w:lang w:bidi="ar-SA"/>
        </w:rPr>
        <w:t>».</w:t>
      </w:r>
      <w:r>
        <w:rPr>
          <w:rStyle w:val="FootnoteAnchor"/>
          <w:rtl w:val="true"/>
        </w:rPr>
        <w:footnoteReference w:id="446"/>
      </w:r>
      <w:bookmarkStart w:id="355" w:name="pg11536_164076"/>
    </w:p>
    <w:p>
      <w:pPr>
        <w:pStyle w:val="Heading5"/>
        <w:numPr>
          <w:ilvl w:val="4"/>
          <w:numId w:val="1"/>
        </w:numPr>
        <w:rPr/>
      </w:pPr>
      <w:bookmarkStart w:id="356" w:name="__RefHeading___Toc3907525_73709187"/>
      <w:bookmarkStart w:id="357" w:name="_Toc130"/>
      <w:bookmarkEnd w:id="355"/>
      <w:bookmarkEnd w:id="356"/>
      <w:r>
        <w:rPr/>
        <w:t>3</w:t>
      </w:r>
      <w:r>
        <w:rPr>
          <w:rtl w:val="true"/>
        </w:rPr>
        <w:t xml:space="preserve"> - </w:t>
      </w:r>
      <w:r>
        <w:rPr>
          <w:rtl w:val="true"/>
        </w:rPr>
        <w:t>أبو جعفر محمّد بن عليّ بن النعمان الملقّب بمؤمن الطاق</w:t>
      </w:r>
      <w:bookmarkEnd w:id="357"/>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منزلته في العلم و حسن الخاطر فأشهر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كتاب افعل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كبير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كتاب الاحتجاج في إمامة أمير المؤمنين عليه السلام و كتاب كلامه على الخوارج و كتاب مجالسه مع أبي حنيفة و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حسن الاعتقاد و الهدى، حاذقاً في صناعة الكلام، سريع الحاضر و الجواب، و له مع أبي حنيفة 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مناظرته مع أبي حنيفة في المتعة و الرجعة</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3907527_73709187"/>
      <w:bookmarkStart w:id="359" w:name="_Toc131"/>
      <w:bookmarkEnd w:id="358"/>
      <w:r>
        <w:rPr/>
        <w:t>4</w:t>
      </w:r>
      <w:r>
        <w:rPr>
          <w:rtl w:val="true"/>
        </w:rPr>
        <w:t xml:space="preserve"> - </w:t>
      </w:r>
      <w:r>
        <w:rPr>
          <w:rtl w:val="true"/>
        </w:rPr>
        <w:t>هشام بن الحكم</w:t>
      </w:r>
      <w:bookmarkEnd w:id="35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جلّة أصحاب أبي عبد اللّه جعفر بن محمّد الصادق عليهما السلام و هو من متكلّمي الشيعة الإماميّة و بطائنهم و هو الّذي فتق الكلام في الإمامة، و هذّب المذهب، و سهّل طريق الحجاج فيه، و كان حاذقاً بصناعة الكلام حاضر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أوّلاً من أصحاب الجهم بن </w:t>
      </w:r>
    </w:p>
    <w:p>
      <w:pPr>
        <w:pStyle w:val="BookText"/>
        <w:rPr/>
      </w:pPr>
      <w:r>
        <w:rPr>
          <w:rFonts w:ascii="Amiri" w:hAnsi="Amiri" w:eastAsia="Amiri" w:cs="Amiri"/>
          <w:color w:val="111111"/>
          <w:sz w:val="28"/>
          <w:sz w:val="28"/>
          <w:szCs w:val="28"/>
          <w:rtl w:val="true"/>
          <w:lang w:bidi="ar-SA"/>
        </w:rPr>
        <w:t>صفوان، ثمّ انتقل إلى القول بالإمامة بالدلائل و النظر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هشام بن الحكم فيظهر أنّه أكبر شخصيّة شيعيّة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جدلاً، قويّ الحجّة، ناظر المعتزلة و ناظروه، و نقلت له في كتب الأدب مناظرات كثيرة متفرّقة تدلّ على حضور بديهته و قوة حجّته قد ناظر أبا الهذيل العلّاف المعتزلي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هذه الشخصيات البارزة</w:t>
      </w:r>
      <w:r>
        <w:rPr>
          <w:rStyle w:val="FootnoteAnchor"/>
          <w:rtl w:val="true"/>
        </w:rPr>
        <w:footnoteReference w:id="451"/>
      </w:r>
      <w:r>
        <w:rPr>
          <w:rFonts w:ascii="Amiri" w:hAnsi="Amiri" w:eastAsia="Amiri" w:cs="Amiri"/>
          <w:color w:val="111111"/>
          <w:sz w:val="28"/>
          <w:sz w:val="28"/>
          <w:szCs w:val="28"/>
          <w:rtl w:val="true"/>
          <w:lang w:bidi="ar-SA"/>
        </w:rPr>
        <w:t>في علم الكلام يصحّ قول هذا المستشرق الحاقد إنّه لم يكن للشيعة مذهب كلامي خاصّ بهم؟</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على تأثّر الشيعة بالمعتزلة بتأليف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كتب المعتزلة الّذين يبحثون عن علل كلّ شيء، يكشف عن أنّ المستشرق لم يرجع إلى نفس الكتاب رجوعاً دقيقاً، فإنّ الكتاب فسّر علل الشرائع و الأحكام، بالأحاديث المرويّة عن النّبيّ و الوصيّ و الأئمّة من بعدهما عليهم السلام و ليس الكتاب تفسيراً للأحكام من نفس المؤلّف حتّى يقال إنّه ألّفه على غرار كتب المعتزلة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المناظرات الّتي دارت بين الشيعة و المعتزلة من عصر الإمام الباقر عليه السلام إلى العصر الّذي ارتمت فيه المعتزلة في أحضان آل بويه أدلّ دليل على أنّ النظام الفكري للشيعة لا يتّفق مع المعتزلة من لدن تكوّن </w:t>
      </w:r>
    </w:p>
    <w:p>
      <w:pPr>
        <w:pStyle w:val="BookText"/>
        <w:rPr/>
      </w:pPr>
      <w:r>
        <w:rPr>
          <w:rFonts w:ascii="Amiri" w:hAnsi="Amiri" w:eastAsia="Amiri" w:cs="Amiri"/>
          <w:color w:val="111111"/>
          <w:sz w:val="28"/>
          <w:sz w:val="28"/>
          <w:szCs w:val="28"/>
          <w:rtl w:val="true"/>
          <w:lang w:bidi="ar-SA"/>
        </w:rPr>
        <w:t>المذهبين، و من أراد الوقوف على تلك المساجلات فعليه الرجوع إلى المصادر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محمّد بن عبد الرحمن بن 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قبل سنة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الردّ على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النّجاشي عن أبي الحسين السوسنجردي،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مضيت إلى أبي القاسم البلخي إلى بلخ بعد زيارتي الرضا عليه السلام بطوس فسلّمت عليه و كان عارفاً بي و معي كتاب أبي جعفر ابن قبة في الإمامة المعروف بالإنصاف فوقف عليه و 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فعدت إلى الريّ فدفعت الكتاب إلى ابن قبة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فحملته إلى أبي القاسم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المستثبت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فعدت إلى الري فوجدت أبا جعفر قد مات رحمه الله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الحسن بن موسى النوبختي من أكابر متكلّمي الشيعة له ردود على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الجبّائي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أبي الهذيل العلّاف في أنّ نعيم الجنّة منقطع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أبي الهذيل في المعرفة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 على جعفر بن حرب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أصحاب المنزلة بين المنزلتين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قام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بنقض كثير من كتب المعتزلة، فله الكتب التالية و كلّها ردود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الجاحظ العثمانية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المروانيّة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فضيلة المعتزلة له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ابن عبّاد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عليّ بن عيسى الرماني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أبي عبد اللّه البصري في المتعة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الخمس عشرة مسألة للبلخي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الإمامة على جعفر بن 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على الجبائي في المعدوم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كتاب الأصمّ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الجبّائي في التفسير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 مختصرة على المعتزلة في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كتبه حول الإمامة الّتي أكثر ردودها على ما ألّفته المعتزلة في هذا المجال</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60" w:name="pg11536_164080"/>
    </w:p>
    <w:p>
      <w:pPr>
        <w:pStyle w:val="BookText"/>
        <w:rPr/>
      </w:pPr>
      <w:bookmarkEnd w:id="360"/>
      <w:r>
        <w:rPr>
          <w:rFonts w:ascii="Amiri" w:hAnsi="Amiri" w:eastAsia="Amiri" w:cs="Amiri"/>
          <w:color w:val="111111"/>
          <w:sz w:val="28"/>
          <w:sz w:val="28"/>
          <w:szCs w:val="28"/>
          <w:rtl w:val="true"/>
          <w:lang w:bidi="ar-SA"/>
        </w:rPr>
        <w:t xml:space="preserve">كما أنّ تلميذه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بعض كتب المعتزلة، فألّف الشافي ردّاً على الجزء العشرين من كتاب المغني للقاضي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ذلك يعرّف موقف الطائفتين في المسائل الكلاميّة و أنّهما و إن اجتمعتا في مسائل، اختلفتا في مسائل كثيرة أُخرى</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3907529_73709187"/>
      <w:bookmarkStart w:id="362" w:name="_Toc132"/>
      <w:bookmarkEnd w:id="361"/>
      <w:r>
        <w:rPr>
          <w:rtl w:val="true"/>
        </w:rPr>
        <w:t xml:space="preserve">نظرية مؤلف كتاب </w:t>
      </w:r>
      <w:r>
        <w:rPr>
          <w:rtl w:val="true"/>
        </w:rPr>
        <w:t>«</w:t>
      </w:r>
      <w:r>
        <w:rPr>
          <w:rtl w:val="true"/>
        </w:rPr>
        <w:t>المعتزلة</w:t>
      </w:r>
      <w:r>
        <w:rPr>
          <w:rtl w:val="true"/>
        </w:rPr>
        <w:t xml:space="preserve">» </w:t>
      </w:r>
      <w:r>
        <w:rPr>
          <w:rtl w:val="true"/>
        </w:rPr>
        <w:t>و مناقشتها</w:t>
      </w:r>
      <w:bookmarkEnd w:id="362"/>
    </w:p>
    <w:p>
      <w:pPr>
        <w:pStyle w:val="Heading5"/>
        <w:numPr>
          <w:ilvl w:val="4"/>
          <w:numId w:val="1"/>
        </w:numPr>
        <w:rPr/>
      </w:pPr>
      <w:bookmarkStart w:id="363" w:name="__RefHeading___Toc3907531_73709187"/>
      <w:bookmarkStart w:id="364" w:name="_Toc133"/>
      <w:bookmarkEnd w:id="363"/>
      <w:r>
        <w:rPr>
          <w:rtl w:val="true"/>
        </w:rPr>
        <w:t>اشارة</w:t>
      </w:r>
      <w:bookmarkEnd w:id="364"/>
    </w:p>
    <w:p>
      <w:pPr>
        <w:pStyle w:val="BookText"/>
        <w:rPr/>
      </w:pPr>
      <w:r>
        <w:rPr>
          <w:rFonts w:ascii="Amiri" w:hAnsi="Amiri" w:eastAsia="Amiri" w:cs="Amiri"/>
          <w:color w:val="111111"/>
          <w:sz w:val="28"/>
          <w:sz w:val="28"/>
          <w:szCs w:val="28"/>
          <w:rtl w:val="true"/>
          <w:lang w:bidi="ar-SA"/>
        </w:rPr>
        <w:t xml:space="preserve">إنّ هنا وجوهاً أُخر لفّقها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لأحمد أمين ربّما يستظهر منها عيلولة الشيعة في العقائد على المعتزلة و إليك تحليلها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المقدسي نظر في كتب الفاطميّين الشيعة في شمال إفريقيا فوجد أنّهم يوافقون المعتزلة في أكثر الأُصول</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موافقة الشيعة للمعتزلة في القول بالتوحيد و العدل لا يدلّ على أنّ الشيعة أخذتهما من المعتزلة، لما عرفت من أنّ الفريقين في القول بهما عيال على خطب الإمام أمير المؤمنين عليه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المعتزلة بعد النكبة و طرق النّكسة في حياتهم لجئوا الى أُمراء آل بويه في أوائل القرن الرابع لما وجدوا فيهم من سعة الصدر، و استعادوا </w:t>
      </w:r>
      <w:bookmarkStart w:id="365" w:name="pg11536_164081"/>
    </w:p>
    <w:p>
      <w:pPr>
        <w:pStyle w:val="BookText"/>
        <w:rPr/>
      </w:pPr>
      <w:bookmarkEnd w:id="365"/>
      <w:r>
        <w:rPr>
          <w:rFonts w:ascii="Amiri" w:hAnsi="Amiri" w:eastAsia="Amiri" w:cs="Amiri"/>
          <w:color w:val="111111"/>
          <w:sz w:val="28"/>
          <w:sz w:val="28"/>
          <w:szCs w:val="28"/>
          <w:rtl w:val="true"/>
          <w:lang w:bidi="ar-SA"/>
        </w:rPr>
        <w:t>في ظلّ حكمهم شيئاً من القوّة و السيطرة، و لعلّنا نتحدّث عنه في محلّه، و لم تكن تلك الأُلفة موجودة قبل النكبة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من قرأ تأريخ المعتزلة يقف على أنّهم كانوا خصماء الشيعة في العصور السابقة، فكانت الطائفتان تتصارعان صراع الأقران و ربّما يقتتلان قتال موت و حياة، فكيف يمكن أنّ تكون الشيعة عالة على المعتزلة في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نسب ذلك إلى الشيعة فقد جهل تأريخ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مبادئ الشيعة من مبادئ الاعتزال؟ فهما و إنّ كانا يشتركان في التوحيد و العدل و نفى الرؤية و التجسيم و القول بالتحسين و التقبيح العقليّين، و لكن يفترقان أنّ في كثير من الأُصول و تكفي في ذلك المراجعة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للشيخ المفيد، فقد عنون فيه بعض الفوارق الموجودة بين عقيدة الشيعة و سائر الفرق و منهم المعتزلة</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3907533_73709187"/>
      <w:bookmarkStart w:id="367" w:name="_Toc134"/>
      <w:bookmarkEnd w:id="366"/>
      <w:r>
        <w:rPr>
          <w:rtl w:val="true"/>
        </w:rPr>
        <w:t>الفوارق الفكرية بين الشيعة و المعتزلة</w:t>
      </w:r>
      <w:bookmarkEnd w:id="367"/>
    </w:p>
    <w:p>
      <w:pPr>
        <w:pStyle w:val="Heading6"/>
        <w:numPr>
          <w:ilvl w:val="5"/>
          <w:numId w:val="1"/>
        </w:numPr>
        <w:rPr/>
      </w:pPr>
      <w:bookmarkStart w:id="368" w:name="__RefHeading___Toc3907535_73709187"/>
      <w:bookmarkStart w:id="369" w:name="_Toc135"/>
      <w:bookmarkEnd w:id="368"/>
      <w:r>
        <w:rPr>
          <w:rtl w:val="true"/>
        </w:rPr>
        <w:t>اشارة</w:t>
      </w:r>
      <w:bookmarkEnd w:id="36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بين المنهجين الكلاميين مشتركات و مفترقات، و قد تعرفت على قسم من المشتركات، فها نحن نلمح إلى الفوارق بينهما، الّتي جعلهما منهجين كلاميين مختلفين لكلٍّ ميزة و خصوصيّة، و إليك رءوسها على وجهه الإجمال</w:t>
      </w:r>
      <w:r>
        <w:rPr>
          <w:rFonts w:eastAsia="Amiri" w:cs="Amiri" w:ascii="Amiri" w:hAnsi="Amiri"/>
          <w:color w:val="111111"/>
          <w:sz w:val="28"/>
          <w:szCs w:val="28"/>
          <w:rtl w:val="true"/>
          <w:lang w:bidi="ar-SA"/>
        </w:rPr>
        <w:t xml:space="preserve">: </w:t>
      </w:r>
      <w:bookmarkStart w:id="370" w:name="pg11536_164082"/>
    </w:p>
    <w:p>
      <w:pPr>
        <w:pStyle w:val="Heading6"/>
        <w:numPr>
          <w:ilvl w:val="5"/>
          <w:numId w:val="1"/>
        </w:numPr>
        <w:rPr/>
      </w:pPr>
      <w:bookmarkStart w:id="371" w:name="__RefHeading___Toc3907537_73709187"/>
      <w:bookmarkStart w:id="372" w:name="_Toc136"/>
      <w:bookmarkEnd w:id="370"/>
      <w:bookmarkEnd w:id="371"/>
      <w:r>
        <w:rPr/>
        <w:t>1</w:t>
      </w:r>
      <w:r>
        <w:rPr>
          <w:rtl w:val="true"/>
        </w:rPr>
        <w:t xml:space="preserve"> - </w:t>
      </w:r>
      <w:r>
        <w:rPr>
          <w:rtl w:val="true"/>
        </w:rPr>
        <w:t>عينية الصفات مع الذات</w:t>
      </w:r>
      <w:r>
        <w:rPr>
          <w:rtl w:val="true"/>
        </w:rPr>
        <w:t>:</w:t>
      </w:r>
      <w:bookmarkEnd w:id="372"/>
    </w:p>
    <w:p>
      <w:pPr>
        <w:pStyle w:val="BookText"/>
        <w:rPr/>
      </w:pPr>
      <w:r>
        <w:rPr>
          <w:rFonts w:ascii="Amiri" w:hAnsi="Amiri" w:eastAsia="Amiri" w:cs="Amiri"/>
          <w:color w:val="111111"/>
          <w:sz w:val="28"/>
          <w:sz w:val="28"/>
          <w:szCs w:val="28"/>
          <w:rtl w:val="true"/>
          <w:lang w:bidi="ar-SA"/>
        </w:rPr>
        <w:t>اتفقت الطائفتان على أنّ صفاته الذاتية ليست زائدة على الذات، بمعنى أنّ تكون هناك ذات، و صفة وراءها، كما في الممكنات فإنّ الإنسان له ذات و له علم و قدرة، هذا ممّا اتّفقتا عليه، و لكنّهما اختلفتا في تفسير ذلك، فالشيعة الإمامية ذهبت إلى أنّ الوجود في مقام الواجب بالغ من الكمال على حدّ يعد نفس العلم و القدرة، و كون الصفة في الموجودات الإمكانية زائداً على الذات لا يكون دليلاً على الضابطة الكلية حتى في مقام الواجب بل الموصوف هناك لأجل الكمال المفرط نفس الصفة، و لا مانع من كون العلم في درجة، قائماً بالذات، و في أُخرى نفس الذات، و ما هذا إلّا لأنّ زيادة الوصف على الذات توجب حاجتها إلى شيء وراءها، و هو ينافي وجوب الوجود و الغناء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نظرية الشيعة مقرونة بالدليل الإجمالي، و قد اقتفوا في ذلك ما رسمه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كمال الإخلاص له نفي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لشهادة كلّ صفة أنّها غير الموصوف، و شهادة كل موصوف أنّه غير الصفة، فمن وصف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بوصف زائد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ذاته بشيء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قرنه فقد ثنّاه، و من ثنّاه فقد جزّأه، و من جزّأه فقد جهله</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يزل اللّٰه جلّ و عزّ، ربّنا و العلم ذاته، و لا </w:t>
      </w:r>
    </w:p>
    <w:p>
      <w:pPr>
        <w:pStyle w:val="BookText"/>
        <w:rPr/>
      </w:pPr>
      <w:r>
        <w:rPr>
          <w:rFonts w:ascii="Amiri" w:hAnsi="Amiri" w:eastAsia="Amiri" w:cs="Amiri"/>
          <w:color w:val="111111"/>
          <w:sz w:val="28"/>
          <w:sz w:val="28"/>
          <w:szCs w:val="28"/>
          <w:rtl w:val="true"/>
          <w:lang w:bidi="ar-SA"/>
        </w:rPr>
        <w:t>معلوم، و السمع ذاته، و لا مسموع، و البصر ذاته و لا مبصر، و القدرة ذاته و لا مقدور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هذا ما لدى الشيعة، و أمّا المعتزلة فقد اضطرب كلامهم في المقام، فالقول المشهور عندهم هي نظرية نيابة الذات عن الصفات، من دون أنّ تكون هناك صفة، و ذلك لأنّهم رأوا أنّ الأمر في أوصافه سبحانه يدور بين 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قلنا بأنّ له سبحانه صفات كالعلم، وجب الاعتراف بالتعدّد و الاثنينية، لأنّ واقع الصفات هو المغايرة للموصوف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نفي العلم و القدرة و سائر الصفات الكمالية يستلزم النقص في ذاته أولاً و يكذبه اتقان آثاره و أفعاله ثانياً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فالمخلَص و المفرّ من هذين المحذورين يتلخّص عندهم في انتخاب نظرية النيابة، و هي القول بأنّ الذات نائبة مناب الصفات، و إن لم تكن هناك واقعية للصفات وراء الذات، فما يترقب من الذات المقرونة بالصفة، يترتب على تلك الذات النائبة مقامها، هذا هو المشهور عن المعتزلة و إليك نصّ كلام عباد بن سليمان في ذلك المجال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عالم قادر، حيّ، و لا أثبت له علماً، و لا قدرةً، و لا حياةً، و لا أثبت سمعاً، و لا أثبت بصراً و أقول هو عالم لا بعلم، قادر لا بقدرة، حيّ لا بحياة، و سميع لا بسمع، </w:t>
      </w:r>
      <w:bookmarkStart w:id="373" w:name="pg11536_164084"/>
    </w:p>
    <w:p>
      <w:pPr>
        <w:pStyle w:val="BookText"/>
        <w:rPr/>
      </w:pPr>
      <w:bookmarkEnd w:id="373"/>
      <w:r>
        <w:rPr>
          <w:rFonts w:ascii="Amiri" w:hAnsi="Amiri" w:eastAsia="Amiri" w:cs="Amiri"/>
          <w:color w:val="111111"/>
          <w:sz w:val="28"/>
          <w:sz w:val="28"/>
          <w:szCs w:val="28"/>
          <w:rtl w:val="true"/>
          <w:lang w:bidi="ar-SA"/>
        </w:rPr>
        <w:t>و كذلك سائر ما يسمّى من الأسماء الّتي يسمّى بها</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نظرية النيابة المشهورة عن المعتزلة، مبنية على تخيّل كون الشيء وصفاً ملازم للزيادة دائماً، فوقعوا بين المحذورين و تخلّصوا بالنيابة، و من المعلوم أنّ مرجع النيابة إلى خلو الذات عن الكمال أوّلاً، و كون الذات الفاقدة للعلم، نائبة عن الذات المقرونة بها أشبه باللغز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المعتزلة كأبي هذيل العلاف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نفس ما ذهب الشيعة إليه، و قد ذكرنا كلامه في الجزء الثاني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3907539_73709187"/>
      <w:bookmarkStart w:id="375" w:name="_Toc137"/>
      <w:bookmarkEnd w:id="374"/>
      <w:r>
        <w:rPr/>
        <w:t>2</w:t>
      </w:r>
      <w:r>
        <w:rPr>
          <w:rtl w:val="true"/>
        </w:rPr>
        <w:t xml:space="preserve"> - </w:t>
      </w:r>
      <w:r>
        <w:rPr>
          <w:rtl w:val="true"/>
        </w:rPr>
        <w:t>إحباط الأعمال الصالحة بالطالحة</w:t>
      </w:r>
      <w:bookmarkEnd w:id="375"/>
    </w:p>
    <w:p>
      <w:pPr>
        <w:pStyle w:val="BookText"/>
        <w:rPr/>
      </w:pPr>
      <w:r>
        <w:rPr>
          <w:rFonts w:ascii="Amiri" w:hAnsi="Amiri" w:eastAsia="Amiri" w:cs="Amiri"/>
          <w:color w:val="111111"/>
          <w:sz w:val="28"/>
          <w:sz w:val="28"/>
          <w:szCs w:val="28"/>
          <w:rtl w:val="true"/>
          <w:lang w:bidi="ar-SA"/>
        </w:rPr>
        <w:t>الإحباط في عرف المتكلّمين عبارة عن بطلان الحسنة، و عدم ترتّب ما يتوقع منها عليها، و يقابله التكفير و هو إسقاط السيئة بعدم جريان مقتضاها عليها فهو في المعصية نقيض الإحباط في الطاعة، و المعروف عن الإماميّة و الأشاعرة هو أنّه لا تحابط بين المعاصي و الطاعات و الثواب و العقاب، و المعروف من المعتزلة هو التحابط</w:t>
      </w:r>
      <w:r>
        <w:rPr>
          <w:rStyle w:val="FootnoteAnchor"/>
          <w:rtl w:val="true"/>
        </w:rPr>
        <w:footnoteReference w:id="463"/>
      </w:r>
      <w:r>
        <w:rPr>
          <w:rFonts w:ascii="Amiri" w:hAnsi="Amiri" w:eastAsia="Amiri" w:cs="Amiri"/>
          <w:color w:val="111111"/>
          <w:sz w:val="28"/>
          <w:sz w:val="28"/>
          <w:szCs w:val="28"/>
          <w:rtl w:val="true"/>
          <w:lang w:bidi="ar-SA"/>
        </w:rPr>
        <w:t>، ثمّ إنّهم اختلفوا في كيفيته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الإساءة الكثيرة تسقط الحسنات القليلة </w:t>
      </w:r>
    </w:p>
    <w:p>
      <w:pPr>
        <w:pStyle w:val="BookText"/>
        <w:rPr/>
      </w:pPr>
      <w:r>
        <w:rPr>
          <w:rFonts w:ascii="Amiri" w:hAnsi="Amiri" w:eastAsia="Amiri" w:cs="Amiri"/>
          <w:color w:val="111111"/>
          <w:sz w:val="28"/>
          <w:sz w:val="28"/>
          <w:szCs w:val="28"/>
          <w:rtl w:val="true"/>
          <w:lang w:bidi="ar-SA"/>
        </w:rPr>
        <w:t>و تمحوها بالكلية من دون أنّ يكون لها تأثير في تقليل الإساءة و هو المحكي عن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الإحسان القليل يسقط بالإساءة الكثيرة، و لكنّه يقلل في تأثير الإساءة فينقص الإحسان من الإساءة فيجزي العبد بالمقدار الباقي بعد التنقيص، و هو المنسوب إلى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الإساءة المتأخّرة تحبط جميع الطاعات و إن كانت الإساءة أقل منها،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الجمهور من المعتزلة ذهبوا إلى أنّ الكبيرة الواحدة، تحبط ثواب جميع العبادات</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هذا على قول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قول نفاة الإحباط فالمطيع و العاصي يستحق الثواب و العقاب معاً فيعاقب مدّة ثمّ يخرج من النار فيثاب بالجنّة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ثبت الإحباط في موارد نادرة، كالارتداد بعد الإسلام، و الشرك المقارن للعمل، و الصدّ عن سبيل اللّٰه، و مجادلة الرسول و مشاقّته، و قتل الأنبياء، و قتل الآمرين بالقسط، و إساءة الأدب مع النبي، و النفاق، و غير ذلك ممّا شرحناه في الإلهيات</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76" w:name="pg11536_164086"/>
    </w:p>
    <w:p>
      <w:pPr>
        <w:pStyle w:val="Heading6"/>
        <w:numPr>
          <w:ilvl w:val="5"/>
          <w:numId w:val="1"/>
        </w:numPr>
        <w:rPr/>
      </w:pPr>
      <w:bookmarkStart w:id="377" w:name="__RefHeading___Toc3907541_73709187"/>
      <w:bookmarkStart w:id="378" w:name="_Toc138"/>
      <w:bookmarkEnd w:id="376"/>
      <w:bookmarkEnd w:id="377"/>
      <w:r>
        <w:rPr/>
        <w:t>3</w:t>
      </w:r>
      <w:r>
        <w:rPr>
          <w:rtl w:val="true"/>
        </w:rPr>
        <w:t xml:space="preserve"> - </w:t>
      </w:r>
      <w:r>
        <w:rPr>
          <w:rtl w:val="true"/>
        </w:rPr>
        <w:t>خلود مرتكب الكبيرة في النار</w:t>
      </w:r>
      <w:bookmarkEnd w:id="378"/>
    </w:p>
    <w:p>
      <w:pPr>
        <w:pStyle w:val="BookText"/>
        <w:rPr/>
      </w:pP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 الإقرار بفرائضه من أهل الصلات، و وافقهم على هذا القول كافة المرجئة سوى محمد بن شبيب و أصحاب الحديث قاطبة، و أجمعت المعتزلة على خلاف ذلك، و زعموا أنّ الوعيد بالخلود في النار عامّ في الكفّار و جميع فساق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العلّامة الحلي أنّ الخلود ليس هو مذهب جميع المعتزلة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أنّ عذاب الكافر مؤبّد لا ينقطع، و أمّا أصحاب الكبائر من المسلمين، فالوعيدية على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ذهبت الإماميّة و طائفة كثيرة من المعتزلة و الأشاعره إلى أنّ عذابه منقطع</w:t>
      </w:r>
      <w:r>
        <w:rPr>
          <w:rFonts w:eastAsia="Amiri" w:cs="Amiri" w:ascii="Amiri" w:hAnsi="Amiri"/>
          <w:color w:val="111111"/>
          <w:sz w:val="28"/>
          <w:szCs w:val="28"/>
          <w:rtl w:val="true"/>
          <w:lang w:bidi="ar-SA"/>
        </w:rPr>
        <w:t>.</w:t>
      </w:r>
      <w:r>
        <w:rPr>
          <w:rStyle w:val="FootnoteAnchor"/>
          <w:rtl w:val="true"/>
        </w:rPr>
        <w:footnoteReference w:id="4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القاضي عبد الجبار هو الخلود، و استدل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أخبر أنّ العصاة يعذّبون بالنار و يخلدون فيها، و العاصي اسم يتناول الفاسق و الكافر جميعاً فيجب حمله عليهما، لأنّه تعالى لو أراد أحدهما دون الآخر لبيّنه فلمّا لم يبيّنه دلّ على ما ذكرناه</w:t>
      </w:r>
      <w:r>
        <w:rPr>
          <w:rFonts w:eastAsia="Amiri" w:cs="Amiri" w:ascii="Amiri" w:hAnsi="Amiri"/>
          <w:color w:val="111111"/>
          <w:sz w:val="28"/>
          <w:szCs w:val="28"/>
          <w:rtl w:val="true"/>
          <w:lang w:bidi="ar-SA"/>
        </w:rPr>
        <w:t xml:space="preserve">. </w:t>
      </w:r>
      <w:bookmarkStart w:id="379" w:name="pg11536_164087"/>
    </w:p>
    <w:p>
      <w:pPr>
        <w:pStyle w:val="BookText"/>
        <w:rPr/>
      </w:pPr>
      <w:bookmarkEnd w:id="379"/>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اللّٰه تعالى بالآية الكافر دون الفاسق، 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 حُدُودَهُ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لا يتصوّر إلّا في الكفرة و إلّا فالفاسق لا يتعدى حدود اللّٰه تعالى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عنه، فلاحظ كلامه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3907543_73709187"/>
      <w:bookmarkStart w:id="381" w:name="_Toc139"/>
      <w:bookmarkEnd w:id="380"/>
      <w:r>
        <w:rPr/>
        <w:t>4</w:t>
      </w:r>
      <w:r>
        <w:rPr>
          <w:rtl w:val="true"/>
        </w:rPr>
        <w:t xml:space="preserve"> - </w:t>
      </w:r>
      <w:r>
        <w:rPr>
          <w:rtl w:val="true"/>
        </w:rPr>
        <w:t>لزوم العمل بالوعيد و عدمه</w:t>
      </w:r>
      <w:bookmarkEnd w:id="381"/>
    </w:p>
    <w:p>
      <w:pPr>
        <w:pStyle w:val="BookText"/>
        <w:rPr/>
      </w:pPr>
      <w:r>
        <w:rPr>
          <w:rFonts w:ascii="Amiri" w:hAnsi="Amiri" w:eastAsia="Amiri" w:cs="Amiri"/>
          <w:color w:val="111111"/>
          <w:sz w:val="28"/>
          <w:sz w:val="28"/>
          <w:szCs w:val="28"/>
          <w:rtl w:val="true"/>
          <w:lang w:bidi="ar-SA"/>
        </w:rPr>
        <w:t>المشهور عن المعتزلة أنّهم لا يجوّزون العفو عن المسيء لاستلزامه الخلف، و أنّه يجب العمل بالوعيد كالعمل بالوعد، و الظاهر من القاضي أنّها نظرية البغداديين من المعتزلة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البغدادية من أصحابنا أوجبت على اللّٰه أنّ يفعل بالعصاة ما يستحقونه لا محال،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يعفو عنهم، فصار العقاب عندهم أعلى حالاً في الوجوب من الثواب، فإن الثواب عندهم لا يجب إلا من حيث الجود، و ليس هذا قولهم في العقاب فإنّه يجب فعله بكل حال</w:t>
      </w:r>
      <w:r>
        <w:rPr>
          <w:rFonts w:eastAsia="Amiri" w:cs="Amiri" w:ascii="Amiri" w:hAnsi="Amiri"/>
          <w:color w:val="111111"/>
          <w:sz w:val="28"/>
          <w:szCs w:val="28"/>
          <w:rtl w:val="true"/>
          <w:lang w:bidi="ar-SA"/>
        </w:rPr>
        <w:t>.</w:t>
      </w:r>
      <w:r>
        <w:rPr>
          <w:rStyle w:val="FootnoteAnchor"/>
          <w:rtl w:val="true"/>
        </w:rPr>
        <w:footnoteReference w:id="4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ذهبت الإماميّة إلى جواز العفو عن المسيء إذا مات بلا توبة، و استدلّ الشريف المرتضى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يَسْتَعْجِلُونَكَ بِالسَّيِّئَةِ قَبْلَ اَلْحَسَنَةِ وَ قَدْ خَلَتْ مِنْ قَبْلِهِمُ اَلْمَثُلاٰتُ وَ إِنَّ رَبَّكَ لَذُو مَغْفِرَةٍ لِلنّٰاسِ عَلىٰ ظُلْمِهِمْ وَ إِنَّ رَبَّكَ لَشَدِيدُ اَلْعِقٰابِ</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دلالة على جواز المغفرة للمذنبين من أهل القبلة، لأنّه سبحانه دلّنا على أنّه يغفر لهم مع </w:t>
      </w:r>
      <w:bookmarkStart w:id="382" w:name="pg11536_164088"/>
    </w:p>
    <w:p>
      <w:pPr>
        <w:pStyle w:val="BookText"/>
        <w:rPr/>
      </w:pPr>
      <w:bookmarkEnd w:id="382"/>
      <w:r>
        <w:rPr>
          <w:rFonts w:ascii="Amiri" w:hAnsi="Amiri" w:eastAsia="Amiri" w:cs="Amiri"/>
          <w:color w:val="111111"/>
          <w:sz w:val="28"/>
          <w:sz w:val="28"/>
          <w:szCs w:val="28"/>
          <w:rtl w:val="true"/>
          <w:lang w:bidi="ar-SA"/>
        </w:rPr>
        <w:t>كونهم ظالمين،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 إشارة إلى الحال الّتي يكونون عليها ظالمين، و يجري ذلك مجرى قول القائل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أودّ فلاناً على غدره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على هجره</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أوضحنا الحال في دلالة الآية و أجبنا عن إشكال القاضي على دلالتها في الإلهيات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3" w:name="__RefHeading___Toc3907545_73709187"/>
      <w:bookmarkStart w:id="384" w:name="_Toc140"/>
      <w:bookmarkEnd w:id="383"/>
      <w:r>
        <w:rPr/>
        <w:t>5</w:t>
      </w:r>
      <w:r>
        <w:rPr>
          <w:rtl w:val="true"/>
        </w:rPr>
        <w:t xml:space="preserve"> - </w:t>
      </w:r>
      <w:r>
        <w:rPr>
          <w:rtl w:val="true"/>
        </w:rPr>
        <w:t>الشفاعة حطّ الذنوب أو ترفيع الدرجة</w:t>
      </w:r>
      <w:r>
        <w:rPr>
          <w:rtl w:val="true"/>
        </w:rPr>
        <w:t>:</w:t>
      </w:r>
      <w:bookmarkEnd w:id="384"/>
    </w:p>
    <w:p>
      <w:pPr>
        <w:pStyle w:val="BookText"/>
        <w:rPr/>
      </w:pPr>
      <w:r>
        <w:rPr>
          <w:rFonts w:ascii="Amiri" w:hAnsi="Amiri" w:eastAsia="Amiri" w:cs="Amiri"/>
          <w:color w:val="111111"/>
          <w:sz w:val="28"/>
          <w:sz w:val="28"/>
          <w:szCs w:val="28"/>
          <w:rtl w:val="true"/>
          <w:lang w:bidi="ar-SA"/>
        </w:rPr>
        <w:t>لما ذهبت المعتزلة إلى خلود مرتكب الكبيرة في النار، و إلى لزوم العمل بالوعيد، و رأت أنّ آيات الشفاعة تضاد تلك الفكرة، التجأت إلى تفسيرها بغير ما هو المعروف و المتبادر منها،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شفاعة الفسّاق الّذين ماتوا على الفسوق و لم يتوبوا تتنزّل منزلة الشفاعة لمن قتل ولد الغير و ترصّد للآخر حتى يقتله، فكما أنّ ذلك يقبح فكذلك هاهنا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فالشفاعة عندهم عبارة عن ترفيع الدرجة، فخصوها بالتائبين من المؤمنين و صار أثرها عندهم ترفيع المقام لا الإنقاذ من العذاب أو الخروج منه،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فائدة الشفاعة رفع مرتبة الشفيع و الدلالة على منزلة من المشفوع</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385" w:name="pg11536_164089"/>
    </w:p>
    <w:p>
      <w:pPr>
        <w:pStyle w:val="BookText"/>
        <w:rPr/>
      </w:pPr>
      <w:bookmarkEnd w:id="385"/>
      <w:r>
        <w:rPr>
          <w:rFonts w:ascii="Amiri" w:hAnsi="Amiri" w:eastAsia="Amiri" w:cs="Amiri"/>
          <w:color w:val="111111"/>
          <w:sz w:val="28"/>
          <w:sz w:val="28"/>
          <w:szCs w:val="28"/>
          <w:rtl w:val="true"/>
          <w:lang w:bidi="ar-SA"/>
        </w:rPr>
        <w:t>و أمّا عند الشيعة الإماميّة فهو عبارة عن إسقاط العذاب،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رسول اللّٰه صلى الله عليه و آله و سلم يشفع يوم القيامة لجماعة من مرتكبي الكبائر من أُمّته، و أنّ أمير المؤمنين عليه السلام يشفع في أصحاب الذنوب من شيعته، و أنّ أئمة آل محمد صلى الله عليه و آله و سلم يشفعون كذلك و ينجي اللّٰه بشفاعتهم كثيراً من الخاطئين، و وافقهم على شفاعة الرسول صلى الله عليه و آله و سلم المرجئة سوى ابن شبيب و جماعة من أصحاب الحديث، و أجمعت المعتزلة على خلاف ذلك و زعمت أنّ شفاعة رسول اللّٰه صلى الله عليه و آله و سلم للمطيعين دون العاصين و أنّه لا يشفع في مستحقي العقاب من الخلق أجمعين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3907547_73709187"/>
      <w:bookmarkStart w:id="387" w:name="_Toc141"/>
      <w:bookmarkEnd w:id="386"/>
      <w:r>
        <w:rPr/>
        <w:t>6</w:t>
      </w:r>
      <w:r>
        <w:rPr>
          <w:rtl w:val="true"/>
        </w:rPr>
        <w:t xml:space="preserve"> - </w:t>
      </w:r>
      <w:r>
        <w:rPr>
          <w:rtl w:val="true"/>
        </w:rPr>
        <w:t>مرتكب الكبيرة لا مؤمن و لا كافر</w:t>
      </w:r>
      <w:bookmarkEnd w:id="387"/>
    </w:p>
    <w:p>
      <w:pPr>
        <w:pStyle w:val="BookText"/>
        <w:rPr/>
      </w:pPr>
      <w:r>
        <w:rPr>
          <w:rFonts w:ascii="Amiri" w:hAnsi="Amiri" w:eastAsia="Amiri" w:cs="Amiri"/>
          <w:color w:val="111111"/>
          <w:sz w:val="28"/>
          <w:sz w:val="28"/>
          <w:szCs w:val="28"/>
          <w:rtl w:val="true"/>
          <w:lang w:bidi="ar-SA"/>
        </w:rPr>
        <w:t>إنّ مقترف الكبيرة عند الشيعة و الأشاعرة مؤمن فاسق خرج عن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الخوارج، كافر كفر ملة عند جميع فرقهم إلّا الإباضية فهو عندهم كافر كفر النعمة، و أمّا المعتزلة فهو عندهم في منزلة بين المنزلتين 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الكبيرة له اسم بين الاسمين، و حكم بين الحكمين لا يكون اسمه اسم الكافر، و لا اسمه اسم المؤمن فلا يكون حكمه حكم الكافر و لا حكم المؤمن بل يفرد له حكم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الّذي ذكرناه هو سبب تلقيب المسألة بالمنزلة بين المنزلتين، قال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الكبيرة له منزلة تتجاذبها هاتان المنزلتان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388" w:name="pg11536_164090"/>
    </w:p>
    <w:p>
      <w:pPr>
        <w:pStyle w:val="BookText"/>
        <w:rPr/>
      </w:pPr>
      <w:bookmarkEnd w:id="388"/>
      <w:r>
        <w:rPr>
          <w:rFonts w:ascii="Amiri" w:hAnsi="Amiri" w:eastAsia="Amiri" w:cs="Amiri"/>
          <w:color w:val="111111"/>
          <w:sz w:val="28"/>
          <w:sz w:val="28"/>
          <w:szCs w:val="28"/>
          <w:rtl w:val="true"/>
          <w:lang w:bidi="ar-SA"/>
        </w:rPr>
        <w:t>و هذا أحد الأُصول الخمسة الّتي عليها يدور رحى الاعتزال و من أنكر واحداً منها فليس بمعتزلي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9" w:name="__RefHeading___Toc3907549_73709187"/>
      <w:bookmarkStart w:id="390" w:name="_Toc142"/>
      <w:bookmarkEnd w:id="389"/>
      <w:r>
        <w:rPr/>
        <w:t>7</w:t>
      </w:r>
      <w:r>
        <w:rPr>
          <w:rtl w:val="true"/>
        </w:rPr>
        <w:t xml:space="preserve"> - </w:t>
      </w:r>
      <w:r>
        <w:rPr>
          <w:rtl w:val="true"/>
        </w:rPr>
        <w:t>النسخ جائزٌ و البداء ممتنع عند المعتزلة</w:t>
      </w:r>
      <w:bookmarkEnd w:id="390"/>
    </w:p>
    <w:p>
      <w:pPr>
        <w:pStyle w:val="BookText"/>
        <w:rPr/>
      </w:pPr>
      <w:r>
        <w:rPr>
          <w:rFonts w:ascii="Amiri" w:hAnsi="Amiri" w:eastAsia="Amiri" w:cs="Amiri"/>
          <w:color w:val="111111"/>
          <w:sz w:val="28"/>
          <w:sz w:val="28"/>
          <w:szCs w:val="28"/>
          <w:rtl w:val="true"/>
          <w:lang w:bidi="ar-SA"/>
        </w:rPr>
        <w:t>اتفق المسلمون على جواز النسخ خلافاً لليهود، و اختلفوا في البداء حيث ذهبت الشيعة إلى إمكانه و وقوعه، خلافاً لغيرهم فقالوا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صار سبباً للتفريق عند القاضي هو أنّه اشترط في النسخ أُموراً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لا يتعلّق بعين ما كان ثابتاً، بل يتعلّق بمثل ما كان ثابتاً أشار 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إزالة مثل الحكم الثابت بدلالة شرعية، بدليل آخر شرعي على وجه لولاه لثبت، و لم يزل مع تراخيه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فاعتبرنا أنّ يكون إزالة مثل الحكم الثابت، لأنّه لو زال عين ما كان ثابتاً من قبل لم يكن نسخاً بل كان نقضاً، و هذا بخلاف البداء فإنه يتعلّق بعين ما كان ثابتاً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مثاله أنّ يقول أحدنا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دخلت السوق فاشتر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دخلت السوق فلا تشتر اللحم، و هذا هو البداء و إنما سمّي به لأنه يقتضي أنّه قد ظهر له من حال اشتراء اللحم ما كان خافياً عليه من قبل</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البداء، أن يأمر اللّٰه جلّ و عزّ بنفس ما نهى </w:t>
      </w:r>
    </w:p>
    <w:p>
      <w:pPr>
        <w:pStyle w:val="BookText"/>
        <w:rPr/>
      </w:pPr>
      <w:r>
        <w:rPr>
          <w:rFonts w:ascii="Amiri" w:hAnsi="Amiri" w:eastAsia="Amiri" w:cs="Amiri"/>
          <w:color w:val="111111"/>
          <w:sz w:val="28"/>
          <w:sz w:val="28"/>
          <w:szCs w:val="28"/>
          <w:rtl w:val="true"/>
          <w:lang w:bidi="ar-SA"/>
        </w:rPr>
        <w:t>عنه في وقت واحد على وجه واحد، و هذا محال لا نجيزه البتة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لا نحوم حول البداء و ما هو الفرق بينه و بين النسخ، فقد أشبعنا الكلام فيه في بحوثنا الكلامية</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الّذي يتوجّه على كلام القاضي أنّ ما أحاله هو أيضاً من أقسام النسج لا من أقسام البداء المصطلح فإنه على قسمين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 بعد حضور وقت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 قبل حضور وقت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أحاله هو القسم الثاني، و أمّا الوجه الّذي اعتمد عليه فموهون بأنّه ربّما تترتّب المصلحة على نفس إنشاء الحكم و إن لم يكن العمل به مراداً جدياً كما هو الحال في أمر إبراهيم بذبح ولده، و الأوامر الامتحانية كلّها من هذا القبيل، فإذا شوهد من الإنسان القيام بمقدّمات الواجب، ينسخ الحكم، و على كل تقدير فما سماه بداء، ليس هو محل النزاع بين الإماميّة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البداء عندهم عبارة عن تغيير المصير بالأعمال الصالحة أو الطالحة و هو شيء اتفق عليه المسلمون، و ورد به النص في القرآن و السنّة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حقيقة البداء في عالم الثبوت، و له أثر في عالم الإثبات و هو أنّه ربّما يقف النبي على مقتضي المصير و لا يقف على ما يغيره، فيخبر به </w:t>
      </w:r>
      <w:bookmarkStart w:id="391" w:name="pg11536_164092"/>
    </w:p>
    <w:p>
      <w:pPr>
        <w:pStyle w:val="BookText"/>
        <w:rPr/>
      </w:pPr>
      <w:bookmarkEnd w:id="391"/>
      <w:r>
        <w:rPr>
          <w:rFonts w:ascii="Amiri" w:hAnsi="Amiri" w:eastAsia="Amiri" w:cs="Amiri"/>
          <w:color w:val="111111"/>
          <w:sz w:val="28"/>
          <w:sz w:val="28"/>
          <w:szCs w:val="28"/>
          <w:rtl w:val="true"/>
          <w:lang w:bidi="ar-SA"/>
        </w:rPr>
        <w:t>على حسب العلم بالمقتضي و لكن لا يتحقّق لأجل تحقّق ما يغيّره، فيقال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و المقصود بداء من اللّٰه للعباد، كما هو الحال في إخبار يونس عن تعذيب القوم و غير ذلك، و قد وردت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 معنى البداء ما يقوله المسلمون بأجمعهم في النسخ و أمثاله من الإفقار بعد الإغناء، و الإمراض بعد الإعفاء، و ما يذهب إليه أهل العدل خاصّة من الزيادة في الآجال و الأرزاق و النقصان منها بالأعمال، و أمّا إطلاق لفظ البداء، فإنّما صرت إليه لأجل السمع الوارد عن الوسائط بين العباد و 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بيني و بين كافة المسلمين في هذا الباب خلاف، و إنّما خالف من خالفهم في اللفظ دون ما سواه</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هذا يعرب عن أنّ القوم لم يقفوا على مصطلح الإماميّة في البداء و إلّا لأصفقوا على جوازه</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3907551_73709187"/>
      <w:bookmarkStart w:id="393" w:name="_Toc143"/>
      <w:bookmarkEnd w:id="392"/>
      <w:r>
        <w:rPr/>
        <w:t>8</w:t>
      </w:r>
      <w:r>
        <w:rPr>
          <w:rtl w:val="true"/>
        </w:rPr>
        <w:t xml:space="preserve"> - </w:t>
      </w:r>
      <w:r>
        <w:rPr>
          <w:rtl w:val="true"/>
        </w:rPr>
        <w:t>الواسطة بين الوجود و العدم</w:t>
      </w:r>
      <w:bookmarkEnd w:id="39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المفكرون من الفلاسفة و المتكلمين على أنه لا واسطة بين الوجود و العدم كما لا واسطة بين الموجود و العدم، و إنّ الماهيات قبل اتصافها بالوجود معدومات حقيقة، غير أنّ المعتزلة ذهبت إلى أنّها في حال </w:t>
      </w:r>
      <w:bookmarkStart w:id="394" w:name="pg11536_164093"/>
    </w:p>
    <w:p>
      <w:pPr>
        <w:pStyle w:val="BookText"/>
        <w:rPr/>
      </w:pPr>
      <w:bookmarkEnd w:id="394"/>
      <w:r>
        <w:rPr>
          <w:rFonts w:ascii="Amiri" w:hAnsi="Amiri" w:eastAsia="Amiri" w:cs="Amiri"/>
          <w:color w:val="111111"/>
          <w:sz w:val="28"/>
          <w:sz w:val="28"/>
          <w:szCs w:val="28"/>
          <w:rtl w:val="true"/>
          <w:lang w:bidi="ar-SA"/>
        </w:rPr>
        <w:t>العدم غير موجودة و لا معدومة، بل متوسط بينهما، و هذا هو المعروف منهم بالقول بالأحوال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المعدوم هو المنفي العين، الخارج عن صفة الموجود،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و لا جوهر و لا عرض، و لا شيء على الحقيقة، و إن سميته بشيء من هذه الأسماء، فإنّما تسميه به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مذهب جماعة من بغدادية المعتزلة و أصحاب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البلخي يزعم أنّه شيء و لا يسميه بجسم و لا جوهر و لا عرض، و الجبائي و ابنه يزعمان أنّ المعدوم شيء و جوهر و عرض، و الخياط يزعم أنّه شيء و عرض و جسم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بما أنّه المسألة واضحة جداً لا نحوم حولها</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3907553_73709187"/>
      <w:bookmarkStart w:id="396" w:name="_Toc144"/>
      <w:bookmarkEnd w:id="395"/>
      <w:r>
        <w:rPr/>
        <w:t>9</w:t>
      </w:r>
      <w:r>
        <w:rPr>
          <w:rtl w:val="true"/>
        </w:rPr>
        <w:t xml:space="preserve"> - </w:t>
      </w:r>
      <w:r>
        <w:rPr>
          <w:rtl w:val="true"/>
        </w:rPr>
        <w:t>التفويض في الأفعال</w:t>
      </w:r>
      <w:bookmarkEnd w:id="39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ذهبت المعتزلة إلّا من شذّ كالنجار و أبي الحسين البصري</w:t>
      </w:r>
      <w:r>
        <w:rPr>
          <w:rStyle w:val="FootnoteAnchor"/>
          <w:rtl w:val="true"/>
        </w:rPr>
        <w:footnoteReference w:id="484"/>
      </w:r>
      <w:r>
        <w:rPr>
          <w:rFonts w:ascii="Amiri" w:hAnsi="Amiri" w:eastAsia="Amiri" w:cs="Amiri"/>
          <w:color w:val="111111"/>
          <w:sz w:val="28"/>
          <w:sz w:val="28"/>
          <w:szCs w:val="28"/>
          <w:rtl w:val="true"/>
          <w:lang w:bidi="ar-SA"/>
        </w:rPr>
        <w:t>إلى أنّ أفعال العباد واقعة بقدرتهم وحدها على سبيل الاستقلال بلا إيجاب</w:t>
      </w:r>
      <w:r>
        <w:rPr>
          <w:rStyle w:val="FootnoteAnchor"/>
          <w:rtl w:val="true"/>
        </w:rPr>
        <w:footnoteReference w:id="485"/>
      </w:r>
      <w:r>
        <w:rPr>
          <w:rFonts w:ascii="Amiri" w:hAnsi="Amiri" w:eastAsia="Amiri" w:cs="Amiri"/>
          <w:color w:val="111111"/>
          <w:sz w:val="28"/>
          <w:sz w:val="28"/>
          <w:szCs w:val="28"/>
          <w:rtl w:val="true"/>
          <w:lang w:bidi="ar-SA"/>
        </w:rPr>
        <w:t>بل باختيار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العباد لا يجوز أنّ توصف بأنها من اللّٰه تعالى و من عنده و من قبله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الشريف إنّ المعتزلة استدلوا بوجوه كثيرة مرجعها إلى أمر واحد و هو أنّه لو لا استقلال العبد بالفعل على سبيل الاختيار، لبطل التكليف و بطل التأديب الّذي ورد به الشرع و ارتفع المدح و الذم، إذ ليس للفعل استناد إلى العبد أصلاً، و لم يبق للبعثة فائدة لأن العباد ليسوا موحدين أفعالهم، فمن أين لهم استحقاق الثواب و العقاب</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نظريتهم في استقلال العبد في الفعل مبنية على مسألة فلسفية و هو أنّ حاجة الممكن إلى العلّة تنحصر في حدوثه، لا فيه و في بقائه، و على ضوء ذلك قالوا باستقلال العبد في مقام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المبنى و البناء كلاهما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الافتقار حدوثاً فقط، فهو لا يجتمع مع كون الإمكان من لوازم الماهية، و هي محفوظة حدوثاً و بقاء، فكيف يجوز الغناء عن الفاعل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الحكيم الشيخ محمد حسين الأصفهاني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الافتقار لازم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حاجة إلى البرهان </w:t>
      </w:r>
    </w:p>
    <w:p>
      <w:pPr>
        <w:pStyle w:val="BookText"/>
        <w:rPr/>
      </w:pPr>
      <w:r>
        <w:rPr>
          <w:rFonts w:ascii="Amiri" w:hAnsi="Amiri" w:eastAsia="Amiri" w:cs="Amiri"/>
          <w:color w:val="111111"/>
          <w:sz w:val="28"/>
          <w:sz w:val="28"/>
          <w:szCs w:val="28"/>
          <w:rtl w:val="true"/>
          <w:lang w:bidi="ar-SA"/>
        </w:rPr>
        <w:t xml:space="preserve">لا فرق ما بين الحدوث و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لازم الذات و لن يفترقا</w:t>
      </w:r>
    </w:p>
    <w:p>
      <w:pPr>
        <w:pStyle w:val="BookText"/>
        <w:rPr/>
      </w:pPr>
      <w:r>
        <w:rPr>
          <w:rFonts w:ascii="Amiri" w:hAnsi="Amiri" w:eastAsia="Amiri" w:cs="Amiri"/>
          <w:color w:val="111111"/>
          <w:sz w:val="28"/>
          <w:sz w:val="28"/>
          <w:szCs w:val="28"/>
          <w:rtl w:val="true"/>
          <w:lang w:bidi="ar-SA"/>
        </w:rPr>
        <w:t>هذا كلّه حول المبنى و أمّا البناء فيكفي في التخلص عن الجبر استناد الفعل إلى الفاعل و الخالق معاً، لكن يكون قدرة المخلوق في طول قدرة الخالق، و منشعبة عنها، و هذا يكفي في الاستناد و صحّة الأمر و النهي و التأديب و التثويب، فالجبر و التفويض باطلان، و الأمر بين الأمرين هو الحق الصراح، و قد تواتر عن أئمة أهل البيت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لكن أمر بين الأمرين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ثمّ إنّ الدافع إلى القول بالتفويض هو صيانة عدله سبحانه فزعموا أنّ الصيانة لها رهن القول بالتفويض و استقلال العبد بالفعل، و غفلوا عن أنّ هناك طريقاً آخر، و هو ما ذهبت إليه الإماميّة، ثمّ إنّهم و إن نزّهوا العبد عن الظلم و لكن صوّروا له شريكاً في الإيجاد، و لأجل ذلك قال الإمام الرضا عليه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مساكين القدرية أرادوا أن يصفوا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بعدله، فأخرجوه من قدرته و سلطانه</w:t>
      </w:r>
      <w:r>
        <w:rPr>
          <w:rFonts w:eastAsia="Amiri" w:cs="Amiri" w:ascii="Amiri" w:hAnsi="Amiri"/>
          <w:color w:val="111111"/>
          <w:sz w:val="28"/>
          <w:szCs w:val="28"/>
          <w:rtl w:val="true"/>
          <w:lang w:bidi="ar-SA"/>
        </w:rPr>
        <w:t>.</w:t>
      </w:r>
      <w:r>
        <w:rPr>
          <w:rStyle w:val="FootnoteAnchor"/>
          <w:rtl w:val="true"/>
        </w:rPr>
        <w:footnoteReference w:id="489"/>
      </w:r>
      <w:bookmarkStart w:id="397" w:name="pg11536_164096"/>
    </w:p>
    <w:p>
      <w:pPr>
        <w:pStyle w:val="Heading6"/>
        <w:numPr>
          <w:ilvl w:val="5"/>
          <w:numId w:val="1"/>
        </w:numPr>
        <w:rPr/>
      </w:pPr>
      <w:bookmarkStart w:id="398" w:name="__RefHeading___Toc3907555_73709187"/>
      <w:bookmarkStart w:id="399" w:name="_Toc145"/>
      <w:bookmarkEnd w:id="397"/>
      <w:bookmarkEnd w:id="398"/>
      <w:r>
        <w:rPr/>
        <w:t>10</w:t>
      </w:r>
      <w:r>
        <w:rPr>
          <w:rtl w:val="true"/>
        </w:rPr>
        <w:t xml:space="preserve"> - </w:t>
      </w:r>
      <w:r>
        <w:rPr>
          <w:rtl w:val="true"/>
        </w:rPr>
        <w:t>قبول التوبة واجب على اللّٰه أو تفضّل منه؟</w:t>
      </w:r>
      <w:bookmarkEnd w:id="399"/>
    </w:p>
    <w:p>
      <w:pPr>
        <w:pStyle w:val="BookText"/>
        <w:rPr/>
      </w:pPr>
      <w:r>
        <w:rPr>
          <w:rFonts w:ascii="Amiri" w:hAnsi="Amiri" w:eastAsia="Amiri" w:cs="Amiri"/>
          <w:color w:val="111111"/>
          <w:sz w:val="28"/>
          <w:sz w:val="28"/>
          <w:szCs w:val="28"/>
          <w:rtl w:val="true"/>
          <w:lang w:bidi="ar-SA"/>
        </w:rPr>
        <w:t>اتّفق المسلمون على أنّ التوبة تسقط العقاب، و إنّما الخلاف في أنّه هل يجب على اللّٰه قبولها فلو عاقب بعد التوبة كان ظالماً، أو هو تفضّل منه سبحانه؟ فالمعتزلة على الأوّل، و الأشاعرة و الإماميّة على الثاني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أنّ قبول التوبة بفضل من اللّٰه عزّ و جلّ، و ليس بواجب في العقول إسقاطها لما سلف من استحقاق العقاب، و لو لا أنّ السمع ورد بإسقاطها لجاز في العقول بقاء التائبين على شرط الاستحقاق، و وافقهم على ذلك أصحاب الحديث، و أجمعت المعتزلة على خلافهم و زعموا أنّ التوبة مسقطة لما سلف من العقاب على الوجوب</w:t>
      </w:r>
      <w:r>
        <w:rPr>
          <w:rFonts w:eastAsia="Amiri" w:cs="Amiri" w:ascii="Amiri" w:hAnsi="Amiri"/>
          <w:color w:val="111111"/>
          <w:sz w:val="28"/>
          <w:szCs w:val="28"/>
          <w:rtl w:val="true"/>
          <w:lang w:bidi="ar-SA"/>
        </w:rPr>
        <w:t>.</w:t>
      </w:r>
      <w:r>
        <w:rPr>
          <w:rStyle w:val="FootnoteAnchor"/>
          <w:rtl w:val="true"/>
        </w:rPr>
        <w:footnoteReference w:id="49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محور المسألة قبول التوبة و عدمه بما هو هو لا بلحاظ آخر كما في صورة الأخبار بقبول التوبة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يَقْبَلُ اَلتَّوْبَةَ عَنْ عِبٰادِهِ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عندئذ يجب قبول التوبة عقلاً و إلّا لزم الخلف في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w:t>
      </w:r>
      <w:bookmarkStart w:id="400" w:name="pg11536_164097"/>
    </w:p>
    <w:p>
      <w:pPr>
        <w:pStyle w:val="BookText"/>
        <w:rPr/>
      </w:pPr>
      <w:bookmarkEnd w:id="400"/>
      <w:r>
        <w:rPr>
          <w:rFonts w:ascii="Amiri" w:hAnsi="Amiri" w:eastAsia="Amiri" w:cs="Amiri"/>
          <w:color w:val="111111"/>
          <w:sz w:val="28"/>
          <w:sz w:val="28"/>
          <w:szCs w:val="28"/>
          <w:rtl w:val="true"/>
          <w:lang w:bidi="ar-SA"/>
        </w:rPr>
        <w:t>وَ أَصْلَحُوا وَ بَيَّنُوا فَأُولٰئِكَ أَتُوبُ عَلَيْهِمْ وَ أَنَا اَلتَّوّٰابُ اَلرَّحِيمُ</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وصفه بالرحيم عقيب التوّاب يدل على أنّ إسقاط العقاب بعد التوبة تفضل منه سبحانه و رحمة من جهته، على ما قاله أصحابنا، و أنّه غير واجب عقلاً على خلاف ما ذهب إليه المعتزلة</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من أراد أنّ يقف على دلائل المعتزلة في المقام فليرجع إلى كشف المراد و شرح المقاصد</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3907557_73709187"/>
      <w:bookmarkStart w:id="402" w:name="_Toc146"/>
      <w:bookmarkEnd w:id="401"/>
      <w:r>
        <w:rPr/>
        <w:t>11</w:t>
      </w:r>
      <w:r>
        <w:rPr>
          <w:rtl w:val="true"/>
        </w:rPr>
        <w:t xml:space="preserve"> - </w:t>
      </w:r>
      <w:r>
        <w:rPr>
          <w:rtl w:val="true"/>
        </w:rPr>
        <w:t>عصمة الأنبياء قبل البعثة و بعدها</w:t>
      </w:r>
      <w:bookmarkEnd w:id="402"/>
    </w:p>
    <w:p>
      <w:pPr>
        <w:pStyle w:val="BookText"/>
        <w:rPr/>
      </w:pPr>
      <w:r>
        <w:rPr>
          <w:rFonts w:ascii="Amiri" w:hAnsi="Amiri" w:eastAsia="Amiri" w:cs="Amiri"/>
          <w:color w:val="111111"/>
          <w:sz w:val="28"/>
          <w:sz w:val="28"/>
          <w:szCs w:val="28"/>
          <w:rtl w:val="true"/>
          <w:lang w:bidi="ar-SA"/>
        </w:rPr>
        <w:t xml:space="preserve">اتفقت الإمامية على أنّ جميع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معصومون من الكبائر قبل النبوة و بعدها، و ممّا يستخف فاعله من الصغائر و أما ما كان من صغير لا يستخف فاعله فجائز وقوعه منهم قبل النبوة و على غير تعمد و ممتنع منهم بعدها، على كل حال هذا مذهب جمهور الإمامية، و المعتزلة بأسرها تخالف فيه</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المقول عن أبي علي الجبائي التفصيل في الكبائر بين قبل البعثة و بعدها فيجوز في الأوّل دون الثاني، و المختار عند القاضي في الكبائر عدم الجواز مطلقاً، و أمّا المنفّرات فاتفقوا على عدم جوازه</w:t>
      </w:r>
      <w:r>
        <w:rPr>
          <w:rFonts w:eastAsia="Amiri" w:cs="Amiri" w:ascii="Amiri" w:hAnsi="Amiri"/>
          <w:color w:val="111111"/>
          <w:sz w:val="28"/>
          <w:szCs w:val="28"/>
          <w:rtl w:val="true"/>
          <w:lang w:bidi="ar-SA"/>
        </w:rPr>
        <w:t>.</w:t>
      </w:r>
      <w:r>
        <w:rPr>
          <w:rStyle w:val="FootnoteAnchor"/>
          <w:rtl w:val="true"/>
        </w:rPr>
        <w:footnoteReference w:id="496"/>
      </w:r>
      <w:bookmarkStart w:id="403" w:name="pg11536_164098"/>
    </w:p>
    <w:p>
      <w:pPr>
        <w:pStyle w:val="Heading6"/>
        <w:numPr>
          <w:ilvl w:val="5"/>
          <w:numId w:val="1"/>
        </w:numPr>
        <w:rPr/>
      </w:pPr>
      <w:bookmarkStart w:id="404" w:name="__RefHeading___Toc3907559_73709187"/>
      <w:bookmarkStart w:id="405" w:name="_Toc147"/>
      <w:bookmarkEnd w:id="403"/>
      <w:bookmarkEnd w:id="404"/>
      <w:r>
        <w:rPr/>
        <w:t>12</w:t>
      </w:r>
      <w:r>
        <w:rPr>
          <w:rtl w:val="true"/>
        </w:rPr>
        <w:t xml:space="preserve"> - </w:t>
      </w:r>
      <w:r>
        <w:rPr>
          <w:rtl w:val="true"/>
        </w:rPr>
        <w:t>وجوب الأمر بالمعروف عقلاً و عدمه</w:t>
      </w:r>
      <w:bookmarkEnd w:id="405"/>
    </w:p>
    <w:p>
      <w:pPr>
        <w:pStyle w:val="BookText"/>
        <w:rPr/>
      </w:pPr>
      <w:r>
        <w:rPr>
          <w:rFonts w:ascii="Amiri" w:hAnsi="Amiri" w:eastAsia="Amiri" w:cs="Amiri"/>
          <w:color w:val="111111"/>
          <w:sz w:val="28"/>
          <w:sz w:val="28"/>
          <w:szCs w:val="28"/>
          <w:rtl w:val="true"/>
          <w:lang w:bidi="ar-SA"/>
        </w:rPr>
        <w:t>اتفقت الأُمّة على وجوب الأمر بالمعروف و النهي عن المنكر بلا استثناء غير أنهم اختلفوا في وجوبه عقلاً و سمعاً، أو سمعاً فقط، فالمعتزلة على الأوّل و الإماميّة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 باللسان فرض على الكفاية بشرط الحاجة إليه لقيام الحجة على من لا يعلم لديه إلّا بذكره أو حصول العلم بالمصلحة به أو غلبه الظن بذلك</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ثمّ إنّ المحقق الطوسي ذكر في متن التجريد دلائل المعتزلة على وجوبهما عقلاً، ثمّ عقب عليها بنقد و تحليل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6" w:name="__RefHeading___Toc3907561_73709187"/>
      <w:bookmarkStart w:id="407" w:name="_Toc148"/>
      <w:bookmarkEnd w:id="406"/>
      <w:r>
        <w:rPr/>
        <w:t>13</w:t>
      </w:r>
      <w:r>
        <w:rPr>
          <w:rtl w:val="true"/>
        </w:rPr>
        <w:t xml:space="preserve"> - </w:t>
      </w:r>
      <w:r>
        <w:rPr>
          <w:rtl w:val="true"/>
        </w:rPr>
        <w:t>آباء رسول اللّٰه كلّهم موحّدون</w:t>
      </w:r>
      <w:bookmarkEnd w:id="40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الإماميّة على أنّ آباء رسول اللّٰه من لدن آدم إلى عبد اللّٰه بن عبد المطلب مؤمنون باللّٰه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موحّدون له، و خالفهم على هذا القول جميع الفرق</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408" w:name="pg11536_164099"/>
    </w:p>
    <w:p>
      <w:pPr>
        <w:pStyle w:val="Heading6"/>
        <w:numPr>
          <w:ilvl w:val="5"/>
          <w:numId w:val="1"/>
        </w:numPr>
        <w:rPr/>
      </w:pPr>
      <w:bookmarkStart w:id="409" w:name="__RefHeading___Toc3907563_73709187"/>
      <w:bookmarkStart w:id="410" w:name="_Toc149"/>
      <w:bookmarkEnd w:id="408"/>
      <w:bookmarkEnd w:id="409"/>
      <w:r>
        <w:rPr/>
        <w:t>14</w:t>
      </w:r>
      <w:r>
        <w:rPr>
          <w:rtl w:val="true"/>
        </w:rPr>
        <w:t xml:space="preserve"> - </w:t>
      </w:r>
      <w:r>
        <w:rPr>
          <w:rtl w:val="true"/>
        </w:rPr>
        <w:t>تفضيل الأنبياء على الملائكة</w:t>
      </w:r>
      <w:bookmarkEnd w:id="410"/>
    </w:p>
    <w:p>
      <w:pPr>
        <w:pStyle w:val="BookText"/>
        <w:rPr/>
      </w:pPr>
      <w:r>
        <w:rPr>
          <w:rFonts w:ascii="Amiri" w:hAnsi="Amiri" w:eastAsia="Amiri" w:cs="Amiri"/>
          <w:color w:val="111111"/>
          <w:sz w:val="28"/>
          <w:sz w:val="28"/>
          <w:szCs w:val="28"/>
          <w:rtl w:val="true"/>
          <w:lang w:bidi="ar-SA"/>
        </w:rPr>
        <w:t>اتفقت الإماميّة على أنّ أنبياء اللّٰه عزّ و جلّ و رسله من البشر أفضل من الملائكة و وافقهم على ذلك أصحاب الحديث، و أجمعت المعتزلة على خلاف ذلك و زعم الجمهور منهم أنّ الملائكة أفضل من الأنبياء و الرسل</w:t>
      </w:r>
      <w:r>
        <w:rPr>
          <w:rFonts w:eastAsia="Amiri" w:cs="Amiri" w:ascii="Amiri" w:hAnsi="Amiri"/>
          <w:color w:val="111111"/>
          <w:sz w:val="28"/>
          <w:szCs w:val="28"/>
          <w:rtl w:val="true"/>
          <w:lang w:bidi="ar-SA"/>
        </w:rPr>
        <w:t>.</w:t>
      </w:r>
      <w:r>
        <w:rPr>
          <w:rStyle w:val="FootnoteAnchor"/>
          <w:rtl w:val="true"/>
        </w:rPr>
        <w:footnoteReference w:id="500"/>
      </w:r>
    </w:p>
    <w:p>
      <w:pPr>
        <w:pStyle w:val="Heading6"/>
        <w:numPr>
          <w:ilvl w:val="5"/>
          <w:numId w:val="1"/>
        </w:numPr>
        <w:rPr/>
      </w:pPr>
      <w:bookmarkStart w:id="411" w:name="__RefHeading___Toc3907565_73709187"/>
      <w:bookmarkStart w:id="412" w:name="_Toc150"/>
      <w:bookmarkEnd w:id="411"/>
      <w:r>
        <w:rPr/>
        <w:t>15</w:t>
      </w:r>
      <w:r>
        <w:rPr>
          <w:rtl w:val="true"/>
        </w:rPr>
        <w:t xml:space="preserve"> - </w:t>
      </w:r>
      <w:r>
        <w:rPr>
          <w:rtl w:val="true"/>
        </w:rPr>
        <w:t>الرجعة</w:t>
      </w:r>
      <w:r>
        <w:rPr>
          <w:rtl w:val="true"/>
        </w:rPr>
        <w:t xml:space="preserve">: </w:t>
      </w:r>
      <w:r>
        <w:rPr>
          <w:rtl w:val="true"/>
        </w:rPr>
        <w:t>إمكانها و وقوعها</w:t>
      </w:r>
      <w:bookmarkEnd w:id="412"/>
    </w:p>
    <w:p>
      <w:pPr>
        <w:pStyle w:val="BookText"/>
        <w:rPr/>
      </w:pPr>
      <w:r>
        <w:rPr>
          <w:rFonts w:ascii="Amiri" w:hAnsi="Amiri" w:eastAsia="Amiri" w:cs="Amiri"/>
          <w:color w:val="111111"/>
          <w:sz w:val="28"/>
          <w:sz w:val="28"/>
          <w:szCs w:val="28"/>
          <w:rtl w:val="true"/>
          <w:lang w:bidi="ar-SA"/>
        </w:rPr>
        <w:t>قضية الرجعة الّتي تحدثت عنها بعض الآيات القرآنية و الأحاديث المروية عن أهل بيت الرسالة ممّا تعتقد به الشيعة من بين الأُمّة الإسلاميّة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يحشر قوماً من أُمّة محمد صلى الله عليه و آله و سلم بعد موتهم قبل يوم القيامة و هذا مذهب يختص به آل محمد صلى الله عليه و آله و سلم و القرآن شاهد به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 خالفت المعتزلة و الأشاعرة و أهل الحديث في ذلك</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3907567_73709187"/>
      <w:bookmarkStart w:id="414" w:name="_Toc151"/>
      <w:bookmarkEnd w:id="413"/>
      <w:r>
        <w:rPr/>
        <w:t>16</w:t>
      </w:r>
      <w:r>
        <w:rPr>
          <w:rtl w:val="true"/>
        </w:rPr>
        <w:t xml:space="preserve"> - </w:t>
      </w:r>
      <w:r>
        <w:rPr>
          <w:rtl w:val="true"/>
        </w:rPr>
        <w:t>الجنّة و النار مخلوقتان أو لا؟</w:t>
      </w:r>
      <w:bookmarkEnd w:id="4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وعد المتقين بالجنّة و أوعد العصاة بالنار، فهل هما مخلوقتان أو لا؟ </w:t>
      </w:r>
      <w:bookmarkStart w:id="415" w:name="pg11536_164100"/>
    </w:p>
    <w:p>
      <w:pPr>
        <w:pStyle w:val="BookText"/>
        <w:rPr/>
      </w:pPr>
      <w:bookmarkEnd w:id="415"/>
      <w:r>
        <w:rPr>
          <w:rFonts w:ascii="Amiri" w:hAnsi="Amiri" w:eastAsia="Amiri" w:cs="Amiri"/>
          <w:color w:val="111111"/>
          <w:sz w:val="28"/>
          <w:sz w:val="28"/>
          <w:szCs w:val="28"/>
          <w:rtl w:val="true"/>
          <w:lang w:bidi="ar-SA"/>
        </w:rPr>
        <w:t>و المسألة نقلية محضة فالإماميّة إلّا من شذ، ذهبت إلى أنّ الجنّة و النار في هذا الوقت مخلوقتان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جاءت الأخبار و عليه إجماع أهل الشرع و الآثار</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المسلمين على أنّ الجنّة و النار مخلوقتان الآن خلافاً لأبي هاشم و القاضي عبد الجبار و من يجري مجراهما من المعتزلة حيث زعموا أنّهما إنما يخلقان يوم الجزاء</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 الظاهر من السيد الرضي من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غير مخلوقتين الآن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أنّهما إنّما تخلقان بعده</w:t>
      </w:r>
      <w:r>
        <w:rPr>
          <w:rFonts w:eastAsia="Amiri" w:cs="Amiri" w:ascii="Amiri" w:hAnsi="Amiri"/>
          <w:color w:val="111111"/>
          <w:sz w:val="28"/>
          <w:szCs w:val="28"/>
          <w:rtl w:val="true"/>
          <w:lang w:bidi="ar-SA"/>
        </w:rPr>
        <w:t>.</w:t>
      </w:r>
      <w:r>
        <w:rPr>
          <w:rStyle w:val="FootnoteAnchor"/>
          <w:rtl w:val="true"/>
        </w:rPr>
        <w:footnoteReference w:id="504"/>
      </w:r>
    </w:p>
    <w:p>
      <w:pPr>
        <w:pStyle w:val="Heading6"/>
        <w:numPr>
          <w:ilvl w:val="5"/>
          <w:numId w:val="1"/>
        </w:numPr>
        <w:rPr/>
      </w:pPr>
      <w:bookmarkStart w:id="416" w:name="__RefHeading___Toc3907569_73709187"/>
      <w:bookmarkStart w:id="417" w:name="_Toc152"/>
      <w:bookmarkEnd w:id="416"/>
      <w:r>
        <w:rPr/>
        <w:t>17</w:t>
      </w:r>
      <w:r>
        <w:rPr>
          <w:rtl w:val="true"/>
        </w:rPr>
        <w:t xml:space="preserve"> - </w:t>
      </w:r>
      <w:r>
        <w:rPr>
          <w:rtl w:val="true"/>
        </w:rPr>
        <w:t>تأويل النصوص اعتماداً على القواعد العقلية</w:t>
      </w:r>
      <w:r>
        <w:rPr>
          <w:rtl w:val="true"/>
        </w:rPr>
        <w:t>:</w:t>
      </w:r>
      <w:bookmarkEnd w:id="4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الأُصول الخمسة عند المعتزلة توصف بالصحة و الإتقان على درجة تقدّم على النصوص الشرعية الواردة في القرآن الكريم و السنّة، فقد أعطوا للعقل أكثر ممّا يستحقّه، و لذلك نرى أنّهم لما بنوا على أنّ مرتكب الكبيرة مخلّد في النار أوّلوا النصوص القرآنية،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 الشفاعة هو ترفيع الدرجة لا رفع العقاب، و قس على ذلك سائر تأويلاتهم في الكتاب و السنّة</w:t>
      </w:r>
      <w:r>
        <w:rPr>
          <w:rFonts w:eastAsia="Amiri" w:cs="Amiri" w:ascii="Amiri" w:hAnsi="Amiri"/>
          <w:color w:val="111111"/>
          <w:sz w:val="28"/>
          <w:szCs w:val="28"/>
          <w:rtl w:val="true"/>
          <w:lang w:bidi="ar-SA"/>
        </w:rPr>
        <w:t xml:space="preserve">. </w:t>
      </w:r>
      <w:bookmarkStart w:id="418" w:name="pg11536_164101"/>
    </w:p>
    <w:p>
      <w:pPr>
        <w:pStyle w:val="BookText"/>
        <w:rPr/>
      </w:pPr>
      <w:bookmarkEnd w:id="418"/>
      <w:r>
        <w:rPr>
          <w:rFonts w:ascii="Amiri" w:hAnsi="Amiri" w:eastAsia="Amiri" w:cs="Amiri"/>
          <w:color w:val="111111"/>
          <w:sz w:val="28"/>
          <w:sz w:val="28"/>
          <w:szCs w:val="28"/>
          <w:rtl w:val="true"/>
          <w:lang w:bidi="ar-SA"/>
        </w:rPr>
        <w:t>إنّ النص الوارد في القرآن الكريم دليل قطعي لا يعادله شيء فعند ذلك تجب تخطئة العقل لا تأويل القرآن، و التعارض بين القطعيين غير معقول، و تأويل النص القطعي كرفضه، نعم لو كان النص ظني السند أو كان الدليل الشرعي ظنّي الدلالة فللتأويل مجال، هذا و للبحث صلة تطلب في مجالها</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3907571_73709187"/>
      <w:bookmarkStart w:id="420" w:name="_Toc153"/>
      <w:bookmarkEnd w:id="419"/>
      <w:r>
        <w:rPr/>
        <w:t>18</w:t>
      </w:r>
      <w:r>
        <w:rPr>
          <w:rtl w:val="true"/>
        </w:rPr>
        <w:t xml:space="preserve"> - </w:t>
      </w:r>
      <w:r>
        <w:rPr>
          <w:rtl w:val="true"/>
        </w:rPr>
        <w:t>الإمامة بالتنصيص أو بالشورى</w:t>
      </w:r>
      <w:r>
        <w:rPr>
          <w:rtl w:val="true"/>
        </w:rPr>
        <w:t>:</w:t>
      </w:r>
      <w:bookmarkEnd w:id="420"/>
    </w:p>
    <w:p>
      <w:pPr>
        <w:pStyle w:val="BookText"/>
        <w:rPr/>
      </w:pPr>
      <w:r>
        <w:rPr>
          <w:rFonts w:ascii="Amiri" w:hAnsi="Amiri" w:eastAsia="Amiri" w:cs="Amiri"/>
          <w:color w:val="111111"/>
          <w:sz w:val="28"/>
          <w:sz w:val="28"/>
          <w:szCs w:val="28"/>
          <w:rtl w:val="true"/>
          <w:lang w:bidi="ar-SA"/>
        </w:rPr>
        <w:t>اتفقت الإماميّة على أنّ الإمامة بالتنصيص خلافاً للأشاعرة و المعتزلة فقالوا بالشورى و غيرها، و يتفرع على ذلك أمر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نص على خليفته بالذات عند الإمامية،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و ترك الأمر شورى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عند البحث عن طرق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العقد و الاختيار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3907573_73709187"/>
      <w:bookmarkStart w:id="422" w:name="_Toc154"/>
      <w:bookmarkEnd w:id="421"/>
      <w:r>
        <w:rPr/>
        <w:t>19</w:t>
      </w:r>
      <w:r>
        <w:rPr>
          <w:rtl w:val="true"/>
        </w:rPr>
        <w:t xml:space="preserve"> - </w:t>
      </w:r>
      <w:r>
        <w:rPr>
          <w:rtl w:val="true"/>
        </w:rPr>
        <w:t>هل يشترط في الإمام كونه معصوماً</w:t>
      </w:r>
      <w:bookmarkEnd w:id="42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الإمامية على أنّ الامام يجب أنّ يكون معصوماً عن الخطأ و المعصية خلافاً للمعتزلة حيث اكتفت أنه يجب أنّ يكون مبرزاً في العلم </w:t>
      </w:r>
      <w:bookmarkStart w:id="423" w:name="pg11536_164102"/>
    </w:p>
    <w:p>
      <w:pPr>
        <w:pStyle w:val="BookText"/>
        <w:rPr/>
      </w:pPr>
      <w:bookmarkEnd w:id="423"/>
      <w:r>
        <w:rPr>
          <w:rFonts w:ascii="Amiri" w:hAnsi="Amiri" w:eastAsia="Amiri" w:cs="Amiri"/>
          <w:color w:val="111111"/>
          <w:sz w:val="28"/>
          <w:sz w:val="28"/>
          <w:szCs w:val="28"/>
          <w:rtl w:val="true"/>
          <w:lang w:bidi="ar-SA"/>
        </w:rPr>
        <w:t>مجتهداً ذا ورع شديد، يوثق بقوله و يؤمن منه و يعتمد عليه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القائمين مقام الأنبياء في تنفيذ الأحكام، و إقامة الحدود، و حفظ الشرائع، و تأديب الأنام، معصومون كعصمة الأنبياء، و انّهم لا يجوز منهم صغيرة إلّا ما قدّمت ذكر جوازه على الأنبياء، و انه لا يجوز منه سهو في شيء في الدين و لا ينسون شيئاً من الأحكام، و على هذا مذهب سائر الإماميّة إلّا من شذّ منهم و تعلّق بظاهر روايات لها تأويلات على خلاف ظنّه الفاسد في الباب، و المعتزلة بأسرها تخالف في ذلك و يجوّزون من الأئمّة وقوع الكبائر و الردّة عن إسلام</w:t>
      </w:r>
      <w:r>
        <w:rPr>
          <w:rFonts w:eastAsia="Amiri" w:cs="Amiri" w:ascii="Amiri" w:hAnsi="Amiri"/>
          <w:color w:val="111111"/>
          <w:sz w:val="28"/>
          <w:szCs w:val="28"/>
          <w:rtl w:val="true"/>
          <w:lang w:bidi="ar-SA"/>
        </w:rPr>
        <w:t>.</w:t>
      </w:r>
      <w:r>
        <w:rPr>
          <w:rStyle w:val="FootnoteAnchor"/>
          <w:rtl w:val="true"/>
        </w:rPr>
        <w:footnoteReference w:id="507"/>
      </w:r>
    </w:p>
    <w:p>
      <w:pPr>
        <w:pStyle w:val="Heading6"/>
        <w:numPr>
          <w:ilvl w:val="5"/>
          <w:numId w:val="1"/>
        </w:numPr>
        <w:rPr/>
      </w:pPr>
      <w:bookmarkStart w:id="424" w:name="__RefHeading___Toc3907575_73709187"/>
      <w:bookmarkStart w:id="425" w:name="_Toc155"/>
      <w:bookmarkEnd w:id="424"/>
      <w:r>
        <w:rPr/>
        <w:t>20</w:t>
      </w:r>
      <w:r>
        <w:rPr>
          <w:rtl w:val="true"/>
        </w:rPr>
        <w:t xml:space="preserve"> - </w:t>
      </w:r>
      <w:r>
        <w:rPr>
          <w:rtl w:val="true"/>
        </w:rPr>
        <w:t>حكم محارب الإمام علي أمير المؤمنين</w:t>
      </w:r>
      <w:r>
        <w:rPr>
          <w:rtl w:val="true"/>
        </w:rPr>
        <w:t>:</w:t>
      </w:r>
      <w:bookmarkEnd w:id="42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على أنّ الناكثين و القاسطين من أهل البصرة و الشام أجمعين كفّار ضلّال ملعونون بحربهم أمير المؤمنين عليه السلام و انّهم بذلك في النار مخلدون و أجمعت المعتزلة سوى الغزّال منهم و ابن باب، و المرجئة و الحشوية من أصحاب الحديث على خلاف ذلك، فزعمت المعتزلة كافّة إلّا من سمّيناه و جماعة من المرجئة و طائفة من أصحاب الحديث، انّهم فسّاق ليسوا بكفار، و قطعت المعتزلة من بينهم على أنّهم لفسقهم في النار خالدون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هذه جملة من الأُصول الّتي يختلف فيها المنهجان و بقيت هناك أُصول أُخرى تضاربت فيها آراء الفريقين لم نذكرها روماً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إلى تحليل سائر الوجوه لمؤلف كتاب المعتزلة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الرفض و الاعتزال في زمانه متصادقين متآخيين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قلّما يوجد معتزلي إلّا و هو رافضي</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الشيخ جمال الدين القاسمي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المعتزلة اليوم كفرقة أهل السنّة و الجماعة، من أعظم الفرق رجالاً و أكثرها تابعاً، لأنّ شيعة العراق على الإطلاق 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شيعة الأقطار الهندية و الفارسية و الشامية، و مثلهم الشيعة الزيديّة باليمن</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الكلمات لا تدلّ على عيلولة الشيعة في عقائدهم على المعتزلة، فإنّ الشيعة الإماميّة تقتدي في أُصولها و فروعها بأئمّة أهل البيت عليهم السلام الّذين جعلهم الرسول الأعظم صلى الله عليه و آله و سلم عدلاً للقرآن الكريم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ترجع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 شيعيّاً إماميّاً أخذ عقيدته من عالم معتزلي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هذين المصدرين الصحيحين لا حاجة للرجوع إلى غيرهما</w:t>
      </w:r>
      <w:r>
        <w:rPr>
          <w:rFonts w:eastAsia="Amiri" w:cs="Amiri" w:ascii="Amiri" w:hAnsi="Amiri"/>
          <w:color w:val="111111"/>
          <w:sz w:val="28"/>
          <w:szCs w:val="28"/>
          <w:rtl w:val="true"/>
          <w:lang w:bidi="ar-SA"/>
        </w:rPr>
        <w:t xml:space="preserve">. </w:t>
      </w:r>
      <w:bookmarkStart w:id="426" w:name="pg11536_164104"/>
    </w:p>
    <w:p>
      <w:pPr>
        <w:pStyle w:val="BookText"/>
        <w:rPr/>
      </w:pPr>
      <w:bookmarkEnd w:id="426"/>
      <w:r>
        <w:rPr>
          <w:rFonts w:ascii="Amiri" w:hAnsi="Amiri" w:eastAsia="Amiri" w:cs="Amiri"/>
          <w:color w:val="111111"/>
          <w:sz w:val="28"/>
          <w:sz w:val="28"/>
          <w:szCs w:val="28"/>
          <w:rtl w:val="true"/>
          <w:lang w:bidi="ar-SA"/>
        </w:rPr>
        <w:t>و المعتزلة كما أقرّ أعلامهم اقتفوا في التّوحيد و العدل أثر خطب الإمام أمير المؤمنين عليه السلام و تتلمذوا على حفيده أبي هاشم ابن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القاسمي الدمشقي من أنّ شيعة العراق على الإطلاق معتزلة، صحيحة إن أراد أنّ شيعة العراق بل الشيعة في جميع الأقطار قائلون بالتوحيد و العدل، اقتفاءً لأثر الكتاب و السنّة الصحيحة المرويّة عن أئمّة أهل البيت لا سيّما خطب الإمام عليّ عليه السلام، كما أنّ المعتزلة أيضاً قائلون بهما مقتفين أثر ما أخذوه من البيت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المعتزلة أقرب إلى الشيعة من الحنابلة و الأشاعرة، فإنّ ولاء كثير منهم لأهل البيت لا ينكر، كما أنّ تمسّكهم بالأُصول العقلية المبرهنة، و رفض الآخرين لها، جعلهم متّحدين في كثير من الأُصول مع الشيعة، و مع ذلك فإنّ لجميع الطوائف الإسلاميّة، أُصولاً مشتركة، و أُصولاً يتميّز بها بعضهم عن بعض فلكلّ طائفة إسلاميّة مشتركات و مميّزات</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3907577_73709187"/>
      <w:bookmarkStart w:id="428" w:name="_Toc156"/>
      <w:bookmarkEnd w:id="427"/>
      <w:r>
        <w:rPr>
          <w:rtl w:val="true"/>
        </w:rPr>
        <w:t>رمي الاعتزال بالتشيّع</w:t>
      </w:r>
      <w:bookmarkEnd w:id="42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عجائب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عشت أراك الدهر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المعتزلة بالتشيّع، و ترى تلك النسبة في كتب الأشاعرة و الحنابلة، خصوصاً الرجاليّين منهم، فلم تكن الشيعة وحدها متّهمة بالاعتزال، بل صارت المعتزلة متّهمة بنظيرتها، غير أنّ رمي الشيعة بالاعتزال لا يختصّ بقوم دون قوم، حتّى إنّ أصحاب الطبقات من المعتزلة عدّوا أئمّة أهل البيت عليهم السلام و كبار علماء الشيعة </w:t>
      </w:r>
    </w:p>
    <w:p>
      <w:pPr>
        <w:pStyle w:val="BookText"/>
        <w:rPr/>
      </w:pPr>
      <w:r>
        <w:rPr>
          <w:rFonts w:ascii="Amiri" w:hAnsi="Amiri" w:eastAsia="Amiri" w:cs="Amiri"/>
          <w:color w:val="111111"/>
          <w:sz w:val="28"/>
          <w:sz w:val="28"/>
          <w:szCs w:val="28"/>
          <w:rtl w:val="true"/>
          <w:lang w:bidi="ar-SA"/>
        </w:rPr>
        <w:t>من المعتزلة،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موسى النوبختي من المعتزلة، و لم يكتفوا بذلك، بل عدّوا المرتضى و الرضي منهم</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 قد عرفت مدى صدق هذه النسبة، و أنّ كثيراً من أعلام الشيعة نقدوا كتب المعتزلة، حتّى إنّ الشيخ المفيد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التهمة الأُخرى، و هو رمي الاعتزال بالتشيّع، و الحقّ أنّه لو فسِّر التشيّع بحبّ عليّ و أهل بيته عليهم السلام فأعلام السنّة من الأشاعرة و المعتزلة و الحنابلة كلّهم شيعة إلّا من له هوى العثمانيّة، الّذين يكثرون من الوقيعة في عليّ و أولاده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فسّر بتقديم عليّ على سائر الخلفاء في العلم و الزهد و سائر المثل الأخلاقيّة، فمعتزلة بغداد إلّا من شذّ شيعة، فإنّهم و إن اعترفوا بخلافة الخلفاء، لكن يعترفون بفضل عليّ عليه السلام و تقدّمه على أقرانه، و هذا هو الّذي صار سبباً لجرح كثير من الرواة العدول، و ما ذنبهم إلّا تقديم عليّ على غيره في الفضائل، أخذاً بنصوص الآيات و الروايات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فسّر التشيع بالاعتراف بخلافة عليّ بتنصيب من النبي صلى الله عليه و آله و سلم و أمر منه سبحانه، فالشيعة تنحصر بمن يعتقد بهذا المبدأ، و المعتزلة كلّهم يخالفون و لا يعترفون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أوقع جمعاً من مؤلّفي المقالات في الوهم الأوّل هو التقاء </w:t>
      </w:r>
    </w:p>
    <w:p>
      <w:pPr>
        <w:pStyle w:val="BookText"/>
        <w:rPr/>
      </w:pPr>
      <w:r>
        <w:rPr>
          <w:rFonts w:ascii="Amiri" w:hAnsi="Amiri" w:eastAsia="Amiri" w:cs="Amiri"/>
          <w:color w:val="111111"/>
          <w:sz w:val="28"/>
          <w:sz w:val="28"/>
          <w:szCs w:val="28"/>
          <w:rtl w:val="true"/>
          <w:lang w:bidi="ar-SA"/>
        </w:rPr>
        <w:t>التشيّع مع الاعتزال في بعض المواضع و النقاط كالتوحيد و العدل، و لو صار ذلك سبباً لرمي الشيعة بالاعتزال، صحّ عدّ الأشاعرة منهم لالتقائهم معهم في عدّة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أوقعهم في الوهم الثّاني هو انحيازهم إلى عليّ في كثير من المبادئ خصوصاً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فلفظ التشيع قد تطوّر من جهة المعنى بعد ما كان معناه في اليوم الأوّل، بعد رحلة الرسول، هو من شايع عليّاً دون غيره، و قال بخلافته دون سائر الخلفاء، فأُطلق على من أحبّ عليّاً و أولاده، و ناضل العثمانيّة و أهوائها، و على من قدّم عليّاً في الفضائل و المناقب، لا في الخلافة، فلأجل هذا التطوّر فربّما يشتبه المراد منه في كلمات الرّجاليين و أصحاب المقالات، و ربّما تعدّ أُناس شيعةً بالمعنى الأوّل، مع أنّهم شيعة بالمعنيين الأخيرين، فلاحظ، و سيوافيك التوضيح عند البحث عن عقائد الشيعة الزيدية و الإسماعيليّة و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 توحيد الكلمة كما رزقهم كلمة 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 الإسلام على دعامتين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التوحيد، و توحيد الكلمة</w:t>
      </w:r>
      <w:r>
        <w:rPr>
          <w:rFonts w:eastAsia="Amiri" w:cs="Amiri" w:ascii="Amiri" w:hAnsi="Amiri"/>
          <w:color w:val="111111"/>
          <w:sz w:val="28"/>
          <w:szCs w:val="28"/>
          <w:rtl w:val="true"/>
          <w:lang w:bidi="ar-SA"/>
        </w:rPr>
        <w:t xml:space="preserve">» </w:t>
      </w:r>
      <w:bookmarkStart w:id="429" w:name="pg11536_164107"/>
    </w:p>
    <w:p>
      <w:pPr>
        <w:pStyle w:val="Heading3"/>
        <w:numPr>
          <w:ilvl w:val="2"/>
          <w:numId w:val="1"/>
        </w:numPr>
        <w:rPr/>
      </w:pPr>
      <w:bookmarkStart w:id="430" w:name="__RefHeading___Toc3907579_73709187"/>
      <w:bookmarkStart w:id="431" w:name="_Toc157"/>
      <w:bookmarkEnd w:id="429"/>
      <w:bookmarkEnd w:id="430"/>
      <w:r>
        <w:rPr>
          <w:rtl w:val="true"/>
        </w:rPr>
        <w:t>الفصل الرابع</w:t>
      </w:r>
      <w:r>
        <w:rPr>
          <w:rtl w:val="true"/>
        </w:rPr>
        <w:t xml:space="preserve">: </w:t>
      </w:r>
      <w:r>
        <w:rPr>
          <w:rtl w:val="true"/>
        </w:rPr>
        <w:t>أئمّة المعتزلة</w:t>
      </w:r>
      <w:bookmarkEnd w:id="431"/>
    </w:p>
    <w:p>
      <w:pPr>
        <w:pStyle w:val="Heading4"/>
        <w:numPr>
          <w:ilvl w:val="3"/>
          <w:numId w:val="1"/>
        </w:numPr>
        <w:rPr/>
      </w:pPr>
      <w:bookmarkStart w:id="432" w:name="__RefHeading___Toc3907581_73709187"/>
      <w:bookmarkStart w:id="433" w:name="_Toc158"/>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 xml:space="preserve">دلّت النصوص التأريخيّة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المؤسّس الأوّل لمنهج الاعتزال، و قد طرح أُصولاً نضجت و تكاملت بأيدي تلامذته و مقتفي منهجه عبر العصور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أراد أن يكتب تأريخ المعتزلة و طبقاتهم، فعليه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مخروط الاعتزال إلى أن يصل بالتدريج إلى قاعدته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تقدّم عليه من الصحابة و التابعين حتّى القدريّة المتبلورة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يمتّون للاعتزال بصلة، و إن اتّفقوا مع المعتزلة في القول بالتوحيد و العدل، و حريّة الإنسان و استطاعته على الفعل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التوحيد و العدل، كان شعار المسلمين من عصر النبي صلى الله عليه و آله و سلم إلى الزمان الّذي طلع فيه منهج الاعتزال، كما أنّ القول بالحريّة و استطاعة الإنسان على أحد الطرفين قول بأمر فطري جبل عليه الإنسان طوال القرون و الأدوار قبل الإسلام و بعده، فلا يعدّ الاعتقاد به إحداثاً للمنهج و تأسيساً 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القول بكون الإنسان مسيّراً لا مخيّراً، و أنّ فاعل الخير و الشرّ هو </w:t>
      </w:r>
    </w:p>
    <w:p>
      <w:pPr>
        <w:pStyle w:val="BookText"/>
        <w:rPr/>
      </w:pPr>
      <w:r>
        <w:rPr>
          <w:rFonts w:ascii="Amiri" w:hAnsi="Amiri" w:eastAsia="Amiri" w:cs="Amiri"/>
          <w:color w:val="111111"/>
          <w:sz w:val="28"/>
          <w:sz w:val="28"/>
          <w:szCs w:val="28"/>
          <w:rtl w:val="true"/>
          <w:lang w:bidi="ar-SA"/>
        </w:rPr>
        <w:t>اللّٰه سبحانه، و أنّ كلّ إنسان خلق لما قدّر له في علمه الأزلي، و أنّ التقدير لا يتغيّر حكمه و قضاؤه، إحداث منهج جديد رغم أنّ العقلاء و نصوص الكتّاب على خلافه في جميع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فلا يصحّ عدّ كلّ من قال بواحد من هذه الأُصول سلفاً للاعتزال، و شيخاً للمعتزلة، و إن اتّفق معهم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الخطّ الّذي رسمناه مشى 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مقالات الإسلاميين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 في ذكر طبقاتهم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انتهى إلى أعلامهم في عصره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زماننا هذا شيخنا أبو الحسين الخيّاط عبد الرحيم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الشنطوي</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خالفه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للمعتزلة طبقات قبل واصل، فعدّ الخلفاء من الطبقة الأُولى، و الحسن و الحسين عليهما السلام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من الطبقة الثانية، و أبا هاشم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و أخاه الحسن بن محمّد و الحسن البصري و ابن سيرين و من في طبقتهم ممّن حكي العدل عنه من الطبقة الثالثة، و عدّ غيلان بن مسلم و واصل بن عطاء و عمرو بن عبيد من الطبقة الرابعة إلى أن أنهاهم إلى عشر طبقات</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كتب الحاكم الجشمي اليمني الزيدي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ذيلاً له فأضاف إليها طبقتين أُخريين و هو جزء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أحمد بن يحيى بن المرتضى، فقد مشى على ضوء القاضي فأعاد ما ذكره هو و غيره في باب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جزء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كتاب الملل و النحل، و قد طبع منه خصوص ذلك الباب كراراً، فنحن ننقل عن النسخة الّتي حقّقها المستشرق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 أرنلد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أبو الحسين الخيّاط، حيث جعل الاعتقاد بالأُصول الخمسة ملاكاً لصدق الاعتزال و كون المعتقد معتزلياً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الاعتزال قائم على أُصول خمسة عامّة، من اعتقد بها جميعاً كان معتزلياً، و من نقص منها أو زاد عليها و لو أصلاً واحداً لم يستحقّ اسم الاعتزال، و تلك الأُصول مرتّبة حسب أهميتها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عدّ أمثال الشريف المرتضى من المعتزلة بحجّة قوله بالتوحيد و العدل، يستلزم أن يعدّ شيخه المفيد و تلميذه الطوسي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موقف هؤلاء من تلك الطائفة موقف النقد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ردّ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كتبه عليهم، لا سيّما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الجزء العشرين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عبد الجبّار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اختصره تلميذه شيخ الطّائفة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انتشر الجميع بطباعة قديمة و حديثة، و من طالع تلك الكتب يقف على أنّ موقف الشيعة الإماميّة من المعتزلة موقف الموافقة في بعض الأُصول و المخالفة في البعض الآخر، كشأنهم مع الأشاعرة و غيرهم من الطوائف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أنّ أكثر من كتب عن المعتزلة من المتأخّرين اشتبه عليهم الأمر، و ربّما عدّوا أعلام الإماميّة من مشايخ الاعتزال و روّاد منهجه، و الشيعة الإماميّة بفضل علوم أئمّتهم و نصوص رواياتهم في غنى عن كلّ منهج لا يمت للكتاب و العترة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أعداله و قرناؤه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الفصل الّذي نقدّمه للقرّاء يختص بتعريف أئمّة المعتزلة و مشايخهم الكبار، الّذين نضج المذهب بأفكارهم و آرائهم و وصل إلى القمّة في الكمال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أعلام الطائفة الّذين كان لهم دور في تبنّي هذا الخطّ من دون أنّ </w:t>
      </w:r>
      <w:bookmarkStart w:id="434" w:name="pg11536_164111"/>
    </w:p>
    <w:p>
      <w:pPr>
        <w:pStyle w:val="BookText"/>
        <w:rPr/>
      </w:pPr>
      <w:bookmarkEnd w:id="434"/>
      <w:r>
        <w:rPr>
          <w:rFonts w:ascii="Amiri" w:hAnsi="Amiri" w:eastAsia="Amiri" w:cs="Amiri"/>
          <w:color w:val="111111"/>
          <w:sz w:val="28"/>
          <w:sz w:val="28"/>
          <w:szCs w:val="28"/>
          <w:rtl w:val="true"/>
          <w:lang w:bidi="ar-SA"/>
        </w:rPr>
        <w:t>يتركوا أثراً يستحقّ الذكر، في الأصول الخمسة نذكرهم في فصل لاحق حتّى تتميّز الطائفتان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انطفأت دعوة الاعتزال و ضعفت شوكتهم بعد سادس القرون أو سابعها، فلا تسمع لهم ذكراً في الأجيال اللّاحقة فلا إمام و لا علم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انقرضوا بسيف السلطة و قسوة الحنابلة و الأشاعرة، و تركوا آثاراً و كتباً عبث بها الزمان، فلم يبق إلّا النزر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إلى الآثار</w:t>
      </w:r>
    </w:p>
    <w:p>
      <w:pPr>
        <w:pStyle w:val="Heading4"/>
        <w:numPr>
          <w:ilvl w:val="3"/>
          <w:numId w:val="1"/>
        </w:numPr>
        <w:rPr/>
      </w:pPr>
      <w:bookmarkStart w:id="435" w:name="__RefHeading___Toc3907583_73709187"/>
      <w:bookmarkStart w:id="436" w:name="_Toc159"/>
      <w:bookmarkEnd w:id="435"/>
      <w:r>
        <w:rPr/>
        <w:t>1</w:t>
      </w:r>
      <w:r>
        <w:rPr>
          <w:rtl w:val="true"/>
        </w:rPr>
        <w:t xml:space="preserve"> - </w:t>
      </w:r>
      <w:r>
        <w:rPr>
          <w:rtl w:val="true"/>
        </w:rPr>
        <w:t xml:space="preserve">واصل بن عطاء </w:t>
      </w:r>
      <w:r>
        <w:rPr>
          <w:rtl w:val="true"/>
        </w:rPr>
        <w:t>(</w:t>
      </w:r>
      <w:r>
        <w:rPr/>
        <w:t>80</w:t>
      </w:r>
      <w:r>
        <w:rPr>
          <w:rtl w:val="true"/>
        </w:rPr>
        <w:t>-</w:t>
      </w:r>
      <w:r>
        <w:rPr/>
        <w:t>131</w:t>
      </w:r>
      <w:r>
        <w:rPr>
          <w:rtl w:val="true"/>
        </w:rPr>
        <w:t xml:space="preserve"> </w:t>
      </w:r>
      <w:r>
        <w:rPr>
          <w:rtl w:val="true"/>
        </w:rPr>
        <w:t>ه</w:t>
      </w:r>
      <w:r>
        <w:rPr>
          <w:rtl w:val="true"/>
        </w:rPr>
        <w:t>)</w:t>
      </w:r>
      <w:bookmarkEnd w:id="436"/>
    </w:p>
    <w:p>
      <w:pPr>
        <w:pStyle w:val="Heading5"/>
        <w:numPr>
          <w:ilvl w:val="4"/>
          <w:numId w:val="1"/>
        </w:numPr>
        <w:rPr/>
      </w:pPr>
      <w:bookmarkStart w:id="437" w:name="__RefHeading___Toc3907585_73709187"/>
      <w:bookmarkStart w:id="438" w:name="_Toc160"/>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أبو حذيفة واصل بن عطاء مؤسس الاعتزال، المعروف بالغزّال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واصل أحد الأعاجيب ذلك أنّه كان ألثغ، قبيح اللثغة في الراء فكان يخلّص كلامه من الراء و لا يُفطَن لذلك، لاقتداره على الكلام و سهولة ألفاظه، ففي ذلك يقول أبو الطروق يمدحه بإطالة الخطب و اجتنابه الراء على كثرة تردّدها في الكلام حتّى كأنها ليست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عليم بإبدال الحروف و قامع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خطيب يغلب الحقّ باطله</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 البرّ قمحاً في تصرّفه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الرّاء حتّى احتال للشعر </w:t>
      </w:r>
    </w:p>
    <w:p>
      <w:pPr>
        <w:pStyle w:val="BookText"/>
        <w:rPr/>
      </w:pPr>
      <w:r>
        <w:rPr>
          <w:rFonts w:ascii="Amiri" w:hAnsi="Amiri" w:eastAsia="Amiri" w:cs="Amiri"/>
          <w:color w:val="111111"/>
          <w:sz w:val="28"/>
          <w:sz w:val="28"/>
          <w:szCs w:val="28"/>
          <w:rtl w:val="true"/>
          <w:lang w:bidi="ar-SA"/>
        </w:rPr>
        <w:t xml:space="preserve">و لم يطق مطراً و القول يعجله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بالغيث إشفاقاً من المطر</w:t>
      </w:r>
    </w:p>
    <w:p>
      <w:pPr>
        <w:pStyle w:val="BookText"/>
        <w:rPr/>
      </w:pPr>
      <w:r>
        <w:rPr>
          <w:rFonts w:ascii="Amiri" w:hAnsi="Amiri" w:eastAsia="Amiri" w:cs="Amiri"/>
          <w:color w:val="111111"/>
          <w:sz w:val="28"/>
          <w:sz w:val="28"/>
          <w:szCs w:val="28"/>
          <w:rtl w:val="true"/>
          <w:lang w:bidi="ar-SA"/>
        </w:rPr>
        <w:t xml:space="preserve">قد ذكر عنده بشر بن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لهذا الأعمى المكنّى بأبي معاذ من يقتله؟ أما و اللّٰه لو لا أنّ الغيلة خلق من أخلاق الغالية لبعثت إليه من يبعج بطنه على مضجعه، ثمّ لا يكون إلّا سدوسياً أو عقيليّاً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فلاحظ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 لا ابن برد، و لا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أخلاق الغالية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المغيرية و لا المنصورية،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لأرسلت،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مرقده و لا على فراشه،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العماد الحنبلي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واصل ألثغ يبدل الراء غيناً في كلامه، و كان يخلِّص كلامه بحيث لا تسمع منه الراء حتّى يظنّ خواصّ جلسائه أنّه غير ألثغ،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دفعت إليه رقعة 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أمير الأُمراء الكرام أنّ يحفر بئراً على قارعة الطريق، فيشرب منه الصادر و الوارد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حاكم الحكّام الفخام، أنّ ينبش جُبّاً على جادّة الممشي فيسقى منه الصادي و الغادي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فغيّر كلّ لفظ برديفه و هذا من عجيب الاقتدار، و قد أشارت الشعراء إلى عدم تكلّمه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بعضهم</w:t>
      </w:r>
      <w:r>
        <w:rPr>
          <w:rFonts w:eastAsia="Amiri" w:cs="Amiri" w:ascii="Amiri" w:hAnsi="Amiri"/>
          <w:color w:val="111111"/>
          <w:sz w:val="28"/>
          <w:szCs w:val="28"/>
          <w:rtl w:val="true"/>
          <w:lang w:bidi="ar-SA"/>
        </w:rPr>
        <w:t xml:space="preserve">: </w:t>
      </w:r>
      <w:bookmarkStart w:id="439" w:name="pg11536_164113"/>
    </w:p>
    <w:p>
      <w:pPr>
        <w:pStyle w:val="BookText"/>
        <w:rPr/>
      </w:pPr>
      <w:bookmarkEnd w:id="439"/>
      <w:r>
        <w:rPr>
          <w:rFonts w:ascii="Amiri" w:hAnsi="Amiri" w:eastAsia="Amiri" w:cs="Amiri"/>
          <w:color w:val="111111"/>
          <w:sz w:val="28"/>
          <w:sz w:val="28"/>
          <w:szCs w:val="28"/>
          <w:rtl w:val="true"/>
          <w:lang w:bidi="ar-SA"/>
        </w:rPr>
        <w:t xml:space="preserve">نعم تجنّب لا يوم العطاء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 ابن عطاء لفظة الرّاء</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قد كانت بينه و بين بشّار بن برد قبل اظهاره ما يخالف عقيدة واصل أواصر الصداقة و قد ذكر بشّار خطبته الّتي ألقى فيها الرّاء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 القول و الأقوام قد حلفوا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حبّروا خطباً ناهيك من خطب</w:t>
      </w:r>
    </w:p>
    <w:p>
      <w:pPr>
        <w:pStyle w:val="BookText"/>
        <w:rPr/>
      </w:pPr>
      <w:r>
        <w:rPr>
          <w:rFonts w:ascii="Amiri" w:hAnsi="Amiri" w:eastAsia="Amiri" w:cs="Amiri"/>
          <w:color w:val="111111"/>
          <w:sz w:val="28"/>
          <w:sz w:val="28"/>
          <w:szCs w:val="28"/>
          <w:rtl w:val="true"/>
          <w:lang w:bidi="ar-SA"/>
        </w:rPr>
        <w:t xml:space="preserve">و قال مرتجلاً تغلى بداهته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كمرجل القين لما حفّ باللّهب</w:t>
      </w:r>
    </w:p>
    <w:p>
      <w:pPr>
        <w:pStyle w:val="BookText"/>
        <w:rPr/>
      </w:pPr>
      <w:r>
        <w:rPr>
          <w:rFonts w:ascii="Amiri" w:hAnsi="Amiri" w:eastAsia="Amiri" w:cs="Amiri"/>
          <w:color w:val="111111"/>
          <w:sz w:val="28"/>
          <w:sz w:val="28"/>
          <w:szCs w:val="28"/>
          <w:rtl w:val="true"/>
          <w:lang w:bidi="ar-SA"/>
        </w:rPr>
        <w:t xml:space="preserve">و جانب الرّاء و لم يشعر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التصفّح و الإغراق في الطلب</w:t>
      </w:r>
    </w:p>
    <w:p>
      <w:pPr>
        <w:pStyle w:val="BookText"/>
        <w:rPr/>
      </w:pPr>
      <w:r>
        <w:rPr>
          <w:rFonts w:ascii="Amiri" w:hAnsi="Amiri" w:eastAsia="Amiri" w:cs="Amiri"/>
          <w:color w:val="111111"/>
          <w:sz w:val="28"/>
          <w:sz w:val="28"/>
          <w:szCs w:val="28"/>
          <w:rtl w:val="true"/>
          <w:lang w:bidi="ar-SA"/>
        </w:rPr>
        <w:t>و لمّا تبرّأ منه واصل لما ظهر منه ما لا يرضيه، هجاه بشّار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أُشايع غزّالاً له 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كنِقْنِق الدَوّ إن ولي و إن مَثلا</w:t>
      </w:r>
    </w:p>
    <w:p>
      <w:pPr>
        <w:pStyle w:val="BookText"/>
        <w:rPr/>
      </w:pPr>
      <w:r>
        <w:rPr>
          <w:rFonts w:ascii="Amiri" w:hAnsi="Amiri" w:eastAsia="Amiri" w:cs="Amiri"/>
          <w:color w:val="111111"/>
          <w:sz w:val="28"/>
          <w:sz w:val="28"/>
          <w:szCs w:val="28"/>
          <w:rtl w:val="true"/>
          <w:lang w:bidi="ar-SA"/>
        </w:rPr>
        <w:t xml:space="preserve">عنق الزرافة ما بالي و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تُكفّرون رجالاً كفّروا رجلا</w:t>
      </w:r>
      <w:r>
        <w:rPr>
          <w:rStyle w:val="FootnoteAnchor"/>
          <w:rtl w:val="true"/>
        </w:rPr>
        <w:footnoteReference w:id="519"/>
      </w:r>
    </w:p>
    <w:p>
      <w:pPr>
        <w:pStyle w:val="Heading5"/>
        <w:numPr>
          <w:ilvl w:val="4"/>
          <w:numId w:val="1"/>
        </w:numPr>
        <w:rPr/>
      </w:pPr>
      <w:bookmarkStart w:id="440" w:name="__RefHeading___Toc3907587_73709187"/>
      <w:bookmarkStart w:id="441" w:name="_Toc161"/>
      <w:bookmarkEnd w:id="440"/>
      <w:r>
        <w:rPr>
          <w:rtl w:val="true"/>
        </w:rPr>
        <w:t>بثّ الدعاة في البلاد</w:t>
      </w:r>
      <w:bookmarkEnd w:id="44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واصل صموداً في عقيدته، و لمّا تمكّن من إنفاذ الدعاة إلى الآفاق، فرّق أصحابه في البلاد حتّى يكونوا دعاة إلى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عبد اللّه بن الحارث إلى المغرب، فأجابه خلق كثير، و بعث إلى خراسان حفص بن سالم،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لزم المسجد حتّى اشتهر، ثمّ ناظر جهماً فقطعه، </w:t>
      </w:r>
      <w:bookmarkStart w:id="442" w:name="pg11536_164114"/>
    </w:p>
    <w:p>
      <w:pPr>
        <w:pStyle w:val="BookText"/>
        <w:rPr/>
      </w:pPr>
      <w:bookmarkEnd w:id="442"/>
      <w:r>
        <w:rPr>
          <w:rFonts w:ascii="Amiri" w:hAnsi="Amiri" w:eastAsia="Amiri" w:cs="Amiri"/>
          <w:color w:val="111111"/>
          <w:sz w:val="28"/>
          <w:sz w:val="28"/>
          <w:szCs w:val="28"/>
          <w:rtl w:val="true"/>
          <w:lang w:bidi="ar-SA"/>
        </w:rPr>
        <w:t>و بعث القاسم إلى اليمن، و بعث أيّوب إلى الجزيرة، و بعث الحسن بن ذكوان إلى الكوفة، و عثمان الطويل إلى أرمينية</w:t>
      </w:r>
      <w:r>
        <w:rPr>
          <w:rFonts w:eastAsia="Amiri" w:cs="Amiri" w:ascii="Amiri" w:hAnsi="Amiri"/>
          <w:color w:val="111111"/>
          <w:sz w:val="28"/>
          <w:szCs w:val="28"/>
          <w:rtl w:val="true"/>
          <w:lang w:bidi="ar-SA"/>
        </w:rPr>
        <w:t>.</w:t>
      </w:r>
      <w:r>
        <w:rPr>
          <w:rStyle w:val="FootnoteAnchor"/>
          <w:rtl w:val="true"/>
        </w:rPr>
        <w:footnoteReference w:id="520"/>
      </w:r>
    </w:p>
    <w:p>
      <w:pPr>
        <w:pStyle w:val="Heading5"/>
        <w:numPr>
          <w:ilvl w:val="4"/>
          <w:numId w:val="1"/>
        </w:numPr>
        <w:rPr/>
      </w:pPr>
      <w:bookmarkStart w:id="443" w:name="__RefHeading___Toc3907589_73709187"/>
      <w:bookmarkStart w:id="444" w:name="_Toc162"/>
      <w:bookmarkEnd w:id="443"/>
      <w:r>
        <w:rPr>
          <w:rtl w:val="true"/>
        </w:rPr>
        <w:t xml:space="preserve">يقول صاحب كتاب </w:t>
      </w:r>
      <w:r>
        <w:rPr>
          <w:rtl w:val="true"/>
        </w:rPr>
        <w:t>«</w:t>
      </w:r>
      <w:r>
        <w:rPr>
          <w:rtl w:val="true"/>
        </w:rPr>
        <w:t>المعتزلة</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 أصحاب واصل و تلاميذه من بعده على هذه الخطة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المخالفين، فكان عمرو بن عبيد حيث التقى بأحدهم لا يتركه حتّى يناظره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جرير بن حازم الأزدي السمني في البصرة و قطعه، و اشترك مع واصل بن عطاء في مناظرة بشار بن برد، و صالح بن عبد القدوس، و كلاهما من الثنوية المعروفين فقطعاهما، و تناظر عمرو بن عبيد مع مجوسي على ظهر سفينة فقطعه المجوسيّ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لم يرد إسلامي، فإذا أراد اللّٰه إسلامي 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يريد إسلامك و لكنّ الشياطين لا يتركونك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أكون مع الشريك الأغلب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اللازم على عمرو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إسلامك و لكن بحرّية و اختيار، لا بإلجاء 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أسلمت كان إسلامك على طبق ما يريد، و إنّ كفرت لم يكن كفرك آية غلبتك عليه، و قد أوضحنا كيفيّة تعلّق إرادته سبحانه بأفعال العباد</w:t>
      </w:r>
      <w:r>
        <w:rPr>
          <w:rFonts w:eastAsia="Amiri" w:cs="Amiri" w:ascii="Amiri" w:hAnsi="Amiri"/>
          <w:color w:val="111111"/>
          <w:sz w:val="28"/>
          <w:szCs w:val="28"/>
          <w:rtl w:val="true"/>
          <w:lang w:bidi="ar-SA"/>
        </w:rPr>
        <w:t xml:space="preserve">. </w:t>
      </w:r>
      <w:bookmarkStart w:id="445" w:name="pg11536_164115"/>
    </w:p>
    <w:p>
      <w:pPr>
        <w:pStyle w:val="Heading5"/>
        <w:numPr>
          <w:ilvl w:val="4"/>
          <w:numId w:val="1"/>
        </w:numPr>
        <w:rPr/>
      </w:pPr>
      <w:bookmarkStart w:id="446" w:name="__RefHeading___Toc3907591_73709187"/>
      <w:bookmarkStart w:id="447" w:name="_Toc163"/>
      <w:bookmarkEnd w:id="445"/>
      <w:bookmarkEnd w:id="446"/>
      <w:r>
        <w:rPr>
          <w:rtl w:val="true"/>
        </w:rPr>
        <w:t>من آرائه و مناظراته</w:t>
      </w:r>
      <w:bookmarkEnd w:id="447"/>
    </w:p>
    <w:p>
      <w:pPr>
        <w:pStyle w:val="Heading6"/>
        <w:numPr>
          <w:ilvl w:val="5"/>
          <w:numId w:val="1"/>
        </w:numPr>
        <w:rPr/>
      </w:pPr>
      <w:bookmarkStart w:id="448" w:name="__RefHeading___Toc3907593_73709187"/>
      <w:bookmarkStart w:id="449" w:name="_Toc164"/>
      <w:bookmarkEnd w:id="448"/>
      <w:r>
        <w:rPr>
          <w:rtl w:val="true"/>
        </w:rPr>
        <w:t>اشارة</w:t>
      </w:r>
      <w:bookmarkEnd w:id="449"/>
    </w:p>
    <w:p>
      <w:pPr>
        <w:pStyle w:val="BookText"/>
        <w:rPr/>
      </w:pPr>
      <w:r>
        <w:rPr>
          <w:rFonts w:ascii="Amiri" w:hAnsi="Amiri" w:eastAsia="Amiri" w:cs="Amiri"/>
          <w:color w:val="111111"/>
          <w:sz w:val="28"/>
          <w:sz w:val="28"/>
          <w:szCs w:val="28"/>
          <w:rtl w:val="true"/>
          <w:lang w:bidi="ar-SA"/>
        </w:rPr>
        <w:t>إنّ واصل هو أوّل من أظهر المنزلة بين المنزلتين، لأنّ الناس كانوا في أسماء أهل الكبائر من أهل الصلاة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الخوارج تسمّيهم بالكفر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المرجئة تسمّيهم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و أصحابه يسمّونهم بالنفاق</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3907595_73709187"/>
      <w:bookmarkStart w:id="451" w:name="_Toc165"/>
      <w:bookmarkEnd w:id="450"/>
      <w:r>
        <w:rPr/>
        <w:t>1</w:t>
      </w:r>
      <w:r>
        <w:rPr>
          <w:rtl w:val="true"/>
        </w:rPr>
        <w:t xml:space="preserve"> - </w:t>
      </w:r>
      <w:r>
        <w:rPr>
          <w:rtl w:val="true"/>
        </w:rPr>
        <w:t>رأيه في مرتكب الكبيرة</w:t>
      </w:r>
      <w:bookmarkEnd w:id="45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واصل بن عطاء إلى القول بأنّهم فسّاق غير مؤمنين، لا كفّار و لا 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بما نقله المرتضى عنه في أماليه من أنّنا نجد أهل الفرق على اختلافهم يسمّون صاحب الكبيرة فاسقاً، و يختلفون في ما عدا ذلك من أسمائه، لأنّ الخوارج تسمّيه مشركاً فاسقاً، و الشيعة الزيدية تسمّيه كافر نعمة فاسقاً، و الحسن يسمّيه منافقاً فاسقاً، و المرجئة تسمّيه مؤمناً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على تسميته بالفسق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فيما عدا ذلك من أسمائه فالواجب أن يسمّى بالاسم الّذي اتّفق عليه و هو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يسمّى بما عدا ذلك من الأسماء الّتي اختلف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صاحب الكبيرة فاسقاً، و لا يقال فيه إنّه مؤمن و لا منافق و لا مشرك، و لا كافر نعمة، فهذا أشبه بأهل الدّين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لا يثبت أزيد من أنّ المسلمين اتّفقوا على كون مرتكب الكبيرة فاسقاً و لم يتّفقوا على غيره من سائر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اتّفاقهم على شيء منها لا يدلّ على أنّه ليس منها أبداً،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يقال فيه إنّه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وجود الإجماع على واحدة من تلك الأسماء لا يلازم عدم وجود دليل آخر على وجود واحد منها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اللاّزم على واصل أنّ يقيم الدّليل على أنّه لا يسمّى بواحد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ينظر قول السيّد المرتضى في أماليه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الإجماع و إنّ لم يوجد في تسمية صاحب الكبيرة بالنفاق، و لا في غيره من الأسماء، كما وجد في تسميته بالفسق، و لكنّه غير ممتنع أن يسمّى بذلك لدليل غير الإجماع، و وجود الإجماع في الشيء، و إن كان دليلاً على صحّته لكن ليس فقده دليلاً على فساده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اعترض ابن المرتضى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كلام السيّد المرتضى بكلام واه، يشبه كلام الهازل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الاستدلال بالإجماع المركّب و صورته هنا أنّه أجمعوا على تسميته فاسقاً و اختلفوا فيما عداه، و هو حكم شرعي فلا يثبت إلّا بدليل و لا دليل على ما عدا المجمع عليه هاهنا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اشتبه عليه معنى الإجماع المركّب، لأنّ معناه أنّه إذا </w:t>
      </w:r>
      <w:bookmarkStart w:id="452" w:name="pg11536_164117"/>
    </w:p>
    <w:p>
      <w:pPr>
        <w:pStyle w:val="BookText"/>
        <w:rPr/>
      </w:pPr>
      <w:bookmarkEnd w:id="452"/>
      <w:r>
        <w:rPr>
          <w:rFonts w:ascii="Amiri" w:hAnsi="Amiri" w:eastAsia="Amiri" w:cs="Amiri"/>
          <w:color w:val="111111"/>
          <w:sz w:val="28"/>
          <w:sz w:val="28"/>
          <w:szCs w:val="28"/>
          <w:rtl w:val="true"/>
          <w:lang w:bidi="ar-SA"/>
        </w:rPr>
        <w:t>كانت المسألة بين الأُمّة ذات قولين، مثلاً قالت طائفة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للولد الأكبر،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لجميع الورثة،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إحداث قول ثالث، أخذاً بالإجماع المركّب، لأنّ الأُمّة اتّفقت على نفي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في المقام؟ إذ لم تتّفق الأُمّة على نفي هذه الأسماء، بل اختلفوا على أقوال، فالرجل غير عارف بمصطلح الأُصوليين فاستعمله في غير محلّه</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3907597_73709187"/>
      <w:bookmarkStart w:id="454" w:name="_Toc166"/>
      <w:bookmarkEnd w:id="453"/>
      <w:r>
        <w:rPr/>
        <w:t>2</w:t>
      </w:r>
      <w:r>
        <w:rPr>
          <w:rtl w:val="true"/>
        </w:rPr>
        <w:t xml:space="preserve"> - </w:t>
      </w:r>
      <w:r>
        <w:rPr>
          <w:rtl w:val="true"/>
        </w:rPr>
        <w:t>مناظرته مع عمرو في مرتكب الكبيرة</w:t>
      </w:r>
      <w:bookmarkEnd w:id="454"/>
    </w:p>
    <w:p>
      <w:pPr>
        <w:pStyle w:val="BookText"/>
        <w:rPr/>
      </w:pPr>
      <w:r>
        <w:rPr>
          <w:rFonts w:ascii="Amiri" w:hAnsi="Amiri" w:eastAsia="Amiri" w:cs="Amiri"/>
          <w:color w:val="111111"/>
          <w:sz w:val="28"/>
          <w:sz w:val="28"/>
          <w:szCs w:val="28"/>
          <w:rtl w:val="true"/>
          <w:lang w:bidi="ar-SA"/>
        </w:rPr>
        <w:t>إنّ عمرو بن عبيد كان من أصحاب الحسن و تلاميذه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بينه و بين واصل ليناظره فيما أظهر من القول بالمنزلة بين المنزلتين، فلمّا وقفوا على الاجتماع ذكر أنّ واصلاً أقبل و معه جماعة من أصحابه إلى حلقة الحسن، و فيها عمرو بن عبيد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واصل و كان في عنقه طول و اعوجاج،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عنقاً لا يفلح صاحبها، فسمع ذلك واصل فلمّا سلّم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من عاب الصنعة عاب الصانع، فقال له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حذيفة قد وعظت فأحسنت و لن أعود إلى مثل الّذي كان منّي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جلس واصل في الحلقة و سأل أنّ يكلّم عمراً، فقال واصل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أتى كبيرة من أهل الصّلاة استحقّ اسم النفاق؟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w:t>
      </w:r>
    </w:p>
    <w:p>
      <w:pPr>
        <w:pStyle w:val="BookText"/>
        <w:rPr/>
      </w:pP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فكان كلّ فاسق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كانت ألف و لام المعرفة موجودتين في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وجدت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 أجمع أهل العلم على أنّ صاحب الكبيرة يستحقّ اسم الظالم، كما يستحق اسم الفاسق، فألّا كفّرت صاحب الكبيرة من أهل الصلاة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 فعرّف بألف و لام التعريف</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دليل خصمه بالنقض، و لأجل ذلك يقول السيّد المرتضى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ألزمه واصل بن عطاء لعمرو بن عبيد فسديد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كان في وسعه الإجابة عنه بشكل جليّ، و هو أنّ ما استدلّ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غير كاف في إثبات ما يرتئيه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آية النور و إنّ حكمت بفسق مرتكب الكبيرة، و لكن آية التوبة لم تحكم بأنّ كلّ فاسق منافق، و إنّما حكم بأنّ كلّ منافق فاسق، و بعبارة واضحة حصرت الآية، المنافقين بالفاسقين و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أنّ يكون المنافق أخصّ من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الفاسق أعمّ منه فيكون استدلاله 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الفاسقين هم المنافقون</w:t>
      </w:r>
      <w:r>
        <w:rPr>
          <w:rFonts w:eastAsia="Amiri" w:cs="Amiri" w:ascii="Amiri" w:hAnsi="Amiri"/>
          <w:color w:val="111111"/>
          <w:sz w:val="28"/>
          <w:szCs w:val="28"/>
          <w:rtl w:val="true"/>
          <w:lang w:bidi="ar-SA"/>
        </w:rPr>
        <w:t xml:space="preserve">. </w:t>
      </w:r>
      <w:bookmarkStart w:id="455" w:name="pg11536_164119"/>
    </w:p>
    <w:p>
      <w:pPr>
        <w:pStyle w:val="BookText"/>
        <w:rPr/>
      </w:pPr>
      <w:bookmarkEnd w:id="455"/>
      <w:r>
        <w:rPr>
          <w:rFonts w:ascii="Amiri" w:hAnsi="Amiri" w:eastAsia="Amiri" w:cs="Amiri"/>
          <w:color w:val="111111"/>
          <w:sz w:val="28"/>
          <w:sz w:val="28"/>
          <w:szCs w:val="28"/>
          <w:rtl w:val="true"/>
          <w:lang w:bidi="ar-SA"/>
        </w:rPr>
        <w:t>و بذلك تقف على مغزى ما نقض به واصل دليل عمرو، فإنّه صحيح إذا كان الهدف إفحام الخصم بالجواب النقضي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كانت الإجابة على الوجه الحلّي فهي ساقطة جدّاً، لأنّه سبحانه حصر الكافرين في الظالمين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يكون كلّ كافر ظالماً و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الكبيرة و إن استحقّ اسم الظالم، كما استحقّ اسم الفاسق، و لكنّه لا يستحقّ اسم الكافر بحجّة 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الظالمون هم الكافرون</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3907599_73709187"/>
      <w:bookmarkStart w:id="457" w:name="_Toc167"/>
      <w:bookmarkEnd w:id="456"/>
      <w:r>
        <w:rPr/>
        <w:t>3</w:t>
      </w:r>
      <w:r>
        <w:rPr>
          <w:rtl w:val="true"/>
        </w:rPr>
        <w:t xml:space="preserve"> - </w:t>
      </w:r>
      <w:r>
        <w:rPr>
          <w:rtl w:val="true"/>
        </w:rPr>
        <w:t>من لطائف تفسيره للقرآن</w:t>
      </w:r>
      <w:bookmarkEnd w:id="457"/>
    </w:p>
    <w:p>
      <w:pPr>
        <w:pStyle w:val="BookText"/>
        <w:rPr/>
      </w:pPr>
      <w:r>
        <w:rPr>
          <w:rFonts w:ascii="Amiri" w:hAnsi="Amiri" w:eastAsia="Amiri" w:cs="Amiri"/>
          <w:color w:val="111111"/>
          <w:sz w:val="28"/>
          <w:sz w:val="28"/>
          <w:szCs w:val="28"/>
          <w:rtl w:val="true"/>
          <w:lang w:bidi="ar-SA"/>
        </w:rPr>
        <w:t>حكي أنّ واصلاً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اللّٰه من العباد أن يعرفوه ثمّ يعملوا ثمّ يعلّموا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إِنِّي أَنَا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فبعد أنّ عرّفه نفسه أمره بالعمل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عَمِلُوا اَلصّٰالِحٰاتِ وَ تَوٰاصَوْا بِالْحَقِّ وَ تَوٰاصَوْا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و عملوا و علّموا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الاُولى دلّت على تقدّم العلم على العمل، و أمّا </w:t>
      </w:r>
      <w:bookmarkStart w:id="458" w:name="pg11536_164120"/>
    </w:p>
    <w:p>
      <w:pPr>
        <w:pStyle w:val="BookText"/>
        <w:rPr/>
      </w:pPr>
      <w:bookmarkEnd w:id="458"/>
      <w:r>
        <w:rPr>
          <w:rFonts w:ascii="Amiri" w:hAnsi="Amiri" w:eastAsia="Amiri" w:cs="Amiri"/>
          <w:color w:val="111111"/>
          <w:sz w:val="28"/>
          <w:sz w:val="28"/>
          <w:szCs w:val="28"/>
          <w:rtl w:val="true"/>
          <w:lang w:bidi="ar-SA"/>
        </w:rPr>
        <w:t>تقدّم العمل على تعليم الغير فهي ساكتة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الآية الثالثة ربّما تكون ظاهرة فيما يدّعيه بحجّة النظم و الترتيب في الذكر، و إنّ كانت واو العاطفة لا تدلّ على الترتيب</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3907601_73709187"/>
      <w:bookmarkStart w:id="460" w:name="_Toc168"/>
      <w:bookmarkEnd w:id="459"/>
      <w:r>
        <w:rPr/>
        <w:t>4</w:t>
      </w:r>
      <w:r>
        <w:rPr>
          <w:rtl w:val="true"/>
        </w:rPr>
        <w:t xml:space="preserve"> - </w:t>
      </w:r>
      <w:r>
        <w:rPr>
          <w:rtl w:val="true"/>
        </w:rPr>
        <w:t>من نوادر حكاياته</w:t>
      </w:r>
      <w:bookmarkEnd w:id="460"/>
    </w:p>
    <w:p>
      <w:pPr>
        <w:pStyle w:val="BookText"/>
        <w:rPr/>
      </w:pPr>
      <w:r>
        <w:rPr>
          <w:rFonts w:ascii="Amiri" w:hAnsi="Amiri" w:eastAsia="Amiri" w:cs="Amiri"/>
          <w:color w:val="111111"/>
          <w:sz w:val="28"/>
          <w:sz w:val="28"/>
          <w:szCs w:val="28"/>
          <w:rtl w:val="true"/>
          <w:lang w:bidi="ar-SA"/>
        </w:rPr>
        <w:t>روى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واصل بن عطاء أقبل في رفقة فأحسّوا بالخوارج، و كانوا قد أشرفوا على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واصل لأهل 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من شأنكم فاعتزلوا ودعوني و إيّاهم،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الخوارج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 أصحابك؟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مشركون مستجيرون ليسمعوا كلام اللّٰه، و يقيموا حدوده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أجرناكم،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فعلّمونا أحكامه، فجعلوا يعلّمونه أحكامهم،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أنا و من معي،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فامضوا مصاحبين فإنّكم إخواننا،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 فأبلغونا مأمننا، فساروا بأجمعهم حتّى بلغوا الأمن</w:t>
      </w:r>
      <w:r>
        <w:rPr>
          <w:rFonts w:eastAsia="IRNazanin" w:cs="IRNazanin"/>
          <w:color w:val="111111"/>
          <w:sz w:val="28"/>
          <w:szCs w:val="28"/>
          <w:rtl w:val="true"/>
          <w:lang w:bidi="fa-IR"/>
        </w:rPr>
        <w:t>.</w:t>
      </w:r>
      <w:r>
        <w:rPr>
          <w:rStyle w:val="FootnoteAnchor"/>
          <w:rtl w:val="true"/>
        </w:rPr>
        <w:footnoteReference w:id="533"/>
      </w:r>
    </w:p>
    <w:p>
      <w:pPr>
        <w:pStyle w:val="Heading6"/>
        <w:numPr>
          <w:ilvl w:val="5"/>
          <w:numId w:val="1"/>
        </w:numPr>
        <w:rPr/>
      </w:pPr>
      <w:bookmarkStart w:id="461" w:name="__RefHeading___Toc3907603_73709187"/>
      <w:bookmarkStart w:id="462" w:name="_Toc169"/>
      <w:bookmarkEnd w:id="461"/>
      <w:r>
        <w:rPr/>
        <w:t>5</w:t>
      </w:r>
      <w:r>
        <w:rPr>
          <w:rtl w:val="true"/>
        </w:rPr>
        <w:t xml:space="preserve"> - </w:t>
      </w:r>
      <w:r>
        <w:rPr>
          <w:rtl w:val="true"/>
        </w:rPr>
        <w:t>تهجّده و لقبه بالغزّال</w:t>
      </w:r>
      <w:bookmarkEnd w:id="46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ينقل ابن المرتضى عن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زوجة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واصل إذا جنّه اللّيل صفّ قدميه يصلّي و لوح و دواة </w:t>
      </w:r>
      <w:bookmarkStart w:id="463" w:name="pg11536_164121"/>
    </w:p>
    <w:p>
      <w:pPr>
        <w:pStyle w:val="BookText"/>
        <w:rPr/>
      </w:pPr>
      <w:bookmarkEnd w:id="463"/>
      <w:r>
        <w:rPr>
          <w:rFonts w:ascii="Amiri" w:hAnsi="Amiri" w:eastAsia="Amiri" w:cs="Amiri"/>
          <w:color w:val="111111"/>
          <w:sz w:val="28"/>
          <w:sz w:val="28"/>
          <w:szCs w:val="28"/>
          <w:rtl w:val="true"/>
          <w:lang w:bidi="ar-SA"/>
        </w:rPr>
        <w:t>موضوعان، فإذا مرّت به آية فيه حجّة على مخالف، جلس فكتبها ثمّ عاد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واصلاً كان يلزم أبا عبد اللّه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المتعفّفات من النساء فيجعل صدقته لهنّ و كان يعجبه ذلك، 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 أصحابنا أنّ واصلاً لم يقبض ديناراً و لا درهماً، و في ذلك قال بعضهم في مرثيته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مسّ ديناراً و لا مسّ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عرف الثوب الّذي هو قاطعه</w:t>
      </w:r>
      <w:r>
        <w:rPr>
          <w:rStyle w:val="FootnoteAnchor"/>
          <w:rtl w:val="true"/>
        </w:rPr>
        <w:footnoteReference w:id="534"/>
      </w:r>
    </w:p>
    <w:p>
      <w:pPr>
        <w:pStyle w:val="Heading5"/>
        <w:numPr>
          <w:ilvl w:val="4"/>
          <w:numId w:val="1"/>
        </w:numPr>
        <w:rPr/>
      </w:pPr>
      <w:bookmarkStart w:id="464" w:name="__RefHeading___Toc3907605_73709187"/>
      <w:bookmarkStart w:id="465" w:name="_Toc170"/>
      <w:bookmarkEnd w:id="464"/>
      <w:r>
        <w:rPr>
          <w:rtl w:val="true"/>
        </w:rPr>
        <w:t>مؤلّفاته</w:t>
      </w:r>
      <w:bookmarkEnd w:id="465"/>
    </w:p>
    <w:p>
      <w:pPr>
        <w:pStyle w:val="BookText"/>
        <w:rPr/>
      </w:pPr>
      <w:r>
        <w:rPr>
          <w:rFonts w:ascii="Amiri" w:hAnsi="Amiri" w:eastAsia="Amiri" w:cs="Amiri"/>
          <w:color w:val="111111"/>
          <w:sz w:val="28"/>
          <w:sz w:val="28"/>
          <w:szCs w:val="28"/>
          <w:rtl w:val="true"/>
          <w:lang w:bidi="ar-SA"/>
        </w:rPr>
        <w:t xml:space="preserve">ذكر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تبعه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لواصل التصانيف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أصناف المرجئة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المنزلة بين المنزلتين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خطبته الّتي أخرج منها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نشرت هذه الخطبة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المجموعة الثانية من نوادر المخطوطات بتحقيق عبد السلام هارون</w:t>
      </w:r>
      <w:r>
        <w:rPr>
          <w:rFonts w:eastAsia="Amiri" w:cs="Amiri" w:ascii="Amiri" w:hAnsi="Amiri"/>
          <w:color w:val="111111"/>
          <w:sz w:val="28"/>
          <w:szCs w:val="28"/>
          <w:rtl w:val="true"/>
          <w:lang w:bidi="ar-SA"/>
        </w:rPr>
        <w:t xml:space="preserve">. </w:t>
      </w:r>
      <w:bookmarkStart w:id="466" w:name="pg11536_164122"/>
    </w:p>
    <w:p>
      <w:pPr>
        <w:pStyle w:val="BookText"/>
        <w:rPr/>
      </w:pPr>
      <w:bookmarkEnd w:id="46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معاني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الخطب في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المحتمل أنّه قام بجمع خطب الإمام عليّ عليه السلام في التوحيد و العدل فأفرده تأليفاً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 جرى بينه و بين عمرو بن 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السبيل إلى معرفة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الدعوة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طبقات أهل العلم و الجهل</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3907607_73709187"/>
      <w:bookmarkStart w:id="468" w:name="_Toc171"/>
      <w:bookmarkEnd w:id="467"/>
      <w:r>
        <w:rPr>
          <w:rtl w:val="true"/>
        </w:rPr>
        <w:t>القواعد الأربع لواصل بن عطاء</w:t>
      </w:r>
      <w:bookmarkEnd w:id="46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الاعتزال مذهب عقلي أُلقيت نواته في أوائل القرن الثاني بيد واصل بن عطاء، ثمّ نمت عبر العصور، فكلّما تقدّم الاعتزال إلى الامام، و ربّى في أحضانه ذوي الحصافة، و الأدمغة الكبيرة، أخذ يتكامل في ضوء البحث و النقاش، و كان الاعتزال في زمن المؤسّس يدور على أربع قواعد فقط، و هي بالنسبة إلى ما تركته المعتزلة من التراث الكلامي إلى فترة الانقراض شيء قليل، و أين هو من الاعتزال الّذي تريه لنا كتب القاضي عبد الجبّار في كتاب المغني أو غيره من البسط في تلك القواعد، و تأسيس أُصول و قواعد أُخر، لم تخطر ببال المؤسّس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الواصليّة هم أصحاب واصل بن عطاء و اعتزالهم يدور على أربع 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بنفي صفات الباري من العلم و القدرة و الإرادة و الحياة، و كانت هذه المقالة في بدئها غير نضيجة، و كان واصل بن عطاء يشرع فيها على قول ظاهر، و هو الاتفاق على استحالة وجود إلهين قديمين أزليّين</w:t>
      </w:r>
      <w:r>
        <w:rPr>
          <w:rStyle w:val="FootnoteAnchor"/>
          <w:rtl w:val="true"/>
        </w:rPr>
        <w:footnoteReference w:id="5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أثبت معنى، و صفة قديمة فقد أثبت إلهين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بالقدر، و حاصلها أنّ العبد هو الفاعل للخير و الشرّ و الإيمان و الكفر و الطاعة و المعصية، و الربّ أقدره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بين المنزلتين، و أنّ مرتكب الكبيرة ليس كافراً و لا مؤمناً، بل فاسق مخلّد في النّار إن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الفريقين من أصحاب الجمل و صفّين، أنّ أحدهما مخطئ لا بعينه، و كذلك قوله في عثمان و خاذليه، أنّ أحد الفريقين فاسق لا محالة، كما أنّ أحد المتلاعنين فاسق لا محالة، لكن لا بعينه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رتّب الشهرستاني على تلك القاعدة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عرفت قوله في الفاسق و أقلّ درجات الفريقين أنّه لا تقبل شهادتهما كما لا تقبل شهادة </w:t>
      </w:r>
    </w:p>
    <w:p>
      <w:pPr>
        <w:pStyle w:val="BookText"/>
        <w:rPr/>
      </w:pPr>
      <w:r>
        <w:rPr>
          <w:rFonts w:ascii="Amiri" w:hAnsi="Amiri" w:eastAsia="Amiri" w:cs="Amiri"/>
          <w:color w:val="111111"/>
          <w:sz w:val="28"/>
          <w:sz w:val="28"/>
          <w:szCs w:val="28"/>
          <w:rtl w:val="true"/>
          <w:lang w:bidi="ar-SA"/>
        </w:rPr>
        <w:t>المتلاعنين، فلم يجوِّز شهادة عليّ و طلحة و الزبير على باقة بقل، و جوّز أنّ يكون عثمان و عليّ على الخطأ</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الأُولى إشارة إلى الأصل الأوّل من الأُصول الخمسة، أعني التّوحيد، و هذا الأصل عندهم رمز إلى تنزيهه سبحانه عن التشبيه و التجسيم، كما أنّ القاعدة الثانية من فروع الأصل الثاني، أعني القول بالعدل، فتوصيفه سبحانه به يقتضي القول بالقدر، أي إنّ الانسان يفعل بقدرته و استطاعته المكتسبة، و لا معنى لأن يكون خالق الفعل هو اللّٰه سبحانه، و يكون العبد هو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دائرة الأصل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القاعدة الثالثة نفس أحد الأُصول الخمسة، و بقي منها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 الوعيد و 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يأت ذكر منهما في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الرابعة فقد خالف فيها واصل و تلميذه عمرو بن عبيد جمهور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الناس في تلك الحرب على ثلاث فرق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جميع الشيعة و بعض المرجئة و جمهور المعتزلة و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هو المصيب في حربه، و كلّ من خالفه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واصل بن عطاء و عمرو بن عبيد و أبو الهذيل و طوائف من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عليّاً مصيب في قتاله مع معاوية و أهل النهروان، و وقفوا في قتاله مع أهل الجمل،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الطائفتين مخطئة و لا نعرف أيّهما هي، و قالت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المصيب في قتال أهل الجمل و أهل صفّين و هو مخطئ في قتاله أهل النهر</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 لا يخفى وجود الاختلاف بين النقلين، فعلى ما نقله الشهرستاني كانت الواصليّة متوقّفة في محاربي الإمام في وقعتي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نقله ابن حزم يختصّ التوقّف بمحاربيه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 ابن حزم عبد القاهر البغدادي،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واصلاً فارق السلف ببدعة ثالثة، و ذلك أنّه وجد أهل عصره مختلفين في عليّ و أصحابه، و في طلحة و الزبير و عائشة، و سائر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يوافقهما نقل المفيد حيث قال ما هذا خلاصته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و الزيديّة و الخوارج، على أنّ الناكثين و القاسطين من أهل البصرة و الشام كفّار ضلّال، ملعونون بحربهم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زعمت المعتزلة كلّهم أنّهم فسّاق ليسوا بكفّار، و قطعت المعتزلة من بينهم على أنّهم لفسقهم في النار خالدون، و زعم واصل الغزّال و عمرو بن عبيد بن باب من بين كافّة المعتزلة أنّ طلحة و الزبير و عائشة و من كان في حربهم، من عليّ بن أبي طالب و الحسن و الحسين و محمّد و من كان في حزبهم </w:t>
      </w:r>
      <w:bookmarkStart w:id="469" w:name="pg11536_164126"/>
    </w:p>
    <w:p>
      <w:pPr>
        <w:pStyle w:val="BookText"/>
        <w:rPr/>
      </w:pPr>
      <w:bookmarkEnd w:id="469"/>
      <w:r>
        <w:rPr>
          <w:rFonts w:ascii="Amiri" w:hAnsi="Amiri" w:eastAsia="Amiri" w:cs="Amiri"/>
          <w:color w:val="111111"/>
          <w:sz w:val="28"/>
          <w:sz w:val="28"/>
          <w:szCs w:val="28"/>
          <w:rtl w:val="true"/>
          <w:lang w:bidi="ar-SA"/>
        </w:rPr>
        <w:t>كعمّار بن ياسر و غيره من المهاجرين، و وجوه الأنصار و بقايا أهل بيعة الرضوان، كانوا في اختلافهم كالمتلاعنين و أنّ إحدى الطائفتين فسّاق ضلّال مستحقّون للخلود في النّار إلّا أنّه لم يقم دليل عليها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3907609_73709187"/>
      <w:bookmarkStart w:id="471" w:name="_Toc172"/>
      <w:bookmarkEnd w:id="470"/>
      <w:r>
        <w:rPr>
          <w:rtl w:val="true"/>
        </w:rPr>
        <w:t>نقد النظرية</w:t>
      </w:r>
      <w:bookmarkEnd w:id="471"/>
    </w:p>
    <w:p>
      <w:pPr>
        <w:pStyle w:val="BookText"/>
        <w:rPr/>
      </w:pPr>
      <w:r>
        <w:rPr>
          <w:rFonts w:ascii="Amiri" w:hAnsi="Amiri" w:eastAsia="Amiri" w:cs="Amiri"/>
          <w:color w:val="111111"/>
          <w:sz w:val="28"/>
          <w:sz w:val="28"/>
          <w:szCs w:val="28"/>
          <w:rtl w:val="true"/>
          <w:lang w:bidi="ar-SA"/>
        </w:rPr>
        <w:t>إنّ واصل بن عطاء و من لفّ لفّه في هذا الباب، يلوكون في أشداقهم ما يضادّ نصّ رسول اللّٰه صلى الله عليه و آله و سلم فقد أخبر عليّاً بأنّه يقاتل الناكثين و القاسطين و المارقين، و قد عهد له الرسول و أمره 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صلى الله عليه و آله و سلم بقتال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أمرتنا بقتال هؤلاء فمع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اليقظان عمّار بن ياسر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رسول اللّٰه صلى الله عليه و آله و سلم بقتال الناكثين و القاسطين و المارقين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رواه الحفاظ من أهل الحديث و أرباب المعاجم و التأريخ، و من أراد الوقوف على تفصيله فعليه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يكفي في ذلك ما نقله ابن عساكر في تأريخه عن أبي صادق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أيّوب الأنصاري العراق، فأهدت له الأزد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بها معي فدخلت فسلّمت إليه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أكرمك اللّٰه بصحبة نبيّه و نزوله عليك، فمالي أراك تستقبل الناس تقاتلهم؟ تستقبل هؤلاء مرّة و هؤلاء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عهد إلينا أنّ نقاتل مع عليّ الناكثين، فقد قاتلناهم، و عهد إلينا أنّ نقاتل معه القاسطين فهذا وجهنا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عهد إلينا أنّ نقاتل مع عليّ المارقين فلم أرهم بعد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تجاهل واصل و أتباعه الحقّ و أنكروه، فإنّ حكم الخارج على الإمام المفترض طاعته ليس أمراً مخفياً على رئيس المعتزلة، و لا أرى باغياً أخسر من الزبير، و لا أشقى من طلحة، غير ابن آكلة الأكباد حزب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مواليد عام الثمانين في المدينة و توفّي في البصرة عام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كما أرّخه المسعودي و غيره</w:t>
      </w:r>
      <w:r>
        <w:rPr>
          <w:rFonts w:eastAsia="Amiri" w:cs="Amiri" w:ascii="Amiri" w:hAnsi="Amiri"/>
          <w:color w:val="111111"/>
          <w:sz w:val="28"/>
          <w:szCs w:val="28"/>
          <w:rtl w:val="true"/>
          <w:lang w:bidi="ar-SA"/>
        </w:rPr>
        <w:t>.</w:t>
      </w:r>
      <w:r>
        <w:rPr>
          <w:rStyle w:val="FootnoteAnchor"/>
          <w:rtl w:val="true"/>
        </w:rPr>
        <w:footnoteReference w:id="543"/>
      </w:r>
      <w:bookmarkStart w:id="472" w:name="pg11536_164128"/>
    </w:p>
    <w:p>
      <w:pPr>
        <w:pStyle w:val="Heading4"/>
        <w:numPr>
          <w:ilvl w:val="3"/>
          <w:numId w:val="1"/>
        </w:numPr>
        <w:rPr/>
      </w:pPr>
      <w:bookmarkStart w:id="473" w:name="__RefHeading___Toc3907611_73709187"/>
      <w:bookmarkStart w:id="474" w:name="_Toc173"/>
      <w:bookmarkEnd w:id="472"/>
      <w:bookmarkEnd w:id="473"/>
      <w:r>
        <w:rPr/>
        <w:t>2</w:t>
      </w:r>
      <w:r>
        <w:rPr>
          <w:rtl w:val="true"/>
        </w:rPr>
        <w:t xml:space="preserve"> - </w:t>
      </w:r>
      <w:r>
        <w:rPr>
          <w:rtl w:val="true"/>
        </w:rPr>
        <w:t xml:space="preserve">عمرو بن عبيد </w:t>
      </w:r>
      <w:r>
        <w:rPr>
          <w:rtl w:val="true"/>
        </w:rPr>
        <w:t>(</w:t>
      </w:r>
      <w:r>
        <w:rPr/>
        <w:t>80</w:t>
      </w:r>
      <w:r>
        <w:rPr>
          <w:rtl w:val="true"/>
        </w:rPr>
        <w:t>-</w:t>
      </w:r>
      <w:r>
        <w:rPr/>
        <w:t>143</w:t>
      </w:r>
      <w:r>
        <w:rPr>
          <w:rtl w:val="true"/>
        </w:rPr>
        <w:t xml:space="preserve"> </w:t>
      </w:r>
      <w:r>
        <w:rPr>
          <w:rtl w:val="true"/>
        </w:rPr>
        <w:t>ه</w:t>
      </w:r>
      <w:r>
        <w:rPr>
          <w:rtl w:val="true"/>
        </w:rPr>
        <w:t>)</w:t>
      </w:r>
      <w:bookmarkEnd w:id="474"/>
    </w:p>
    <w:p>
      <w:pPr>
        <w:pStyle w:val="Heading5"/>
        <w:numPr>
          <w:ilvl w:val="4"/>
          <w:numId w:val="1"/>
        </w:numPr>
        <w:rPr/>
      </w:pPr>
      <w:bookmarkStart w:id="475" w:name="__RefHeading___Toc3907613_73709187"/>
      <w:bookmarkStart w:id="476" w:name="_Toc174"/>
      <w:bookmarkEnd w:id="475"/>
      <w:r>
        <w:rPr>
          <w:rtl w:val="true"/>
        </w:rPr>
        <w:t>اشارة</w:t>
      </w:r>
      <w:bookmarkEnd w:id="4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الشخصيّة الثانية للمعتزلة بعد واصل بن عطاء هو عمرو بن عبيد و كان من أعضاء حلقة الحسن، مثل واصل، لكنّه التحق به بعد مناظرة جرت بينهما في مرتكب الكبيرة كما نقلناها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المرتضى في أماليه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يكنّى أبا عثمان مولى لبني العدوية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عبيد بن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سبي كابل من سبي عبد الرحمن بن سمرة، و كان باب مولى لبني العدوية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عبيد شرطيّاً، و كان عمرو متزهّداً، فكان إذا اجتازا معاً على الناس قالوا هذا أشرّ الناس، أبو خير الناس، فيقول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هذا إبراهيم و أنا تارخ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عبيد من التشبيه إنّما يتمُّ على عقيدة أهل السنّة، بأنّ أبا إبراهيم كان وثنيّاً، و أمّا على عقيدة الشيعة، و هي الّتي تؤيّدها الآيات القرآنية، أنّ أباه كان مؤمناً موحّداً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عمّه لا والده</w:t>
      </w:r>
      <w:r>
        <w:rPr>
          <w:rStyle w:val="FootnoteAnchor"/>
          <w:rtl w:val="true"/>
        </w:rPr>
        <w:footnoteReference w:id="545"/>
      </w:r>
      <w:r>
        <w:rPr>
          <w:rFonts w:ascii="Amiri" w:hAnsi="Amiri" w:eastAsia="Amiri" w:cs="Amiri"/>
          <w:color w:val="111111"/>
          <w:sz w:val="28"/>
          <w:sz w:val="28"/>
          <w:szCs w:val="28"/>
          <w:rtl w:val="true"/>
          <w:lang w:bidi="ar-SA"/>
        </w:rPr>
        <w:t>فلا يتمّ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السيّد في أماليه و غيره من أرباب المعاجم قصصاً في زهده و ورعه غير أنّ قسماً منها يعدّ مغالاة في الفضائل و إليك نموذجاً منها</w:t>
      </w:r>
      <w:r>
        <w:rPr>
          <w:rFonts w:eastAsia="Amiri" w:cs="Amiri" w:ascii="Amiri" w:hAnsi="Amiri"/>
          <w:color w:val="111111"/>
          <w:sz w:val="28"/>
          <w:szCs w:val="28"/>
          <w:rtl w:val="true"/>
          <w:lang w:bidi="ar-SA"/>
        </w:rPr>
        <w:t xml:space="preserve">: </w:t>
      </w:r>
      <w:bookmarkStart w:id="477" w:name="pg11536_164129"/>
    </w:p>
    <w:p>
      <w:pPr>
        <w:pStyle w:val="BookText"/>
        <w:rPr/>
      </w:pPr>
      <w:bookmarkEnd w:id="477"/>
      <w:r>
        <w:rPr>
          <w:rFonts w:ascii="Amiri" w:hAnsi="Amiri" w:eastAsia="Amiri" w:cs="Amiri"/>
          <w:color w:val="111111"/>
          <w:sz w:val="28"/>
          <w:sz w:val="28"/>
          <w:szCs w:val="28"/>
          <w:rtl w:val="true"/>
          <w:lang w:bidi="ar-SA"/>
        </w:rPr>
        <w:t>روى ابن المرتضى عن الجاحظ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عمرو أربعين عاماً صلاة الفجر بوضوء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أربعين حجّة ماشياً، و بعيره موقوف على من أحصر، و كان يحيي اللّيل بركعة واحدة، و يرجِّع آية واحدة</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 قد روى نظيره في حقّ الشيخ أبي الحسن الأشعري، و قد قلنا إنّه من المغالاة في الفضائل،</w:t>
      </w:r>
      <w:r>
        <w:rPr>
          <w:rStyle w:val="FootnoteAnchor"/>
          <w:rtl w:val="true"/>
        </w:rPr>
        <w:footnoteReference w:id="547"/>
      </w:r>
      <w:r>
        <w:rPr>
          <w:rFonts w:ascii="Amiri" w:hAnsi="Amiri" w:eastAsia="Amiri" w:cs="Amiri"/>
          <w:color w:val="111111"/>
          <w:sz w:val="28"/>
          <w:sz w:val="28"/>
          <w:szCs w:val="28"/>
          <w:rtl w:val="true"/>
          <w:lang w:bidi="ar-SA"/>
        </w:rPr>
        <w:t>إذ قلّما يتّفق لإنسان ألّا يكون مريضاً و لا مسافراً و لا معذوراً طيلة أربعين سنة، حتّى يصلّي فيها صلاة الصبح بوضوء العتمة</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3907615_73709187"/>
      <w:bookmarkStart w:id="479" w:name="_Toc175"/>
      <w:bookmarkEnd w:id="478"/>
      <w:r>
        <w:rPr>
          <w:rtl w:val="true"/>
        </w:rPr>
        <w:t>ما اثر عنه في مجالي التفسير و العقيدة</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المرتضى في أماليه أنّ ابن لهيعة أتى عمرو بن عبيد في المسجد الحرام فسلّم عليه و جلس إليه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ما تقول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محبّة القلوب الّتي لا يستطيعها العبد و لم يكلّفها، فأمّا العدل بينهنّ في القسمة من النفس و الكسوة و النفقة، فهو مطيق لذلك، و قد كلّفه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تطيقون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من ليست أيّماً و لا ذات زوج</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الحق</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سأله ابن لهيعة كان سؤالاً دارجاً في ذلك العصر، و قد طرحه بعض الزنادقة، كابن أبي العوجاء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بندر الأهواء و الآراء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ليوهم أنّ في القرآن 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سأل عنها هشام بن الحكم تارة و أبا جعفر الأحول مؤمن الطّاق، اُخرى، فغادر الرجلان البصرة، لزيارة الإمام الصادق عليه السلام في المدينة في غير موسم الحجّ و العمرة للتعرّف على الجواب و قد عرضا السؤال عليه، فأجاب بنفس الجواب الّذي مرّ في كلام عمرو بن عبيد، فلمّا سمع ابن أبي العوجاء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حملته الإبل من الحجاز</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ما أجاب الإمام عليه السلام كان منتشراً في البصرة من جانب تلميذيه، و انتهى إلى عمرو بن عبيد، فأجاب بنفس ما أجاب به الإمام، و يظهر من كلام ابن أبي العوجاء، تقدّم إجابة الإمام على جواب عمرو بن عبيد زماناً و إلّا لما صحّ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حملته الإبل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له أنّ يحتمل أنّ الجواب أُخذ من عمرو بن عبيد، عميد 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أنّ تكون الإجابتان من قبيل توارد الخاطر و مجيئهما على سبيل الاتّفاق، بلا أخذ أحدهما من الآخر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المرتضى في أماليه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هشام بن الحكم قدم البصرة فأتى حلقة عمرو بن عبيد فجلس فيها و عمرو لا يعرفه فقال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جعل اللّٰه لك عينين؟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لأنظر بهما في </w:t>
      </w:r>
    </w:p>
    <w:p>
      <w:pPr>
        <w:pStyle w:val="BookText"/>
        <w:rPr/>
      </w:pPr>
      <w:r>
        <w:rPr>
          <w:rFonts w:ascii="Amiri" w:hAnsi="Amiri" w:eastAsia="Amiri" w:cs="Amiri"/>
          <w:color w:val="111111"/>
          <w:sz w:val="28"/>
          <w:sz w:val="28"/>
          <w:szCs w:val="28"/>
          <w:rtl w:val="true"/>
          <w:lang w:bidi="ar-SA"/>
        </w:rPr>
        <w:t>ملكوت السماوات و الأرض فأعتبر،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 فماً؟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لأذوق الطعوم و أُجيب الداعي، ثمّ عدّد عليه الحواسّ كلّها،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لك قلباً؟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لتؤدّي إليه الحواسّ ما أدركته فيميّز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لم يرض لك ربّك تعالى إذ خلق لك خمس حواسّ حتّى جعل لها إماماً ترجع إليه، أ ترضى لهذا الخلق الّذين جشأ بهم العالم ألّا يجعل لهم إماماً يرجعون إليه؟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حتّى ننظر في مسألتك و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دار هشام في حلق البصرة فما أمسى حتّى اختلفوا</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عمرو بن عبيد هشام بن الحكم، يدلّ على دماثة في الخلق و سماحة في المناظرة مع أنّه طعن في السنّ، و هشام بن الحكم كان يعدّ في ذلك اليوم من الأحداث، و قد استمهل حتّى يتأمّل في مسألته و لم يرفع عليه صوته و عقيرته بالشتم و السبّ، كما هو عادة أكثر المتعصّبين، و لم يرمه بالخروج عن المذهب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 رجل عمرو بن عبيد في القدر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في كتابه ما يزيل الشك عن قلوب المؤمنين في القضاء و القدر قال تعالى</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رَبِّكَ 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لنسألنّهم عمّا قضيت عليهم، أو قدّرته فيهم، أو أردته منهم، أو شئته لهم، </w:t>
      </w:r>
    </w:p>
    <w:p>
      <w:pPr>
        <w:pStyle w:val="BookText"/>
        <w:rPr/>
      </w:pPr>
      <w:r>
        <w:rPr>
          <w:rFonts w:ascii="Amiri" w:hAnsi="Amiri" w:eastAsia="Amiri" w:cs="Amiri"/>
          <w:color w:val="111111"/>
          <w:sz w:val="28"/>
          <w:sz w:val="28"/>
          <w:szCs w:val="28"/>
          <w:rtl w:val="true"/>
          <w:lang w:bidi="ar-SA"/>
        </w:rPr>
        <w:t>و ليس بعد هذا الأمر، إلّا الإقرار بالعدل، أو السكوت عن الجور الّذي لا يجوز على اللّٰه تعالى</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نظير ذلك من الإمام جعفر الصادق عليه السلام و قد سئل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استطعت أنّ تلوم العبد عليه فهو فعله، و ما لم تستطع فهو فعل اللّٰه، يقول اللّٰه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كفرت و لا يقول لم مرضت</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أخيراً روى السيّد المرتضى أنّ أبا جعفر المنصور مرّ على قبره بمرّان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على ليال من مكّة على طريق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الإله عليك من متوسّد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مررت به على مَرّان</w:t>
      </w:r>
    </w:p>
    <w:p>
      <w:pPr>
        <w:pStyle w:val="BookText"/>
        <w:rPr/>
      </w:pPr>
      <w:r>
        <w:rPr>
          <w:rFonts w:ascii="Amiri" w:hAnsi="Amiri" w:eastAsia="Amiri" w:cs="Amiri"/>
          <w:color w:val="111111"/>
          <w:sz w:val="28"/>
          <w:sz w:val="28"/>
          <w:szCs w:val="28"/>
          <w:rtl w:val="true"/>
          <w:lang w:bidi="ar-SA"/>
        </w:rPr>
        <w:t xml:space="preserve">قبراً تضمّن مؤمناً متخشّعاً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الإله ودان بالفرقان</w:t>
      </w:r>
    </w:p>
    <w:p>
      <w:pPr>
        <w:pStyle w:val="BookText"/>
        <w:rPr/>
      </w:pPr>
      <w:r>
        <w:rPr>
          <w:rFonts w:ascii="Amiri" w:hAnsi="Amiri" w:eastAsia="Amiri" w:cs="Amiri"/>
          <w:color w:val="111111"/>
          <w:sz w:val="28"/>
          <w:sz w:val="28"/>
          <w:szCs w:val="28"/>
          <w:rtl w:val="true"/>
          <w:lang w:bidi="ar-SA"/>
        </w:rPr>
        <w:t xml:space="preserve">و إذا الرجال تنازعوا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الخطاب بحكمة و بيان</w:t>
      </w:r>
    </w:p>
    <w:p>
      <w:pPr>
        <w:pStyle w:val="BookText"/>
        <w:rPr/>
      </w:pPr>
      <w:r>
        <w:rPr>
          <w:rFonts w:ascii="IRNazanin" w:hAnsi="IRNazanin" w:eastAsia="IRNazanin"/>
          <w:color w:val="111111"/>
          <w:sz w:val="28"/>
          <w:sz w:val="28"/>
          <w:szCs w:val="28"/>
          <w:rtl w:val="true"/>
          <w:lang w:bidi="fa-IR"/>
        </w:rPr>
        <w:t xml:space="preserve">فلو أنّ هذا الدهر أبقى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أبقى لنا عمراً أبا عثمان</w:t>
      </w:r>
      <w:r>
        <w:rPr>
          <w:rStyle w:val="FootnoteAnchor"/>
          <w:rtl w:val="true"/>
        </w:rPr>
        <w:footnoteReference w:id="55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عمرو يسكن البصرة، و جالس الحسن البصري، و حفظ عنه، و اشتهر بصحبته، ثمّ أزاله واصل بن عطاء عن مذهب أهل السنّة فقال بالقدر و دعا إليه، و اعتزل أصحاب الحسن و كان له سمعة و إظهار 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بعض ما يدلّ على زهده أو إظهاره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ذكره الخطيب من تخصيص أهل السنّة باتّباع مذهبه تخصيص بلا دليل، فإنّ الفرق الإسلاميّة يحترمون السنّة الصّحيحة، و الكلّ بهذا المعنى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وجه إزالته عنهم قوله بالقدر، فقد سبقه أُستاذه الحسن إلى هذا القول، كما تدلّ عليه رسالته إلى عمر بن عبد العزيز، الّتي أتى بنصّها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فلو خرج عمرو بالقول بالقدر عن مذهب أهل السنّة، فهذه شنشنة أعرفها من عبد القاهر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الخطيب في تأريخه، و غيرهما من الكتّاب المتعصّبين الّذين يفتحون أبواب الجنّة على مصاريعها على وجوه أصحابهم، و يقفلونها بإحكام أمام الفرق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تطرّف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تسمية جمهرة المسلمين بأهل السنّة، تسمية متأخِّرة يرجع تأريخها إلى حوالي القرن السابع الهجري، إلى بعد عصر آخر الأئمّة المشهورين و هو ابن حنبل بحوالي أربعة قرون</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أهل الحديث كانوا يسمّونهم أهل السنّة، و هذا أحمد بن حنبل يقول في ديباجة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مذاهب أهل العلم و أصحاب الأثر و أهل السنّة المتمسّكين بعروتها المعروفين بها</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و هذا الشيخ الأشعري يعرض عقائد أهل الحديث باسم أهل السنّة</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إنّما الإشكال في احتكار هذا الاسم في طائفة خاصّة من المسلمين، مشعراً به إلى أنّ غيرهم رفضوا السنّة و عملوا بالبدعة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تكن هذه التسمية في عصر النبي، و لا الخلفاء، و لا في أوائل القرن الثاني، و إنّما حدثت في أواسطه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ألّفنا رسالة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تطوره عبر القرون طبعت في الجزء السادس 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رسائل و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الخطيب بسنده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عبيد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المحفوظ، فما على أبي لهب من 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ينقله أيضاً عن معاذ بصورة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عمرو بن عبيد، فأتاه رجل يقال له عثمان أخو السمري فقال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اللّٰه اليوم بالكفر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بالكفر، و ما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هاشماً الأوقصي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 يَدٰا أَبِي لَهَبٍ</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ذَرْنِي وَ مَنْ خَلَقْتُ وَحِيداً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إنّ هذا ليس في أُمّ الكتاب،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فما الكفر إلّا هذا 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عمرو هنيئة،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كان القول كما يقول، ما كان على أبي لهب من لوم، و لا على الوحيد من 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عثمان ذاك؟ هذا </w:t>
      </w:r>
    </w:p>
    <w:p>
      <w:pPr>
        <w:pStyle w:val="BookText"/>
        <w:rPr/>
      </w:pPr>
      <w:r>
        <w:rPr>
          <w:rFonts w:ascii="Amiri" w:hAnsi="Amiri" w:eastAsia="Amiri" w:cs="Amiri"/>
          <w:color w:val="111111"/>
          <w:sz w:val="28"/>
          <w:sz w:val="28"/>
          <w:szCs w:val="28"/>
          <w:rtl w:val="true"/>
          <w:lang w:bidi="ar-SA"/>
        </w:rPr>
        <w:t>و اللّٰه الدين يا أبا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بالإسلام و خرج بالكفر</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ينقل عن معاذ أنّه نقل مقالة عمرو لوكيع بن الجرّاح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هذا القول استتيب، فإن تاب و إلّا ضربت عنقه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تأريخ بغداد عيبة الأعاجيب و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في بداية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 في زهده و تمرّده على الطواغيت، كأبي جعفر المنصور العبّاسي على وجه يليق أنّ تنسب إلى الأنبياء و الأولياء، و لا يلبث فيأتي بهذه الأعاجيب الّتي لا يليق أنّ تنسب إلى مسلم عادي، فضلاً عن شيخ الكلام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المعتزلة و في مقدّمهم الشيخان، اعترفوا بأنّ علمه سبحانه بالأشياء و الحوادث أزلي لا حادث</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و معه كيف يمكن لمثل عمرو شيخ المنهج أنّ ينكر علمه سبحانه بما يصدر من الوليد ابن المغيرة، أو أبي لهب من الأفعال و الأقوال؟ و كيف يمكن لمسلم أنّ ينكر كون القرآن موجوداً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وروده فيه على وجه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ما نسب إليه من السفاسف أخيراً، وليد العداء و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الّذي يأخذ عقائده و آراءه من الكتاب و السنّة الصحيحة و العقل السليم، يعترف بأنّ كلّ شيء معلوم للّٰه سبحانه في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علمه الأزلي لا يصيِّر الإنسان مسيّراً مكتوف </w:t>
      </w:r>
      <w:bookmarkStart w:id="480" w:name="pg11536_164136"/>
    </w:p>
    <w:p>
      <w:pPr>
        <w:pStyle w:val="BookText"/>
        <w:rPr/>
      </w:pPr>
      <w:bookmarkEnd w:id="480"/>
      <w:r>
        <w:rPr>
          <w:rFonts w:ascii="Amiri" w:hAnsi="Amiri" w:eastAsia="Amiri" w:cs="Amiri"/>
          <w:color w:val="111111"/>
          <w:sz w:val="28"/>
          <w:sz w:val="28"/>
          <w:szCs w:val="28"/>
          <w:rtl w:val="true"/>
          <w:lang w:bidi="ar-SA"/>
        </w:rPr>
        <w:t>الأيدي، لأنّ علمه سبحانه لم يتعلّق بصدور كلّ فعل عن الإنسان على الإطلاق و بأيّ وجه كان، و إنّما تعلّق بصدوره منه في ظلّ المبادئ الموجودة فيه، و منها الإرادة و الاختيار و الحريّة و الانتخاب و باختصار؛ علمه سبحانه تعلّق بأنّ الإنسان فاعل مختار يفعل كلّ شيء بإرادته و مثل هذا العلم لو لم يؤكّد الاختيار لما كان سبباً للجبر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أوضحنا هذا الجواب عند البحث عن عموم مشيئته سبحانه و علمه في الجزء الثاني من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عمرو بن عبيد و كلّ من يعتقد بعدله سبحانه لا يجنح إلى روايات القدر الّتي تعرِّف الإنسان كالريشة في مهبِّ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ذكرنا نزراً من تلك الأحاديث في كتابنا هذا</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3907617_73709187"/>
      <w:bookmarkStart w:id="482" w:name="_Toc176"/>
      <w:bookmarkEnd w:id="481"/>
      <w:r>
        <w:rPr>
          <w:rtl w:val="true"/>
        </w:rPr>
        <w:t>وفود عمرو على الإمام الباقر عليه السلام</w:t>
      </w:r>
      <w:bookmarkEnd w:id="48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عمرو بن عبيد وفد على محمّد بن عليّ الباقر عليه السلام لامتحانه بالسؤال عن بعض الآيات،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ما هذا الرتق و الفتق؟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السّماء رتقاً لا ينزل القطر و كانت الأرض رتقاً لا تخرج النّبات، ففتق اللّٰه السّماء بالقطر، و فتق الأرض بالنبات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عمرو و لم يجد اعتراضاً و مضى</w:t>
      </w:r>
      <w:r>
        <w:rPr>
          <w:rFonts w:eastAsia="Amiri" w:cs="Amiri" w:ascii="Amiri" w:hAnsi="Amiri"/>
          <w:color w:val="111111"/>
          <w:sz w:val="28"/>
          <w:szCs w:val="28"/>
          <w:rtl w:val="true"/>
          <w:lang w:bidi="ar-SA"/>
        </w:rPr>
        <w:t xml:space="preserve">. </w:t>
      </w:r>
      <w:bookmarkStart w:id="483" w:name="pg11536_164137"/>
    </w:p>
    <w:p>
      <w:pPr>
        <w:pStyle w:val="BookText"/>
        <w:rPr/>
      </w:pPr>
      <w:bookmarkEnd w:id="483"/>
      <w:r>
        <w:rPr>
          <w:rFonts w:ascii="Amiri" w:hAnsi="Amiri" w:eastAsia="Amiri" w:cs="Amiri"/>
          <w:color w:val="111111"/>
          <w:sz w:val="28"/>
          <w:sz w:val="28"/>
          <w:szCs w:val="28"/>
          <w:rtl w:val="true"/>
          <w:lang w:bidi="ar-SA"/>
        </w:rPr>
        <w:t>ثمّ 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جعلت فداك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يَحْلِلْ عَلَيْهِ غَضَبِي فَقَدْ هَوىٰ</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ما غضب اللّٰه؟ فقال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تعالى عقابه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أنّ اللّٰه يغيّره شيء فقد كفر</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 w:name="__RefHeading___Toc3907619_73709187"/>
      <w:bookmarkStart w:id="485" w:name="_Toc177"/>
      <w:bookmarkEnd w:id="484"/>
      <w:r>
        <w:rPr>
          <w:rtl w:val="true"/>
        </w:rPr>
        <w:t>وفود عمرو على الإمام الصادق عليه السلام</w:t>
      </w:r>
      <w:bookmarkEnd w:id="48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بمكّة إذ دخل عليه أناس من المعتزلة فيهم عمرو بن عبيد و واصل بن عطاء و حفص بن سالم، و أناس من رؤسائهم و ذلك حين قتل الوليد</w:t>
      </w:r>
      <w:r>
        <w:rPr>
          <w:rStyle w:val="FootnoteAnchor"/>
          <w:rtl w:val="true"/>
        </w:rPr>
        <w:footnoteReference w:id="570"/>
      </w:r>
      <w:r>
        <w:rPr>
          <w:rFonts w:ascii="Amiri" w:hAnsi="Amiri" w:eastAsia="Amiri" w:cs="Amiri"/>
          <w:color w:val="111111"/>
          <w:sz w:val="28"/>
          <w:sz w:val="28"/>
          <w:szCs w:val="28"/>
          <w:rtl w:val="true"/>
          <w:lang w:bidi="ar-SA"/>
        </w:rPr>
        <w:t>و اختلف أهل الشّام بينهم فتكلّموا و أكثروا، و خطبوا فأطالوا فقال لهم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قد أكثرتم عليّ و أطلتم فأسندوا أمركم إلى رجل منكم فليتكلّم بحجّتكم و ليوجز، فأسندوا أمرهم إلى عمرو بن عبيد فأبلغ و أطال، فكان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أهل الشام خليفتهم، و ضرب اللّٰه بعضهم ببعض، و تشتّت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فوجدنا رجلاً له دين و عقل و مروّة و معدن للخلافة و هو محمّد بن عبد اللّه بن الحسن</w:t>
      </w:r>
      <w:r>
        <w:rPr>
          <w:rStyle w:val="FootnoteAnchor"/>
          <w:rtl w:val="true"/>
        </w:rPr>
        <w:footnoteReference w:id="571"/>
      </w:r>
      <w:r>
        <w:rPr>
          <w:rFonts w:ascii="Amiri" w:hAnsi="Amiri" w:eastAsia="Amiri" w:cs="Amiri"/>
          <w:color w:val="111111"/>
          <w:sz w:val="28"/>
          <w:sz w:val="28"/>
          <w:szCs w:val="28"/>
          <w:rtl w:val="true"/>
          <w:lang w:bidi="ar-SA"/>
        </w:rPr>
        <w:t>فأردنا أن نجتمع معه فنبايعه ثمّ نظهر أمرنا معه، و ندعو الناس إليه، فمن بايعه كنّا معه و كان معنا</w:t>
      </w:r>
      <w:r>
        <w:rPr>
          <w:rFonts w:eastAsia="Amiri" w:cs="Amiri" w:ascii="Amiri" w:hAnsi="Amiri"/>
          <w:color w:val="111111"/>
          <w:sz w:val="28"/>
          <w:szCs w:val="28"/>
          <w:rtl w:val="true"/>
          <w:lang w:bidi="ar-SA"/>
        </w:rPr>
        <w:t xml:space="preserve">... </w:t>
      </w:r>
      <w:bookmarkStart w:id="486" w:name="pg11536_164138"/>
    </w:p>
    <w:p>
      <w:pPr>
        <w:pStyle w:val="BookText"/>
        <w:rPr/>
      </w:pPr>
      <w:bookmarkEnd w:id="486"/>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كلامه أجابه الإمام بكلام مسهب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يا عمرو و أنتم أيها الرّهط، فاتّقوا اللّٰه، فإنّ أبي حدّثني و كان خير أهل الأرض و أعلمهم بكتاب اللّٰه و سنّة رسوله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روى الصدوق في عيونه عن عليّ الرضا عليه السلام،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عمرو بن عبيد البصري على أبي عبد اللّه، فلمّا سلّم و جلس عنده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ثمّ سأل عن الكبائر فأجابه عليه السلام فخرج عمرو بن عبيد 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اللّٰه من قال برأيه و نازعكم في الفضل و العلم</w:t>
      </w:r>
      <w:r>
        <w:rPr>
          <w:rFonts w:eastAsia="Amiri" w:cs="Amiri" w:ascii="Amiri" w:hAnsi="Amiri"/>
          <w:color w:val="111111"/>
          <w:sz w:val="28"/>
          <w:szCs w:val="28"/>
          <w:rtl w:val="true"/>
          <w:lang w:bidi="ar-SA"/>
        </w:rPr>
        <w:t>».</w:t>
      </w:r>
      <w:r>
        <w:rPr>
          <w:rStyle w:val="FootnoteAnchor"/>
          <w:rtl w:val="true"/>
        </w:rPr>
        <w:footnoteReference w:id="574"/>
      </w:r>
    </w:p>
    <w:p>
      <w:pPr>
        <w:pStyle w:val="Heading4"/>
        <w:numPr>
          <w:ilvl w:val="3"/>
          <w:numId w:val="1"/>
        </w:numPr>
        <w:rPr/>
      </w:pPr>
      <w:bookmarkStart w:id="487" w:name="__RefHeading___Toc3907621_73709187"/>
      <w:bookmarkStart w:id="488" w:name="_Toc178"/>
      <w:bookmarkEnd w:id="487"/>
      <w:r>
        <w:rPr/>
        <w:t>3</w:t>
      </w:r>
      <w:r>
        <w:rPr>
          <w:rtl w:val="true"/>
        </w:rPr>
        <w:t xml:space="preserve"> - </w:t>
      </w:r>
      <w:r>
        <w:rPr>
          <w:rtl w:val="true"/>
        </w:rPr>
        <w:t xml:space="preserve">أبو الهذيل العلّاف </w:t>
      </w:r>
      <w:r>
        <w:rPr>
          <w:rtl w:val="true"/>
        </w:rPr>
        <w:t>(</w:t>
      </w:r>
      <w:r>
        <w:rPr/>
        <w:t>135</w:t>
      </w:r>
      <w:r>
        <w:rPr>
          <w:rtl w:val="true"/>
        </w:rPr>
        <w:t>-</w:t>
      </w:r>
      <w:r>
        <w:rPr/>
        <w:t>235</w:t>
      </w:r>
      <w:r>
        <w:rPr>
          <w:rtl w:val="true"/>
        </w:rPr>
        <w:t xml:space="preserve"> </w:t>
      </w:r>
      <w:r>
        <w:rPr>
          <w:rtl w:val="true"/>
        </w:rPr>
        <w:t>ه</w:t>
      </w:r>
      <w:r>
        <w:rPr>
          <w:rtl w:val="true"/>
        </w:rPr>
        <w:t>)</w:t>
      </w:r>
      <w:bookmarkEnd w:id="488"/>
    </w:p>
    <w:p>
      <w:pPr>
        <w:pStyle w:val="Heading5"/>
        <w:numPr>
          <w:ilvl w:val="4"/>
          <w:numId w:val="1"/>
        </w:numPr>
        <w:rPr/>
      </w:pPr>
      <w:bookmarkStart w:id="489" w:name="__RefHeading___Toc3907623_73709187"/>
      <w:bookmarkStart w:id="490" w:name="_Toc179"/>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أبو الهذيل محمّد بن الهذيل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مولاهم و كان يلقّب بالعلّاف، لأنّ داره في البصرة كانت في العلّافين</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 البصريّين في الاعتزال و من أكبر علمائهم </w:t>
      </w:r>
    </w:p>
    <w:p>
      <w:pPr>
        <w:pStyle w:val="BookText"/>
        <w:rPr/>
      </w:pPr>
      <w:r>
        <w:rPr>
          <w:rFonts w:ascii="Amiri" w:hAnsi="Amiri" w:eastAsia="Amiri" w:cs="Amiri"/>
          <w:color w:val="111111"/>
          <w:sz w:val="28"/>
          <w:sz w:val="28"/>
          <w:szCs w:val="28"/>
          <w:rtl w:val="true"/>
          <w:lang w:bidi="ar-SA"/>
        </w:rPr>
        <w:t>و هو صاحب المقالات في مذهبهم و مجالس و 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المرتضى عن صاحب المصابيح أنّه كان نسيج وحده و عالم دهره و لم يتقدّمه أحد من الموافقين و لا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النظّام من أصحابه، ثمّ انقطع عنه مدّة و نظر في شيء من كتب الفلاسفة، فلمّا ورد البصرة كان يرى أنّه قد أورد من لطيف الكلام ما لم يسبق إلى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فناظرت أبا الهذيل في ذلك فخيّل إليّ أنّه لم يكن متشاغلاً إلّا به لتصرّفه فيه و حذقه في المناظرة فيه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مناظراته مع المجوس و الثنويّة و غيرهم طويلة ممدودة و كان يقطع الخصم بأقلّ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أسلم على يده زيادة على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أفصح من أبي الهذيل و الجاحظ، و كان أبو الهذيل أحسن 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شهدته في مجلس و قد استشهد في جملة كلامه بثلاثمائة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مجلس المأمون استشهد في عرض كلامه بسبعمائة بيت</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ناظر به المخالفين دليل على نبوغه المبكر و تضلّعه في هذا الفن، فلنذكر بعضه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ابن لصالح بن عبد القدّوس الّذي يرمى بالزندقة، فجزع </w:t>
      </w:r>
    </w:p>
    <w:p>
      <w:pPr>
        <w:pStyle w:val="BookText"/>
        <w:rPr/>
      </w:pPr>
      <w:r>
        <w:rPr>
          <w:rFonts w:ascii="Amiri" w:hAnsi="Amiri" w:eastAsia="Amiri" w:cs="Amiri"/>
          <w:color w:val="111111"/>
          <w:sz w:val="28"/>
          <w:sz w:val="28"/>
          <w:szCs w:val="28"/>
          <w:rtl w:val="true"/>
          <w:lang w:bidi="ar-SA"/>
        </w:rPr>
        <w:t>عليه، فقال له أبو الهذيل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لجزعك عليه وجهاً، إذ كان الناس عندك كالزرع، فقال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الهذيل إنّما أجزع عليه لأنّه لم يقرأ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يا صالح؟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قد وضعته، من قرأه يشك فيما كان حتّى يتوهّم أنّه لم يكن، و يشكّ فيما لم يكن حتّى يتوهّم أنّه قد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 أنت في موت ابنك، و اعمل على أنّه لم يمت و إن كان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شكّ أيضاً في قراءته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لم يقرأه</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أبا الهذيل في حداثة سنّه أنّ رجلاً يهوديّاً قدم البصرة و قطع جماعة من متكلّميها، فقال 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امض بي إلى هذا اليهودي حتّى أُكلّمه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كيف تكلّمه و قد عرفت خبره، و أنّه قطع مشايخ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تمضي بي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يقرّر الناس على نبوّة موسى عليه السلام، فإذا اعترفوا له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اتّفقنا عليه إلى أن نجمع على ما تدّعونه، فتقدّمت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أم تسألني؟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أسألك،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تعترف بأنّ موسى نبيّ صادق أم تنكر ذلك فتخالف صاحبك؟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موسى الّذي تسألني عنه هو الّذي بشّر بنبيّي عليه السلام و شهد بنبوّته و صدّقه فهو نبيّ صادق، و إن كان غير من وصفت، فذلك شيطان لا أعترف بنبوّته؛ فورد عليه ما لم يكن في حسابه، ثمّ </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إنّ التوراة حقّ؟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تجري مجرى الأُولى، إن كانت هذه التوراة الّتي تسألني عنها هي الّتي تتضمّن البشارة بنبيّي عليه السلام فتلك حقّ، و إن لم تكن كذلك فليست بحقّ، و لا أقرّ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و أُفحم و لم يدر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أحتاج أن أقول لك شيئاً بيني و بينك، فظننت أنّه يقول شيئاً من الخير، فتقدّمت إليه فسارّني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كذا و كذا و أُمّ من علّمك، لا يكنّي، و قدّر أنّي أثب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وثبوا بي و شغبوا عليّ، فأقبلت على من كان في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أعزّكم اللّٰه، أ لستم قد وقفتم على سؤاله إيّاي و على جوابي إيّاه؟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عليه أن يردّ جوابي أيضاً؟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سارّني شتمني بالشتم الّذي يوجب الحدّ، و شتم من علّمني، و إنّما قدّر أنّني أثب عليه، فيدّعي أنّنا واثبناه و شغبنا عليه، و قد عرّفتكم شأنه بعد الانقطاع فانصروني، فأخذته الأيدي من كلّ جهة فخرج هارباً من البصرة</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طرحه الرجل اليهودي من الشبهة كانت شبهة دارجة لأهل الكتاب يتمسّكون بها كلّ منهم من غير فرق بين اليهودي و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 الجاثليق النصراني الإمام عليّ بن موسى الرضا عليه السلام في مجلس المأمون عن هذه الشبهة، فقال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 و كتابه هل تنكر منهما شيئاً؟ قال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مقرّ بنبوّة عيسى و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كافر بنبوّة كلّ عيسى لم يقرّ بنبوّة محمّد صلى الله عليه و آله و سلم و كتابه و لم يبشّر به أُمّته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الإمام الطاهر عليّ بن موسى الرضا عليه السلام قدم خراسان عام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و توفّي بها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كانت المناظرات خلال هذه السنوات دائرة و مجالسها بالعلماء و الأُدباء حافلة، فنقلوا ما دار بين الإمام و الجاثليق إلى العواصم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البعيد أن يكون أبو الهذيل قد اقتبس كلامه من الإمام عليه السلام، كما أنّ من المحتمل أن يكون من باب توارد الخاطر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أتى إليه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أُشكل عليّ أشياء من القرآن فقصدت هذا البلد فلم أجد عند أحد ممّن سألته شفاء لما أردته، فلمّا خرجت في هذا الوقت قال لي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بغيتك عند هذا الرجل فاتّق اللّٰه و أفدني، فقال أبو الهذيل ما ذا أشكل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من القرآن توهمني أنّها متناقضة و آيات توهمني أنّها ملحونة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أحبّ إليك، أُجيبك بالجملة أو تسألني عن آية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تجيبني بالجملة، فقال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أنّ محمّداً كان من أوساط العرب و غير مطعون عليه في لغته، و أنّه كان عند قومه من أعقل العرب فلم يكن مطعوناً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 أنّ العرب كانوا أهل جدل؟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اجتهدوا عليه بالمناقضة و اللّحن؟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 أبو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فتدع قولهم على علمهم باللّغة و تأخذ بقول رجل من الأوساط؟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هذا و انصرف و تفقّه في الدين</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491" w:name="pg11536_164143"/>
    </w:p>
    <w:p>
      <w:pPr>
        <w:pStyle w:val="Heading5"/>
        <w:numPr>
          <w:ilvl w:val="4"/>
          <w:numId w:val="1"/>
        </w:numPr>
        <w:rPr/>
      </w:pPr>
      <w:bookmarkStart w:id="492" w:name="__RefHeading___Toc3907625_73709187"/>
      <w:bookmarkStart w:id="493" w:name="_Toc180"/>
      <w:bookmarkEnd w:id="491"/>
      <w:bookmarkEnd w:id="492"/>
      <w:r>
        <w:rPr>
          <w:rtl w:val="true"/>
        </w:rPr>
        <w:t>تآليفه</w:t>
      </w:r>
      <w:bookmarkEnd w:id="493"/>
    </w:p>
    <w:p>
      <w:pPr>
        <w:pStyle w:val="BookText"/>
        <w:rPr/>
      </w:pPr>
      <w:r>
        <w:rPr>
          <w:rFonts w:ascii="Amiri" w:hAnsi="Amiri" w:eastAsia="Amiri" w:cs="Amiri"/>
          <w:color w:val="111111"/>
          <w:sz w:val="28"/>
          <w:sz w:val="28"/>
          <w:szCs w:val="28"/>
          <w:rtl w:val="true"/>
          <w:lang w:bidi="ar-SA"/>
        </w:rPr>
        <w:t>بينما لم يذكر ابن النديم أيّ تأليف لأبي الهذيل يحكي ابن المرتضى عن يحيى بن بشر أنّ لأبي الهذيل ستّين كتاباً في الردّ على المخالفين في دقيق الكلام</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نعم، ذكر ابن النديم في باب الكتب المؤلّفة في متشابه القرآن أنّ لأبي الهذيل العلّاف كتاباً في ذلك الفن</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لأبي الهذيل كتاب يعرف بالميلاس،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مجوسياً و أسلم، و كان سبب إسلامه أنّه جمع بين أبي الهذيل و بين جماعة من الثنويّة، فقطعهم أبو الهذيل فأسلم ميلاس عند ذلك</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ذكر البغدادي كتابين لأبي الهذيل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ردّ على الدهريّة</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سبر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القاهر البغدادي يعرف حقده على المعتزلة و على ذوي الفكر و لذلك ترجمه بصورة تكشف عن عمق غيظ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مولى لعبد القيس و قد جرى على منهاج أبناء </w:t>
      </w:r>
      <w:bookmarkStart w:id="494" w:name="pg11536_164144"/>
    </w:p>
    <w:p>
      <w:pPr>
        <w:pStyle w:val="BookText"/>
        <w:rPr/>
      </w:pPr>
      <w:bookmarkEnd w:id="494"/>
      <w:r>
        <w:rPr>
          <w:rFonts w:ascii="Amiri" w:hAnsi="Amiri" w:eastAsia="Amiri" w:cs="Amiri"/>
          <w:color w:val="111111"/>
          <w:sz w:val="28"/>
          <w:sz w:val="28"/>
          <w:szCs w:val="28"/>
          <w:rtl w:val="true"/>
          <w:lang w:bidi="ar-SA"/>
        </w:rPr>
        <w:t>السبايا لظهور أكثر البدع منهم، و فضائحه تترى تكفِّره فيها سائر فرق الأُمّة من أصحابه في الاعتزال و من غيرهم، و للمعروف بالمزدار من المعتزلة كتاب كبير فيه فضائح أبي الهذيل، و في تكفيره بما انفرد به من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للجبّائي أيضاً كتاب في الردّ على أبي الهذيل في المخلوق، يكفّره فيه، و لجعفر بن حرب المشهور في زعماء المعتزلة أيضاً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توبيخ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بتكفير أبي الهذيل، و ذكر فيه أنّ قوله يجرّ إلى قول الدهريّة</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3907627_73709187"/>
      <w:bookmarkStart w:id="496" w:name="_Toc181"/>
      <w:bookmarkEnd w:id="495"/>
      <w:r>
        <w:rPr>
          <w:rtl w:val="true"/>
        </w:rPr>
        <w:t>تشيّعه</w:t>
      </w:r>
      <w:bookmarkEnd w:id="496"/>
    </w:p>
    <w:p>
      <w:pPr>
        <w:pStyle w:val="BookText"/>
        <w:rPr/>
      </w:pPr>
      <w:r>
        <w:rPr>
          <w:rFonts w:ascii="Amiri" w:hAnsi="Amiri" w:eastAsia="Amiri" w:cs="Amiri"/>
          <w:color w:val="111111"/>
          <w:sz w:val="28"/>
          <w:sz w:val="28"/>
          <w:szCs w:val="28"/>
          <w:rtl w:val="true"/>
          <w:lang w:bidi="ar-SA"/>
        </w:rPr>
        <w:t>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أنّه صلّى عليه أحمد بن أبي دؤاد القاضي فكبّر عليه خمساً، ثمّ لمّا مات هشام بن عمرو فكبّر عليه أربعاً، فقيل 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الهذيل كان يتشيع لبني هاشم فصلّيت عليه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الهذيل كان يفضّل عليّاً على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الشيعي في ذلك الزمان من يفضّل عليّاً على عثمان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يكشف عن أنّ التشيّع ربّما يستعمل في تفضيل الإمام عليه السلام على خليفة أو على الخلفاء الثلاث فقط، و لا يلازم التشيّع القول بكون عليّ هو خليفة رسول اللّٰه صلى الله عليه و آله و سلم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التشيّع بالمعنى الأخصّ</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شيخنا أبو الهذيل أيّما أعظم منزلة عند اللّٰه</w:t>
      </w:r>
      <w:r>
        <w:rPr>
          <w:rFonts w:eastAsia="Amiri" w:cs="Amiri" w:ascii="Amiri" w:hAnsi="Amiri"/>
          <w:color w:val="111111"/>
          <w:sz w:val="28"/>
          <w:szCs w:val="28"/>
          <w:rtl w:val="true"/>
          <w:lang w:bidi="ar-SA"/>
        </w:rPr>
        <w:t xml:space="preserve">: </w:t>
      </w:r>
      <w:bookmarkStart w:id="497" w:name="pg11536_164145"/>
    </w:p>
    <w:p>
      <w:pPr>
        <w:pStyle w:val="BookText"/>
        <w:rPr/>
      </w:pPr>
      <w:bookmarkEnd w:id="497"/>
      <w:r>
        <w:rPr>
          <w:rFonts w:ascii="Amiri" w:hAnsi="Amiri" w:eastAsia="Amiri" w:cs="Amiri"/>
          <w:color w:val="111111"/>
          <w:sz w:val="28"/>
          <w:sz w:val="28"/>
          <w:szCs w:val="28"/>
          <w:rtl w:val="true"/>
          <w:lang w:bidi="ar-SA"/>
        </w:rPr>
        <w:t>عليّ عليه السلام أم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لمبارزة عليّ عمراً يوم الخندق تعدل أعمال المهاجرين و الأنصار و طاعاتهم كلّها، فضلاً عن أبي بكر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3907629_73709187"/>
      <w:bookmarkStart w:id="499" w:name="_Toc182"/>
      <w:bookmarkEnd w:id="498"/>
      <w:r>
        <w:rPr>
          <w:rtl w:val="true"/>
        </w:rPr>
        <w:t>وفاته</w:t>
      </w:r>
      <w:bookmarkEnd w:id="499"/>
    </w:p>
    <w:p>
      <w:pPr>
        <w:pStyle w:val="BookText"/>
        <w:rPr/>
      </w:pPr>
      <w:r>
        <w:rPr>
          <w:rFonts w:ascii="Amiri" w:hAnsi="Amiri" w:eastAsia="Amiri" w:cs="Amiri"/>
          <w:color w:val="111111"/>
          <w:sz w:val="28"/>
          <w:sz w:val="28"/>
          <w:szCs w:val="28"/>
          <w:rtl w:val="true"/>
          <w:lang w:bidi="ar-SA"/>
        </w:rPr>
        <w:t xml:space="preserve">إذا كانت ولادة أبي الهذيل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وفاته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فقد توفّي الرجل عن عمر يناهز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قد كفّ بصره، و خرف في آخر عمره إلّا أنّه كان لا يذهب عليه شيء من الأُصول، لكنّه ضعف عن مناهضة المناظرين و حجاج المخالفين و ضعف خاطره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جرى ابن قتيبة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ذمّ مشايخ المعتزلة و رميهم بقصص خرافيّة، فنقل أوّلاً عن بعض أصدقاء أبي الهذيل أنّه بذل مائة ألف درهم على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ردّاً على هذه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الهذيل أهدى دجاجة إلى موسى بن عمران فجعلها تأريخاً لكلّ شيء،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كذا و كذا قبل أن أهدي إليك تلك الدجاجة أو بعد أن أهديت إليك تلك الدجاجة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فرّع على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نظر من لا يقسم على الاخوان عشرة أفلس فضلاً عن مائة ألف</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في قلوبنا غلاّ للذين آمنوا</w:t>
      </w:r>
      <w:r>
        <w:rPr>
          <w:rFonts w:eastAsia="Amiri" w:cs="Amiri" w:ascii="Amiri" w:hAnsi="Amiri"/>
          <w:color w:val="111111"/>
          <w:sz w:val="28"/>
          <w:szCs w:val="28"/>
          <w:rtl w:val="true"/>
          <w:lang w:bidi="ar-SA"/>
        </w:rPr>
        <w:t xml:space="preserve">». </w:t>
      </w:r>
      <w:bookmarkStart w:id="500" w:name="pg11536_164146"/>
    </w:p>
    <w:p>
      <w:pPr>
        <w:pStyle w:val="Heading5"/>
        <w:numPr>
          <w:ilvl w:val="4"/>
          <w:numId w:val="1"/>
        </w:numPr>
        <w:rPr/>
      </w:pPr>
      <w:bookmarkStart w:id="501" w:name="__RefHeading___Toc3907631_73709187"/>
      <w:bookmarkStart w:id="502" w:name="_Toc183"/>
      <w:bookmarkEnd w:id="500"/>
      <w:bookmarkEnd w:id="501"/>
      <w:r>
        <w:rPr>
          <w:rtl w:val="true"/>
        </w:rPr>
        <w:t>كلمة بذيئة</w:t>
      </w:r>
      <w:bookmarkEnd w:id="502"/>
    </w:p>
    <w:p>
      <w:pPr>
        <w:pStyle w:val="BookText"/>
        <w:rPr/>
      </w:pPr>
      <w:r>
        <w:rPr>
          <w:rFonts w:ascii="Amiri" w:hAnsi="Amiri" w:eastAsia="Amiri" w:cs="Amiri"/>
          <w:color w:val="111111"/>
          <w:sz w:val="28"/>
          <w:sz w:val="28"/>
          <w:szCs w:val="28"/>
          <w:rtl w:val="true"/>
          <w:lang w:bidi="ar-SA"/>
        </w:rPr>
        <w:t>عنون الخطيب شيخ المعتزلة محمّداً أبا الهذيل، و لكنّه جرى فيه كعادته فيهم بتسليط لسانه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مصنّف الكتب في مذاهبهم و هو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بغداد و كان خبيث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 إجماع المسلمين و ردّ نصّ كتاب اللّٰه عزّ و جلّ إذ زعم أنّ أهل الجنّة تنقطع حركاتهم فيها، حتّى لا ينطقوا نطقة و لا يتكلّموا بكلمة، فلزمه القول بانقطاع نعيم الجنّة عنهم و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جحد صفات اللّٰه الّتي وصف بها نفسه، و زعم أنّ علم اللّٰه هو اللّٰه، و قدرة اللّٰه هي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اللّٰه علماً و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عمّا وصفه به علوّاً كبيراً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النسبة الأُولى لم تثبت بعد، و هؤلاء هم الأشاعرة ينقلونه عن أبي الهذيل و أتباعه، و قد اعتذر أبو الحسين الخيّاط عن هذه النسبة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كتب الرجل قد ضاعت و عبث بها الزمان، فلا يصحّ في منطق العقل الجزم بذلك إلّا إذا تواتر النقل و هو مفقود</w:t>
      </w:r>
      <w:r>
        <w:rPr>
          <w:rFonts w:eastAsia="Amiri" w:cs="Amiri" w:ascii="Amiri" w:hAnsi="Amiri"/>
          <w:color w:val="111111"/>
          <w:sz w:val="28"/>
          <w:szCs w:val="28"/>
          <w:rtl w:val="true"/>
          <w:lang w:bidi="ar-SA"/>
        </w:rPr>
        <w:t xml:space="preserve">. </w:t>
      </w:r>
      <w:bookmarkStart w:id="503" w:name="pg11536_164147"/>
    </w:p>
    <w:p>
      <w:pPr>
        <w:pStyle w:val="BookText"/>
        <w:rPr/>
      </w:pPr>
      <w:bookmarkEnd w:id="503"/>
      <w:r>
        <w:rPr>
          <w:rFonts w:ascii="Amiri" w:hAnsi="Amiri" w:eastAsia="Amiri" w:cs="Amiri"/>
          <w:color w:val="111111"/>
          <w:sz w:val="28"/>
          <w:sz w:val="28"/>
          <w:szCs w:val="28"/>
          <w:rtl w:val="true"/>
          <w:lang w:bidi="ar-SA"/>
        </w:rPr>
        <w:t>و أمّا النسبة الثانية فقد غفل عن مغزاها الخطيب فتصوّره أمراً شنيعاً مع أنّ أبا الهذيل يقصد بذلك الوصول إلى قمّة التوحيد، و هو نفي كون صفاته سبحانه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القول بالزيادة يستلزم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تركيب ذاته مع صفاته السبع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أوضحناه في الجزء الثاني من كتابنا فراجع</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 الّذي يندي الجبين أن يقذف الشيخ بأمر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الخطيب عن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الهذيل يشرب عند ابن لعثمان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فراود غلاماً في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في الوقيعة به الّتي يجب أن يحدّ القاذف و يبرأ المرميّ بها، و لكنّ الطائفيّة البغيضة دفعت الخطيب إلى نقل القصّة بلا اكتراث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594"/>
      </w:r>
    </w:p>
    <w:p>
      <w:pPr>
        <w:pStyle w:val="Heading4"/>
        <w:numPr>
          <w:ilvl w:val="3"/>
          <w:numId w:val="1"/>
        </w:numPr>
        <w:rPr/>
      </w:pPr>
      <w:bookmarkStart w:id="504" w:name="__RefHeading___Toc3907633_73709187"/>
      <w:bookmarkStart w:id="505" w:name="_Toc184"/>
      <w:bookmarkEnd w:id="504"/>
      <w:r>
        <w:rPr/>
        <w:t>4</w:t>
      </w:r>
      <w:r>
        <w:rPr>
          <w:rtl w:val="true"/>
        </w:rPr>
        <w:t xml:space="preserve"> - </w:t>
      </w:r>
      <w:r>
        <w:rPr>
          <w:rtl w:val="true"/>
        </w:rPr>
        <w:t xml:space="preserve">النظّام </w:t>
      </w:r>
      <w:r>
        <w:rPr>
          <w:rtl w:val="true"/>
        </w:rPr>
        <w:t>(</w:t>
      </w:r>
      <w:r>
        <w:rPr/>
        <w:t>160</w:t>
      </w:r>
      <w:r>
        <w:rPr>
          <w:rtl w:val="true"/>
        </w:rPr>
        <w:t>-</w:t>
      </w:r>
      <w:r>
        <w:rPr/>
        <w:t>231</w:t>
      </w:r>
      <w:r>
        <w:rPr>
          <w:rtl w:val="true"/>
        </w:rPr>
        <w:t xml:space="preserve"> </w:t>
      </w:r>
      <w:r>
        <w:rPr>
          <w:rtl w:val="true"/>
        </w:rPr>
        <w:t>ه</w:t>
      </w:r>
      <w:r>
        <w:rPr>
          <w:rtl w:val="true"/>
        </w:rPr>
        <w:t>)</w:t>
      </w:r>
      <w:bookmarkEnd w:id="505"/>
    </w:p>
    <w:p>
      <w:pPr>
        <w:pStyle w:val="Heading5"/>
        <w:numPr>
          <w:ilvl w:val="4"/>
          <w:numId w:val="1"/>
        </w:numPr>
        <w:rPr/>
      </w:pPr>
      <w:bookmarkStart w:id="506" w:name="__RefHeading___Toc3907635_73709187"/>
      <w:bookmarkStart w:id="507" w:name="_Toc185"/>
      <w:bookmarkEnd w:id="506"/>
      <w:r>
        <w:rPr>
          <w:rtl w:val="true"/>
        </w:rPr>
        <w:t>اشارة</w:t>
      </w:r>
      <w:bookmarkEnd w:id="5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إبراهيم بن سيّار بن هانئ النظّام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الشخصيّة الثالثة للمعتزلة و من متخرّجي مدرسة البصرة للاعتزال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إسحاق، كان متكلّماً شاعراً أديباً و كان يتعنّف أبا نؤاس، و له فيه عدّة مقطّعات، و إيّاه عنى أبو نؤاس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لمن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 غابت عنك أشياء</w:t>
      </w:r>
    </w:p>
    <w:p>
      <w:pPr>
        <w:pStyle w:val="BookText"/>
        <w:rPr/>
      </w:pPr>
      <w:r>
        <w:rPr>
          <w:rFonts w:ascii="Amiri" w:hAnsi="Amiri" w:eastAsia="Amiri" w:cs="Amiri"/>
          <w:color w:val="111111"/>
          <w:sz w:val="28"/>
          <w:sz w:val="28"/>
          <w:szCs w:val="28"/>
          <w:rtl w:val="true"/>
          <w:lang w:bidi="ar-SA"/>
        </w:rPr>
        <w:t xml:space="preserve">لا تحظر العفو إن كنت امرأً حرجاً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حظركه بالدين إزراء</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ذكره الكعبي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أهل البصرة ثمّ نقل آراءه الّتي تفرّد بها</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مقدّماً في علم الكلام، حسن الخاطر، شديد التدقيق و الغوص على المعاني، و إنّما أدّاه إلى المذاهب الباطلة الّتي تفرّد بها و استشنعت منه، تدقيقه و تغلغله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الزياديين من ولد العبيد و إنّ الرق جرى على أحد آبائه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القاضي عبد الجبّار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أصحاب أبي الهذيل و خالفه في أشياء</w:t>
      </w:r>
      <w:r>
        <w:rPr>
          <w:rFonts w:eastAsia="Amiri" w:cs="Amiri" w:ascii="Amiri" w:hAnsi="Amiri"/>
          <w:color w:val="111111"/>
          <w:sz w:val="28"/>
          <w:szCs w:val="28"/>
          <w:rtl w:val="true"/>
          <w:lang w:bidi="ar-SA"/>
        </w:rPr>
        <w:t>».</w:t>
      </w:r>
      <w:r>
        <w:rPr>
          <w:rStyle w:val="FootnoteAnchor"/>
          <w:rtl w:val="true"/>
        </w:rPr>
        <w:footnoteReference w:id="599"/>
      </w:r>
      <w:bookmarkStart w:id="508" w:name="pg11536_164149"/>
    </w:p>
    <w:p>
      <w:pPr>
        <w:pStyle w:val="Heading5"/>
        <w:numPr>
          <w:ilvl w:val="4"/>
          <w:numId w:val="1"/>
        </w:numPr>
        <w:rPr/>
      </w:pPr>
      <w:bookmarkStart w:id="509" w:name="__RefHeading___Toc3907637_73709187"/>
      <w:bookmarkStart w:id="510" w:name="_Toc186"/>
      <w:bookmarkEnd w:id="508"/>
      <w:bookmarkEnd w:id="509"/>
      <w:r>
        <w:rPr>
          <w:rtl w:val="true"/>
        </w:rPr>
        <w:t>ذكاؤه المتوقّد</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الشريف المرتضى أنّ أبا النظّام جاء به و هو حدث إلى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ليعلِّمه فقال له الخليل يوماً يمتحنه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يده قدح 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صف لي هذه الزجاجة،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بمدح أم بذمّ؟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تريك القذى، لا تقبل الأذى، و لا تستر ما 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كسرها، بطيء جبرها،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هذه النخلة، و أومأ إلى نخلة في داره،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بمدح أم بذم؟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حلو مجتناها، باسق منتهاها، ناظر أعلاها،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صعبة المرتقى، بعيدة المجتنى، محفوفة بالأذى، فقال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نحن إلى التعلّم منك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المرتضى بعد نقل هذه القصّة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بلاغة من النظّام حسنة، لأنّ البلاغة هي وصف الشيء ذمّاً أو مدحاً بأقصى ما يقال فيه</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ينبغي أن يكون في الدنيا مثله، فإنّي امتحنته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عيب الزجاج؟ فقال على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إليه الكسر و لا يقبل الجبر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كان لا يكتب و لا يقرأ و قد حفظ القرآن و التوراة </w:t>
      </w:r>
    </w:p>
    <w:p>
      <w:pPr>
        <w:pStyle w:val="BookText"/>
        <w:rPr/>
      </w:pPr>
      <w:r>
        <w:rPr>
          <w:rFonts w:ascii="Amiri" w:hAnsi="Amiri" w:eastAsia="Amiri" w:cs="Amiri"/>
          <w:color w:val="111111"/>
          <w:sz w:val="28"/>
          <w:sz w:val="28"/>
          <w:szCs w:val="28"/>
          <w:rtl w:val="true"/>
          <w:lang w:bidi="ar-SA"/>
        </w:rPr>
        <w:t>و الانجيل و الزبور و تفسيرها مع كثرة حفظه الأشعار و الأخبار و اختلاف الناس في الفتيا</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الأوائل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ألف سنة رجل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صحيحاً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النظّام</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ما نقلناه في حقّه، فهو يحكي عن كون المترجم له ذا نبوغ مبكر، و ذكاء وقّاد، و قابليّة كبيرة، و مثل هذا لو وقع تحت رعاية صحيحة و تربّى على يدي أُستاذ بارع يتجلّى نبوغه بأحسن ما يمكن و تتفجّر طاقاته لصالح الحقائق، و إدراك الواقعيّات، و إذا فقد مثل ذلك الأُستاذ البارع و هو على ما ذكرناه من المواهب و القابليّات انحرف انحرافاً شديداً، و تحرّكت طاقاته في اتّجاه الجناية على الحقائق و ظلم الواقعيات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ما يحكى عن النظام من بعض الأفكار المنحرفة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نتيجة النبوغ غير الموجّه، و القابليّة غير الخاضعة للإرشاد و الهداية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سيوافيك بعض أفكاره غير الصحيحة، غير أنّ أكثر مصادرها هي كتب الأشاعرة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للأشعري،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كتب الأشاعرة الّذين ينظرون إلى المعتزلة بعين العداء و مخالفي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هجوم الأشاعرة عليه، و ردّ بعض المعتزلة عليه</w:t>
      </w:r>
      <w:r>
        <w:rPr>
          <w:rStyle w:val="FootnoteAnchor"/>
          <w:rtl w:val="true"/>
        </w:rPr>
        <w:footnoteReference w:id="604"/>
      </w:r>
      <w:r>
        <w:rPr>
          <w:rFonts w:ascii="Amiri" w:hAnsi="Amiri" w:eastAsia="Amiri" w:cs="Amiri"/>
          <w:color w:val="111111"/>
          <w:sz w:val="28"/>
          <w:sz w:val="28"/>
          <w:szCs w:val="28"/>
          <w:rtl w:val="true"/>
          <w:lang w:bidi="ar-SA"/>
        </w:rPr>
        <w:t>يعرب عن شذوذ في منهجه، و انحراف في فكره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القاضي أنّه كان يقول عند ما يجود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كنت تعلم أنّي لم أُقصّر في نصرة توحيدك و لم أعتقد مذهباً إلّا سنده التوحيد، اللّهمّ إن كنت تعلم ذلك فاغفر لي ذنوبي و سهِّل عليّ سكرات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ساعته</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 لو صحّ هذا فلا يصحّ ما ينسب إليه البغدادي من أنّ النظّام كان أفسق خلق اللّٰه عزّ و جلّ و أجرأهم على الذنوب العظام و على إدمان شرب المسكر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عبد اللّه 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النظّام كان يغدو على مسكر و يروح على مسكر و أنشد قوله في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آخذ روح الزقّ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أستبيح دماً من غير مذبوح</w:t>
      </w:r>
    </w:p>
    <w:p>
      <w:pPr>
        <w:pStyle w:val="BookText"/>
        <w:rPr/>
      </w:pPr>
      <w:r>
        <w:rPr>
          <w:rFonts w:ascii="Amiri" w:hAnsi="Amiri" w:eastAsia="Amiri" w:cs="Amiri"/>
          <w:color w:val="111111"/>
          <w:sz w:val="28"/>
          <w:sz w:val="28"/>
          <w:szCs w:val="28"/>
          <w:rtl w:val="true"/>
          <w:lang w:bidi="ar-SA"/>
        </w:rPr>
        <w:t xml:space="preserve">حتّى انثنيت ولي روحان في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الزقّ مطرح جسم بلا روح</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البغدادي في ذمِّه بكلمات رديئة لا تصلح للنقل، و قد عدّ البغدادي له أزيد من عشرين فضيحة، و جعل بعضها سبباً لكفره، غير أنّ بعضها ليس بفضيحة، و بعضها الآخر لا يوجب الكفر</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و البغداديّ في هذه </w:t>
      </w:r>
    </w:p>
    <w:p>
      <w:pPr>
        <w:pStyle w:val="BookText"/>
        <w:rPr/>
      </w:pPr>
      <w:r>
        <w:rPr>
          <w:rFonts w:ascii="Amiri" w:hAnsi="Amiri" w:eastAsia="Amiri" w:cs="Amiri"/>
          <w:color w:val="111111"/>
          <w:sz w:val="28"/>
          <w:sz w:val="28"/>
          <w:szCs w:val="28"/>
          <w:rtl w:val="true"/>
          <w:lang w:bidi="ar-SA"/>
        </w:rPr>
        <w:t xml:space="preserve">التهم و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شيخ أصحاب الحديث ابن قتيبة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النظّام شاطراً من الشطّار يغدو على سكر و يروح على سكر و يبيت على جرائرها و يدخل في الأدناس و يرتكب الفواحش و الشائنات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البيتين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 ميزان النّصفة الاعتماد على قول الخصم عند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الشهرستاني له مسائل انفرد بها و أنهاها إلى ثلاث عشرة مسألة</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و في قلمه نزاهة قابلة للتقدير بخلاف البغدادي في الفرق و نذكر نموذجين من هذه الفضائح المذمومة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بانقسام كلِّ جزء لا إلى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البغدادي أنّ نتيجة ذلك القول إحالة كون اللّٰه تعالى محيطاً بأجزاء العالم، عالماً بها،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 بِمٰا لَدَيْهِمْ وَ أَحْصىٰ كُلَّ شَيْ‌ءٍ عَدَداً</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ببطلان تركّب الجسم من أجزاء لا يتجزّأ، و أنّ كلّ جزء مفروض ينقسم إلى ما لا نهاية له، لا يعني به انقسام كلِّ جزء إلى ما لا نهاية له بالفعل، بحيث يكون في كلِّ ذرة أجزاء فعليّة مترتبة متسلسلة، بل المراد هو الانقسام بالقوّة، بمعنى أنّ الانقسام لا ينتهي إلى جزء لا يمكن تقسيمه عقلاً، لأنّ ما نفرضه جزءاً غير متجزّئ، شرقه غير غربه، </w:t>
      </w:r>
    </w:p>
    <w:p>
      <w:pPr>
        <w:pStyle w:val="BookText"/>
        <w:rPr/>
      </w:pPr>
      <w:r>
        <w:rPr>
          <w:rFonts w:ascii="Amiri" w:hAnsi="Amiri" w:eastAsia="Amiri" w:cs="Amiri"/>
          <w:color w:val="111111"/>
          <w:sz w:val="28"/>
          <w:sz w:val="28"/>
          <w:szCs w:val="28"/>
          <w:rtl w:val="true"/>
          <w:lang w:bidi="ar-SA"/>
        </w:rPr>
        <w:t>فيكون منقسماً بهذا الشكل إلى ما لا نهاية له، و إن كان ينتهي إلى جزء لا يمكن تقسيمه حسّاً لأجل ضعف أدوات التقسيم، و لكن هذا لا يصدّ التقسيم العقلي و لا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لمن أمعن النظر في أدلّة القائلين ببطلان الجزء الّذي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فالبغدادي خلط بين مسألة أجزاء غير متناهية بالفعل و مسألة أجزاء غير متناهية بالقوّة، و ما فرضه إشكالاً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يترتّب على الأوّل دون الثاني، لأنّ العالم على الفرض الثاني يكون متناهياً بالفعل، و يكون سبحانه محيطاً بأجزاء العالم، عالماً به، و إن كان غير متناه بالقوّة، لكن مناط العلم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أنّ العالم له أجزاء غير متناهية، و لكنّه سبحانه أيضاً موجود غير متناه، على ما برهن عليه في محلّه، فلا يشذّ عن حيطة وجوده شيء، نعم من خصّ وجوده سبحانه بالعرش فوق السماوات لا محيص له عن توصيفه بالتناهي و اللّٰه سبحانه منزّه عن التناهي و أحكام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بأنّ الإنسان هو الروح و هو جسم لطيف تداخل بهذا الجسم، ثمّ رتّب عليه على زعمه 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الإنسان على هذا لا يرى على الحقيقة و إنّما يرى الجسد الّذي فيه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يوجب أنّ الصحابة ما رأوا رسول اللّٰه و إنّما رأوا قالباً فيه الرسول، إلى غير ذلك من الإشكالات الواهية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القرآن كون الروح هو الجسم اللطيف المتداخل في </w:t>
      </w:r>
    </w:p>
    <w:p>
      <w:pPr>
        <w:pStyle w:val="BookText"/>
        <w:rPr/>
      </w:pPr>
      <w:r>
        <w:rPr>
          <w:rFonts w:ascii="Amiri" w:hAnsi="Amiri" w:eastAsia="Amiri" w:cs="Amiri"/>
          <w:color w:val="111111"/>
          <w:sz w:val="28"/>
          <w:sz w:val="28"/>
          <w:szCs w:val="28"/>
          <w:rtl w:val="true"/>
          <w:lang w:bidi="ar-SA"/>
        </w:rPr>
        <w:t>البدن، و لكنّه يظهر منه كون حقيقة الإنسان هي روحه، و أنّ واقعيَّته و شخصيّته بروحه لا بجسده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تعني الإماتة كما هو معروف، بل تعني الأخذ و القبض، فقوله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يأخذكم و يقبضكم، فالآية ظاهرة في أنّ ملك الموت يأخذ الإنسان كلّه، و يكون محفوظاً عند ربّه، و هذا إنّما يتمّ و لو كان حقيقة الإنسان هو روحه و نفسه، لا روحه و جسمه، و إلّا يكون المأخوذ بعض الإنسان و جزءه، لوضوح أنّ ملك الموت يأخذ أحد الجزءين و هو الروح و يترك الجزء الآخر و هو يودع في القبر الّذي لا علاقة لملك الموت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رتّب البغدادي على نظريّة النظّام من الإشكالات لا يستحقّ الردّ و النقد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هذين النموذجين الّذين عدّهما البغدادي من فضائح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ذا يتبيّن وجوب دراسة آراء ذلك الرجل في جوّ هادئ بعيد عن الحقد و البغض حتّى يتّضح الحقّ عن الباطل، مع أنّه لا مصدر لنسبة هذه الآراء إلّا كتب الأشاعرة و بصورة 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الحسين الخيّاط، و ليس كتابنا هذا كتاباً كلاميّاً و إنّما هو كتاب تأريخ العقائد و لأجل ذلك نكتفي بهذا المقدار، غير أنّه نرى من الواجب التعرّض لعقيدة منسوبة إليه في إعجاز القرآن المعروفة بمذهب الصِّرفة</w:t>
      </w:r>
      <w:r>
        <w:rPr>
          <w:rFonts w:eastAsia="Amiri" w:cs="Amiri" w:ascii="Amiri" w:hAnsi="Amiri"/>
          <w:color w:val="111111"/>
          <w:sz w:val="28"/>
          <w:szCs w:val="28"/>
          <w:rtl w:val="true"/>
          <w:lang w:bidi="ar-SA"/>
        </w:rPr>
        <w:t xml:space="preserve">. </w:t>
      </w:r>
      <w:bookmarkStart w:id="511" w:name="pg11536_164155"/>
    </w:p>
    <w:p>
      <w:pPr>
        <w:pStyle w:val="Heading5"/>
        <w:numPr>
          <w:ilvl w:val="4"/>
          <w:numId w:val="1"/>
        </w:numPr>
        <w:rPr/>
      </w:pPr>
      <w:bookmarkStart w:id="512" w:name="__RefHeading___Toc3907639_73709187"/>
      <w:bookmarkStart w:id="513" w:name="_Toc187"/>
      <w:bookmarkEnd w:id="511"/>
      <w:bookmarkEnd w:id="512"/>
      <w:r>
        <w:rPr>
          <w:rtl w:val="true"/>
        </w:rPr>
        <w:t>النظّام و مذهب الصرفة في إعجاز القرآن</w:t>
      </w:r>
      <w:bookmarkEnd w:id="513"/>
    </w:p>
    <w:p>
      <w:pPr>
        <w:pStyle w:val="BookText"/>
        <w:rPr/>
      </w:pPr>
      <w:r>
        <w:rPr>
          <w:rFonts w:ascii="Amiri" w:hAnsi="Amiri" w:eastAsia="Amiri" w:cs="Amiri"/>
          <w:color w:val="111111"/>
          <w:sz w:val="28"/>
          <w:sz w:val="28"/>
          <w:szCs w:val="28"/>
          <w:rtl w:val="true"/>
          <w:lang w:bidi="ar-SA"/>
        </w:rPr>
        <w:t>من الآراء الباطلة الّتي نسبت إلى النظّام، هو حصر إعجاز القرآن في الاخبار عن المغيبات، و أمّا التأليف و النّظم فقد كان يجوِّز أن يقدر عليه العباد لو لا أنّ اللّٰه منعهم بمنع</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قد نقل عنه 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أنكر إعجاز القرآن في نظمه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إعجاز القرآن إنّه من حيث الإخبار عن الأُمور الماضية و الآتية و من جهة صرف الدواعي عن المعارضة، و منع العرب عن الاهتمام به جبراً و تعجيزاً، حتّى لو خلّاهم لكانوا قادرين على أن يأتوا بسورة من مثله بلاغة و فصاحة و نظماً</w:t>
      </w:r>
      <w:r>
        <w:rPr>
          <w:rFonts w:eastAsia="Amiri" w:cs="Amiri" w:ascii="Amiri" w:hAnsi="Amiri"/>
          <w:color w:val="111111"/>
          <w:sz w:val="28"/>
          <w:szCs w:val="28"/>
          <w:rtl w:val="true"/>
          <w:lang w:bidi="ar-SA"/>
        </w:rPr>
        <w:t>».</w:t>
      </w:r>
      <w:r>
        <w:rPr>
          <w:rStyle w:val="FootnoteAnchor"/>
          <w:rtl w:val="true"/>
        </w:rPr>
        <w:footnoteReference w:id="61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مذهب الصرفة في إعجاز القرآن مذهب مردود بنصّ القرآن و إجماع الأُمّة، لأنّ مذهب الصرف يرجع إلى أنّ القرآن لم يبلغ في مجال الفصاحة و البلاغة حدّ الإعجاز، حتّى لا يتمكّن الإنسان العادي من مباراته و مقابلته، بل هو في هذه الجهة لا يختلف عن كلام الفصحاء و البلغاء، و لكنّه سبحانه يحول بينهم و بين الإتيان بمثله، إمّا بصرف </w:t>
      </w:r>
    </w:p>
    <w:p>
      <w:pPr>
        <w:pStyle w:val="BookText"/>
        <w:rPr/>
      </w:pPr>
      <w:r>
        <w:rPr>
          <w:rFonts w:ascii="Amiri" w:hAnsi="Amiri" w:eastAsia="Amiri" w:cs="Amiri"/>
          <w:color w:val="111111"/>
          <w:sz w:val="28"/>
          <w:sz w:val="28"/>
          <w:szCs w:val="28"/>
          <w:rtl w:val="true"/>
          <w:lang w:bidi="ar-SA"/>
        </w:rPr>
        <w:t>دواعيهم عن المعارضة، أو بسلب قدرتهم عند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تفسير إعجاز القرآن بمثل هذا باطل جدّاً، لأنّ القرآن عند المسلمين معجز لكونه خارق للعادة لما فيه من ضروب الإعجاز في الجوانب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الفصاحة القصوى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البلاغة العليا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النظم المخصوص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الأُسلوب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تجاوز عن حدِّ الكلام البشري و وصل إلى حدّ لا تكفي في الإتيان بمثله القدرةُ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الطبرسى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قل يا محمد لهؤلاء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الإنس و الجنّ متعاونين متعاضدين على أن يأتوا بمثل هذا القرآن من فصاحته و بلاغته و نظمه على الوجوه الّتي هو عليها من كونه في الطبقة العليا من البلاغة و الدرجة القصوى من حسن النظم و جودة المعاني و تهذيب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لعجزوا عن ذلك و لم يأتوا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مذهب الصرفة كمذهب الصّدفة لدى المادِّيين في الوهن </w:t>
      </w:r>
      <w:bookmarkStart w:id="514" w:name="pg11536_164157"/>
    </w:p>
    <w:p>
      <w:pPr>
        <w:pStyle w:val="BookText"/>
        <w:rPr/>
      </w:pPr>
      <w:bookmarkEnd w:id="514"/>
      <w:r>
        <w:rPr>
          <w:rFonts w:ascii="Amiri" w:hAnsi="Amiri" w:eastAsia="Amiri" w:cs="Amiri"/>
          <w:color w:val="111111"/>
          <w:sz w:val="28"/>
          <w:sz w:val="28"/>
          <w:szCs w:val="28"/>
          <w:rtl w:val="true"/>
          <w:lang w:bidi="ar-SA"/>
        </w:rPr>
        <w:t>و البطلان، فإنّه سبحانه أرفع شأناً من أن يأمر الإنسان و الجنّ بأن يباروا القرآن، و يرضى منهم بمباراة بعضه لو تعذّر عليهم الكلّ، ثمّ يعترض سبيلهم و يصرف منهم القوّة و الهمّة و يمنعهم من أن يأتوا بما أراد منهم مع قدرتهم عليه قبل عزم المباراة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وجه إعجازه في الصرفة، فيتمّ حتّى مع كونه كلاماً مغسولاً من الفصاحة، و مبذولاً مرذولاً للغاية، و كلّما حاول الإنسان أن يقابله، صرفت دواعيه و سلبت قدرته عن الإتيان بمثله، و هو كما ترى</w:t>
      </w:r>
      <w:r>
        <w:rPr>
          <w:rFonts w:eastAsia="Amiri" w:cs="Amiri" w:ascii="Amiri" w:hAnsi="Amiri"/>
          <w:color w:val="111111"/>
          <w:sz w:val="28"/>
          <w:szCs w:val="28"/>
          <w:rtl w:val="true"/>
          <w:lang w:bidi="ar-SA"/>
        </w:rPr>
        <w:t>.</w:t>
      </w:r>
      <w:r>
        <w:rPr>
          <w:rStyle w:val="FootnoteAnchor"/>
          <w:rtl w:val="true"/>
        </w:rPr>
        <w:footnoteReference w:id="617"/>
      </w:r>
    </w:p>
    <w:p>
      <w:pPr>
        <w:pStyle w:val="Heading5"/>
        <w:numPr>
          <w:ilvl w:val="4"/>
          <w:numId w:val="1"/>
        </w:numPr>
        <w:rPr/>
      </w:pPr>
      <w:bookmarkStart w:id="515" w:name="__RefHeading___Toc3907641_73709187"/>
      <w:bookmarkStart w:id="516" w:name="_Toc188"/>
      <w:bookmarkEnd w:id="515"/>
      <w:r>
        <w:rPr>
          <w:rtl w:val="true"/>
        </w:rPr>
        <w:t>مؤلّفاته</w:t>
      </w:r>
      <w:bookmarkEnd w:id="516"/>
    </w:p>
    <w:p>
      <w:pPr>
        <w:pStyle w:val="BookText"/>
        <w:rPr/>
      </w:pPr>
      <w:r>
        <w:rPr>
          <w:rFonts w:ascii="Amiri" w:hAnsi="Amiri" w:eastAsia="Amiri" w:cs="Amiri"/>
          <w:color w:val="111111"/>
          <w:sz w:val="28"/>
          <w:sz w:val="28"/>
          <w:szCs w:val="28"/>
          <w:rtl w:val="true"/>
          <w:lang w:bidi="ar-SA"/>
        </w:rPr>
        <w:t>مع أنّه كثر اللّغط و الصياح حول آراء النظّام</w:t>
      </w:r>
      <w:r>
        <w:rPr>
          <w:rStyle w:val="FootnoteAnchor"/>
          <w:rtl w:val="true"/>
        </w:rPr>
        <w:footnoteReference w:id="618"/>
      </w:r>
      <w:r>
        <w:rPr>
          <w:rFonts w:ascii="Amiri" w:hAnsi="Amiri" w:eastAsia="Amiri" w:cs="Amiri"/>
          <w:color w:val="111111"/>
          <w:sz w:val="28"/>
          <w:sz w:val="28"/>
          <w:szCs w:val="28"/>
          <w:rtl w:val="true"/>
          <w:lang w:bidi="ar-SA"/>
        </w:rPr>
        <w:t>فطبع الحال يقتضي أن يكون له عشرات المؤلّفات، غير أنّه لم يصل من أسماء مؤلّفاته إلينا أزيد ممّا يلي</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bookmarkStart w:id="517" w:name="pg11536_164158"/>
    </w:p>
    <w:p>
      <w:pPr>
        <w:pStyle w:val="BookText"/>
        <w:rPr/>
      </w:pPr>
      <w:bookmarkEnd w:id="51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الثنويّة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أراد أن يرجع إلى متفرِّداته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للشهرستاني، فإنّه جمعها تحت ثلاث عشرة مسألة، مع النزاهة و رعاية أدب البحث، خلافاً للبغدادي، فإنّ كلامه بعيد عن الأدب</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3907643_73709187"/>
      <w:bookmarkStart w:id="519" w:name="_Toc189"/>
      <w:bookmarkEnd w:id="518"/>
      <w:r>
        <w:rPr/>
        <w:t>5</w:t>
      </w:r>
      <w:r>
        <w:rPr>
          <w:rtl w:val="true"/>
        </w:rPr>
        <w:t xml:space="preserve"> - </w:t>
      </w:r>
      <w:r>
        <w:rPr>
          <w:rtl w:val="true"/>
        </w:rPr>
        <w:t xml:space="preserve">أبو علي محمّد بن عبد الوهّاب الجبّائي </w:t>
      </w:r>
      <w:r>
        <w:rPr>
          <w:rtl w:val="true"/>
        </w:rPr>
        <w:t>(</w:t>
      </w:r>
      <w:r>
        <w:rPr/>
        <w:t>235</w:t>
      </w:r>
      <w:r>
        <w:rPr>
          <w:rtl w:val="true"/>
        </w:rPr>
        <w:t>-</w:t>
      </w:r>
      <w:r>
        <w:rPr/>
        <w:t>303</w:t>
      </w:r>
      <w:r>
        <w:rPr>
          <w:rtl w:val="true"/>
        </w:rPr>
        <w:t xml:space="preserve"> </w:t>
      </w:r>
      <w:r>
        <w:rPr>
          <w:rtl w:val="true"/>
        </w:rPr>
        <w:t>ه</w:t>
      </w:r>
      <w:r>
        <w:rPr>
          <w:rtl w:val="true"/>
        </w:rPr>
        <w:t>)</w:t>
      </w:r>
      <w:bookmarkEnd w:id="519"/>
    </w:p>
    <w:p>
      <w:pPr>
        <w:pStyle w:val="Heading5"/>
        <w:numPr>
          <w:ilvl w:val="4"/>
          <w:numId w:val="1"/>
        </w:numPr>
        <w:rPr/>
      </w:pPr>
      <w:bookmarkStart w:id="520" w:name="__RefHeading___Toc3907645_73709187"/>
      <w:bookmarkStart w:id="521" w:name="_Toc190"/>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هو أحد أئمّة المعتزلة في عصره، و إماماً في الكلام و يعرّفه ابن النديم في فهرسته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معتزلة البصرة، ذلّل الكلام و سهّله و يسّر ما صعب منه، و إليه انتهت رئاسة البصريّين في زمانه، لا يدافع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عن أبي يعقوب الشحّام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البصرة و تكلّم مع من بها من المتكلّمين، و صار إلى بغداد، فحضر مجلس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الضّرير و تكلّم فتبيّن فضله و علمه، و عاد إلى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مولده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أحد أئمّة المعتزلة، كان إماماً في علم الكلام، </w:t>
      </w:r>
    </w:p>
    <w:p>
      <w:pPr>
        <w:pStyle w:val="BookText"/>
        <w:rPr/>
      </w:pPr>
      <w:r>
        <w:rPr>
          <w:rFonts w:ascii="Amiri" w:hAnsi="Amiri" w:eastAsia="Amiri" w:cs="Amiri"/>
          <w:color w:val="111111"/>
          <w:sz w:val="28"/>
          <w:sz w:val="28"/>
          <w:szCs w:val="28"/>
          <w:rtl w:val="true"/>
          <w:lang w:bidi="ar-SA"/>
        </w:rPr>
        <w:t>و أخذ هذا العلم عن أبي يوسف يعقوب بن عبد اللّه الشحّام البصري رئيس المعتزلة بالبصرة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مذهب الاعتزال مقالات مشهورة و عنه أخذ الشيخ أبو الحسن الأشعري علم الكلام و له معه مناظرة روتها العلماء</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قال الياقوت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الجبّائي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تشديد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أو كورة من خوزستان، و من الناس من جعل عبّادان من هذه الكورة و هي في طرف من البصرة و الأهواز، حتّى جعل من لا خبرة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البصرة و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عجمي و كان القياس أن ينسب إليها جُبّوي، فنسبوا إليها جبّائي على غير قياس مثل نسبتهم إلى الممدود، و ليس في كلام العجم ممدود، و جبّا أيضاً من أعمال النهروان</w:t>
      </w:r>
      <w:r>
        <w:rPr>
          <w:rFonts w:eastAsia="Amiri" w:cs="Amiri" w:ascii="Amiri" w:hAnsi="Amiri"/>
          <w:color w:val="111111"/>
          <w:sz w:val="28"/>
          <w:szCs w:val="28"/>
          <w:rtl w:val="true"/>
          <w:lang w:bidi="ar-SA"/>
        </w:rPr>
        <w:t>».</w:t>
      </w:r>
      <w:r>
        <w:rPr>
          <w:rStyle w:val="FootnoteAnchor"/>
          <w:rtl w:val="true"/>
        </w:rPr>
        <w:footnoteReference w:id="624"/>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أثنى عليه ابن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مزيد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سهّل علم الكلام و يسّره و ذلّله و كان مع ذلك فقيهاً ورعاً زاهداً جليلاً نبيلاً، و لم يتّفق لأحد من إذعان سائر طبقات المعتزلة له بالتقدّم و الرئاسة بعد أبي الهذيل مثله، بل ما اتّفق له هو أشهر أمراً و أظهر أثراً، و كان شيخه أبا يعقوب الشحّام، و لقى غيره من متكلّمي زمانه و كان على حداثة سنّه معروفاً بقوّة الجدل</w:t>
      </w:r>
      <w:r>
        <w:rPr>
          <w:rFonts w:eastAsia="Amiri" w:cs="Amiri" w:ascii="Amiri" w:hAnsi="Amiri"/>
          <w:color w:val="111111"/>
          <w:sz w:val="28"/>
          <w:szCs w:val="28"/>
          <w:rtl w:val="true"/>
          <w:lang w:bidi="ar-SA"/>
        </w:rPr>
        <w:t>».</w:t>
      </w:r>
      <w:r>
        <w:rPr>
          <w:rStyle w:val="FootnoteAnchor"/>
          <w:rtl w:val="true"/>
        </w:rPr>
        <w:footnoteReference w:id="625"/>
      </w:r>
      <w:bookmarkStart w:id="522" w:name="pg11536_164160"/>
    </w:p>
    <w:p>
      <w:pPr>
        <w:pStyle w:val="Heading5"/>
        <w:numPr>
          <w:ilvl w:val="4"/>
          <w:numId w:val="1"/>
        </w:numPr>
        <w:rPr/>
      </w:pPr>
      <w:bookmarkStart w:id="523" w:name="__RefHeading___Toc3907647_73709187"/>
      <w:bookmarkStart w:id="524" w:name="_Toc191"/>
      <w:bookmarkEnd w:id="522"/>
      <w:bookmarkEnd w:id="523"/>
      <w:r>
        <w:rPr>
          <w:rtl w:val="true"/>
        </w:rPr>
        <w:t>مناظراته</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 من علماء المجبِّرة رجل يقال له 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غلام أبيض الوجه زجّ نفسه في صدر صقر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فنظر إليه الحاضرون و تعجّبوا من جرأته مع صغر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تعالى يفعل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فتسمّيه بفعله العدل عادلاً؟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يفعل الجور؟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فتسمّيه جائراً؟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لا تسمّيه بفعله العدل عادلاً، فانقطع صقر، و جعل الناس يسألون من هذا الصّبي؟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غلام من جبّاء</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يلاحظ على تلك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وسع المجبِّر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أسماءه سبحانه توقيفيّة و لا يصحّ لنا تسميته بما لا يسمّي به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المرتضى أنّ أبا عليّ ناظر بعضهم في الإرجاء و أبو حنيفة و الزبير حاضران،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عمرو بن العلاء لقي عمرو بن عبيد،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إنّك أعجميّ و لست بأعجميّ اللسان و لكنّك أعجميّ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إذا وعدت أنجزت، و إذا أوعدت أخلفت و أنشد شعراً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إن أوعدته 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لمخلف إيعادي، و منجز موعدي </w:t>
      </w:r>
    </w:p>
    <w:p>
      <w:pPr>
        <w:pStyle w:val="BookText"/>
        <w:rPr/>
      </w:pPr>
      <w:r>
        <w:rPr>
          <w:rFonts w:ascii="Amiri" w:hAnsi="Amiri" w:eastAsia="Amiri" w:cs="Amiri"/>
          <w:color w:val="111111"/>
          <w:sz w:val="28"/>
          <w:sz w:val="28"/>
          <w:szCs w:val="28"/>
          <w:rtl w:val="true"/>
          <w:lang w:bidi="ar-SA"/>
        </w:rPr>
        <w:t>فقال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عثمان أجابه بالمسكت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الشاعر قد يكذب و قد يصدق، و لكن حدّثني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 اَلْجِنَّةِ وَ اَلنّٰاسِ أَجْمَعِينَ</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إن ملأها أ تقول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لم يملأها أ فتقول صدق؟ فسكت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إنّما يخلف بما أوعده إذا عفا عن الكافر و المشرك و المسلم جميعاً، و أمّا إذا عفا عن المسلمين خاصّة فلا يلزم الكذب، لأنّه لا يستلزم خلف الإيعاد الوارد في الآية المباركة، و لا يلزم خلوّ جهنّم من الجنّة و الناس الّذي أشار اللّٰه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 اَلْجِنَّةِ وَ اَلنّٰاسِ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من يجري عليه العفو أقلّ ممّن يكون محكوماً بدخول الجحيم، و ليس القائل بالعفو يقول بأنّ العفو يعمّ كلّ كافر و مشرك و مسلم، و إنّما يتحقّق في إطار محدود و 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وعد سبحانه على وجه الجزم و القطع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 xml:space="preserve">و ليس المراد من الغفران هو المغفرة لأجل التّوبة، لأنّ الغفران بعد التوبة يعمّ المشرك و غيره، و إنّما المراد هو الغفران و المغفرة بلا توبة و إنابة، و المشرك و المنافق لا يعمّهما العفو أبداً، و يكفي ذلك في تحقّق وعيد الربّ و صدق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لَأَمْلَأَنَّ جَهَنَّمَ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بالعفو في مورد الإيعاد يدّعي قضيّة جزئيّة </w:t>
      </w:r>
      <w:bookmarkStart w:id="525" w:name="pg11536_164162"/>
    </w:p>
    <w:p>
      <w:pPr>
        <w:pStyle w:val="BookText"/>
        <w:rPr/>
      </w:pPr>
      <w:bookmarkEnd w:id="525"/>
      <w:r>
        <w:rPr>
          <w:rFonts w:ascii="Amiri" w:hAnsi="Amiri" w:eastAsia="Amiri" w:cs="Amiri"/>
          <w:color w:val="111111"/>
          <w:sz w:val="28"/>
          <w:sz w:val="28"/>
          <w:szCs w:val="28"/>
          <w:rtl w:val="true"/>
          <w:lang w:bidi="ar-SA"/>
        </w:rPr>
        <w:t>لا قضيّة كلّيّة استيعابيّة، و للبحث صلة تمرّ عليك عند البحث عن أُصول المعتزلة فارتقب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وسع أبي عليّ أن يقابل شعر المناظر بشعر شاعر آخر و ينشد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ثابت لمجتمع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الآباء و البيت</w:t>
      </w:r>
    </w:p>
    <w:p>
      <w:pPr>
        <w:pStyle w:val="BookText"/>
        <w:rPr/>
      </w:pPr>
      <w:r>
        <w:rPr>
          <w:rFonts w:ascii="Amiri" w:hAnsi="Amiri" w:eastAsia="Amiri" w:cs="Amiri"/>
          <w:color w:val="111111"/>
          <w:sz w:val="28"/>
          <w:sz w:val="28"/>
          <w:szCs w:val="28"/>
          <w:rtl w:val="true"/>
          <w:lang w:bidi="ar-SA"/>
        </w:rPr>
        <w:t xml:space="preserve">لا يخلف الوعد و الوعيد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من ثاره على فوت</w:t>
      </w:r>
      <w:r>
        <w:rPr>
          <w:rStyle w:val="FootnoteAnchor"/>
          <w:rtl w:val="true"/>
        </w:rPr>
        <w:footnoteReference w:id="629"/>
      </w:r>
    </w:p>
    <w:p>
      <w:pPr>
        <w:pStyle w:val="Heading5"/>
        <w:numPr>
          <w:ilvl w:val="4"/>
          <w:numId w:val="1"/>
        </w:numPr>
        <w:rPr/>
      </w:pPr>
      <w:bookmarkStart w:id="526" w:name="__RefHeading___Toc3907649_73709187"/>
      <w:bookmarkStart w:id="527" w:name="_Toc192"/>
      <w:bookmarkEnd w:id="526"/>
      <w:r>
        <w:rPr>
          <w:rtl w:val="true"/>
        </w:rPr>
        <w:t>تأليفاته</w:t>
      </w:r>
      <w:bookmarkEnd w:id="527"/>
    </w:p>
    <w:p>
      <w:pPr>
        <w:pStyle w:val="BookText"/>
        <w:rPr/>
      </w:pPr>
      <w:r>
        <w:rPr>
          <w:rFonts w:ascii="Amiri" w:hAnsi="Amiri" w:eastAsia="Amiri" w:cs="Amiri"/>
          <w:color w:val="111111"/>
          <w:sz w:val="28"/>
          <w:sz w:val="28"/>
          <w:szCs w:val="28"/>
          <w:rtl w:val="true"/>
          <w:lang w:bidi="ar-SA"/>
        </w:rPr>
        <w:t>يظهر ممّا نقله ابن المرتضى أنّه غزير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حرّروا ما أملاه أبو عليّ فوجدوه مائة ألف و خمسين ألف ورقة،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رأيته ينظر في كتاب إلّا يوماً نظر في زيج الخوارزمي، و رأيته يوماً أخذ بيده جزءاً من الجامع الكبير لمحمّد بن الحسن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أسهل شيء، لأنّ العقل يدلّ عليه</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الكلام كما يستمدّ من العقل، يستمدّ من الكتاب و السنّة الصحيحة خصوصاً فيما يرجع إلى ما بعد الموت، و أنّ الاستبداد بالعقل الشخصي من دون المراجعة لآراء من سبق من الأعاظم لا ينتج شيئاً </w:t>
      </w:r>
    </w:p>
    <w:p>
      <w:pPr>
        <w:pStyle w:val="BookText"/>
        <w:rPr/>
      </w:pPr>
      <w:r>
        <w:rPr>
          <w:rFonts w:ascii="Amiri" w:hAnsi="Amiri" w:eastAsia="Amiri" w:cs="Amiri"/>
          <w:color w:val="111111"/>
          <w:sz w:val="28"/>
          <w:sz w:val="28"/>
          <w:szCs w:val="28"/>
          <w:rtl w:val="true"/>
          <w:lang w:bidi="ar-SA"/>
        </w:rPr>
        <w:t>ناضجاً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التقاء الأسلاك الكهربائيّة يوجب تفجّر النور و الطاقة، فهكذا التقاء الأفكار و الآراء يوجب اكتساح ظلمات الجهل من أمام المفكّر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ابن المرتضى في ترجمة الأصمّ أنّ لأبي عليّ تفسيراً،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أبو عليّ لا يذكر أحداً في تفسيره إلّا الأصمّ</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 من المحتمل أن يكون المقصود أنّه لا يذكر من آراء الرجال في التفسير شيئاً إلّا عن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أيضاً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محمّد عبد اللّه بن العبّاس الرامهرمزي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لأبي عليّ كتباً في الردّ على أهل النجوم، و يذكر أنّ كثيراً منها يجري مجرى الأمارات الّتي يغلب الظنّ عندها</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كما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الخراسانيّين الثلاثة الّذين خرّجوا على أبي عليّ و أخذوا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عليّ أملى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الخجندي، ثالث الخراسانيّين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 نقل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الأشعري أنّ له كتاباً في الردّ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أبي عليّ الجبّائي</w:t>
      </w:r>
      <w:r>
        <w:rPr>
          <w:rFonts w:eastAsia="Amiri" w:cs="Amiri" w:ascii="Amiri" w:hAnsi="Amiri"/>
          <w:color w:val="111111"/>
          <w:sz w:val="28"/>
          <w:szCs w:val="28"/>
          <w:rtl w:val="true"/>
          <w:lang w:bidi="ar-SA"/>
        </w:rPr>
        <w:t>.</w:t>
      </w:r>
      <w:r>
        <w:rPr>
          <w:rStyle w:val="FootnoteAnchor"/>
          <w:rtl w:val="true"/>
        </w:rPr>
        <w:footnoteReference w:id="63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أهمل أرباب التراجم ذكره في ترجمته</w:t>
      </w:r>
      <w:r>
        <w:rPr>
          <w:rFonts w:eastAsia="Amiri" w:cs="Amiri" w:ascii="Amiri" w:hAnsi="Amiri"/>
          <w:color w:val="111111"/>
          <w:sz w:val="28"/>
          <w:szCs w:val="28"/>
          <w:rtl w:val="true"/>
          <w:lang w:bidi="ar-SA"/>
        </w:rPr>
        <w:t xml:space="preserve">. </w:t>
      </w:r>
      <w:bookmarkStart w:id="528" w:name="pg11536_164164"/>
    </w:p>
    <w:p>
      <w:pPr>
        <w:pStyle w:val="Heading5"/>
        <w:numPr>
          <w:ilvl w:val="4"/>
          <w:numId w:val="1"/>
        </w:numPr>
        <w:rPr/>
      </w:pPr>
      <w:bookmarkStart w:id="529" w:name="__RefHeading___Toc3907651_73709187"/>
      <w:bookmarkStart w:id="530" w:name="_Toc193"/>
      <w:bookmarkEnd w:id="528"/>
      <w:bookmarkEnd w:id="529"/>
      <w:r>
        <w:rPr>
          <w:rtl w:val="true"/>
        </w:rPr>
        <w:t>لمحة من أحواله</w:t>
      </w:r>
      <w:bookmarkEnd w:id="530"/>
    </w:p>
    <w:p>
      <w:pPr>
        <w:pStyle w:val="BookText"/>
        <w:rPr/>
      </w:pPr>
      <w:r>
        <w:rPr>
          <w:rFonts w:ascii="Amiri" w:hAnsi="Amiri" w:eastAsia="Amiri" w:cs="Amiri"/>
          <w:color w:val="111111"/>
          <w:sz w:val="28"/>
          <w:sz w:val="28"/>
          <w:szCs w:val="28"/>
          <w:rtl w:val="true"/>
          <w:lang w:bidi="ar-SA"/>
        </w:rPr>
        <w:t>روى ابن المرتضى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من أحسن الناس وجهاً و 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روى عن النّبيّ صلى الله عليه و آله و سلم أنّه قال لعليّ و الحسن و الحسين و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هؤلاء النوابت</w:t>
      </w:r>
      <w:r>
        <w:rPr>
          <w:rStyle w:val="FootnoteAnchor"/>
          <w:rtl w:val="true"/>
        </w:rPr>
        <w:footnoteReference w:id="635"/>
      </w:r>
      <w:r>
        <w:rPr>
          <w:rFonts w:ascii="Amiri" w:hAnsi="Amiri" w:eastAsia="Amiri" w:cs="Amiri"/>
          <w:color w:val="111111"/>
          <w:sz w:val="28"/>
          <w:sz w:val="28"/>
          <w:szCs w:val="28"/>
          <w:rtl w:val="true"/>
          <w:lang w:bidi="ar-SA"/>
        </w:rPr>
        <w:t>يروون هذا الحديث ثمّ يقولون بمعاوية</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روى عن عليّ عليه السلام أنّ رجلين 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أن نصير إلى معاوية فنستحلّه من دماء من قتلنا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اللّٰه قد أحبط عملكما بندمكما على ما فعلتما</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الرافضة لجهلهم بأبي عليّ و مذهبه يرمونه بالنصب، و كيف و قد نقض كتاب عبّاد في تفضيل أبي بكر، و لم ينقض كتاب الاسكافي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المعيار و الموازنة في تفضيل عليّ على أبي بكر</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العالم العابد رضي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كثيراً من آرائه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نقضه، و لو صحّت نسبة تلك </w:t>
      </w:r>
      <w:bookmarkStart w:id="531" w:name="pg11536_164165"/>
    </w:p>
    <w:p>
      <w:pPr>
        <w:pStyle w:val="BookText"/>
        <w:rPr/>
      </w:pPr>
      <w:bookmarkEnd w:id="531"/>
      <w:r>
        <w:rPr>
          <w:rFonts w:ascii="Amiri" w:hAnsi="Amiri" w:eastAsia="Amiri" w:cs="Amiri"/>
          <w:color w:val="111111"/>
          <w:sz w:val="28"/>
          <w:sz w:val="28"/>
          <w:szCs w:val="28"/>
          <w:rtl w:val="true"/>
          <w:lang w:bidi="ar-SA"/>
        </w:rPr>
        <w:t>الآراء إليه فهو مبغض للشيعة، و قد أنكر كثيراً من الحقائق التأريخية فراجعه</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907653_73709187"/>
      <w:bookmarkStart w:id="533" w:name="_Toc194"/>
      <w:bookmarkEnd w:id="532"/>
      <w:r>
        <w:rPr/>
        <w:t>6</w:t>
      </w:r>
      <w:r>
        <w:rPr>
          <w:rtl w:val="true"/>
        </w:rPr>
        <w:t xml:space="preserve"> - </w:t>
      </w:r>
      <w:r>
        <w:rPr>
          <w:rtl w:val="true"/>
        </w:rPr>
        <w:t xml:space="preserve">أبو هاشم الجبّائي </w:t>
      </w:r>
      <w:r>
        <w:rPr>
          <w:rtl w:val="true"/>
        </w:rPr>
        <w:t>(</w:t>
      </w:r>
      <w:r>
        <w:rPr/>
        <w:t>277</w:t>
      </w:r>
      <w:r>
        <w:rPr>
          <w:rtl w:val="true"/>
        </w:rPr>
        <w:t>-</w:t>
      </w:r>
      <w:r>
        <w:rPr/>
        <w:t>321</w:t>
      </w:r>
      <w:r>
        <w:rPr>
          <w:rtl w:val="true"/>
        </w:rPr>
        <w:t xml:space="preserve"> </w:t>
      </w:r>
      <w:r>
        <w:rPr>
          <w:rtl w:val="true"/>
        </w:rPr>
        <w:t>ه</w:t>
      </w:r>
      <w:r>
        <w:rPr>
          <w:rtl w:val="true"/>
        </w:rPr>
        <w:t>)</w:t>
      </w:r>
      <w:bookmarkEnd w:id="533"/>
    </w:p>
    <w:p>
      <w:pPr>
        <w:pStyle w:val="Heading5"/>
        <w:numPr>
          <w:ilvl w:val="4"/>
          <w:numId w:val="1"/>
        </w:numPr>
        <w:rPr/>
      </w:pPr>
      <w:bookmarkStart w:id="534" w:name="__RefHeading___Toc3907655_73709187"/>
      <w:bookmarkStart w:id="535" w:name="_Toc195"/>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عبد السلام بن محمّد بن عبد الوهّاب بن أبي عليّ الجبائي، 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المعتزلة و مصنّف الكتب على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بغداد إلى حين وفاته</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المتكلّم المشهور، العالم بن العالم، كان هو و أبوه من كبار المعتزلة و لهما مقالات على مذهب الاعتزال، و كتب الكلام مشحونة بمذاهبهما و اعتقادهما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ولد يسمّى أبا عليّ و كان عامّياً لا يعرف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يوماً على الصاحب بن عبّاد فظنّه عالماً فأكرمه و رفع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سأله عن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نصف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ولدي، إلّا أنّ أباك تقدّم بالنصف الآخر</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الخطيب عنه تأريخ ولادته،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 سنة سبع و سبعين و مائتين، و ولد أبي أبو عليّ سنة خمس و ثلاثين و مائتين و مات في شعبان سنة ثلاث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هاشم في رجب سنة إحدى و عشرين و ثلاثمائة ببغداد و تولّيت دفنه في مقابر باب البستان من الجانب الشرقي، و قد توفّي في اليوم الّذي توفّي أبو بكر 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p>
    <w:p>
      <w:pPr>
        <w:pStyle w:val="BookText"/>
        <w:rPr/>
      </w:pPr>
      <w:r>
        <w:rPr>
          <w:rFonts w:ascii="Amiri" w:hAnsi="Amiri" w:eastAsia="Amiri" w:cs="Amiri"/>
          <w:color w:val="111111"/>
          <w:sz w:val="28"/>
          <w:sz w:val="28"/>
          <w:szCs w:val="28"/>
          <w:rtl w:val="true"/>
          <w:lang w:bidi="ar-SA"/>
        </w:rPr>
        <w:t>الحسن بن سهل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ندفن أبا هاشم إذ حملت جنازة أُخرى و معها جُميعَة عرفتهم بالأدب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جنازة 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أبي بكر ابن دريد، فذكرت حديث الرشيد لمّا دفن محمّد بن الحسن و الكسائي بالري في 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في سنة ثلاث و عشرين و ثلاثمائة، فأخبرت أصحابنا بالخبر، و بكينا على الكلام و العربيّة طويلاً ثمّ افترقنا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عليه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 أنّ أبا هاشم مات في ليلة السبت الثالث و العشرين من رجب سنة إحدى و عشرين،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 ستّاً و أربعين سنة و ثمانية أشهر و إحدى و عشرين يوماً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قال القاضي نقلاً عن أبي الحسن بن فرزويه أنّه بلغ من العلم ما لم يبلغه رؤساء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كان من حرصه يسأل أبا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يتأذّى منه، فسمعت أبا عليّ في بعض الأوقات يسير معه لحاجة و هو يقول لا تؤذنا و يزيد فوق هذا الكلام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يسأله طول نهاره ما قدر على ذلك، فاذا جاء اللّيل سبق إلى موضع مبيته لئلّا يغلق أبو عليّ دونه الباب، فيستلقي أبو عليّ على سريره، و يقف أبو هاشم بين يديه قائماً يسأله حتّى يضجره، فيحوّل وجهه عنه، فيتحوّل إلى وجهه، و لا يزال كذلك حتّى ينام، و ربّما سبق أبو عليّ فأغلق الباب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حرصه على ما اختصّ به من الذكاء، لم يتعجّب من تقدّمه</w:t>
      </w:r>
      <w:r>
        <w:rPr>
          <w:rFonts w:eastAsia="Amiri" w:cs="Amiri" w:ascii="Amiri" w:hAnsi="Amiri"/>
          <w:color w:val="111111"/>
          <w:sz w:val="28"/>
          <w:szCs w:val="28"/>
          <w:rtl w:val="true"/>
          <w:lang w:bidi="ar-SA"/>
        </w:rPr>
        <w:t>.</w:t>
      </w:r>
      <w:r>
        <w:rPr>
          <w:rStyle w:val="FootnoteAnchor"/>
          <w:rtl w:val="true"/>
        </w:rPr>
        <w:footnoteReference w:id="642"/>
      </w:r>
      <w:bookmarkStart w:id="536" w:name="pg11536_164167"/>
    </w:p>
    <w:p>
      <w:pPr>
        <w:pStyle w:val="BookText"/>
        <w:rPr/>
      </w:pPr>
      <w:bookmarkEnd w:id="536"/>
      <w:r>
        <w:rPr>
          <w:rFonts w:ascii="Amiri" w:hAnsi="Amiri" w:eastAsia="Amiri" w:cs="Amiri"/>
          <w:color w:val="111111"/>
          <w:sz w:val="28"/>
          <w:sz w:val="28"/>
          <w:szCs w:val="28"/>
          <w:rtl w:val="true"/>
          <w:lang w:bidi="ar-SA"/>
        </w:rPr>
        <w:t xml:space="preserve">كان أبو هاشم أحسن الناس أخلاقاً و أطلقهم وجهاً، و استنكر بعض الناس خلافه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خلاف التابع للمتبوع في دقيق الفروع بمستنكر، فقد خالف أصحاب أبي حنيفة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الحسن بن فرزويه في ذلك شعراً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بين أبي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أبيه خلاف كبير</w:t>
      </w:r>
    </w:p>
    <w:p>
      <w:pPr>
        <w:pStyle w:val="BookText"/>
        <w:rPr/>
      </w:pPr>
      <w:r>
        <w:rPr>
          <w:rFonts w:ascii="Amiri" w:hAnsi="Amiri" w:eastAsia="Amiri" w:cs="Amiri"/>
          <w:color w:val="111111"/>
          <w:sz w:val="28"/>
          <w:sz w:val="28"/>
          <w:szCs w:val="28"/>
          <w:rtl w:val="true"/>
          <w:lang w:bidi="ar-SA"/>
        </w:rPr>
        <w:t xml:space="preserve">فقلت و هل ذاك من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كان ذلك ممّا يضير</w:t>
      </w:r>
    </w:p>
    <w:p>
      <w:pPr>
        <w:pStyle w:val="BookText"/>
        <w:rPr/>
      </w:pPr>
      <w:r>
        <w:rPr>
          <w:rFonts w:ascii="Amiri" w:hAnsi="Amiri" w:eastAsia="Amiri" w:cs="Amiri"/>
          <w:color w:val="111111"/>
          <w:sz w:val="28"/>
          <w:sz w:val="28"/>
          <w:szCs w:val="28"/>
          <w:rtl w:val="true"/>
          <w:lang w:bidi="ar-SA"/>
        </w:rPr>
        <w:t xml:space="preserve">فخلّوا عن الشيخ لا تعرضوا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لبحر تضايق عنه البحور</w:t>
      </w:r>
    </w:p>
    <w:p>
      <w:pPr>
        <w:pStyle w:val="BookText"/>
        <w:rPr/>
      </w:pPr>
      <w:r>
        <w:rPr>
          <w:rFonts w:ascii="Amiri" w:hAnsi="Amiri" w:eastAsia="Amiri" w:cs="Amiri"/>
          <w:color w:val="111111"/>
          <w:sz w:val="28"/>
          <w:sz w:val="28"/>
          <w:szCs w:val="28"/>
          <w:rtl w:val="true"/>
          <w:lang w:bidi="ar-SA"/>
        </w:rPr>
        <w:t xml:space="preserve">فان أبا هاشم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دار أبوه يدور</w:t>
      </w:r>
    </w:p>
    <w:p>
      <w:pPr>
        <w:pStyle w:val="BookText"/>
        <w:rPr/>
      </w:pPr>
      <w:r>
        <w:rPr>
          <w:rFonts w:ascii="Amiri" w:hAnsi="Amiri" w:eastAsia="Amiri" w:cs="Amiri"/>
          <w:color w:val="111111"/>
          <w:sz w:val="28"/>
          <w:sz w:val="28"/>
          <w:szCs w:val="28"/>
          <w:rtl w:val="true"/>
          <w:lang w:bidi="ar-SA"/>
        </w:rPr>
        <w:t>و لكن جرى في لطيف الكلام</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خفي و علم غزير</w:t>
      </w:r>
    </w:p>
    <w:p>
      <w:pPr>
        <w:pStyle w:val="BookText"/>
        <w:rPr/>
      </w:pPr>
      <w:r>
        <w:rPr>
          <w:rFonts w:ascii="Amiri" w:hAnsi="Amiri" w:eastAsia="Amiri" w:cs="Amiri"/>
          <w:color w:val="111111"/>
          <w:sz w:val="28"/>
          <w:sz w:val="28"/>
          <w:szCs w:val="28"/>
          <w:rtl w:val="true"/>
          <w:lang w:bidi="ar-SA"/>
        </w:rPr>
        <w:t xml:space="preserve">فإيّاك إيّاك من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تعد عن واضح مستنير</w:t>
      </w:r>
      <w:r>
        <w:rPr>
          <w:rStyle w:val="FootnoteAnchor"/>
          <w:rtl w:val="true"/>
        </w:rPr>
        <w:footnoteReference w:id="644"/>
      </w:r>
    </w:p>
    <w:p>
      <w:pPr>
        <w:pStyle w:val="Heading5"/>
        <w:numPr>
          <w:ilvl w:val="4"/>
          <w:numId w:val="1"/>
        </w:numPr>
        <w:rPr/>
      </w:pPr>
      <w:bookmarkStart w:id="537" w:name="__RefHeading___Toc3907657_73709187"/>
      <w:bookmarkStart w:id="538" w:name="_Toc196"/>
      <w:bookmarkEnd w:id="537"/>
      <w:r>
        <w:rPr>
          <w:rtl w:val="true"/>
        </w:rPr>
        <w:t>تأليفاته</w:t>
      </w:r>
      <w:bookmarkEnd w:id="53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ابن النديم لأبي هاشم كتباً،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هاشم عبد السلام بن محمّد الجبّائي، قدم مدينة السلام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ذكيّاً حسن الفهم، ثابت الفطنة، صانعاً للكلام، مقتدراً عليه، قيّماً به، و توفّي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 xml:space="preserve">: </w:t>
      </w:r>
      <w:bookmarkStart w:id="539" w:name="pg11536_164168"/>
    </w:p>
    <w:p>
      <w:pPr>
        <w:pStyle w:val="BookText"/>
        <w:rPr/>
      </w:pPr>
      <w:bookmarkEnd w:id="53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الأبواب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الأبواب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المسائل العسكريات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على أرسطو أرسطوطاليس في الكون و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الطبائع و النقض على القائلين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الاجتهاد كلام</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3907659_73709187"/>
      <w:bookmarkStart w:id="541" w:name="_Toc197"/>
      <w:bookmarkEnd w:id="540"/>
      <w:r>
        <w:rPr>
          <w:rtl w:val="true"/>
        </w:rPr>
        <w:t>انتشار مذهبه</w:t>
      </w:r>
      <w:bookmarkEnd w:id="54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البغدادي أنّ مذهبه كان منتشراً في أوائل القرن الخامس في بغداد و قد سمّى أتباعه بالبهشميّة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أتباع أبي هاشم الجبّائي، و أكثر معتزلة عصرنا على مذهبه، لدعوة ابن عبّاد وزير آل بويه إليه</w:t>
      </w:r>
      <w:r>
        <w:rPr>
          <w:rFonts w:eastAsia="Amiri" w:cs="Amiri" w:ascii="Amiri" w:hAnsi="Amiri"/>
          <w:color w:val="111111"/>
          <w:sz w:val="28"/>
          <w:szCs w:val="28"/>
          <w:rtl w:val="true"/>
          <w:lang w:bidi="ar-SA"/>
        </w:rPr>
        <w:t>.</w:t>
      </w:r>
      <w:r>
        <w:rPr>
          <w:rStyle w:val="FootnoteAnchor"/>
          <w:rtl w:val="true"/>
        </w:rPr>
        <w:footnoteReference w:id="646"/>
      </w:r>
      <w:bookmarkStart w:id="542" w:name="pg11536_164169"/>
    </w:p>
    <w:p>
      <w:pPr>
        <w:pStyle w:val="Heading5"/>
        <w:numPr>
          <w:ilvl w:val="4"/>
          <w:numId w:val="1"/>
        </w:numPr>
        <w:rPr/>
      </w:pPr>
      <w:bookmarkStart w:id="543" w:name="__RefHeading___Toc3907661_73709187"/>
      <w:bookmarkStart w:id="544" w:name="_Toc198"/>
      <w:bookmarkEnd w:id="542"/>
      <w:bookmarkEnd w:id="543"/>
      <w:r>
        <w:rPr>
          <w:rtl w:val="true"/>
        </w:rPr>
        <w:t>تلاميذه</w:t>
      </w:r>
      <w:bookmarkEnd w:id="544"/>
    </w:p>
    <w:p>
      <w:pPr>
        <w:pStyle w:val="BookText"/>
        <w:rPr/>
      </w:pPr>
      <w:r>
        <w:rPr>
          <w:rFonts w:ascii="Amiri" w:hAnsi="Amiri" w:eastAsia="Amiri" w:cs="Amiri"/>
          <w:color w:val="111111"/>
          <w:sz w:val="28"/>
          <w:sz w:val="28"/>
          <w:szCs w:val="28"/>
          <w:rtl w:val="true"/>
          <w:lang w:bidi="ar-SA"/>
        </w:rPr>
        <w:t>قد ذكر ابن المرتضى أبا هاشم في الطبقة التاسعة، و ذكر تلاميذه في الطبقة العاشرة،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هذه الطبقة تشتمل على من أخذ عن أبي هاشم و عمّن هو في طبقته مع اختلاف درجاتهم و تفاوت أحوالهم و قدّمنا أصحاب أبي هاشم لكثرتهم و براعتهم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تلاميذه، فمن أراد فليرجع إليه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3907663_73709187"/>
      <w:bookmarkStart w:id="546" w:name="_Toc199"/>
      <w:bookmarkEnd w:id="545"/>
      <w:r>
        <w:rPr/>
        <w:t>7</w:t>
      </w:r>
      <w:r>
        <w:rPr>
          <w:rtl w:val="true"/>
        </w:rPr>
        <w:t xml:space="preserve"> - </w:t>
      </w:r>
      <w:r>
        <w:rPr>
          <w:rtl w:val="true"/>
        </w:rPr>
        <w:t xml:space="preserve">قاضي القضاة عبد الجبّار </w:t>
      </w:r>
      <w:r>
        <w:rPr>
          <w:rtl w:val="true"/>
        </w:rPr>
        <w:t>(</w:t>
      </w:r>
      <w:r>
        <w:rPr>
          <w:rtl w:val="true"/>
        </w:rPr>
        <w:t xml:space="preserve">ت نحو </w:t>
      </w:r>
      <w:r>
        <w:rPr/>
        <w:t>324</w:t>
      </w:r>
      <w:r>
        <w:rPr>
          <w:rtl w:val="true"/>
        </w:rPr>
        <w:t xml:space="preserve"> - </w:t>
      </w:r>
      <w:r>
        <w:rPr>
          <w:rtl w:val="true"/>
        </w:rPr>
        <w:t xml:space="preserve">م </w:t>
      </w:r>
      <w:r>
        <w:rPr/>
        <w:t>415</w:t>
      </w:r>
      <w:r>
        <w:rPr>
          <w:rtl w:val="true"/>
        </w:rPr>
        <w:t xml:space="preserve"> </w:t>
      </w:r>
      <w:r>
        <w:rPr>
          <w:rtl w:val="true"/>
        </w:rPr>
        <w:t xml:space="preserve">أو </w:t>
      </w:r>
      <w:r>
        <w:rPr/>
        <w:t>416</w:t>
      </w:r>
      <w:r>
        <w:rPr>
          <w:rtl w:val="true"/>
        </w:rPr>
        <w:t xml:space="preserve"> </w:t>
      </w:r>
      <w:r>
        <w:rPr>
          <w:rtl w:val="true"/>
        </w:rPr>
        <w:t>ه</w:t>
      </w:r>
      <w:r>
        <w:rPr>
          <w:rtl w:val="true"/>
        </w:rPr>
        <w:t>)</w:t>
      </w:r>
      <w:bookmarkEnd w:id="546"/>
    </w:p>
    <w:p>
      <w:pPr>
        <w:pStyle w:val="Heading5"/>
        <w:numPr>
          <w:ilvl w:val="4"/>
          <w:numId w:val="1"/>
        </w:numPr>
        <w:rPr/>
      </w:pPr>
      <w:bookmarkStart w:id="547" w:name="__RefHeading___Toc3907665_73709187"/>
      <w:bookmarkStart w:id="548" w:name="_Toc200"/>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هو عبد الجبّار بن أحمد بن عبد الجبّار الهمداني الأسدآبادي، الملقّب بقاضي القضاة، و لا يطلق ذلك اللّقب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ينتحل مذهب الشافعي في الفروع و مذاهب المعتزلة في الأُصول، و له في ذلك مصنّفات، و ولي قضاء القضاة بالري و ورد بغداد حاجّاً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عبد الجبّار بن أحمد قبل دخولي الري في رحلتي إلى خراسان، و ذلك في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ترجمه الحاكم الجشمي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p>
    <w:p>
      <w:pPr>
        <w:pStyle w:val="BookText"/>
        <w:rPr/>
      </w:pPr>
      <w:r>
        <w:rPr>
          <w:rFonts w:ascii="Amiri" w:hAnsi="Amiri" w:eastAsia="Amiri" w:cs="Amiri"/>
          <w:color w:val="111111"/>
          <w:sz w:val="28"/>
          <w:sz w:val="28"/>
          <w:szCs w:val="28"/>
          <w:rtl w:val="true"/>
          <w:lang w:bidi="ar-SA"/>
        </w:rPr>
        <w:t>عيون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الطبقة الحادية عشرة من طبقات المعتزلة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 من معتزلة البصرة من أصحاب أبي هاشم لنصرته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على أبي إسحاق بن عيّاش أوّلاً، ثمّ على الشيخ أبي عبد اللّٰه البصري</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ليست تحضرني عبارة تنبئ عن محلِّه في الفضل و علوّ منزلته في العلم، فإنّه الّذي فتق الكلام و نشره و وضع فيه الكتب الجليلة الّتي سارت بها الركبان و بلغ المشرق و المغرب، و ضمّنها من دقيق الكلام و جليله ما لم يتّفق لأحد قبله، و طال عمره مواظباً على التدريس و الاملاء حتّى طبق الأرض بكتبه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صوته و عظم قدره و إليه انتهت الرئاسة في المعتزلة حتّى صار شيخها و عالمها غير مدافع، و صار الاعتماد على كتبه و مسائله حتّى نسخ كتب من تقدّم من المشايخ و قرب عهده، و شهرة حاله تغني عن الإطناب من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الأسعد الآبي في قصيدة له في التوحيد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من مشايخ أهل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لكم مثل إمام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القضاة سيّد الأئمّة</w:t>
      </w:r>
    </w:p>
    <w:p>
      <w:pPr>
        <w:pStyle w:val="BookText"/>
        <w:rPr/>
      </w:pPr>
      <w:r>
        <w:rPr>
          <w:rFonts w:ascii="Amiri" w:hAnsi="Amiri" w:eastAsia="Amiri" w:cs="Amiri"/>
          <w:color w:val="111111"/>
          <w:sz w:val="28"/>
          <w:sz w:val="28"/>
          <w:szCs w:val="28"/>
          <w:rtl w:val="true"/>
          <w:lang w:bidi="ar-SA"/>
        </w:rPr>
        <w:t xml:space="preserve">من بثّ دين اللّٰه في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بتّ حبل الكفر و النفاق</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أصله من أسدآباد همدان، ثمّ خرج إلى البصرة و اختلف إلى مجالس </w:t>
      </w:r>
    </w:p>
    <w:p>
      <w:pPr>
        <w:pStyle w:val="BookText"/>
        <w:rPr/>
      </w:pPr>
      <w:r>
        <w:rPr>
          <w:rFonts w:ascii="Amiri" w:hAnsi="Amiri" w:eastAsia="Amiri" w:cs="Amiri"/>
          <w:color w:val="111111"/>
          <w:sz w:val="28"/>
          <w:sz w:val="28"/>
          <w:szCs w:val="28"/>
          <w:rtl w:val="true"/>
          <w:lang w:bidi="ar-SA"/>
        </w:rPr>
        <w:t>العلماء و كان يذهب في الأُصول مذهب الأشعريّة و في الفروع مذهب الشافعي، و لما حضر المجالس و ناظر و نظر عرف الحقّ، و انقاد و انتقل إلى أبي إسحاق بن عيّاش فقرأ عليه مدّة ثمّ رحل إلى بغداد و أقام عند الشيخ أبي عبد اللّه مدّة مديدة حتّى فاق الأقران و خرج واحد دهره و فريد زمانه، و صنّف و هو بحضرته كتباً كثيرة و كان ربّما يدرس بها و بالعسكر</w:t>
      </w:r>
      <w:r>
        <w:rPr>
          <w:rStyle w:val="FootnoteAnchor"/>
          <w:rtl w:val="true"/>
        </w:rPr>
        <w:footnoteReference w:id="649"/>
      </w:r>
      <w:r>
        <w:rPr>
          <w:rFonts w:ascii="IRNazanin" w:hAnsi="IRNazanin" w:eastAsia="IRNazanin"/>
          <w:color w:val="111111"/>
          <w:sz w:val="28"/>
          <w:sz w:val="28"/>
          <w:szCs w:val="28"/>
          <w:rtl w:val="true"/>
          <w:lang w:bidi="fa-IR"/>
        </w:rPr>
        <w:t>و رامهرمز</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ابتدأ بها 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عبد اللّه بن عبّاس متبرّكاً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الريّ سألوه أن يجعله باسم بعض الكبار فأبى و استدعاه الصاحب إلى الريّ بعد سنة ستّين و ثلاثمائة فبقى بها مواظباً على التدريس إلى أن توفّي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فكان يدرس و يملي و كثر الانتفاع به و طار ذكره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في التفضيل بمذهب الشيخين</w:t>
      </w:r>
      <w:r>
        <w:rPr>
          <w:rStyle w:val="FootnoteAnchor"/>
          <w:rtl w:val="true"/>
        </w:rPr>
        <w:footnoteReference w:id="651"/>
      </w:r>
      <w:r>
        <w:rPr>
          <w:rFonts w:ascii="Amiri" w:hAnsi="Amiri" w:eastAsia="Amiri" w:cs="Amiri"/>
          <w:color w:val="111111"/>
          <w:sz w:val="28"/>
          <w:sz w:val="28"/>
          <w:szCs w:val="28"/>
          <w:rtl w:val="true"/>
          <w:lang w:bidi="ar-SA"/>
        </w:rPr>
        <w:t>في التوقف، ثمّ رجع في آخر عمره إلى تفضيل أمير المؤمنين عليه السلام و هو المذكور في كتبه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الصاحب يقول فيه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أهل الأرض،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أهل الأرض</w:t>
      </w:r>
      <w:r>
        <w:rPr>
          <w:rFonts w:eastAsia="Amiri" w:cs="Amiri" w:ascii="Amiri" w:hAnsi="Amiri"/>
          <w:color w:val="111111"/>
          <w:sz w:val="28"/>
          <w:szCs w:val="28"/>
          <w:rtl w:val="true"/>
          <w:lang w:bidi="ar-SA"/>
        </w:rPr>
        <w:t>.</w:t>
      </w:r>
      <w:r>
        <w:rPr>
          <w:rStyle w:val="FootnoteAnchor"/>
          <w:rtl w:val="true"/>
        </w:rPr>
        <w:footnoteReference w:id="652"/>
      </w:r>
      <w:bookmarkStart w:id="549" w:name="pg11536_164172"/>
    </w:p>
    <w:p>
      <w:pPr>
        <w:pStyle w:val="Heading5"/>
        <w:numPr>
          <w:ilvl w:val="4"/>
          <w:numId w:val="1"/>
        </w:numPr>
        <w:rPr/>
      </w:pPr>
      <w:bookmarkStart w:id="550" w:name="__RefHeading___Toc3907667_73709187"/>
      <w:bookmarkStart w:id="551" w:name="_Toc201"/>
      <w:bookmarkEnd w:id="549"/>
      <w:bookmarkEnd w:id="550"/>
      <w:r>
        <w:rPr>
          <w:rtl w:val="true"/>
        </w:rPr>
        <w:t>اسلوبه في الكتابة</w:t>
      </w:r>
      <w:bookmarkEnd w:id="551"/>
    </w:p>
    <w:p>
      <w:pPr>
        <w:pStyle w:val="BookText"/>
        <w:rPr/>
      </w:pPr>
      <w:r>
        <w:rPr>
          <w:rFonts w:ascii="Amiri" w:hAnsi="Amiri" w:eastAsia="Amiri" w:cs="Amiri"/>
          <w:color w:val="111111"/>
          <w:sz w:val="28"/>
          <w:sz w:val="28"/>
          <w:szCs w:val="28"/>
          <w:rtl w:val="true"/>
          <w:lang w:bidi="ar-SA"/>
        </w:rPr>
        <w:t xml:space="preserve">يظهر من ترجمة حياته أنّ كتابه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في عشرين جزءاً ممّا أملاه على تلاميذه و لم يكتبه ببنانه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رحمه الله يختصر في الإملاء و يبسط في الدرس على ضدّ ما كان يفعله الشيخ أبو عبد اللّه</w:t>
      </w:r>
      <w:r>
        <w:rPr>
          <w:rStyle w:val="FootnoteAnchor"/>
          <w:rtl w:val="true"/>
        </w:rPr>
        <w:footnoteReference w:id="653"/>
      </w:r>
      <w:r>
        <w:rPr>
          <w:rFonts w:ascii="Amiri" w:hAnsi="Amiri" w:eastAsia="Amiri" w:cs="Amiri"/>
          <w:color w:val="111111"/>
          <w:sz w:val="28"/>
          <w:sz w:val="28"/>
          <w:szCs w:val="28"/>
          <w:rtl w:val="true"/>
          <w:lang w:bidi="ar-SA"/>
        </w:rPr>
        <w:t>فكان من حسن طريقته ترك الناس كتب من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فرغ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كتاباً هذه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أتمّ اللّٰه على قاضي القضاة نعمته، و أجزل لديه منّته، لقد أتمّ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للموحّد، و شجى للملحد، و عتاداً للحق، و سداداً للباطل، و إنّه كتاب تفخر به شرعتنا على الشرع، و نحلتنا على النحل، و أُمّتنا على الأُمم و ملّتنا على الملل، وفّقه اللّٰه له حين نامت الخواطر و كلّت الأوهام و ظنّ الظانّون باللّٰه أنّ العلم قد قبض و نخاعه قد ضعف، و أنّ شيوخه الأعلون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شالت نعامتهم و خفّت بضاعتهم، و وهن كاهلهم، و درج أفاضلهم، و لم يدروا أنّ في سرّ الغيب إن كان آخراً بالاضافة إليهم، إنّه الأوّل بالامامة عليهم، كذلك يفعل اللّٰه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فليقرّ قاضي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بما قدّم لنفسه و أخّر و اكتسب لغده و ذخر، و ليرينّ في ميزانه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ثواب ما دأب فيه و احتسب </w:t>
      </w:r>
    </w:p>
    <w:p>
      <w:pPr>
        <w:pStyle w:val="BookText"/>
        <w:rPr/>
      </w:pPr>
      <w:r>
        <w:rPr>
          <w:rFonts w:ascii="Amiri" w:hAnsi="Amiri" w:eastAsia="Amiri" w:cs="Amiri"/>
          <w:color w:val="111111"/>
          <w:sz w:val="28"/>
          <w:sz w:val="28"/>
          <w:szCs w:val="28"/>
          <w:rtl w:val="true"/>
          <w:lang w:bidi="ar-SA"/>
        </w:rPr>
        <w:t xml:space="preserve">و سهر ليله و انتصب، صابراً على كدّ الخواطر و معانياً برد الأصايل إلى حرّ الهواجر، أثقل من أحد و أرزن، و أوفى من الرمل و أوزن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و ورد محمّد ولدنا بالنبإ العظيم و الصراط المستقيم من الجزء الأخير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بشراي، هذا زاد المسافر، و كفاية الحاضر و تحفة المرتاد و طفقت أنشئ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أنشر الشيخان عمرو و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لقالا جوزيت الخير عنّا و أنعما</w:t>
      </w:r>
    </w:p>
    <w:p>
      <w:pPr>
        <w:pStyle w:val="BookText"/>
        <w:rPr/>
      </w:pPr>
      <w:r>
        <w:rPr>
          <w:rFonts w:ascii="Amiri" w:hAnsi="Amiri" w:eastAsia="Amiri" w:cs="Amiri"/>
          <w:color w:val="111111"/>
          <w:sz w:val="28"/>
          <w:sz w:val="28"/>
          <w:szCs w:val="28"/>
          <w:rtl w:val="true"/>
          <w:lang w:bidi="ar-SA"/>
        </w:rPr>
        <w:t>فأتمّ على قاضي القضاة نعمه، كما أورد علينا ديمه و السلام</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الحاكم بسط الكلام في أسماء تآليفه،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ورقة ممّا صنّف في كلّ فنًّ و كان موفّقاً في التصنيف و التدريس، و كتبه تتنوّع أنواعاً فله كتب في الكلام لم يسبق إلى تصنيف مثلها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سرد أسماء كتبه البالغة إلى ثلاثة و أربعين، نأتي بها ملخّصاً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الدواعي و الصوارف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 و الوفاق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و التمانع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 يجوز فيه التزايد و 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و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الحكمة و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الجامعين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المقالات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الأعراض</w:t>
      </w:r>
    </w:p>
    <w:p>
      <w:pPr>
        <w:pStyle w:val="BookText"/>
        <w:rPr/>
      </w:pPr>
      <w:r>
        <w:rPr>
          <w:rFonts w:ascii="Amiri" w:hAnsi="Amiri" w:eastAsia="Amiri" w:cs="Amiri"/>
          <w:color w:val="111111"/>
          <w:sz w:val="28"/>
          <w:sz w:val="28"/>
          <w:szCs w:val="28"/>
          <w:rtl w:val="true"/>
          <w:lang w:bidi="ar-SA"/>
        </w:rPr>
        <w:t>و هذا كلّه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كتب في النقض على المخالفين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اللمع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نقض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جوابات مسائل وردت عليه من الآفاق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العسكريات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القاشانيات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الخوارزميات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النيسابوريات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كتب في الخلاف و 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بين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نصيحة المتفقّهة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تكلّم فيها على أهل الأهواء الخارجين عن الإسلام و غيرهم أوضح فيها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كتب في علوم القرآن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التنزيه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في كلّ فنّ بلغني اسمه أو لم يبلغ، أحسن فيها غاية الاحسان، نحو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الكوفيات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الحدود</w:t>
      </w:r>
    </w:p>
    <w:p>
      <w:pPr>
        <w:pStyle w:val="BookText"/>
        <w:rPr/>
      </w:pPr>
      <w:r>
        <w:rPr>
          <w:rFonts w:ascii="Amiri" w:hAnsi="Amiri" w:eastAsia="Amiri" w:cs="Amiri"/>
          <w:color w:val="111111"/>
          <w:sz w:val="28"/>
          <w:sz w:val="28"/>
          <w:szCs w:val="28"/>
          <w:rtl w:val="true"/>
          <w:lang w:bidi="ar-SA"/>
        </w:rPr>
        <w:t>إلى غير ذلك مما يكثر تعداده، و ذكر جميع مصنّفاته يتعذّر</w:t>
      </w:r>
      <w:r>
        <w:rPr>
          <w:rFonts w:eastAsia="Amiri" w:cs="Amiri" w:ascii="Amiri" w:hAnsi="Amiri"/>
          <w:color w:val="111111"/>
          <w:sz w:val="28"/>
          <w:szCs w:val="28"/>
          <w:rtl w:val="true"/>
          <w:lang w:bidi="ar-SA"/>
        </w:rPr>
        <w:t>».</w:t>
      </w:r>
      <w:r>
        <w:rPr>
          <w:rStyle w:val="FootnoteAnchor"/>
          <w:rtl w:val="true"/>
        </w:rPr>
        <w:footnoteReference w:id="65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حسن حظّ القاضي دون سائر المعتزلة أنّه قد طبعت كميّة هائلة من كتبه في الآونة الأخيرة، و هذه الكتب رفعت الستار عن وجه عقائد </w:t>
      </w:r>
    </w:p>
    <w:p>
      <w:pPr>
        <w:pStyle w:val="BookText"/>
        <w:rPr/>
      </w:pPr>
      <w:r>
        <w:rPr>
          <w:rFonts w:ascii="Amiri" w:hAnsi="Amiri" w:eastAsia="Amiri" w:cs="Amiri"/>
          <w:color w:val="111111"/>
          <w:sz w:val="28"/>
          <w:sz w:val="28"/>
          <w:szCs w:val="28"/>
          <w:rtl w:val="true"/>
          <w:lang w:bidi="ar-SA"/>
        </w:rPr>
        <w:t>المعتزلة و أغنتنا عن الرجوع إلى كتب خصومهم، فنذكر ما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بيروت، دار النهضة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اسمه يحكي عن محتواه و يجيب فيه عن كثير من الأسئلة التي تدور حول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ديباجته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أملينا كتاباً يفصِّل بين المحكم و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عرضنا فيه سور القرآن على ترتيبها و بينّا معاني ما تشابه من آياتها، مع بيان وجه خطأ فريق من الناس في تأويلها، ليكون النفع به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أيضاً في القاهرة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فؤاد سيّد،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للكعبي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الحادية عشرة و الثانية عشرة من شرح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الجشمي طبع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عبد الكريم عثمان في القاهرة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كتاب مختصر جامع يعرض عقائد المعتزلة عامّة و عقيدة القاضي خاصّة، و هو أحسن كتاب لمن أراد أن يطّلع على عقائدهم، و قد أملاه على تلاميذه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الكتب المبسوطة في عقائد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اكتشفته البعثة المصريّة في اليمن عام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قد عثر منه حتّى الآن على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bookmarkStart w:id="552" w:name="pg11536_164178"/>
    </w:p>
    <w:p>
      <w:pPr>
        <w:pStyle w:val="BookText"/>
        <w:rPr/>
      </w:pPr>
      <w:bookmarkEnd w:id="552"/>
      <w:r>
        <w:rPr>
          <w:rFonts w:ascii="Amiri" w:hAnsi="Amiri" w:eastAsia="Amiri" w:cs="Amiri"/>
          <w:color w:val="111111"/>
          <w:sz w:val="28"/>
          <w:sz w:val="28"/>
          <w:szCs w:val="28"/>
          <w:rtl w:val="true"/>
          <w:lang w:bidi="ar-SA"/>
        </w:rPr>
        <w:t xml:space="preserve">و الكتاب يقع في عشرين جزءاً، و إليك الأجزاء المطبوعة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الجزء الأخير يختصّ بالإمامة و هو الّذي نقضه السيّد المرتضى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في مجلّد كبير، و لخّصه الشيخ الطوسي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في جزءين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عزمي، طبع الدار المصريّة للتأليف، جمعه الحسن بن أحمد بن متّويه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مقدّمة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عدنان محمّد زر زور، طبع دار التراث في القاهرة في جزءين</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3907669_73709187"/>
      <w:bookmarkStart w:id="554" w:name="_Toc202"/>
      <w:bookmarkEnd w:id="553"/>
      <w:r>
        <w:rPr>
          <w:rtl w:val="true"/>
        </w:rPr>
        <w:t>تلاميذه</w:t>
      </w:r>
      <w:bookmarkEnd w:id="554"/>
    </w:p>
    <w:p>
      <w:pPr>
        <w:pStyle w:val="BookText"/>
        <w:rPr/>
      </w:pPr>
      <w:r>
        <w:rPr>
          <w:rFonts w:ascii="Amiri" w:hAnsi="Amiri" w:eastAsia="Amiri" w:cs="Amiri"/>
          <w:color w:val="111111"/>
          <w:sz w:val="28"/>
          <w:sz w:val="28"/>
          <w:szCs w:val="28"/>
          <w:rtl w:val="true"/>
          <w:lang w:bidi="ar-SA"/>
        </w:rPr>
        <w:t xml:space="preserve">و قد فصّل الكلام ابن المرتضى في تلاميذه و جعلهم من الطبقة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أسماهم واحداً بعد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رشيد سعيد بن محمّد النيسابوري و الشريف المرتضى أبو القاسم عليّ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 قاضي القضاة عند انصرافه من الحجّ، إلى غير ذلك من تلاميذه</w:t>
      </w:r>
      <w:r>
        <w:rPr>
          <w:rFonts w:eastAsia="Amiri" w:cs="Amiri" w:ascii="Amiri" w:hAnsi="Amiri"/>
          <w:color w:val="111111"/>
          <w:sz w:val="28"/>
          <w:szCs w:val="28"/>
          <w:rtl w:val="true"/>
          <w:lang w:bidi="ar-SA"/>
        </w:rPr>
        <w:t>.</w:t>
      </w:r>
      <w:r>
        <w:rPr>
          <w:rStyle w:val="FootnoteAnchor"/>
          <w:rtl w:val="true"/>
        </w:rPr>
        <w:footnoteReference w:id="657"/>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حديث الرؤية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 ربّكم يوم القيامة كما ترون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علّقته </w:t>
      </w:r>
    </w:p>
    <w:p>
      <w:pPr>
        <w:pStyle w:val="BookText"/>
        <w:rPr/>
      </w:pPr>
      <w:r>
        <w:rPr>
          <w:rFonts w:ascii="Amiri" w:hAnsi="Amiri" w:eastAsia="Amiri" w:cs="Amiri"/>
          <w:color w:val="111111"/>
          <w:sz w:val="28"/>
          <w:sz w:val="28"/>
          <w:szCs w:val="28"/>
          <w:rtl w:val="true"/>
          <w:lang w:bidi="ar-SA"/>
        </w:rPr>
        <w:t>عن قاضي القضاة أبي الحسن عبد الجبّار بن أحمد عند بلوغي في القراءة عليه إلى الكلام في الرؤية أنّ من شروط قبول خبر الواحد أن يكون راويه عدلاً، و راوي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جرير بن عبد اللّه البجلي، و كان منحرفاً عن أمير المؤمنين عليّ عليه السلام و يقال إنّه كان من الخوارج، و ذلك يقدح في عدالته و يوجب تهمته في روايته، و أيضاً فقد كان رمي في عقله قبل موته و كان مع ذلك يكثر الرواية، فلا يعلم هل روى هذا الخبر في الحال الّتي كان فيها سالم التمييز أو في الحال الّتي كان فيها فاسد المعقول، و كلّ ذلك يمنع من قبول خبره، و يوجب إطراحه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شرط قبول خبر الواحد أيضاً مع ما ذكره قاضي القضاة من اعتبار كون راويه عدلاً، أن يعرى الخبر المرويّ من نكير السلف، و قد نقل نكير جماعة من السلف على راوي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العرباض بن سارية السلمي و هو من مختصّي الصحابة، 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رأى ربّه فقد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عن بعض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محمّداً رأى ربّه فقد أعظم الفرية على اللّٰه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قالت ذلك عند ذهاب بعض الناس إلى 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إنّما أُريد بها رؤية اللّٰه سبحانه لا رؤية جبرائيل كما يقوله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ففي هذا الخبر كاف التشبيه،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ترونه كما ترون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جهة مخصوصة و على صفة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الأمر كما </w:t>
      </w:r>
    </w:p>
    <w:p>
      <w:pPr>
        <w:pStyle w:val="BookText"/>
        <w:rPr/>
      </w:pPr>
      <w:r>
        <w:rPr>
          <w:rFonts w:ascii="Amiri" w:hAnsi="Amiri" w:eastAsia="Amiri" w:cs="Amiri"/>
          <w:color w:val="111111"/>
          <w:sz w:val="28"/>
          <w:sz w:val="28"/>
          <w:szCs w:val="28"/>
          <w:rtl w:val="true"/>
          <w:lang w:bidi="ar-SA"/>
        </w:rPr>
        <w:t>قلنا لم يكن للخبر ظاهر و احتجنا إلى تأويله كما احتجنا إلى ذلك في غيره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في تفسير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العلم بالكتاب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لي قاضي القضاة أبو الحسن عبد الجبّار بن أحمد عند قراءتي عليه ما قرأته من كتابه الموسوم بالعمد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العلوم المخصوصة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العقليّة العمليّة كالتّحسين و 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عقلاً، لأنّها تعقل من فعل المقبّحات، لأنّ العالم بها إذا دعته نفسه إلى ارتكاب شيء من المقبّحات، منعه علمه بقبحه من ارتكابه و الإقدام على طرق بابه، تشبيهاً بعقال الناقة المانع لها من الشرود، و الحائل بينها و بين النهوض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المعنى لم يوصف القديم تعالى بأنّه عاقل، لأنّ هذه العلوم غير حاصلة له، إذ هو عالم بالمعلومات كلّها لذاته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أيضاً إنّما سمِّيت هذه العلوم المخصوصة عقلاً، لأنّ ما سواها من العلوم يثبت بثباتها و يستقرّ باستقرارها تشبيهاً بعقال الناقة الّذي به تثبت في مكانها، و لمثل ذلك قيل معقل الجبل للمكان الذي يلجأ إليه و يعتصم به، و له سمّيت المرأة عقيلة، و هي الّتي يمنعها شرف بيتها و كرم أهلها و قوّة حزمها من الإقدام على ما يشينها، و التعرّض لما يعيبها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تفصيل هذه العلوم و بيان ما لأجله احتيج إلى كلّ واحد منها يطول و ليس هذا الكتاب من مظانّ ذكره و مواضع شرحه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555" w:name="pg11536_164181"/>
    </w:p>
    <w:p>
      <w:pPr>
        <w:pStyle w:val="Heading3"/>
        <w:numPr>
          <w:ilvl w:val="2"/>
          <w:numId w:val="1"/>
        </w:numPr>
        <w:rPr/>
      </w:pPr>
      <w:bookmarkStart w:id="556" w:name="__RefHeading___Toc3907671_73709187"/>
      <w:bookmarkStart w:id="557" w:name="_Toc203"/>
      <w:bookmarkEnd w:id="555"/>
      <w:bookmarkEnd w:id="556"/>
      <w:r>
        <w:rPr>
          <w:rtl w:val="true"/>
        </w:rPr>
        <w:t>الفصل الخامس</w:t>
      </w:r>
      <w:r>
        <w:rPr>
          <w:rtl w:val="true"/>
        </w:rPr>
        <w:t xml:space="preserve">: </w:t>
      </w:r>
      <w:r>
        <w:rPr>
          <w:rtl w:val="true"/>
        </w:rPr>
        <w:t>أعلام المعتزلة</w:t>
      </w:r>
      <w:bookmarkEnd w:id="557"/>
    </w:p>
    <w:p>
      <w:pPr>
        <w:pStyle w:val="Heading4"/>
        <w:numPr>
          <w:ilvl w:val="3"/>
          <w:numId w:val="1"/>
        </w:numPr>
        <w:rPr/>
      </w:pPr>
      <w:bookmarkStart w:id="558" w:name="__RefHeading___Toc3907673_73709187"/>
      <w:bookmarkStart w:id="559" w:name="_Toc204"/>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قد تعرّفت على أئمّة المعتزلة الّذين رسموا معالم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شخصيّات لامعة شاركوا الأئمّة في نضج المذهب و نشره، و لكنّهم دون الأئمّة في العلم و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إيقاف القارئ على حياتهم و آرائهم و آثارهم نورد ترجمة قسم قليل منهم</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907675_73709187"/>
      <w:bookmarkStart w:id="561" w:name="_Toc205"/>
      <w:bookmarkEnd w:id="560"/>
      <w:r>
        <w:rPr/>
        <w:t>1</w:t>
      </w:r>
      <w:r>
        <w:rPr>
          <w:rtl w:val="true"/>
        </w:rPr>
        <w:t xml:space="preserve"> - </w:t>
      </w:r>
      <w:r>
        <w:rPr>
          <w:rtl w:val="true"/>
        </w:rPr>
        <w:t xml:space="preserve">أبو سهل بشر بن المعتمر </w:t>
      </w:r>
      <w:r>
        <w:rPr>
          <w:rtl w:val="true"/>
        </w:rPr>
        <w:t>(</w:t>
      </w:r>
      <w:r>
        <w:rPr>
          <w:rtl w:val="true"/>
        </w:rPr>
        <w:t xml:space="preserve">المتوفّى </w:t>
      </w:r>
      <w:r>
        <w:rPr/>
        <w:t>210</w:t>
      </w:r>
      <w:r>
        <w:rPr>
          <w:rtl w:val="true"/>
        </w:rPr>
        <w:t xml:space="preserve"> </w:t>
      </w:r>
      <w:r>
        <w:rPr>
          <w:rtl w:val="true"/>
        </w:rPr>
        <w:t>ه</w:t>
      </w:r>
      <w:r>
        <w:rPr>
          <w:rtl w:val="true"/>
        </w:rPr>
        <w:t xml:space="preserve">) </w:t>
      </w:r>
      <w:r>
        <w:rPr>
          <w:rtl w:val="true"/>
        </w:rPr>
        <w:t>مؤسّس مدرسة اعتزال بغداد</w:t>
      </w:r>
      <w:bookmarkEnd w:id="561"/>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وجوه أهل الكلام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المعتزلة بعده من مستجيبيه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بغداد و قيل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 يحتجّ فيها على أهل المقالات</w:t>
      </w:r>
      <w:r>
        <w:rPr>
          <w:rFonts w:eastAsia="Amiri" w:cs="Amiri" w:ascii="Amiri" w:hAnsi="Amiri"/>
          <w:color w:val="111111"/>
          <w:sz w:val="28"/>
          <w:szCs w:val="28"/>
          <w:rtl w:val="true"/>
          <w:lang w:bidi="ar-SA"/>
        </w:rPr>
        <w:t>».</w:t>
      </w:r>
      <w:r>
        <w:rPr>
          <w:rStyle w:val="FootnoteAnchor"/>
          <w:rtl w:val="true"/>
        </w:rPr>
        <w:footnoteReference w:id="661"/>
      </w:r>
      <w:bookmarkStart w:id="562" w:name="pg11536_164182"/>
    </w:p>
    <w:p>
      <w:pPr>
        <w:pStyle w:val="BookText"/>
        <w:rPr/>
      </w:pPr>
      <w:bookmarkEnd w:id="562"/>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زعيم البغداديين من المعتزلة و له قصيدة طويلة يقال إنّها أربعون ألف بيت، ردّ فيها على جميع المخالفين، و يقال إنّ الرشيد حبسه حين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السجن أبياتاً بعثها إليه فأفرج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كما أرّخه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3907677_73709187"/>
      <w:bookmarkStart w:id="564" w:name="_Toc206"/>
      <w:bookmarkEnd w:id="563"/>
      <w:r>
        <w:rPr/>
        <w:t>2</w:t>
      </w:r>
      <w:r>
        <w:rPr>
          <w:rtl w:val="true"/>
        </w:rPr>
        <w:t xml:space="preserve"> - </w:t>
      </w:r>
      <w:r>
        <w:rPr>
          <w:rtl w:val="true"/>
        </w:rPr>
        <w:t xml:space="preserve">معمّر بن عبّاد السلمي </w:t>
      </w:r>
      <w:r>
        <w:rPr>
          <w:rtl w:val="true"/>
        </w:rPr>
        <w:t>(</w:t>
      </w:r>
      <w:r>
        <w:rPr>
          <w:rtl w:val="true"/>
        </w:rPr>
        <w:t xml:space="preserve">المتوفّى </w:t>
      </w:r>
      <w:r>
        <w:rPr/>
        <w:t>215</w:t>
      </w:r>
      <w:r>
        <w:rPr>
          <w:rtl w:val="true"/>
        </w:rPr>
        <w:t xml:space="preserve"> </w:t>
      </w:r>
      <w:r>
        <w:rPr>
          <w:rtl w:val="true"/>
        </w:rPr>
        <w:t>ه</w:t>
      </w:r>
      <w:r>
        <w:rPr>
          <w:rtl w:val="true"/>
        </w:rPr>
        <w:t xml:space="preserve">) </w:t>
      </w:r>
      <w:r>
        <w:rPr>
          <w:rtl w:val="true"/>
        </w:rPr>
        <w:t>خريج مدرسة البصرة</w:t>
      </w:r>
      <w:bookmarkEnd w:id="564"/>
    </w:p>
    <w:p>
      <w:pPr>
        <w:pStyle w:val="BookText"/>
        <w:rPr/>
      </w:pPr>
      <w:r>
        <w:rPr>
          <w:rFonts w:ascii="Amiri" w:hAnsi="Amiri" w:eastAsia="Amiri" w:cs="Amiri"/>
          <w:color w:val="111111"/>
          <w:sz w:val="28"/>
          <w:sz w:val="28"/>
          <w:szCs w:val="28"/>
          <w:rtl w:val="true"/>
          <w:lang w:bidi="ar-SA"/>
        </w:rPr>
        <w:t>يكنّى أبا عمرو و كان عالماً عدلاً و تفرّد بمذاهب و كان بشر بن المعتمر و هشام بن عمرو و أبو الحسين المدائني من تلامذته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منع الرشيد من الجدال في الدين و حبس أهل علم الكلام، كتب إليه ملك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رئيس قوم لا ينصفون و يقلِّدون الرجال و يغلبون بالسيف، فإن كنت على ثقة من دينك فوجّه إليّ من أُناظره، فإن كان الحقّ معك تبعناك، و إن كان معي تبعتني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إليه قاضياً، و كان عند الملك رجل من السمنية و هو الّذي حمله على هذه المكاتبة، فلمّا وصل القاضي إليه أكرمه و رفع مجلسه، فسأله السمني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معبودك هل هو القادر؟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فهو قادر على أن يخلق مثله؟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علم الكلام و هو بدعة، و أصحابنا ينكرونه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السمني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عدّ جماعة من الفقهاء، فقال السمني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أعلمتك دينهم و أخبرتك بجهلهم و تقليدهم و غلبتهم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ذلك الملك القاضي بالانصراف، و كتب معه إلى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بدأتك بالكتاب و أنا على غير يقين ممّا حكي لي عنكم، فالآن قد تيقّنت ذلك بحضور هذا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له في الكتاب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ورد الكتاب على الرشيد قامت قيامته، و ضاق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لهذا الدين من يناضل عنه؟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هم الذين نهيتهم عن الجدال في الدين و جماعة منهم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أحضروهم، فلمّا حضروا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هذه المسألة؟ فقال صبي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السؤال محال، لأنّ المخلوق لا يكون إلّا محدثاً، و المحدث لا يكون مثل القديم، فقد استحال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على أن يخلق مثله أو لا يقدر، كما استحال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يكون عاجزاً أو جاهلاً، 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بهذا الصبي إلى السند حتّى يناظرهم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يؤمّن أن يسألوه عن غير هذا، فيجب أن توجّه من يفي بالمناظرة في كلّ العلم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لهم؟ فوقع اختيارهم على معمّر، فلمّا قرب من السند بلغ خبره ملك السند فخاف السمني أن يفتضح على يديه و قد كان عرفه من قبل، فدسّ من سمّه في الطريق فقتله</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الصبي صحيح، غير أنّ العبارة غير وافية، 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لا نفس السؤال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صحّت هذه القصّة فإنّها تعني أنّ الرشيد لم يجد في مملكته الواسعة من يدافع عن الإسلام غير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الواقع أنّ المعتزلة تحمّسوا لهذه القضية كثيراً، فلم يكتفوا بالردّ على المخالفين و تقطيعهم بل تعدّوا ذلك إلى التبشير بالدين الإسلامي و حمل الناس على اعتناقه فكانوا لا ينفكّون يرسلون وفودهم لهذا الغرض إلى البلاد التي يكثر فيها المجوس أو غيرهم من الوثنيين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 يقول صفوان الأنصاري شاعر المعتزلة في مدح واصل و صحبه ما يظهر حقيقة الجهود الّتي بذلوها في سبيل الدفاع عن حوزة الدين و التبشير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دعاة لا يفلّ عزيمهم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جبّار و لا كيد ساحر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قال مرّوا في الشتاء تطاوعوا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صيفاً لم يخف شهر ناجر</w:t>
      </w:r>
      <w:r>
        <w:rPr>
          <w:rStyle w:val="FootnoteAnchor"/>
          <w:rtl w:val="true"/>
        </w:rPr>
        <w:footnoteReference w:id="665"/>
      </w:r>
      <w:bookmarkStart w:id="565" w:name="pg11536_164185"/>
    </w:p>
    <w:p>
      <w:pPr>
        <w:pStyle w:val="Heading4"/>
        <w:numPr>
          <w:ilvl w:val="3"/>
          <w:numId w:val="1"/>
        </w:numPr>
        <w:rPr/>
      </w:pPr>
      <w:bookmarkStart w:id="566" w:name="__RefHeading___Toc3907679_73709187"/>
      <w:bookmarkStart w:id="567" w:name="_Toc207"/>
      <w:bookmarkEnd w:id="565"/>
      <w:bookmarkEnd w:id="566"/>
      <w:r>
        <w:rPr/>
        <w:t>3</w:t>
      </w:r>
      <w:r>
        <w:rPr>
          <w:rtl w:val="true"/>
        </w:rPr>
        <w:t xml:space="preserve"> - </w:t>
      </w:r>
      <w:r>
        <w:rPr>
          <w:rtl w:val="true"/>
        </w:rPr>
        <w:t xml:space="preserve">ثمامة بن الأشرس النميري </w:t>
      </w:r>
      <w:r>
        <w:rPr>
          <w:rtl w:val="true"/>
        </w:rPr>
        <w:t>(</w:t>
      </w:r>
      <w:r>
        <w:rPr>
          <w:rtl w:val="true"/>
        </w:rPr>
        <w:t xml:space="preserve">المتوفّى </w:t>
      </w:r>
      <w:r>
        <w:rPr/>
        <w:t>213</w:t>
      </w:r>
      <w:r>
        <w:rPr>
          <w:rtl w:val="true"/>
        </w:rPr>
        <w:t xml:space="preserve"> </w:t>
      </w:r>
      <w:r>
        <w:rPr>
          <w:rtl w:val="true"/>
        </w:rPr>
        <w:t>ه</w:t>
      </w:r>
      <w:r>
        <w:rPr>
          <w:rtl w:val="true"/>
        </w:rPr>
        <w:t xml:space="preserve">) </w:t>
      </w:r>
      <w:r>
        <w:rPr>
          <w:rtl w:val="true"/>
        </w:rPr>
        <w:t>خرّيج مدرسة بغداد</w:t>
      </w:r>
      <w:bookmarkEnd w:id="567"/>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نبيه من جلّة المتكلّمين المعتزلة، كاتب بليغ، بلغ من المأمون منزلة جليلة و أراده على الوزارة فامتنع</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زعيم القدريّة في زمن المأمون و المعتصم و الواثق،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دعا المأمون إلى الاعتزال</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ثمامة ابن الأشرس، يكنّى أبا معن النميري و كان واحد دهره في العلم و الأدب، و كان جدلاً حاذقاً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ثمامة يوماً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أُبيّن لك القدر بحرفين و أزيد حرفاً للضعيف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أكثم،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أفعال العباد من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كلّها من اللّٰه و لا فعل لهم، لم يستحقُّوا ثواباً و لا عقاباً و لا مدحاً و لا ذمّاً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منهم و من اللّٰه، وجب المدح و الذمّ لهم جميعاً؛ أو منهم فقط، كان لهم الثواب و العقاب و المدح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Style w:val="FootnoteAnchor"/>
          <w:rtl w:val="true"/>
        </w:rPr>
        <w:footnoteReference w:id="66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أنّ استناد الفعل إلى اللّٰه و العبد إنّما يقتضي الاشراك في الثّواب و العقاب أو المدح و الذّم إذا كانا فاعلين بالسويّة في جميع </w:t>
      </w:r>
    </w:p>
    <w:p>
      <w:pPr>
        <w:pStyle w:val="BookText"/>
        <w:rPr/>
      </w:pPr>
      <w:r>
        <w:rPr>
          <w:rFonts w:ascii="Amiri" w:hAnsi="Amiri" w:eastAsia="Amiri" w:cs="Amiri"/>
          <w:color w:val="111111"/>
          <w:sz w:val="28"/>
          <w:sz w:val="28"/>
          <w:szCs w:val="28"/>
          <w:rtl w:val="true"/>
          <w:lang w:bidi="ar-SA"/>
        </w:rPr>
        <w:t>المراحل، حتّى في مرحلة الجزء الأخير من العلّة التامّة للفعل كما إذا اشترك الفاعلان معاً في إنقاذ غريق أو قتل إنسان، و أمّا إذا كان أحدهما هو الجزء المؤثّر دون الآخر فيكون هو المسئول، و عليه الثواب و العقاب، و هذا هو الأمر بين الأمرين، و العبد غير مجبور و لا مفوّض، و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المرتضى أنّه سأل مجبر بشر بن المعتمر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تحمدون اللّٰه على إيمانكم؟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أن يحمد على ما لم يفعل و قد ذمّ ذلك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ذمّ من أحبّ أن يحمد على ما لم يفعل ممّن لم يعن عليه، و لم يدع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يشغب إذ أقبل ثمامة بن أشرس، فقال بشر للمجبر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القوم و أجابوك، و هذا أبو معن فاسأله عن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عليك أن تحمد اللّٰه على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يحمدني عليه، لأنّه أمرني به ففعلته، و أنا أحمده على الأمر به، و التقوية عليه، و الدعاء إليه، فانقطع المجبر، 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شنُعتْ فسهُلت</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يوماً للمأمون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العبد بين يدي اللّٰه تعالى يوم القيامة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معصيتي؟ فيقول على مذهب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خلقتني كافراً و أمرتني بما لم أقدر عليه، و حلت بيني و بين ما أمرتني به و نهيتني عمّا قضيته عليّ و حملتني عليه أ ليس هو بصادق؟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يَنْفَعُ اَلصّٰادِقِينَ صِدْقُهُمْ</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xml:space="preserve">أ فينفعه هذا الصدق؟ </w:t>
      </w:r>
    </w:p>
    <w:p>
      <w:pPr>
        <w:pStyle w:val="BookText"/>
        <w:rPr/>
      </w:pPr>
      <w:r>
        <w:rPr>
          <w:rFonts w:ascii="Amiri" w:hAnsi="Amiri" w:eastAsia="Amiri" w:cs="Amiri"/>
          <w:color w:val="111111"/>
          <w:sz w:val="28"/>
          <w:sz w:val="28"/>
          <w:szCs w:val="28"/>
          <w:rtl w:val="true"/>
          <w:lang w:bidi="ar-SA"/>
        </w:rPr>
        <w:t>فقال بعض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يدعه يقول هذا أو يحتجّ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إذا منعه الكلام و الحجّة يعلم أنّه قد منعه من إبانة عذره، و أنّه لو تركه لأبان عذره؟ فانقطع</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ترجم له الخطيب في تأريخه، و من ظريف ما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رجلاً يوماً من الأيّام و قد قدّم خصماً إلى بعض الولاة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ناصبيّ رافضيّ جهمىُّ مشبِّه مجبّر قدريّ يشتم الحجّاج بن الزبير الّذي هدم الكعبة على عليّ بن أبي سفيان و يلعن معاوية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ممّا أتعجّب؟ من علمك بالأنساب أو من معرفتك بالمقالات؟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خرجت من الكتاب حتّى تعلّمت هذا كلّه</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كبار المعتزلة و من رءوس الضلالة، كان له اتّصال بالرشيد، ثمّ بالمأمون و كان ذا نوادر و ملح</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الوقوف على نوادره فعليه الرجوع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اتّفقا على أنّ وجه اتّصاله بالخلفاء صار سبباً لوجود بعض الهزل في كلامه و قد اتّخذه طريقاً إلى ميلهم إليه ليتوصّل به إلى المعونة في الدين</w:t>
      </w:r>
      <w:r>
        <w:rPr>
          <w:rFonts w:eastAsia="Amiri" w:cs="Amiri" w:ascii="Amiri" w:hAnsi="Amiri"/>
          <w:color w:val="111111"/>
          <w:sz w:val="28"/>
          <w:szCs w:val="28"/>
          <w:rtl w:val="true"/>
          <w:lang w:bidi="ar-SA"/>
        </w:rPr>
        <w:t xml:space="preserve">. </w:t>
      </w:r>
      <w:bookmarkStart w:id="568" w:name="pg11536_164188"/>
    </w:p>
    <w:p>
      <w:pPr>
        <w:pStyle w:val="Heading4"/>
        <w:numPr>
          <w:ilvl w:val="3"/>
          <w:numId w:val="1"/>
        </w:numPr>
        <w:rPr/>
      </w:pPr>
      <w:bookmarkStart w:id="569" w:name="__RefHeading___Toc3907681_73709187"/>
      <w:bookmarkStart w:id="570" w:name="_Toc208"/>
      <w:bookmarkEnd w:id="568"/>
      <w:bookmarkEnd w:id="569"/>
      <w:r>
        <w:rPr/>
        <w:t>4</w:t>
      </w:r>
      <w:r>
        <w:rPr>
          <w:rtl w:val="true"/>
        </w:rPr>
        <w:t xml:space="preserve"> - </w:t>
      </w:r>
      <w:r>
        <w:rPr>
          <w:rtl w:val="true"/>
        </w:rPr>
        <w:t xml:space="preserve">أبو بكر عبد الرحمن بن كيسان الأصمّ </w:t>
      </w:r>
      <w:r>
        <w:rPr>
          <w:rtl w:val="true"/>
        </w:rPr>
        <w:t>(</w:t>
      </w:r>
      <w:r>
        <w:rPr>
          <w:rtl w:val="true"/>
        </w:rPr>
        <w:t xml:space="preserve">المتوفّى قريباً من </w:t>
      </w:r>
      <w:r>
        <w:rPr/>
        <w:t>225</w:t>
      </w:r>
      <w:r>
        <w:rPr>
          <w:rtl w:val="true"/>
        </w:rPr>
        <w:t xml:space="preserve"> </w:t>
      </w:r>
      <w:r>
        <w:rPr>
          <w:rtl w:val="true"/>
        </w:rPr>
        <w:t>ه</w:t>
      </w:r>
      <w:r>
        <w:rPr>
          <w:rtl w:val="true"/>
        </w:rPr>
        <w:t xml:space="preserve">) </w:t>
      </w:r>
      <w:r>
        <w:rPr>
          <w:rtl w:val="true"/>
        </w:rPr>
        <w:t>خرّيج مدرسة البصرة</w:t>
      </w:r>
      <w:bookmarkEnd w:id="570"/>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أفصح الناس و أفقههم و أورعهم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ينفي الأعراض و له تفسير عجيب، و كان جليل القدر يكاتبه السلطان، و عنه أخذ ابن عليّة</w:t>
      </w:r>
      <w:r>
        <w:rPr>
          <w:rStyle w:val="FootnoteAnchor"/>
          <w:rtl w:val="true"/>
        </w:rPr>
        <w:footnoteReference w:id="674"/>
      </w:r>
      <w:r>
        <w:rPr>
          <w:rFonts w:ascii="Amiri" w:hAnsi="Amiri" w:eastAsia="Amiri" w:cs="Amiri"/>
          <w:color w:val="111111"/>
          <w:sz w:val="28"/>
          <w:sz w:val="28"/>
          <w:szCs w:val="28"/>
          <w:rtl w:val="true"/>
          <w:lang w:bidi="ar-SA"/>
        </w:rPr>
        <w:t>العلم، و الذي نقم عليه أصحابنا بعد نفي الأعراض، ازوراره عن عليّ عليه السلام و كان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بمناظرة هشام بن الحكم فيعلوه هذا و يعلوه هذا</w:t>
      </w:r>
      <w:r>
        <w:rPr>
          <w:rFonts w:eastAsia="Amiri" w:cs="Amiri" w:ascii="Amiri" w:hAnsi="Amiri"/>
          <w:color w:val="111111"/>
          <w:sz w:val="28"/>
          <w:szCs w:val="28"/>
          <w:rtl w:val="true"/>
          <w:lang w:bidi="ar-SA"/>
        </w:rPr>
        <w:t>».</w:t>
      </w:r>
      <w:r>
        <w:rPr>
          <w:rStyle w:val="FootnoteAnchor"/>
          <w:rtl w:val="true"/>
        </w:rPr>
        <w:footnoteReference w:id="675"/>
      </w:r>
    </w:p>
    <w:p>
      <w:pPr>
        <w:pStyle w:val="Heading4"/>
        <w:numPr>
          <w:ilvl w:val="3"/>
          <w:numId w:val="1"/>
        </w:numPr>
        <w:rPr/>
      </w:pPr>
      <w:bookmarkStart w:id="571" w:name="__RefHeading___Toc3907683_73709187"/>
      <w:bookmarkStart w:id="572" w:name="_Toc209"/>
      <w:bookmarkEnd w:id="571"/>
      <w:r>
        <w:rPr/>
        <w:t>5</w:t>
      </w:r>
      <w:r>
        <w:rPr>
          <w:rtl w:val="true"/>
        </w:rPr>
        <w:t xml:space="preserve"> - </w:t>
      </w:r>
      <w:r>
        <w:rPr>
          <w:rtl w:val="true"/>
        </w:rPr>
        <w:t xml:space="preserve">أبو موسى عيسى بن صبيح المردار </w:t>
      </w:r>
      <w:r>
        <w:rPr>
          <w:rtl w:val="true"/>
        </w:rPr>
        <w:t>(</w:t>
      </w:r>
      <w:r>
        <w:rPr>
          <w:rtl w:val="true"/>
        </w:rPr>
        <w:t xml:space="preserve">المتوفّى </w:t>
      </w:r>
      <w:r>
        <w:rPr/>
        <w:t>226</w:t>
      </w:r>
      <w:r>
        <w:rPr>
          <w:rtl w:val="true"/>
        </w:rPr>
        <w:t xml:space="preserve"> </w:t>
      </w:r>
      <w:r>
        <w:rPr>
          <w:rtl w:val="true"/>
        </w:rPr>
        <w:t>ه</w:t>
      </w:r>
      <w:r>
        <w:rPr>
          <w:rtl w:val="true"/>
        </w:rPr>
        <w:t>)</w:t>
      </w:r>
      <w:bookmarkEnd w:id="572"/>
    </w:p>
    <w:p>
      <w:pPr>
        <w:pStyle w:val="Heading5"/>
        <w:numPr>
          <w:ilvl w:val="4"/>
          <w:numId w:val="1"/>
        </w:numPr>
        <w:rPr/>
      </w:pPr>
      <w:bookmarkStart w:id="573" w:name="__RefHeading___Toc3907685_73709187"/>
      <w:bookmarkStart w:id="574" w:name="_Toc210"/>
      <w:bookmarkEnd w:id="573"/>
      <w:r>
        <w:rPr>
          <w:rtl w:val="true"/>
        </w:rPr>
        <w:t>اشارة</w:t>
      </w:r>
      <w:bookmarkEnd w:id="574"/>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متكلّماً عالماً زاهداً و كان يسمّى راهب المعتزلة لعبادته،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الهذيل حضر مجلسه و سمع قصصه بالعدل و حسن بيانه على اللّٰه تعالى و عدله و تفضّله،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شهدت أصحاب أبي حذيفة واصل بن عطاء، و أبي عثمان عمرو، و له كتب في الجليّ من الكلام و لمّا حضرته الوفاة ذكر أنّ ما كان في يديه من المال شبهة لم يدر ما حكمها، فأخرجها إلى المساكين تحرّزاً و إشفاقاً، و قيل فيه شعر</w:t>
      </w:r>
      <w:r>
        <w:rPr>
          <w:rFonts w:eastAsia="Amiri" w:cs="Amiri" w:ascii="Amiri" w:hAnsi="Amiri"/>
          <w:color w:val="111111"/>
          <w:sz w:val="28"/>
          <w:szCs w:val="28"/>
          <w:rtl w:val="true"/>
          <w:lang w:bidi="ar-SA"/>
        </w:rPr>
        <w:t xml:space="preserve">: </w:t>
      </w:r>
      <w:bookmarkStart w:id="575" w:name="pg11536_164189"/>
    </w:p>
    <w:p>
      <w:pPr>
        <w:pStyle w:val="BookText"/>
        <w:rPr/>
      </w:pPr>
      <w:bookmarkEnd w:id="575"/>
      <w:r>
        <w:rPr>
          <w:rFonts w:ascii="Amiri" w:hAnsi="Amiri" w:eastAsia="Amiri" w:cs="Amiri"/>
          <w:color w:val="111111"/>
          <w:sz w:val="28"/>
          <w:sz w:val="28"/>
          <w:szCs w:val="28"/>
          <w:rtl w:val="true"/>
          <w:lang w:bidi="ar-SA"/>
        </w:rPr>
        <w:t xml:space="preserve">لكنّ من جمع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 يقال لشيخه المردار</w:t>
      </w:r>
      <w:r>
        <w:rPr>
          <w:rStyle w:val="FootnoteAnchor"/>
          <w:rtl w:val="true"/>
        </w:rPr>
        <w:footnoteReference w:id="676"/>
      </w:r>
    </w:p>
    <w:p>
      <w:pPr>
        <w:pStyle w:val="Heading5"/>
        <w:numPr>
          <w:ilvl w:val="4"/>
          <w:numId w:val="1"/>
        </w:numPr>
        <w:rPr/>
      </w:pPr>
      <w:bookmarkStart w:id="576" w:name="__RefHeading___Toc3907687_73709187"/>
      <w:bookmarkStart w:id="577" w:name="_Toc211"/>
      <w:bookmarkEnd w:id="576"/>
      <w:r>
        <w:rPr>
          <w:rtl w:val="true"/>
        </w:rPr>
        <w:t>تلاميذه</w:t>
      </w:r>
      <w:bookmarkEnd w:id="577"/>
    </w:p>
    <w:p>
      <w:pPr>
        <w:pStyle w:val="BookText"/>
        <w:rPr/>
      </w:pPr>
      <w:r>
        <w:rPr>
          <w:rFonts w:ascii="Amiri" w:hAnsi="Amiri" w:eastAsia="Amiri" w:cs="Amiri"/>
          <w:color w:val="111111"/>
          <w:sz w:val="28"/>
          <w:sz w:val="28"/>
          <w:szCs w:val="28"/>
          <w:rtl w:val="true"/>
          <w:lang w:bidi="ar-SA"/>
        </w:rPr>
        <w:t>ذكر القاضي أنّ من تلاميذه الجعفرين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حرب و جعفر بن مبشر و ذكر ترجمتهما في الطبقة السابعة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3907689_73709187"/>
      <w:bookmarkStart w:id="579" w:name="_Toc212"/>
      <w:bookmarkEnd w:id="578"/>
      <w:r>
        <w:rPr>
          <w:rtl w:val="true"/>
        </w:rPr>
        <w:t>تأثير كلامه</w:t>
      </w:r>
      <w:bookmarkEnd w:id="579"/>
    </w:p>
    <w:p>
      <w:pPr>
        <w:pStyle w:val="BookText"/>
        <w:rPr/>
      </w:pPr>
      <w:r>
        <w:rPr>
          <w:rFonts w:ascii="Amiri" w:hAnsi="Amiri" w:eastAsia="Amiri" w:cs="Amiri"/>
          <w:color w:val="111111"/>
          <w:sz w:val="28"/>
          <w:sz w:val="28"/>
          <w:szCs w:val="28"/>
          <w:rtl w:val="true"/>
          <w:lang w:bidi="ar-SA"/>
        </w:rPr>
        <w:t xml:space="preserve">إنّ جعفر بن حرب كان من الجند و كان في جنديّته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 حداثته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على أصحاب أبي موسى و يعبث بهم و يؤذيهم، فشكوا إلى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تعهّدوا إلى أن يصير إلى مجلسي، فلمّا صار إلى مجلسه و سمع كلامه و وعظه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الماء عارياً من ثيابه، و بعث إلى أبي موسى أن يبعث له ثياباً ليلبسها ففعل، ثمّ لزمه فخرج في العلم ما 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الوليد بشر بن وليد بن خالد الكندي قاضياً على مدينة للخليفة المأمون، و كان شديد القسوة على أبي موسى و أصحابه، فدخل إبراهيم بن أبي محمّد اليزيدي و هو رضيع المأمون عليه فأنشد هذه الأبيات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الملك الموحِّد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قاضيك بشر بن الوليد</w:t>
      </w:r>
      <w:r>
        <w:rPr>
          <w:rStyle w:val="FootnoteAnchor"/>
          <w:rtl w:val="true"/>
        </w:rPr>
        <w:footnoteReference w:id="677"/>
      </w:r>
      <w:r>
        <w:rPr>
          <w:rFonts w:ascii="IRNazanin" w:hAnsi="IRNazanin" w:eastAsia="IRNazanin"/>
          <w:color w:val="111111"/>
          <w:sz w:val="28"/>
          <w:sz w:val="28"/>
          <w:szCs w:val="28"/>
          <w:rtl w:val="true"/>
          <w:lang w:bidi="fa-IR"/>
        </w:rPr>
        <w:t xml:space="preserve">حمار </w:t>
      </w:r>
      <w:bookmarkStart w:id="580" w:name="pg11536_164190"/>
    </w:p>
    <w:p>
      <w:pPr>
        <w:pStyle w:val="BookText"/>
        <w:rPr/>
      </w:pPr>
      <w:bookmarkEnd w:id="580"/>
      <w:r>
        <w:rPr>
          <w:rFonts w:ascii="Amiri" w:hAnsi="Amiri" w:eastAsia="Amiri" w:cs="Amiri"/>
          <w:color w:val="111111"/>
          <w:sz w:val="28"/>
          <w:sz w:val="28"/>
          <w:szCs w:val="28"/>
          <w:rtl w:val="true"/>
          <w:lang w:bidi="ar-SA"/>
        </w:rPr>
        <w:t xml:space="preserve">ينفي شهادة من يبثّ بما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الكتاب و جاءت الآثار</w:t>
      </w:r>
    </w:p>
    <w:p>
      <w:pPr>
        <w:pStyle w:val="BookText"/>
        <w:rPr/>
      </w:pPr>
      <w:r>
        <w:rPr>
          <w:rFonts w:ascii="Amiri" w:hAnsi="Amiri" w:eastAsia="Amiri" w:cs="Amiri"/>
          <w:color w:val="111111"/>
          <w:sz w:val="28"/>
          <w:sz w:val="28"/>
          <w:szCs w:val="28"/>
          <w:rtl w:val="true"/>
          <w:lang w:bidi="ar-SA"/>
        </w:rPr>
        <w:t xml:space="preserve">فالنفي للتشبيه عن ربِّ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تقدس الجبّار</w:t>
      </w:r>
    </w:p>
    <w:p>
      <w:pPr>
        <w:pStyle w:val="BookText"/>
        <w:rPr/>
      </w:pPr>
      <w:r>
        <w:rPr>
          <w:rFonts w:ascii="Amiri" w:hAnsi="Amiri" w:eastAsia="Amiri" w:cs="Amiri"/>
          <w:color w:val="111111"/>
          <w:sz w:val="28"/>
          <w:sz w:val="28"/>
          <w:szCs w:val="28"/>
          <w:rtl w:val="true"/>
          <w:lang w:bidi="ar-SA"/>
        </w:rPr>
        <w:t xml:space="preserve">و يعدّ عدلاً من يدين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تحيط بجسمه الأقطار</w:t>
      </w:r>
    </w:p>
    <w:p>
      <w:pPr>
        <w:pStyle w:val="BookText"/>
        <w:rPr/>
      </w:pPr>
      <w:r>
        <w:rPr>
          <w:rFonts w:ascii="Amiri" w:hAnsi="Amiri" w:eastAsia="Amiri" w:cs="Amiri"/>
          <w:color w:val="111111"/>
          <w:sz w:val="28"/>
          <w:sz w:val="28"/>
          <w:szCs w:val="28"/>
          <w:rtl w:val="true"/>
          <w:lang w:bidi="ar-SA"/>
        </w:rPr>
        <w:t xml:space="preserve">إنّ المشبِّه كافر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الدائنون بدينه كفّار</w:t>
      </w:r>
    </w:p>
    <w:p>
      <w:pPr>
        <w:pStyle w:val="BookText"/>
        <w:rPr/>
      </w:pPr>
      <w:r>
        <w:rPr>
          <w:rFonts w:ascii="Amiri" w:hAnsi="Amiri" w:eastAsia="Amiri" w:cs="Amiri"/>
          <w:color w:val="111111"/>
          <w:sz w:val="28"/>
          <w:sz w:val="28"/>
          <w:szCs w:val="28"/>
          <w:rtl w:val="true"/>
          <w:lang w:bidi="ar-SA"/>
        </w:rPr>
        <w:t xml:space="preserve">فاعزله و اختر للرعية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 يرضي و من يختار</w:t>
      </w:r>
    </w:p>
    <w:p>
      <w:pPr>
        <w:pStyle w:val="BookText"/>
        <w:rPr/>
      </w:pPr>
      <w:r>
        <w:rPr>
          <w:rFonts w:ascii="Amiri" w:hAnsi="Amiri" w:eastAsia="Amiri" w:cs="Amiri"/>
          <w:color w:val="111111"/>
          <w:sz w:val="28"/>
          <w:sz w:val="28"/>
          <w:szCs w:val="28"/>
          <w:rtl w:val="true"/>
          <w:lang w:bidi="ar-SA"/>
        </w:rPr>
        <w:t>عند المريسى</w:t>
      </w:r>
      <w:r>
        <w:rPr>
          <w:rStyle w:val="FootnoteAnchor"/>
          <w:rtl w:val="true"/>
        </w:rPr>
        <w:footnoteReference w:id="678"/>
      </w:r>
      <w:r>
        <w:rPr>
          <w:rFonts w:ascii="Amiri" w:hAnsi="Amiri" w:eastAsia="Amiri" w:cs="Amiri"/>
          <w:color w:val="111111"/>
          <w:sz w:val="28"/>
          <w:sz w:val="28"/>
          <w:szCs w:val="28"/>
          <w:rtl w:val="true"/>
          <w:lang w:bidi="ar-SA"/>
        </w:rPr>
        <w:t xml:space="preserve">اليقين بربِّه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يشب توحيده اجبار</w:t>
      </w:r>
    </w:p>
    <w:p>
      <w:pPr>
        <w:pStyle w:val="BookText"/>
        <w:rPr/>
      </w:pPr>
      <w:r>
        <w:rPr>
          <w:rFonts w:ascii="Amiri" w:hAnsi="Amiri" w:eastAsia="Amiri" w:cs="Amiri"/>
          <w:color w:val="111111"/>
          <w:sz w:val="28"/>
          <w:sz w:val="28"/>
          <w:szCs w:val="28"/>
          <w:rtl w:val="true"/>
          <w:lang w:bidi="ar-SA"/>
        </w:rPr>
        <w:t xml:space="preserve">و الدين بالارجاء مبنى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و ليس له به استبشار</w:t>
      </w:r>
    </w:p>
    <w:p>
      <w:pPr>
        <w:pStyle w:val="BookText"/>
        <w:rPr/>
      </w:pPr>
      <w:r>
        <w:rPr>
          <w:rFonts w:ascii="Amiri" w:hAnsi="Amiri" w:eastAsia="Amiri" w:cs="Amiri"/>
          <w:color w:val="111111"/>
          <w:sz w:val="28"/>
          <w:sz w:val="28"/>
          <w:szCs w:val="28"/>
          <w:rtl w:val="true"/>
          <w:lang w:bidi="ar-SA"/>
        </w:rPr>
        <w:t xml:space="preserve">لكن من جمع المحاسن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كهل يقال لشيخه المزدار</w:t>
      </w:r>
      <w:r>
        <w:rPr>
          <w:rStyle w:val="FootnoteAnchor"/>
          <w:rtl w:val="true"/>
        </w:rPr>
        <w:footnoteReference w:id="679"/>
      </w:r>
    </w:p>
    <w:p>
      <w:pPr>
        <w:pStyle w:val="Heading4"/>
        <w:numPr>
          <w:ilvl w:val="3"/>
          <w:numId w:val="1"/>
        </w:numPr>
        <w:rPr/>
      </w:pPr>
      <w:bookmarkStart w:id="581" w:name="__RefHeading___Toc3907691_73709187"/>
      <w:bookmarkStart w:id="582" w:name="_Toc213"/>
      <w:bookmarkEnd w:id="581"/>
      <w:r>
        <w:rPr/>
        <w:t>6</w:t>
      </w:r>
      <w:r>
        <w:rPr>
          <w:rtl w:val="true"/>
        </w:rPr>
        <w:t xml:space="preserve"> - </w:t>
      </w:r>
      <w:r>
        <w:rPr>
          <w:rtl w:val="true"/>
        </w:rPr>
        <w:t xml:space="preserve">أبو جعفر محمّد بن عبد اللّه الاسكافي </w:t>
      </w:r>
      <w:r>
        <w:rPr>
          <w:rtl w:val="true"/>
        </w:rPr>
        <w:t>(</w:t>
      </w:r>
      <w:r>
        <w:rPr>
          <w:rtl w:val="true"/>
        </w:rPr>
        <w:t xml:space="preserve">المتوفّى </w:t>
      </w:r>
      <w:r>
        <w:rPr/>
        <w:t>240</w:t>
      </w:r>
      <w:r>
        <w:rPr>
          <w:rtl w:val="true"/>
        </w:rPr>
        <w:t xml:space="preserve"> </w:t>
      </w:r>
      <w:r>
        <w:rPr>
          <w:rtl w:val="true"/>
        </w:rPr>
        <w:t>ه</w:t>
      </w:r>
      <w:r>
        <w:rPr>
          <w:rtl w:val="true"/>
        </w:rPr>
        <w:t>)</w:t>
      </w:r>
      <w:bookmarkEnd w:id="58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اللّه أبو جعفر المعروف بالاسكافي أحد المتكلّمين من معتزلة البغداديّين، له تصانيف معروفة، و كان الحسين بن عليّ بن يزيد الكرابيسي صاحب الشافعي يتكلّم معه و يناظره و بلغني أنّه مات في سنة أربعين و مائتين</w:t>
      </w:r>
      <w:r>
        <w:rPr>
          <w:rFonts w:eastAsia="Amiri" w:cs="Amiri" w:ascii="Amiri" w:hAnsi="Amiri"/>
          <w:color w:val="111111"/>
          <w:sz w:val="28"/>
          <w:szCs w:val="28"/>
          <w:rtl w:val="true"/>
          <w:lang w:bidi="ar-SA"/>
        </w:rPr>
        <w:t>».</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شيخنا أبو جعفر الاسكافي رحمه الله من المتحقّقين بموالاة عليّ عليه السلام و المبالغين في تفضيله، و إن كان القول بالتفضيل عامّاً شائعاً في البغداديّين من أصحابنا كافّة إلّا أنّ أبا جعفر أشدُّهم في ذلك قولاً و أخلصهم فيه اعتقاداً</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أبو جعفر الاسكافي و هو شيخنا محمّد بن عبد اللّٰه الاسكافي، عدّه قاضي القضاة في الطبقة السابعة من طبقات المعتزلة، مع عبّاد بن سليمان الصيمري، و مع زرقان، و مع عيسى بن الهيثم الصوفي، و جعل أوّل الطبقة ثمامة بن أشرس أبا معن، ثمّ أبا عثمان الجاحظ، ثمّ أبا موسى عيسى بن صبيح المردار، ثمّ أبا عمران يونس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فاضلاً عالماً صنّف سبعين كتاباً في علم الكلام</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و هو الّذي نقض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عثمان الجاحظ في حياته، و دخل الجاحظ الورّاقين ببغداد،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السواري الّذي بلغنا أنّه يعرض لنقض كتبنا و الاسكافي جالس، فاختفى حتّى لم يره</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جعفر يقول بالتفضيل على قاعدة معتزلة بغداد و يبالغ في ذلك و كان علوي الرأي، محقّقاً منصفاً، قليل العصبيّة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 ظاهر نصّ القاضي أنّه ألّف تسعين كتاباً في علم الكلام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 هذه صورة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اللّطيف، كتاب البدل، كتاب الردّ على النظّام في أنّ الطّبعين المختلفين يفعل بهما فعلاً واحداً، كتاب المقامات في تفضيل عليّ عليه السلام، كتاب إثبات خلق القرآن، كتاب الردّ على المشبّهة، كتاب المخلوق على المجبِّرة، كتاب بيان المشكل على برغوث، كتاب التمويه نقض كتاب حفص، كتاب النقض لكتاب أبي الحسين النجّار، كتاب الردّ على من أنكر خلق القرآن، كتاب الشرح لأقاويل المجبِّرة، كتاب إبطال قول من قال بتعذيب الأطفال، كتاب جمل قول أهل الحقّ، كتاب النعيم، كتاب ما اختلف فيه المتكلّمون، كتاب الردّ على أبي حسين في الاستطاعة، كتاب فضائل عليّ عليه السلام، كتاب الأشربة، كتاب العطب، كتاب الردّ على هشام، كتاب نقض كتاب أبي شبيب في الوعيد</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اشتهر من بين كتبه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و هذا يدلّ على أنّ الرجل كان مبدئياً متحمّساً حيث قام بالمحاماة عن أكبر شخصيّة إسلاميّة من أهل بيت الرسول صلى الله عليه و آله و سلم في العصر الذي استفحل الانحراف عن أهل البيت، و شاع التكالب على الدُّنيا بين الناس، و راج التقرّب إلى أرباب السلطة من بني العبّاس أعداء أهل البيت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الكتاب لم يصل لحدّ الآن إلى أيدي المحقّقين في عصرنا </w:t>
      </w:r>
      <w:bookmarkStart w:id="583" w:name="pg11536_164193"/>
    </w:p>
    <w:p>
      <w:pPr>
        <w:pStyle w:val="BookText"/>
        <w:rPr/>
      </w:pPr>
      <w:bookmarkEnd w:id="583"/>
      <w:r>
        <w:rPr>
          <w:rFonts w:ascii="Amiri" w:hAnsi="Amiri" w:eastAsia="Amiri" w:cs="Amiri"/>
          <w:color w:val="111111"/>
          <w:sz w:val="28"/>
          <w:sz w:val="28"/>
          <w:szCs w:val="28"/>
          <w:rtl w:val="true"/>
          <w:lang w:bidi="ar-SA"/>
        </w:rPr>
        <w:t xml:space="preserve">هذا، غير ما نقله ابن أبي الحديد في شرح نهج البلاغة، و قد استقصى محمّد هارون المصري محقِّق كتاب العثمانيّة للجاحظ ما رواه ابن أبي الحديد عن كتاب النقض في شرحه، فجمعه و طبعه 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نقل المقريزي في خططه آراء خاصّة عنه و هي ساقطة وضعها أعداؤه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الاسكافيّة أتباع أبي جعفر محمّد بن عبد اللّه الاسكافي، و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يقدر على ظلم العقلاء، و يقدر على ظلم الأطفال و المجانين</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4" w:name="__RefHeading___Toc3907693_73709187"/>
      <w:bookmarkStart w:id="585" w:name="_Toc214"/>
      <w:bookmarkEnd w:id="584"/>
      <w:r>
        <w:rPr/>
        <w:t>7</w:t>
      </w:r>
      <w:r>
        <w:rPr>
          <w:rtl w:val="true"/>
        </w:rPr>
        <w:t xml:space="preserve"> - </w:t>
      </w:r>
      <w:r>
        <w:rPr>
          <w:rtl w:val="true"/>
        </w:rPr>
        <w:t xml:space="preserve">أحمد بن أبي دؤاد </w:t>
      </w:r>
      <w:r>
        <w:rPr>
          <w:rtl w:val="true"/>
        </w:rPr>
        <w:t>(</w:t>
      </w:r>
      <w:r>
        <w:rPr/>
        <w:t>160</w:t>
      </w:r>
      <w:r>
        <w:rPr>
          <w:rtl w:val="true"/>
        </w:rPr>
        <w:t>-</w:t>
      </w:r>
      <w:r>
        <w:rPr/>
        <w:t>240</w:t>
      </w:r>
      <w:r>
        <w:rPr>
          <w:rtl w:val="true"/>
        </w:rPr>
        <w:t xml:space="preserve"> </w:t>
      </w:r>
      <w:r>
        <w:rPr>
          <w:rtl w:val="true"/>
        </w:rPr>
        <w:t>ه</w:t>
      </w:r>
      <w:r>
        <w:rPr>
          <w:rtl w:val="true"/>
        </w:rPr>
        <w:t xml:space="preserve">) </w:t>
      </w:r>
      <w:r>
        <w:rPr>
          <w:rtl w:val="true"/>
        </w:rPr>
        <w:t>خريج مدرسة بغداد</w:t>
      </w:r>
      <w:bookmarkEnd w:id="585"/>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أفاضل المعتزلة و ممّن جرّد في إظهار المذهب و الذّب عن أهله و العناية به، و هو من صنايع يحيى بن أكثم و به اتّصل بالمأمون، و من جهة المأمون اتّصل بالمعتصم و لم ير في أبناء جنسه أكرم منه و لا أنبل و لا أسخى</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أبي دؤاد القاضي جهمي بغيض، هلك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روى</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قاضي القضاة كان فصيحاً مفوّهاً شاعراً جواداً </w:t>
      </w:r>
    </w:p>
    <w:p>
      <w:pPr>
        <w:pStyle w:val="BookText"/>
        <w:rPr/>
      </w:pPr>
      <w:r>
        <w:rPr>
          <w:rFonts w:ascii="Amiri" w:hAnsi="Amiri" w:eastAsia="Amiri" w:cs="Amiri"/>
          <w:color w:val="111111"/>
          <w:sz w:val="28"/>
          <w:sz w:val="28"/>
          <w:szCs w:val="28"/>
          <w:rtl w:val="true"/>
          <w:lang w:bidi="ar-SA"/>
        </w:rPr>
        <w:t xml:space="preserve">و كان مع ذلك رأساً من رءوس الجهميّة و المعتزلة، و هو الّذي شغب على إمام أهل السنّة أحمد بن حنبل و أفتى بقتله، و قد غضب عليه و على آله المتوكّل العبّاسي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فصادرهم و أخذ منهم ستّة عشر ألف ألف درهم و حبسه و مرض بالفالج، و مات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بذل القاضي أحمد بن دؤاد أقصى جهده في نشر الاعتزال و استغلّ السلطة الّتي جعلت له في ذلك السبيل بالترغيب تارة و بالترهيب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الحنابلة و الأشاعرة يواجهونه بالسبِّ و الشتم، لأنّه هو الّذي حاكم الإمام أحمد في قوله بقدم القرآن أو كونه غير مخلوق فأفحمه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استخرج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المحاكمة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 و إليك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لا شيء إلّا قديم أو حديث؟</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القرآن شيئاً؟</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لا قديم إلّا اللّٰه؟</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إذاً حديث</w:t>
      </w:r>
      <w:r>
        <w:rPr>
          <w:rFonts w:eastAsia="Amiri" w:cs="Amiri" w:ascii="Amiri" w:hAnsi="Amiri"/>
          <w:color w:val="111111"/>
          <w:sz w:val="28"/>
          <w:szCs w:val="28"/>
          <w:rtl w:val="true"/>
          <w:lang w:bidi="ar-SA"/>
        </w:rPr>
        <w:t xml:space="preserve">. </w:t>
      </w:r>
      <w:bookmarkStart w:id="586" w:name="pg11536_164195"/>
    </w:p>
    <w:p>
      <w:pPr>
        <w:pStyle w:val="BookText"/>
        <w:rPr/>
      </w:pPr>
      <w:bookmarkEnd w:id="586"/>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أنا بمتكلّم</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 هذه إحدى صور المحاكمة، و لها صور أُخر طوينا الكلام عن ذكرها و تأتي عند البحث عن محنة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براعة الرجل في مقام قطع الطريق على الخصم، و هذا و أشباهه ممّا دفع الحنابلة و الأشاعرة على التحامل و الازدراء بالرجل، و سيوافيك أنّ أكثر ما نقل في محنة الإمام من التشديد و التغليظ عليه، و دوسه بالأقدام و سحبه، يرجع إلى أبي الفرج ابن الجوزي الحنبلي المتعصّب لإمامه و ليس له مصدر في التأريخ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البغدادي حول و فاته قصّة أشبه بالاسطورة</w:t>
      </w:r>
      <w:r>
        <w:rPr>
          <w:rStyle w:val="FootnoteAnchor"/>
          <w:rtl w:val="true"/>
        </w:rPr>
        <w:footnoteReference w:id="692"/>
      </w:r>
      <w:r>
        <w:rPr>
          <w:rFonts w:ascii="Amiri" w:hAnsi="Amiri" w:eastAsia="Amiri" w:cs="Amiri"/>
          <w:color w:val="111111"/>
          <w:sz w:val="28"/>
          <w:sz w:val="28"/>
          <w:szCs w:val="28"/>
          <w:rtl w:val="true"/>
          <w:lang w:bidi="ar-SA"/>
        </w:rPr>
        <w:t xml:space="preserve">، و كم 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نظائر</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3907695_73709187"/>
      <w:bookmarkStart w:id="588" w:name="_Toc215"/>
      <w:bookmarkEnd w:id="587"/>
      <w:r>
        <w:rPr/>
        <w:t>8</w:t>
      </w:r>
      <w:r>
        <w:rPr>
          <w:rtl w:val="true"/>
        </w:rPr>
        <w:t xml:space="preserve"> - </w:t>
      </w:r>
      <w:r>
        <w:rPr>
          <w:rtl w:val="true"/>
        </w:rPr>
        <w:t xml:space="preserve">أبو عثمان عمرو بن بحر الجاحظ </w:t>
      </w:r>
      <w:r>
        <w:rPr>
          <w:rtl w:val="true"/>
        </w:rPr>
        <w:t>(</w:t>
      </w:r>
      <w:r>
        <w:rPr>
          <w:rtl w:val="true"/>
        </w:rPr>
        <w:t xml:space="preserve">المتوفّى </w:t>
      </w:r>
      <w:r>
        <w:rPr/>
        <w:t>255</w:t>
      </w:r>
      <w:r>
        <w:rPr>
          <w:rtl w:val="true"/>
        </w:rPr>
        <w:t xml:space="preserve"> </w:t>
      </w:r>
      <w:r>
        <w:rPr>
          <w:rtl w:val="true"/>
        </w:rPr>
        <w:t>ه</w:t>
      </w:r>
      <w:r>
        <w:rPr>
          <w:rtl w:val="true"/>
        </w:rPr>
        <w:t>)</w:t>
      </w:r>
      <w:bookmarkEnd w:id="588"/>
    </w:p>
    <w:p>
      <w:pPr>
        <w:pStyle w:val="Heading5"/>
        <w:numPr>
          <w:ilvl w:val="4"/>
          <w:numId w:val="1"/>
        </w:numPr>
        <w:rPr/>
      </w:pPr>
      <w:bookmarkStart w:id="589" w:name="__RefHeading___Toc3907697_73709187"/>
      <w:bookmarkStart w:id="590" w:name="_Toc216"/>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قال القاضي 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نسيج وحده في العلوم، لأنّه جمع إلى علم الكلام و الفصاحة، العلم بالأخبار و الأشعار و الفقه و تأويل الكلام و هو متقدّم في الجدّ و الهزل، و له كتب في التوحيد و إثبات النبوّة و نظم القرآن و حدثه، و في فضائل المعتزلة</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الأخير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عليه ابن </w:t>
      </w:r>
    </w:p>
    <w:p>
      <w:pPr>
        <w:pStyle w:val="BookText"/>
        <w:rPr/>
      </w:pPr>
      <w:r>
        <w:rPr>
          <w:rFonts w:ascii="Amiri" w:hAnsi="Amiri" w:eastAsia="Amiri" w:cs="Amiri"/>
          <w:color w:val="111111"/>
          <w:sz w:val="28"/>
          <w:sz w:val="28"/>
          <w:szCs w:val="28"/>
          <w:rtl w:val="true"/>
          <w:lang w:bidi="ar-SA"/>
        </w:rPr>
        <w:t xml:space="preserve">الراوندي في كتاب خاصّ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أبا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انتصر فيه للجاحظ، و قد طبع الانتصار لأوّل مرّة في القاهرة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تصانيفه و أمتنها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أردأها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كتبت عن الجاحظ دراسات كثيرة بأقلام المستشرقين و العرب و من أراد فليرجع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الجاحظ معلّم العقل و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لشفيق جبري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السندوبي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لفؤاد أفرام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أدب الرجل و اطّلاعه الوسيع شيء لا ينكر و تشهد عليه آثاره المطبوعة، و لكنّ الكلام في ورعه و تقاه و نفسيّته و روحيّته، فلا يشكّ من سبر حياته في طيّات المعاجم و الكتب أنّه لم يكن رجلاً مبدئيّاً أبداً، بل كان متقرّباً لفراعنة عصره، و كفى أنّه كان ملازماً لمحمّد بن عبد الملك المعروف بالوزير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المذكور شديد القسوة، صعب العريكة، لا يرقّ لأحد و لا يرحمه،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خور في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يوماً على رقعة رجل توسّل إليه بقرب الجوار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للحيطان و التعطّف للنسوان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المتوكّل قتله أحضره و أحضر تنّورَ خشب فيه مسامير من </w:t>
      </w:r>
      <w:bookmarkStart w:id="591" w:name="pg11536_164197"/>
    </w:p>
    <w:p>
      <w:pPr>
        <w:pStyle w:val="BookText"/>
        <w:rPr/>
      </w:pPr>
      <w:bookmarkEnd w:id="591"/>
      <w:r>
        <w:rPr>
          <w:rFonts w:ascii="Amiri" w:hAnsi="Amiri" w:eastAsia="Amiri" w:cs="Amiri"/>
          <w:color w:val="111111"/>
          <w:sz w:val="28"/>
          <w:sz w:val="28"/>
          <w:szCs w:val="28"/>
          <w:rtl w:val="true"/>
          <w:lang w:bidi="ar-SA"/>
        </w:rPr>
        <w:t xml:space="preserve">حديد، أطرافها إلى داخل التنور تمنع من يكون فيه من الحركة، كان محمّد اتّخذه ليعذّب فيه من يطالبه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أوّل من عمل ذلك و عذّب فيه ابن أسباط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أجرينا فيك حكمك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ثلاث و ذلك في سنة ثلاث و ثلاثين و مائتين،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 في التنّور بفحمة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له عهد بنوم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الصبَّ إليه</w:t>
      </w:r>
    </w:p>
    <w:p>
      <w:pPr>
        <w:pStyle w:val="BookText"/>
        <w:rPr/>
      </w:pPr>
      <w:r>
        <w:rPr>
          <w:rFonts w:ascii="Amiri" w:hAnsi="Amiri" w:eastAsia="Amiri" w:cs="Amiri"/>
          <w:color w:val="111111"/>
          <w:sz w:val="28"/>
          <w:sz w:val="28"/>
          <w:szCs w:val="28"/>
          <w:rtl w:val="true"/>
          <w:lang w:bidi="ar-SA"/>
        </w:rPr>
        <w:t xml:space="preserve">رحم اللّٰه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عينيَّ عليه</w:t>
      </w:r>
    </w:p>
    <w:p>
      <w:pPr>
        <w:pStyle w:val="BookText"/>
        <w:rPr/>
      </w:pPr>
      <w:r>
        <w:rPr>
          <w:rFonts w:ascii="Amiri" w:hAnsi="Amiri" w:eastAsia="Amiri" w:cs="Amiri"/>
          <w:color w:val="111111"/>
          <w:sz w:val="28"/>
          <w:sz w:val="28"/>
          <w:szCs w:val="28"/>
          <w:rtl w:val="true"/>
          <w:lang w:bidi="ar-SA"/>
        </w:rPr>
        <w:t>و دفن و لم يعمق قبره فنبشته الكلاب و أكلته</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هذا حال صديق الرّجل و زميله، فاعرف حاله من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على دين جليسه</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3907699_73709187"/>
      <w:bookmarkStart w:id="593" w:name="_Toc217"/>
      <w:bookmarkEnd w:id="592"/>
      <w:r>
        <w:rPr>
          <w:rtl w:val="true"/>
        </w:rPr>
        <w:t>تلوّن الرجل في حياته</w:t>
      </w:r>
      <w:bookmarkEnd w:id="59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آثاره على أنّ الرجل كان متلوّناً في حياته غير جانح إلى فئة، بل كان كالريشة في مهبّ الريح يميل مع كلّ ريح، فتارة يكون عثماني الهوى و يؤلّف كتاباً في ذلك، و يدعمه بكتاب آخر في إمامة المروانيّة و خلافة الشجرة الملعونة في القرآن، و أُخرى علويّاً يجمع الكلم القصار لعليّ عليه السلام يفضّل عليّاً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 في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تجده يحتجّ مرّة للعثمانيّة </w:t>
      </w:r>
    </w:p>
    <w:p>
      <w:pPr>
        <w:pStyle w:val="BookText"/>
        <w:rPr/>
      </w:pPr>
      <w:r>
        <w:rPr>
          <w:rFonts w:ascii="Amiri" w:hAnsi="Amiri" w:eastAsia="Amiri" w:cs="Amiri"/>
          <w:color w:val="111111"/>
          <w:sz w:val="28"/>
          <w:sz w:val="28"/>
          <w:szCs w:val="28"/>
          <w:rtl w:val="true"/>
          <w:lang w:bidi="ar-SA"/>
        </w:rPr>
        <w:t xml:space="preserve">على الرافضة، و مرّة للزيديّة على العثمانيّة و أهل السنّة، و مرّة يفضّل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يؤخّره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يعمل كتاباً يذكر فيه حجج النصارى على المسلمين، فإذا صار إلى الردّ عليهم تجوّز في الحجّة كأنّه انما أراد تنبيههم على ما لا يعرفون و تشكيك الضعفة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تجده يقصد في كتبه المضاحيك و العبث، يريد بذلك استمالة الأحداث و شرّاب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يستهزئ من الحديث استهزاءً لا يخفى على أهل العلم كذكره كبد الحوت و قرن الشيطان و ذكر الحجر الأسود و أنّه كان أبيض فسوّده المشركون، و قد كان يجب أن يبيّضه المسلمون حين أسلموا و يذكر الصحيفة الّتي كان فيها المنزل في الرضاع تحت سرير عائشة فأكلتها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هذا من أكذب الأُمّة و أوضعهم للحديث و أنصرهم للباطل</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الدولة العبّاسية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صنّف الجاحظ كتاباً استقصى فيه الحجاج عند نفسه، و أيّده بالبراهين و عضده بالأدلّة فيما تصوّره من عقله و ترجمه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فيه عند نفسه فضائل عليّ عليه السلام و مناقبه، و يحتجّ فيه لغيره طلباً لإماتة الحقّ و مضادّة لأهله، و اللّٰه متمّ نوره و لو كره الكافرون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 يرض بهذا الكتاب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أعقبه بتصنيف كتاب آخر في إمامة المروانيّة و أقوال شيعتهم، و رأيته مترجماً بكتاب إمامة أمير المؤمنين معاوية في الانتصار له من عليّ بن أبي طالب عليه السلام و شيعته الرافضة، يذكر فيه رجال المروانيّة و يؤيّد فيه إمامة بني أُميّة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صنّف كتاباً آخر ترجمه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ما فاته ذكره و نقضه عند نفسه من فضائل أمير المؤمنين عليّ عليه السلام و مناقبه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نقضت عليه ما ذكرنا من كتبه لكتاب العثمانيّة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نقضها جماعة من متكلّمي الشيعة كأبي عيسى الورّاق و الحسن بن موسى النّخعي</w:t>
      </w:r>
      <w:r>
        <w:rPr>
          <w:rStyle w:val="FootnoteAnchor"/>
          <w:rtl w:val="true"/>
        </w:rPr>
        <w:footnoteReference w:id="696"/>
      </w:r>
      <w:r>
        <w:rPr>
          <w:rFonts w:ascii="Amiri" w:hAnsi="Amiri" w:eastAsia="Amiri" w:cs="Amiri"/>
          <w:color w:val="111111"/>
          <w:sz w:val="28"/>
          <w:sz w:val="28"/>
          <w:szCs w:val="28"/>
          <w:rtl w:val="true"/>
          <w:lang w:bidi="ar-SA"/>
        </w:rPr>
        <w:t>، و غيرهما من الشيعة ممّن ذكر ذلك في كتبه في الإمامة مجتمعة و متفرّقة</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أراد أن يقف على ضعف الرجل في مجال العفاف و الورع فعليه أن يرجع إلى ما نقله عنه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Style w:val="FootnoteAnchor"/>
          <w:rtl w:val="true"/>
        </w:rPr>
        <w:footnoteReference w:id="698"/>
      </w:r>
      <w:bookmarkStart w:id="594" w:name="pg11536_164200"/>
    </w:p>
    <w:p>
      <w:pPr>
        <w:pStyle w:val="Heading4"/>
        <w:numPr>
          <w:ilvl w:val="3"/>
          <w:numId w:val="1"/>
        </w:numPr>
        <w:rPr/>
      </w:pPr>
      <w:bookmarkStart w:id="595" w:name="__RefHeading___Toc3907701_73709187"/>
      <w:bookmarkStart w:id="596" w:name="_Toc218"/>
      <w:bookmarkEnd w:id="594"/>
      <w:bookmarkEnd w:id="595"/>
      <w:r>
        <w:rPr/>
        <w:t>9</w:t>
      </w:r>
      <w:r>
        <w:rPr>
          <w:rtl w:val="true"/>
        </w:rPr>
        <w:t xml:space="preserve"> - </w:t>
      </w:r>
      <w:r>
        <w:rPr>
          <w:rtl w:val="true"/>
        </w:rPr>
        <w:t xml:space="preserve">أبو الحسين عبد الرّحيم بن محمّد المعروف بالخيّاط </w:t>
      </w:r>
      <w:r>
        <w:rPr>
          <w:rtl w:val="true"/>
        </w:rPr>
        <w:t>(</w:t>
      </w:r>
      <w:r>
        <w:rPr>
          <w:rtl w:val="true"/>
        </w:rPr>
        <w:t xml:space="preserve">المتوفّى </w:t>
      </w:r>
      <w:r>
        <w:rPr/>
        <w:t>311</w:t>
      </w:r>
      <w:r>
        <w:rPr>
          <w:rtl w:val="true"/>
        </w:rPr>
        <w:t xml:space="preserve"> </w:t>
      </w:r>
      <w:r>
        <w:rPr>
          <w:rtl w:val="true"/>
        </w:rPr>
        <w:t>ه</w:t>
      </w:r>
      <w:r>
        <w:rPr>
          <w:rtl w:val="true"/>
        </w:rPr>
        <w:t>)</w:t>
      </w:r>
      <w:r>
        <w:rPr>
          <w:rtl w:val="true"/>
        </w:rPr>
        <w:t>، خريج مدرسة بغداد</w:t>
      </w:r>
      <w:bookmarkEnd w:id="596"/>
    </w:p>
    <w:p>
      <w:pPr>
        <w:pStyle w:val="BookText"/>
        <w:rPr/>
      </w:pPr>
      <w:r>
        <w:rPr>
          <w:rFonts w:ascii="Amiri" w:hAnsi="Amiri" w:eastAsia="Amiri" w:cs="Amiri"/>
          <w:color w:val="111111"/>
          <w:sz w:val="28"/>
          <w:sz w:val="28"/>
          <w:szCs w:val="28"/>
          <w:rtl w:val="true"/>
          <w:lang w:bidi="ar-SA"/>
        </w:rPr>
        <w:t xml:space="preserve">ترجمه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من أصحاب جعفر</w:t>
      </w:r>
      <w:r>
        <w:rPr>
          <w:rStyle w:val="FootnoteAnchor"/>
          <w:rtl w:val="true"/>
        </w:rPr>
        <w:footnoteReference w:id="699"/>
      </w:r>
      <w:r>
        <w:rPr>
          <w:rFonts w:ascii="Amiri" w:hAnsi="Amiri" w:eastAsia="Amiri" w:cs="Amiri"/>
          <w:color w:val="111111"/>
          <w:sz w:val="28"/>
          <w:sz w:val="28"/>
          <w:szCs w:val="28"/>
          <w:rtl w:val="true"/>
          <w:lang w:bidi="ar-SA"/>
        </w:rPr>
        <w:t>، و له كتب كثيرة في النقوض على ابن الراوندي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أُستاذ أبي القاسم البلخي رحمه الله و ذكر أنّه لمّا أراد العود إلى خراسان من عنده أراد أن يجعل طريقه على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الحسين بحقّ الصحبة أن لا يفعل ذلك، لأنّه خاف أن ينسب إلى أبي عليّ و هو من أحفظ الناس باختلاف المعتزلة في الكلام و أعرفهم بأقاويلهم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الشيخ أبو القاسم يكاتبه بعد العود من عنده حالاً بعد حال فيعرف من جهته ما خفى عليه</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 من أشهر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فيه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الراوندي، و طبع بالقاهرة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أبو العبّاس الحلبي أبا الحسين الخيّاط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إبليس هل أراد أن يكفر فرعون؟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الحلبي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غلب إبليس </w:t>
      </w:r>
    </w:p>
    <w:p>
      <w:pPr>
        <w:pStyle w:val="BookText"/>
        <w:rPr/>
      </w:pPr>
      <w:r>
        <w:rPr>
          <w:rFonts w:ascii="Amiri" w:hAnsi="Amiri" w:eastAsia="Amiri" w:cs="Amiri"/>
          <w:color w:val="111111"/>
          <w:sz w:val="28"/>
          <w:sz w:val="28"/>
          <w:szCs w:val="28"/>
          <w:rtl w:val="true"/>
          <w:lang w:bidi="ar-SA"/>
        </w:rPr>
        <w:t>إرادة اللّٰه؟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يجب فإنّ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و هذا لا يوجب أن يكون أمر إبليس غلب أمر اللّٰه، فكذلك الإرادة، و ذلك لأنّ اللّٰه تعالى لو أراد أن يؤمن فرعون كرهاً لآمن</w:t>
      </w:r>
      <w:r>
        <w:rPr>
          <w:rFonts w:eastAsia="Amiri" w:cs="Amiri" w:ascii="Amiri" w:hAnsi="Amiri"/>
          <w:color w:val="111111"/>
          <w:sz w:val="28"/>
          <w:szCs w:val="28"/>
          <w:rtl w:val="true"/>
          <w:lang w:bidi="ar-SA"/>
        </w:rPr>
        <w:t>.</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 و إبليس المطرود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إرادة تكوينيّة قاهرة سالبة للاختيار، بل إرادة أشبه بإرادة تشريعيّة يتراءى أنّها تعلّقت بفعل الغير، و هو مختار في فعله و عمله و تطبيقه على كلّ من الطّلبين، فليس في موافقته أو مخالفته أيّ غلبة من المريدين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إرادة كلّ منهما إرادة تكوينيّة تعلّقت واحدة بإيمان فرعون و الأُخرى بكفره فكفر و لم يؤمن لزمت غلبة إرادة إبليس على إرادة اللّٰه تعالى</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أفضل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 لأنّ الخصال الّتي فضّل الناس بها متفرّقة في الناس و هي مجتمعة فيه، و عدّ الفضائل فقيل فما منع الناس من العقد له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باب لا علم لي به إلّا بما فعل الناس و تسليمه الأمر على ما أمضاه عليه الصحابة، لأنّي لمّا وجدت الناس قد عملوا و لم أره أنكر ذلك و لا خالف، علمت صحّة ما فعلوا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 كونه أفضل الصحابة، فتقدّم المفضول على الفاضل قبيح عقلاً، و به ردّ سبحانه اعتراض بني إسرائيل على جعل طالوت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تسليم الإمام لعمل الصحابة فهو غير صحيح، فقد اعترض على عملهم مرّة بعد مرّة، و يكفي في ذلك خطبه و قصار حكمه و ما نقله عنه المؤرّخون</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أشباهه قابل للإغماض، و إنّما الكلام فيما نسب إلى الشيعة من النسب المفتعلة و الأكاذيب الشائنة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نماذج من قذائفه و طامّاته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الرافضة تعتقد أنّ ربّها ذو هيئة و صورة يتحرّك و يسكن و يزول و ينتقل، و أنّه كان غير عالم فعلم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توحيد الرافضة بأسرها إلّا نفراً منهم يسيراً صحبوا المعتزلة و اعتقدوا التوحيد، فنفتهم الرافضة عنهم و تبرّأت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جملتهم و مشايخهم مثل هشام بن سالم، و شيطان الطاق، </w:t>
      </w:r>
      <w:bookmarkStart w:id="597" w:name="pg11536_164203"/>
    </w:p>
    <w:p>
      <w:pPr>
        <w:pStyle w:val="BookText"/>
        <w:rPr/>
      </w:pPr>
      <w:bookmarkEnd w:id="597"/>
      <w:r>
        <w:rPr>
          <w:rFonts w:ascii="Amiri" w:hAnsi="Amiri" w:eastAsia="Amiri" w:cs="Amiri"/>
          <w:color w:val="111111"/>
          <w:sz w:val="28"/>
          <w:sz w:val="28"/>
          <w:szCs w:val="28"/>
          <w:rtl w:val="true"/>
          <w:lang w:bidi="ar-SA"/>
        </w:rPr>
        <w:t>و عليّ بن ميثم، و هشام بن الحكم بن منصور، و السكاك فقولهم ما حكيت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على وجه الأرض رافضي إلّا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صورة، و يروي في ذلك الروايات و يحتجّ فيه بالأحاديث عن أئمّتهم، إلّا من صحب المعتزلة منهم قديماً، فقال بالتوحيد فنفته الرافضة عنها و لم تقربه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يرون الرافضة أن يطأ المرأة الواحدة في اليوم الواحد مائة رجل من غير استبراء و لا قضاء 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خلاف ما عليه أُمّة محمّد صلى الله عليه و آله و سلم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لا نعلّق على تلك الأساطير شيئاً و إنّما نمرّ عليها كراماً</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3907703_73709187"/>
      <w:bookmarkStart w:id="599" w:name="_Toc219"/>
      <w:bookmarkEnd w:id="598"/>
      <w:r>
        <w:rPr/>
        <w:t>10</w:t>
      </w:r>
      <w:r>
        <w:rPr>
          <w:rtl w:val="true"/>
        </w:rPr>
        <w:t xml:space="preserve"> - </w:t>
      </w:r>
      <w:r>
        <w:rPr>
          <w:rtl w:val="true"/>
        </w:rPr>
        <w:t xml:space="preserve">أبو القاسم البلخي الكعبي </w:t>
      </w:r>
      <w:r>
        <w:rPr>
          <w:rtl w:val="true"/>
        </w:rPr>
        <w:t>(</w:t>
      </w:r>
      <w:r>
        <w:rPr/>
        <w:t>273</w:t>
      </w:r>
      <w:r>
        <w:rPr>
          <w:rtl w:val="true"/>
        </w:rPr>
        <w:t>-</w:t>
      </w:r>
      <w:r>
        <w:rPr/>
        <w:t>317</w:t>
      </w:r>
      <w:r>
        <w:rPr>
          <w:rtl w:val="true"/>
        </w:rPr>
        <w:t xml:space="preserve"> </w:t>
      </w:r>
      <w:r>
        <w:rPr>
          <w:rtl w:val="true"/>
        </w:rPr>
        <w:t xml:space="preserve">أو </w:t>
      </w:r>
      <w:r>
        <w:rPr/>
        <w:t>319</w:t>
      </w:r>
      <w:r>
        <w:rPr>
          <w:rtl w:val="true"/>
        </w:rPr>
        <w:t xml:space="preserve">) </w:t>
      </w:r>
      <w:r>
        <w:rPr>
          <w:rtl w:val="true"/>
        </w:rPr>
        <w:t>خريج مدرسة بغداد</w:t>
      </w:r>
      <w:bookmarkEnd w:id="599"/>
    </w:p>
    <w:p>
      <w:pPr>
        <w:pStyle w:val="Heading5"/>
        <w:numPr>
          <w:ilvl w:val="4"/>
          <w:numId w:val="1"/>
        </w:numPr>
        <w:rPr/>
      </w:pPr>
      <w:bookmarkStart w:id="600" w:name="__RefHeading___Toc3907705_73709187"/>
      <w:bookmarkStart w:id="601" w:name="_Toc220"/>
      <w:bookmarkEnd w:id="600"/>
      <w:r>
        <w:rPr>
          <w:rtl w:val="true"/>
        </w:rPr>
        <w:t>اشارة</w:t>
      </w:r>
      <w:bookmarkEnd w:id="60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أحمد بن محمود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متكلّمي المعتزلة البغداديين، صنّف في الكلام كتباً كثيرة و أقام ببغداد مدّة طويلة و انتشرت بها كتبه، ثمّ عاد إلى بلخ فأقام بها إلى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القاضي أبو عبد اللّه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بيننا و بين أبي القاسم البلخي صداقة قديمة وكيدة، و كان إذا ورد مدينة السلام قصد أبي و كثر عنده، و إذا رجع إلى بلده لم تنقطع </w:t>
      </w:r>
    </w:p>
    <w:p>
      <w:pPr>
        <w:pStyle w:val="BookText"/>
        <w:rPr/>
      </w:pPr>
      <w:r>
        <w:rPr>
          <w:rFonts w:ascii="Amiri" w:hAnsi="Amiri" w:eastAsia="Amiri" w:cs="Amiri"/>
          <w:color w:val="111111"/>
          <w:sz w:val="28"/>
          <w:sz w:val="28"/>
          <w:szCs w:val="28"/>
          <w:rtl w:val="true"/>
          <w:lang w:bidi="ar-SA"/>
        </w:rPr>
        <w:t>كتبه عنّا، و توفّي أبو القاسم ببلخ في أوّل شعبان سنة تسع عشرة و ثلاثمائة</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 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العالم المشهور كان رأس طائفة من المعتزلة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مقالات، و من مقالته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سبحانه و تعالى ليست له إرادة، و أنّ جميع أفعاله واقعة منه بغير إرادة و لا مشيئة منه لها، و كان من كبار المتكلّمين، و له اختيارات في علم الكلام، توفّي مستهلّ شعبان سنة سبع عشرة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الكعبي نسبة إلى بني كعب، و البلخي نسبة إلى بلخ إحدى مدن خراسان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قد خفي على الخطيب و ابن خلّكان ما يهدف إليه الكعبي من نفي الإرادة و المشيئة عنه سبحانه، و قد اختار من أنظاره تلك النظريّة للازدراء عليه، و لكنّهما غفلا عن أنّ الكعبي لا يهدف إلى نفي الإرادة عن اللّٰه سبحانه حتّى يعرّفه كالفواعل الطبيعية، بل له هناك هدف سام لا يقف عليه إلّا العارف بالأُصول الكلاميّة، و هو أنّ الإرادة أو المشيئة حسب طبعها من الأُمور الحديثة الجديدة المسبوقة بالعدم فلا تتصوّر مثل هذه الإرادة للّٰه، أي الإرادة الحادثة القائمة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الإرادة تلازم التجدّد و الحدوث و التجزي و التقضي، و مثل ذلك لا يليق بساحته سبحانه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ذلك يرى الكعبي </w:t>
      </w:r>
      <w:bookmarkStart w:id="602" w:name="pg11536_164205"/>
    </w:p>
    <w:p>
      <w:pPr>
        <w:pStyle w:val="BookText"/>
        <w:rPr/>
      </w:pPr>
      <w:bookmarkEnd w:id="602"/>
      <w:r>
        <w:rPr>
          <w:rFonts w:ascii="Amiri" w:hAnsi="Amiri" w:eastAsia="Amiri" w:cs="Amiri"/>
          <w:color w:val="111111"/>
          <w:sz w:val="28"/>
          <w:sz w:val="28"/>
          <w:szCs w:val="28"/>
          <w:rtl w:val="true"/>
          <w:lang w:bidi="ar-SA"/>
        </w:rPr>
        <w:t>تنزيهه سبحانه عن وصمة الحدوث و التجدّد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يسلب عنه ما يعدّ كمالاً للإرادة، فإنّ الإرادة من الصفات العالية الكماليّة بما أنّها رمز للاختيار، و آية الحرّيّة، و هذا غير منفيّ عن اللّٰه سبحانه عند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ذلك ما نقله ابن شاكر الكتبي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الكعبي تلميذ أبي الحسين الخيّاط و قد وافقه في اعتقاداته جميعاً، و انفرد عنه بمسائل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الرّبّ تعالى ليست قائمة بذاته، و لا هو يريد إرادته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إرادته حادثة في محلّ، بل إذا أطلق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فمعناه أنّه عالم قادر غير مكره في فعله و لا 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مريد لأفعاله، فالمراد أنّه خالق لها على وفق علمه، و إذا قيل إنّه مريد لأفعال عباده، فالمراد أنّه راض بما أمر به</w:t>
      </w:r>
      <w:r>
        <w:rPr>
          <w:rFonts w:eastAsia="Amiri" w:cs="Amiri" w:ascii="Amiri" w:hAnsi="Amiri"/>
          <w:color w:val="111111"/>
          <w:sz w:val="28"/>
          <w:szCs w:val="28"/>
          <w:rtl w:val="true"/>
          <w:lang w:bidi="ar-SA"/>
        </w:rPr>
        <w:t>».</w:t>
      </w:r>
      <w:r>
        <w:rPr>
          <w:rStyle w:val="FootnoteAnchor"/>
          <w:rtl w:val="true"/>
        </w:rPr>
        <w:footnoteReference w:id="709"/>
      </w:r>
    </w:p>
    <w:p>
      <w:pPr>
        <w:pStyle w:val="Heading5"/>
        <w:numPr>
          <w:ilvl w:val="4"/>
          <w:numId w:val="1"/>
        </w:numPr>
        <w:rPr/>
      </w:pPr>
      <w:bookmarkStart w:id="603" w:name="__RefHeading___Toc3907707_73709187"/>
      <w:bookmarkStart w:id="604" w:name="_Toc221"/>
      <w:bookmarkEnd w:id="603"/>
      <w:r>
        <w:rPr>
          <w:rtl w:val="true"/>
        </w:rPr>
        <w:t>مؤلفاته</w:t>
      </w:r>
      <w:bookmarkEnd w:id="604"/>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أحمد بن محمود البلخي أبو القاسم الكعبي من كبار المعتزلة، و له تصانيف في الطعن على المحدِّثين تدلّ على كثرة اطّلاعه و تعصّبه</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أكثر هذه الكتب قد بطش بها الزمان و أضاعها كما أضاع أكثر </w:t>
      </w:r>
    </w:p>
    <w:p>
      <w:pPr>
        <w:pStyle w:val="BookText"/>
        <w:rPr/>
      </w:pPr>
      <w:r>
        <w:rPr>
          <w:rFonts w:ascii="Amiri" w:hAnsi="Amiri" w:eastAsia="Amiri" w:cs="Amiri"/>
          <w:color w:val="111111"/>
          <w:sz w:val="28"/>
          <w:sz w:val="28"/>
          <w:szCs w:val="28"/>
          <w:rtl w:val="true"/>
          <w:lang w:bidi="ar-SA"/>
        </w:rPr>
        <w:t xml:space="preserve">كتب المعتزلة و قد استقصى فؤاد سيّد في مقدّمته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البلخي أسماء كتبه و أنهاها إلى ستّة و أربعين كتاباً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النجاشي في ترجمة محمّد بن عبد الرحمن بن 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 عنه ابن بطّة و ذكره في فهرسه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من محمّد بن عبد الرحمن بن قبة، له كتاب الانصاف في الإمامة و كتاب المستثبت نقض كتاب أبي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الحسين المهلوس العلوي الموسوي رضى الله عنه يقول في مجلس الرضي أبي الحسن محمّد بن الحسين بن موسى و هناك شيخنا أبو عبد اللّه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السوسنجردي رحمه الله و كان من عيون أصحابنا و صالحيهم المتكلّمين و له كتاب في الإمامة معروف به و كان قد حجّ على قدميه خمسين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أبي القاسم البلخي إلى بلخ بعد زيارتي الرضا عليه السلام بطوس فسلّمت عليه و كان عارفاً، و معي كتاب أبي جعفر ابن قبة في الإمامة المعروف بالانصاف، فوقف عليه و 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المسترشد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الري، فدفعت الكتاب إلى ابن قبة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المستثبت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إلى أبي القاسم فنقضه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المستثبت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إلى الري فوجدت أبا جعفر قد مات رحمه الله</w:t>
      </w:r>
      <w:r>
        <w:rPr>
          <w:rFonts w:eastAsia="Amiri" w:cs="Amiri" w:ascii="Amiri" w:hAnsi="Amiri"/>
          <w:color w:val="111111"/>
          <w:sz w:val="28"/>
          <w:szCs w:val="28"/>
          <w:rtl w:val="true"/>
          <w:lang w:bidi="ar-SA"/>
        </w:rPr>
        <w:t>».</w:t>
      </w:r>
      <w:r>
        <w:rPr>
          <w:rStyle w:val="FootnoteAnchor"/>
          <w:rtl w:val="true"/>
        </w:rPr>
        <w:footnoteReference w:id="711"/>
      </w:r>
      <w:bookmarkStart w:id="605" w:name="pg11536_164207"/>
    </w:p>
    <w:p>
      <w:pPr>
        <w:pStyle w:val="Heading5"/>
        <w:numPr>
          <w:ilvl w:val="4"/>
          <w:numId w:val="1"/>
        </w:numPr>
        <w:rPr/>
      </w:pPr>
      <w:bookmarkStart w:id="606" w:name="__RefHeading___Toc3907709_73709187"/>
      <w:bookmarkStart w:id="607" w:name="_Toc222"/>
      <w:bookmarkEnd w:id="605"/>
      <w:bookmarkEnd w:id="606"/>
      <w:r>
        <w:rPr>
          <w:rtl w:val="true"/>
        </w:rPr>
        <w:t>مناظرته مع رجل سوفسطائي</w:t>
      </w:r>
      <w:bookmarkEnd w:id="607"/>
    </w:p>
    <w:p>
      <w:pPr>
        <w:pStyle w:val="BookText"/>
        <w:rPr/>
      </w:pPr>
      <w:r>
        <w:rPr>
          <w:rFonts w:ascii="Amiri" w:hAnsi="Amiri" w:eastAsia="Amiri" w:cs="Amiri"/>
          <w:color w:val="111111"/>
          <w:sz w:val="28"/>
          <w:sz w:val="28"/>
          <w:szCs w:val="28"/>
          <w:rtl w:val="true"/>
          <w:lang w:bidi="ar-SA"/>
        </w:rPr>
        <w:t xml:space="preserve">حكى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 إليه رجل من السوفسطائية راكباً على بغل، فدخل عليه فجعل ينكر الضروريات و يلحقها بالخيالات، فلمّا لم يتمكّن من حجّة يقطعه قام من المجلس موهماً أنّه قام في بعض حوائجه، فأخذ البغل و ذهب به إلى مكان آخر ثمّ رجع لتمام الحديث، فلمّا نهض السوفسطائي للذهاب و لم يكن قد انقطع بحجّة عنده طلب البغل حيث تركه فلم يجده، فرجع إلى أبي القاسم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أجد البغل، فقال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تركته في غير هذا الموضع الّذي طلبته فيه، و خيِّل لك أنّك وضعته في غيره، بل لعلّك لم تأت راكباً على بغل و إنّما خيِّل اليك تخييلاً و جاءه بأنواع من هذا الكلام، فأظن أنّه ذكر أنّ ذلك كان سبباً في رجوع السوفسطائي عن مذهبه و توبته عنه</w:t>
      </w:r>
      <w:r>
        <w:rPr>
          <w:rFonts w:eastAsia="Amiri" w:cs="Amiri" w:ascii="Amiri" w:hAnsi="Amiri"/>
          <w:color w:val="111111"/>
          <w:sz w:val="28"/>
          <w:szCs w:val="28"/>
          <w:rtl w:val="true"/>
          <w:lang w:bidi="ar-SA"/>
        </w:rPr>
        <w:t>.</w:t>
      </w:r>
      <w:r>
        <w:rPr>
          <w:rStyle w:val="FootnoteAnchor"/>
          <w:rtl w:val="true"/>
        </w:rPr>
        <w:footnoteReference w:id="71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عشرة كاملة من أعلام المعتزلة و فطاحلهم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المقدار في ترجمة أئمّتهم و مشايخهم يوقفنا على موقفهم في الفضل و الفضيلة و هذا البحث الضافي يوقفك على أنّ تدمير تلك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فيها،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خسارة لا تجبر</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8" w:name="pg11536_164209"/>
      <w:bookmarkStart w:id="609" w:name="pg11536_164209"/>
      <w:bookmarkEnd w:id="609"/>
    </w:p>
    <w:p>
      <w:pPr>
        <w:pStyle w:val="Heading3"/>
        <w:numPr>
          <w:ilvl w:val="2"/>
          <w:numId w:val="1"/>
        </w:numPr>
        <w:rPr/>
      </w:pPr>
      <w:bookmarkStart w:id="610" w:name="pg11536_164209"/>
      <w:bookmarkStart w:id="611" w:name="__RefHeading___Toc3907711_73709187"/>
      <w:bookmarkStart w:id="612" w:name="_Toc223"/>
      <w:bookmarkEnd w:id="610"/>
      <w:bookmarkEnd w:id="611"/>
      <w:r>
        <w:rPr>
          <w:rtl w:val="true"/>
        </w:rPr>
        <w:t>الفصل السادس</w:t>
      </w:r>
      <w:r>
        <w:rPr>
          <w:rtl w:val="true"/>
        </w:rPr>
        <w:t xml:space="preserve">: </w:t>
      </w:r>
      <w:r>
        <w:rPr>
          <w:rtl w:val="true"/>
        </w:rPr>
        <w:t>في طبقات المعتزلة و مدارسهم</w:t>
      </w:r>
      <w:bookmarkEnd w:id="612"/>
    </w:p>
    <w:p>
      <w:pPr>
        <w:pStyle w:val="Heading4"/>
        <w:numPr>
          <w:ilvl w:val="3"/>
          <w:numId w:val="1"/>
        </w:numPr>
        <w:rPr/>
      </w:pPr>
      <w:bookmarkStart w:id="613" w:name="__RefHeading___Toc3907713_73709187"/>
      <w:bookmarkStart w:id="614" w:name="_Toc224"/>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المعتزلة تنقسم تارة بحسب الطبقات و أُخرى بحسب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فقد قسمها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طبقات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بعده الحاكم</w:t>
      </w:r>
      <w:r>
        <w:rPr>
          <w:rStyle w:val="FootnoteAnchor"/>
          <w:rtl w:val="true"/>
        </w:rPr>
        <w:footnoteReference w:id="713"/>
      </w:r>
      <w:r>
        <w:rPr>
          <w:rFonts w:ascii="Amiri" w:hAnsi="Amiri" w:eastAsia="Amiri" w:cs="Amiri"/>
          <w:color w:val="111111"/>
          <w:sz w:val="28"/>
          <w:sz w:val="28"/>
          <w:szCs w:val="28"/>
          <w:rtl w:val="true"/>
          <w:lang w:bidi="ar-SA"/>
        </w:rPr>
        <w:t>فأضاف عليها طبقتين فصارت اثنتي عشرة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أدرجها ابن المرتضى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طبع منه هذا القسم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رفع الاشتباه في الاسم نعبّر عن كتاب القاضي بالطبقات، و عن هذا القسم باسم كلِّ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ملاك التقسيم في ترتيب الطبقات هو التسلسل الزمني و الترتيب التأريخي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فالأساتذة في طبقة و التلامذة في طبقة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الوقوف على أسمائهم و حياتهم فعليه المراجعة إلى المصادر السابقة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w:t>
      </w:r>
      <w:bookmarkStart w:id="615" w:name="pg11536_164210"/>
    </w:p>
    <w:p>
      <w:pPr>
        <w:pStyle w:val="BookText"/>
        <w:rPr/>
      </w:pPr>
      <w:bookmarkEnd w:id="615"/>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الاكتفاء بذكر الأسماء وحده لا يفيد شيئاً و التفصيل خارج عن موضوع البحث، فنحيل القارئ إلى الكتب المذكورة و نكتفي بذكر مدارس الاعتزال و بعض الفروق الموجودة بينها</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3907715_73709187"/>
      <w:bookmarkStart w:id="617" w:name="_Toc225"/>
      <w:bookmarkEnd w:id="616"/>
      <w:r>
        <w:rPr>
          <w:rtl w:val="true"/>
        </w:rPr>
        <w:t>مدارس الاعتزال</w:t>
      </w:r>
      <w:bookmarkEnd w:id="617"/>
    </w:p>
    <w:p>
      <w:pPr>
        <w:pStyle w:val="BookText"/>
        <w:rPr/>
      </w:pPr>
      <w:r>
        <w:rPr>
          <w:rFonts w:ascii="Amiri" w:hAnsi="Amiri" w:eastAsia="Amiri" w:cs="Amiri"/>
          <w:color w:val="111111"/>
          <w:sz w:val="28"/>
          <w:sz w:val="28"/>
          <w:szCs w:val="28"/>
          <w:rtl w:val="true"/>
          <w:lang w:bidi="ar-SA"/>
        </w:rPr>
        <w:t>إنّ مدارس الاعتزال لا تتجاوز مدرستين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البصرة، و مدرسة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منهما مهد الاعتزال و مغرسه، و فيها برز واصل بن عطاء، و عمرو بن عبيد، و أبو الهذيل العلّاف و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أنّه تأسّست في أواخر القرن الثاني مدرسة أُخرى في عاصمة الخلافة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بمهاجرة أحد خرّيجي مدرسة البصرة إليها و هو بشر 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هناك رجال مفكّرون على منهج الاعتزال، و أثار التعدّد و البعد المكاني خلافات بين خرّيجي المدرستين في كثير من المسائل الفرعيّة بعد الاتفاق على المسائل الرئيسيّة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من المدرستين مميّزات و مشخّصات يقف عليها من تدبّر في أفكار أصحابها و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المعتزلة رسائل مخصوصة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الناظر فيما ينقل ابن أبي الحديد المعتزلي من مشايخه البغداديّين أنّهم يوافقون الشيعة أكثر من معتزلة البصرة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ألّف الشيخ </w:t>
      </w:r>
      <w:bookmarkStart w:id="618" w:name="pg11536_164211"/>
    </w:p>
    <w:p>
      <w:pPr>
        <w:pStyle w:val="BookText"/>
        <w:rPr/>
      </w:pPr>
      <w:bookmarkEnd w:id="618"/>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وفاق البغداديين من المعتزلة لما روى عن الأئمّة عليهم السلام</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إليك بعض مشايخ المدرستين</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3907717_73709187"/>
      <w:bookmarkStart w:id="620" w:name="_Toc226"/>
      <w:bookmarkEnd w:id="619"/>
      <w:r>
        <w:rPr>
          <w:rtl w:val="true"/>
        </w:rPr>
        <w:t>مشايخ مدرسة البصرة</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الهذيل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سيّار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الأسوار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حوالى المائتين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معمر بن عباد السلمي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هشام الفوطي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بحر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يعقوب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21" w:name="pg11536_164212"/>
    </w:p>
    <w:p>
      <w:pPr>
        <w:pStyle w:val="BookText"/>
        <w:rPr/>
      </w:pPr>
      <w:bookmarkEnd w:id="62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عليّ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907719_73709187"/>
      <w:bookmarkStart w:id="623" w:name="_Toc227"/>
      <w:bookmarkEnd w:id="622"/>
      <w:r>
        <w:rPr>
          <w:rtl w:val="true"/>
        </w:rPr>
        <w:t>مشايخ مدرسة بغداد</w:t>
      </w:r>
      <w:bookmarkEnd w:id="6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المعتمر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 المدرسة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ثمامة بن الأشرس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المبشر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دؤاد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البلخي الكعبي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أراد أن يقف على بعض آرائهم الّتي يخالفون فيها مشايخهم البصريّين فعليه بمطالعة شرح النهج لابن أبي الحديد، فإنّه يعرض آراءهم في شرحه في مجالات مختلفة</w:t>
      </w:r>
      <w:r>
        <w:rPr>
          <w:rFonts w:eastAsia="Amiri" w:cs="Amiri" w:ascii="Amiri" w:hAnsi="Amiri"/>
          <w:color w:val="111111"/>
          <w:sz w:val="28"/>
          <w:szCs w:val="28"/>
          <w:rtl w:val="true"/>
          <w:lang w:bidi="ar-SA"/>
        </w:rPr>
        <w:t xml:space="preserve">. </w:t>
      </w:r>
      <w:bookmarkStart w:id="624" w:name="pg11536_164213"/>
    </w:p>
    <w:p>
      <w:pPr>
        <w:pStyle w:val="Heading3"/>
        <w:numPr>
          <w:ilvl w:val="2"/>
          <w:numId w:val="1"/>
        </w:numPr>
        <w:rPr/>
      </w:pPr>
      <w:bookmarkStart w:id="625" w:name="__RefHeading___Toc3907721_73709187"/>
      <w:bookmarkStart w:id="626" w:name="_Toc228"/>
      <w:bookmarkEnd w:id="624"/>
      <w:bookmarkEnd w:id="625"/>
      <w:r>
        <w:rPr>
          <w:rtl w:val="true"/>
        </w:rPr>
        <w:t>الفصل السابع</w:t>
      </w:r>
      <w:r>
        <w:rPr>
          <w:rtl w:val="true"/>
        </w:rPr>
        <w:t xml:space="preserve">: </w:t>
      </w:r>
      <w:r>
        <w:rPr>
          <w:rtl w:val="true"/>
        </w:rPr>
        <w:t>في الأُصول الخمسة عند المعتزلة</w:t>
      </w:r>
      <w:bookmarkEnd w:id="626"/>
    </w:p>
    <w:p>
      <w:pPr>
        <w:pStyle w:val="Heading4"/>
        <w:numPr>
          <w:ilvl w:val="3"/>
          <w:numId w:val="1"/>
        </w:numPr>
        <w:rPr/>
      </w:pPr>
      <w:bookmarkStart w:id="627" w:name="__RefHeading___Toc3907723_73709187"/>
      <w:bookmarkStart w:id="628" w:name="_Toc229"/>
      <w:bookmarkEnd w:id="627"/>
      <w:r>
        <w:rPr>
          <w:rtl w:val="true"/>
        </w:rPr>
        <w:t>[</w:t>
      </w:r>
      <w:r>
        <w:rPr>
          <w:rtl w:val="true"/>
        </w:rPr>
        <w:t>تمهيد</w:t>
      </w:r>
      <w:r>
        <w:rPr>
          <w:rtl w:val="true"/>
        </w:rPr>
        <w:t>]</w:t>
      </w:r>
      <w:bookmarkEnd w:id="628"/>
    </w:p>
    <w:p>
      <w:pPr>
        <w:pStyle w:val="Heading5"/>
        <w:numPr>
          <w:ilvl w:val="4"/>
          <w:numId w:val="1"/>
        </w:numPr>
        <w:rPr/>
      </w:pPr>
      <w:bookmarkStart w:id="629" w:name="__RefHeading___Toc3907725_73709187"/>
      <w:bookmarkStart w:id="630" w:name="_Toc230"/>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اشتهرت المعتزلة بأُصولها الخمسة، فمن دان بها فهو معتزلي و من نقص منها أو زاد عليها فليس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الأُصول المرتّبة حسب أهمّيتها،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الوعد و الوعيد، و المنزلة بين المنزلتين،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دان بها ثمّ خالف بقيّة المعتزلة في تفاصيلها أو في فروع أُخر لم يخرج بذلك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يستحقّ أحد منهم الاعتزال حتى يجمع القول بالأُصول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الوعد و الوعيد، و المنزلة بين المنزلتين، و الأمر بالمعروف و النهي عن المنكر، فإذا كملت في الإنسان هذه الخصال الخمس فهو معتزلي</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سرد الأُصول الخمسة حسب ما سمعت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فهذا ما اجتمعت عليه المعتزلة و من اعتقد ما ذكرناه من الأُصول الخمسة، كان معتزليّاً، فان اعتقد الأكثر أو الأقلّ لم يستحقّ اسم </w:t>
      </w:r>
      <w:bookmarkStart w:id="631" w:name="pg11536_164214"/>
    </w:p>
    <w:p>
      <w:pPr>
        <w:pStyle w:val="BookText"/>
        <w:rPr/>
      </w:pPr>
      <w:bookmarkEnd w:id="631"/>
      <w:r>
        <w:rPr>
          <w:rFonts w:ascii="Amiri" w:hAnsi="Amiri" w:eastAsia="Amiri" w:cs="Amiri"/>
          <w:color w:val="111111"/>
          <w:sz w:val="28"/>
          <w:sz w:val="28"/>
          <w:szCs w:val="28"/>
          <w:rtl w:val="true"/>
          <w:lang w:bidi="ar-SA"/>
        </w:rPr>
        <w:t>الاعتزال، فلا يستحقّه إلا باعتقاد هذه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تنوزع فيما عدا ذلك من فروعهم</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 العجب من 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زعم أنّ الأُصول الخمسة عبارة عن القول بخلق القرآن، و نفي الرؤية، و التشبيه و نفي القدر، و القول بالمنزلة بين المنزلتين، و نفي الصفات</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فقد ذكر من الأُصول ثلاثة، حيث إنّ نفي القدر و خلق القرآن إيعاز إلى العدل</w:t>
      </w:r>
      <w:r>
        <w:rPr>
          <w:rStyle w:val="FootnoteAnchor"/>
          <w:rtl w:val="true"/>
        </w:rPr>
        <w:footnoteReference w:id="718"/>
      </w:r>
      <w:r>
        <w:rPr>
          <w:rFonts w:ascii="Amiri" w:hAnsi="Amiri" w:eastAsia="Amiri" w:cs="Amiri"/>
          <w:color w:val="111111"/>
          <w:sz w:val="28"/>
          <w:sz w:val="28"/>
          <w:szCs w:val="28"/>
          <w:rtl w:val="true"/>
          <w:lang w:bidi="ar-SA"/>
        </w:rPr>
        <w:t>، كما أنّ نفي الصفات و الرؤية إشارة إلى التوحيد أي تنزيهه سبحانه عمّا لا يليق، و أهمل اثنتين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 و الوعيد و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مبلغ علم الرجل بأُصول الاعتزال الّذي هو أقرب إليه من الشيعة، فما ظنّك بعلمه بطوائف أُخرى كمعتقدات الشيعة الّذين يعيشون في بيئة بعيدة منه، و لأجل ذلك رماهم بنسب مفتعلة</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907727_73709187"/>
      <w:bookmarkStart w:id="633" w:name="_Toc231"/>
      <w:bookmarkEnd w:id="632"/>
      <w:r>
        <w:rPr>
          <w:rtl w:val="true"/>
        </w:rPr>
        <w:t>إيعاز إلى الأُصول الخمسة</w:t>
      </w:r>
      <w:bookmarkEnd w:id="633"/>
    </w:p>
    <w:p>
      <w:pPr>
        <w:pStyle w:val="BookText"/>
        <w:rPr/>
      </w:pPr>
      <w:r>
        <w:rPr>
          <w:rFonts w:ascii="Amiri" w:hAnsi="Amiri" w:eastAsia="Amiri" w:cs="Amiri"/>
          <w:color w:val="111111"/>
          <w:sz w:val="28"/>
          <w:sz w:val="28"/>
          <w:szCs w:val="28"/>
          <w:rtl w:val="true"/>
          <w:lang w:bidi="ar-SA"/>
        </w:rPr>
        <w:t>و قبل كلّ شيء نطرح هذه الأُصول على وجه الإجمال حتّى يعلم ما ذا يريد منها المعتزلة، ثمّ نأخذ بشرحها واحداً بعد واحد فنقول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منه العلم بأنّ اللّٰه واحد لا يشاركه غيره فيما </w:t>
      </w:r>
    </w:p>
    <w:p>
      <w:pPr>
        <w:pStyle w:val="BookText"/>
        <w:rPr/>
      </w:pPr>
      <w:r>
        <w:rPr>
          <w:rFonts w:ascii="Amiri" w:hAnsi="Amiri" w:eastAsia="Amiri" w:cs="Amiri"/>
          <w:color w:val="111111"/>
          <w:sz w:val="28"/>
          <w:sz w:val="28"/>
          <w:szCs w:val="28"/>
          <w:rtl w:val="true"/>
          <w:lang w:bidi="ar-SA"/>
        </w:rPr>
        <w:t>يستحقُّ من الصفات نفياً و إثباتاً على الحدّ الّذي يستحقّه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تفصيله فيما بعد، و التوحيد عندهم رمز لتنزيهه سبحانه عن شوائب الإمكان و وهم المثليّة و غيرهما ممّا يجب تنزيه ساحته عنه كالتجسيم و التشبيه و إمكان الرؤية و طروء الحوادث عليه، غير أنّ المهمّ في هذا الأصل هو الوقوف على كيفيّة جريان صفاته عليه سبحانه و نفي الرؤية، و غيرهما يقع في الدّرجة الثانية من الأهمية في هذا الأصل، لأنّ كثيراً منها لم يختلف المسلمون فيه إلّا القليل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إنّه تعالى عادل، فالمراد أنّ أفعاله كلّها حسنة، و أنّه لا يفعل القبيح، و أنّه لا يخلّ بما هو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لا يكذب في خبره، و لا يجور في حكمه، و لا يعذِّب أطفال المشركين بذنوب آبائهم، و لا يُظهر المعجزة على أيدي الكذّابين، و لا يكلِّف العباد ما لا يطيقون، و ما لا يعلمون، بل يقدرهم على ما كلّفهم، و يعلِّمهم صفة ما كلّفهم، و يدلّهم على ذلك و يبيّن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و أنّه إذا كلّف المكلّف و أتى بما كلّف على الوجه الّذي كلف فإنّه يثيبه لا محالة، و أنّه سبحانه إذا آلم و أسقم فإنّما فعله لصلاحه و منافعه و إلّا كان مخلّاً بواجب</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 أنّ اللّٰه وعد المطيعين بالثواب، و توعّد العصاة بالعقاب، و أنّه يفعل ما وعد به و توعّد عليه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w:t>
      </w:r>
    </w:p>
    <w:p>
      <w:pPr>
        <w:pStyle w:val="BookText"/>
        <w:rPr/>
      </w:pPr>
      <w:r>
        <w:rPr>
          <w:rFonts w:ascii="Amiri" w:hAnsi="Amiri" w:eastAsia="Amiri" w:cs="Amiri"/>
          <w:color w:val="111111"/>
          <w:sz w:val="28"/>
          <w:sz w:val="28"/>
          <w:szCs w:val="28"/>
          <w:rtl w:val="true"/>
          <w:lang w:bidi="ar-SA"/>
        </w:rPr>
        <w:t>الخلف لأنّه يستلزم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أخبر عن الفعل ثمّ تركه يكون كذباً، و لو أخبر عن العزم، فبما أنّه محال عليه كان معناه الإخبار عن نفس الفعل، فيكون الخلف كذباً، و على ضوء هذا الأصل حكموا بتخليد مرتكب الكبائر في النار إذا مات بلا 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تلقّب بمسألة الأسماء و الأحكام، و هي أنّ صاحب الكبيرة ليس بكافر كما عليه الخوارج، و لا منافق كما عليه الحسن البصري، و لا مؤمن كما عليه بعضهم، بل فاسق لا يحكم عليه بالكفر و لا بالإيمان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كلّ فعل عرف فاعله حسنه أو دلّ عليه، و المنكر كلّ فعل عرف فاعله قبحه أو دلّ عليه، و لا خلاف بين المسلمين في وجوبهما، إنّما الخلاف في أنّه هل يعلم عقلاً أو لا يعلم إلّا سمعاً؟ ذهب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يعلم عقلاً و سمعاً، و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يعلم سمعاً، و لوجوبه شروط تذكر في محلّها، و منها أن لا يؤدّي إلى مضرّة في ماله أو نفسه إلّا أن يكون في تحمّله لتلك المذلّة إعزاز للدّين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يحمل ما كان من الحسين بن عليّ عليهما السلام لما كان في صبره على ما صبر إعزاز لدين اللّٰه عزّ و جلّ، و لهذا نباهي به سائر الأُمم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ولد الرّسول صلى الله عليه و آله و سلم إلّا سبط واحد، فلم يترك الأمر بالمعروف و النهي عن المنكر حتّى قتل دون ذلك</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 الأمر بالمعروف و النهي عن المنكر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ما لا يقوم به إلّا الأئمّة، كإقامة الحدود و حفظ بيضة الإسلام و سدّ الثغور و إنفاذ الجيوش و نصب القضاة و الأُمراء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يقوم به كافة الناس، و في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بأنّ بعض المراتب منه كالجهاد الابتدائي مع الكفّار مشروط بوجود إمام معصوم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إلماع إلى معرفة الأُصول الخمسة الّتي يدور عليها فلك الاعتزال و قد أخذناها من شرح الأُصول الخمسة و قد أتى بها في الفصل الّذي عقده لبيان أُصول المعتزلة على وجه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بالتفصيل في ضمن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قد اتّفقوا على هذه الأُصول و إن اختلفوا في 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هناك اختلافات فيها بين أصحاب المدرستين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مدرسة البصرة و على رأسهم واصل بن عطاء، و عمرو بن عبيد، و النظّام و الجبائيان و القاضي، و أصحاب مدرسة بغداد و في مقدّمهم بشر بن المعتمر، و أبو الحسين الخيّاط، و أبو القاسم البلخي، و قد عرفت في الفصول السابقة ترجمة حياتهم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الأُصول الخمسة الّتي بها يناط دخول الرجل في سلك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الشهرستاني الأُصول الّتي اتّفقت المعتزلة عليها، من دون أن يفرّق بين ما يدخل في الأُصول الخمسة و ما هو خارج عنها، و إليك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اللّٰه تعالى قديم، و القدم أخصّ وصف ذاته، و نفوا الصفات القديمة أصلاً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بذاته، قادر بذاته، حيّ بذاته، لا بعلم و قدرة و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صفات قديمة، و معان قائمة به، لأنّه لو شاركته الصفات في القدم الّذي هو أخصّ الوصف، لشاركته في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كلامه محدث مخلوق في محلّ، و هو حرف و صوت كتب أمثاله في المصاحف حكايات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وجد في المحلّ عرض قد فني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اتّفقوا على أنّ الإرادة و السمع و البصر ليست معاني قائمة بذاته، لكن اختلفوا في وجوه وجودها، و محامل معانيها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نفي رؤية اللّٰه تعالى بالأبصار في دار القرار، و نفي التشبيه عنه 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و مكاناً، و صورة و جسماً، و تحيّزاً، و انتقالاً، و زوالاً و تغيّراً و تأثّراً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أوجبوا تأويل الآيات المتشابهة فيها، و سمّوا هذا النمط توحيداً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العبد قادر خالق لأفعاله خيرها و شرّها مستحقّ على ما يفعله ثواباً و عقاباً في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 تعالى منزّه أن يضاف إليه شرّ و ظلم، و فعل هو كفر و معصية، لأنّه لو خلق الظلم كان ظالماً، كما لو خلق العدل كان عادلاً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اتّفقوا على أنّ اللّٰه تعالى لا يفعل إلّا الصلاح و الخير، و يجب من </w:t>
      </w:r>
    </w:p>
    <w:p>
      <w:pPr>
        <w:pStyle w:val="BookText"/>
        <w:rPr/>
      </w:pPr>
      <w:r>
        <w:rPr>
          <w:rFonts w:ascii="Amiri" w:hAnsi="Amiri" w:eastAsia="Amiri" w:cs="Amiri"/>
          <w:color w:val="111111"/>
          <w:sz w:val="28"/>
          <w:sz w:val="28"/>
          <w:szCs w:val="28"/>
          <w:rtl w:val="true"/>
          <w:lang w:bidi="ar-SA"/>
        </w:rPr>
        <w:t>حيث الحكمة رعاية مصالح العباد، و أمّا الأصلح و اللّطف ففي وجوبه عندهم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سمّوا هذا النمط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اتّفقوا على أنّ المؤمن إذا خرج من الدنيا على طاعة و توبة، استحقّ الثواب و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التفضل معنى آخر وراء الثّواب و إذا خرج من غير توبة عن كبيرة ارتكبها، استحقّ الخلود في النار، لكن يكون عقابه أخفّ من عقاب الكفّار و سمّوا هذا النمط وعداً و وعيداً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اتّفقوا على أنّ أُصول المعرفة، و شكر النعمة واجبة قبل ورود السمع، و الحسن و القبح يجب معرفتهما بالعقل، و اعتناق الحسن و اجتناب القبيح واجب كذلك و ورود التكاليف ألطاف للبارئ تعالى أرسلها إلى العباد بتوسط الأنبياء عليهم السلام امتحاناً و اختباراً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اختلفوا في الإمامة، و القول فيها نصّاً و اختياراً، كما سيأتي عند مقالة كلّ طائفة</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المعتزلة لم تقل في الإمامة بالنصّ، و إنّما يقولون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نظرية النصّ إليهم مبنيّ على عدّ الشيعة القائلين بالنص منهم، و هو خطأ</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على القارئ بعد الإحاطة بما حقّقنا حول الأُصول الخمسة </w:t>
      </w:r>
      <w:bookmarkStart w:id="634" w:name="pg11536_164220"/>
    </w:p>
    <w:p>
      <w:pPr>
        <w:pStyle w:val="BookText"/>
        <w:rPr/>
      </w:pPr>
      <w:bookmarkEnd w:id="634"/>
      <w:r>
        <w:rPr>
          <w:rFonts w:ascii="Amiri" w:hAnsi="Amiri" w:eastAsia="Amiri" w:cs="Amiri"/>
          <w:color w:val="111111"/>
          <w:sz w:val="28"/>
          <w:sz w:val="28"/>
          <w:szCs w:val="28"/>
          <w:rtl w:val="true"/>
          <w:lang w:bidi="ar-SA"/>
        </w:rPr>
        <w:t>تفكيك الأُصول عمّا يترتب عليها من الأحكام، و قد خلط هو و قبله الأشعري بين المبني و ما يترتب عليه من البناء و غيرهما من الأُصول</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3907729_73709187"/>
      <w:bookmarkStart w:id="636" w:name="_Toc232"/>
      <w:bookmarkEnd w:id="635"/>
      <w:r>
        <w:rPr>
          <w:rtl w:val="true"/>
        </w:rPr>
        <w:t>[</w:t>
      </w:r>
      <w:r>
        <w:rPr>
          <w:rtl w:val="true"/>
        </w:rPr>
        <w:t>تحقيق</w:t>
      </w:r>
      <w:r>
        <w:rPr>
          <w:rtl w:val="true"/>
        </w:rPr>
        <w:t>]</w:t>
      </w:r>
      <w:bookmarkEnd w:id="636"/>
    </w:p>
    <w:p>
      <w:pPr>
        <w:pStyle w:val="Heading6"/>
        <w:numPr>
          <w:ilvl w:val="5"/>
          <w:numId w:val="1"/>
        </w:numPr>
        <w:rPr/>
      </w:pPr>
      <w:bookmarkStart w:id="637" w:name="__RefHeading___Toc3907731_73709187"/>
      <w:bookmarkStart w:id="638" w:name="_Toc233"/>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و تحقيق الحقّ حول هذه الأُصول يستدعي رسم أُمور تلقي ضوءاً على الأبحاث التالية</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3907733_73709187"/>
      <w:bookmarkStart w:id="640" w:name="_Toc234"/>
      <w:bookmarkEnd w:id="639"/>
      <w:r>
        <w:rPr/>
        <w:t>1</w:t>
      </w:r>
      <w:r>
        <w:rPr>
          <w:rtl w:val="true"/>
        </w:rPr>
        <w:t xml:space="preserve"> - </w:t>
      </w:r>
      <w:r>
        <w:rPr>
          <w:rtl w:val="true"/>
        </w:rPr>
        <w:t>أصلان أو أُصول خمسة؟</w:t>
      </w:r>
      <w:bookmarkEnd w:id="640"/>
    </w:p>
    <w:p>
      <w:pPr>
        <w:pStyle w:val="BookText"/>
        <w:rPr/>
      </w:pPr>
      <w:r>
        <w:rPr>
          <w:rFonts w:ascii="Amiri" w:hAnsi="Amiri" w:eastAsia="Amiri" w:cs="Amiri"/>
          <w:color w:val="111111"/>
          <w:sz w:val="28"/>
          <w:sz w:val="28"/>
          <w:szCs w:val="28"/>
          <w:rtl w:val="true"/>
          <w:lang w:bidi="ar-SA"/>
        </w:rPr>
        <w:t>إنّ القاضي عبد الجبّار ليس أوّل من ألّف في عقائد المعتزلة باسم الأُصول الخمسة، بل سبق في ذلك شخصان آخران من خرّيجي المدرستين،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الهذيل العلاّف البصري،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حرب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النسفي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الهذيل فصنّف لهم كتابين و بيّن مذهبهم، و جمع علومهم، و سمّى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كلّما رأوا رجلاً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عرفوا أنّه على مذهبهم</w:t>
      </w:r>
      <w:r>
        <w:rPr>
          <w:rFonts w:eastAsia="Amiri" w:cs="Amiri" w:ascii="Amiri" w:hAnsi="Amiri"/>
          <w:color w:val="111111"/>
          <w:sz w:val="28"/>
          <w:szCs w:val="28"/>
          <w:rtl w:val="true"/>
          <w:lang w:bidi="ar-SA"/>
        </w:rPr>
        <w:t>».</w:t>
      </w:r>
      <w:r>
        <w:rPr>
          <w:rStyle w:val="FootnoteAnchor"/>
          <w:rtl w:val="true"/>
        </w:rPr>
        <w:footnoteReference w:id="723"/>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جعفر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عدّه المرتضى من الطبقة السابعة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الأُصول الخمسة</w:t>
      </w:r>
      <w:r>
        <w:rPr>
          <w:rFonts w:eastAsia="Amiri" w:cs="Amiri" w:ascii="Amiri" w:hAnsi="Amiri"/>
          <w:color w:val="111111"/>
          <w:sz w:val="28"/>
          <w:szCs w:val="28"/>
          <w:rtl w:val="true"/>
          <w:lang w:bidi="ar-SA"/>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 الظاهر أنّ القاضي أملى شرح الأُصول الخمسة على غرار الكتابين الماضيين و كتبه عدد من تلاميذه، و قد اختلفت كلمة القاضي في عدّ الأُصول، فجعلها في شرح الأُصول خمسة على الوجه الّذي عرفت، و 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غيرهما داخلاً في ذينك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العدل و النبوّات و الشرائع، و أدخل الوعد و الوعيد و المنزلة بين المنزلتين و الأمر بالمعروف و النهي عن المنكر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كلمات تلاميذه الّذين أملى لهم القاضي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الأرجح،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النبوّات و الشرائع داخلان في العدل، لأنّه كلام في أنّه تعالى إذا علم أنّ صلاحنا في بعثة الرُّسل و أن نتعبّد بالشريعة، وجب أن يبعث و نتعبّد، و من العدل أن لا يُخلّ بما هو 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الوعد و الوعيد داخل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كلام في أنّه تعالى إذا وعد المطيعين بالثّواب، و توعّد العصاة بالعقاب فلا بدّ من أن يفعل و لا يخلف في وعده و لا في وعيده، و من العدل أن لا يُخلف و لا يكذب، و كذلك المنزلة بين المنزلتين داخل في باب العدل، لأنّه كلام في أنّ اللّٰه تعالى إذا علم أنّ صلاحنا في أن يتعبّدنا بإجراء أسماء و أحكام على المكلّفين وجب أن يتعبّدنا به، و من العدل أن لا يُخلّ بالواجب و كذا الكلام في الأمر بالمعروف و النهي عن </w:t>
      </w:r>
    </w:p>
    <w:p>
      <w:pPr>
        <w:pStyle w:val="BookText"/>
        <w:rPr/>
      </w:pPr>
      <w:r>
        <w:rPr>
          <w:rFonts w:ascii="Amiri" w:hAnsi="Amiri" w:eastAsia="Amiri" w:cs="Amiri"/>
          <w:color w:val="111111"/>
          <w:sz w:val="28"/>
          <w:sz w:val="28"/>
          <w:szCs w:val="28"/>
          <w:rtl w:val="true"/>
          <w:lang w:bidi="ar-SA"/>
        </w:rPr>
        <w:t xml:space="preserve">المنكر، فالأولى أن يقتصر على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إدخال المنزلة بين المنزلتين في باب العدل، حسب البيان الّذي سمعت، لصحّ إدخال المعارف العقليّة كلّها تحته بنفس البيان، بأن يقال إنّ اللّٰه تعالى إذا علم أنّ صلاحنا أن يتعبّدنا بالمعارف وجب أن يتعبّدنا بها، و من العدل أن لا يُخلّ بالواجب، و لا أرى أنّ واحداً من المعتزلة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الاعتقاديّة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يجب الاعتقاد به بنفس عنوانه و لا يكفي الاعتقاد بالجامع البعيد الّذي يشمله، و ذلك كالاعتقاد بنبوّة النّبيّ الأكرم صلى الله عليه و آله و سلم و عموميّة رسالته و خاتميتها، فالكلّ ممّا تجب معرفته بنفس عنوانه و لا يكفي في معرفته عرفان عدله سبحانه، بحجّة أنّ النبوّات و الشرائع داخلة تحته، فمن عرف اللّٰه سبحانه بالعدل كفى في معرفة ما يقع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المعارف العقليّة الّتي يستقلّ العقل بعنوانها من مقولة القسم الأوّل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آخر يكفي فيه الاعتقاد بالعنوان البعيد و لا يلزم الاعتقاد بشخصه، كالاعتقاد ببعض الخصوصيّات الواردة في الحياة البرزخيّة و الأُخروية</w:t>
      </w:r>
      <w:r>
        <w:rPr>
          <w:rFonts w:eastAsia="Amiri" w:cs="Amiri" w:ascii="Amiri" w:hAnsi="Amiri"/>
          <w:color w:val="111111"/>
          <w:sz w:val="28"/>
          <w:szCs w:val="28"/>
          <w:rtl w:val="true"/>
          <w:lang w:bidi="ar-SA"/>
        </w:rPr>
        <w:t>.</w:t>
      </w:r>
      <w:bookmarkStart w:id="641" w:name="pg11536_164223"/>
    </w:p>
    <w:p>
      <w:pPr>
        <w:pStyle w:val="Heading6"/>
        <w:numPr>
          <w:ilvl w:val="5"/>
          <w:numId w:val="1"/>
        </w:numPr>
        <w:rPr/>
      </w:pPr>
      <w:bookmarkStart w:id="642" w:name="__RefHeading___Toc3907735_73709187"/>
      <w:bookmarkStart w:id="643" w:name="_Toc235"/>
      <w:bookmarkEnd w:id="641"/>
      <w:bookmarkEnd w:id="642"/>
      <w:r>
        <w:rPr/>
        <w:t>2</w:t>
      </w:r>
      <w:r>
        <w:rPr>
          <w:rtl w:val="true"/>
        </w:rPr>
        <w:t xml:space="preserve"> - </w:t>
      </w:r>
      <w:r>
        <w:rPr>
          <w:rtl w:val="true"/>
        </w:rPr>
        <w:t>ما يلزم المكلّف عرفانه من أُصول الدين</w:t>
      </w:r>
      <w:bookmarkEnd w:id="643"/>
    </w:p>
    <w:p>
      <w:pPr>
        <w:pStyle w:val="BookText"/>
        <w:rPr/>
      </w:pPr>
      <w:r>
        <w:rPr>
          <w:rFonts w:ascii="Amiri" w:hAnsi="Amiri" w:eastAsia="Amiri" w:cs="Amiri"/>
          <w:color w:val="111111"/>
          <w:sz w:val="28"/>
          <w:sz w:val="28"/>
          <w:szCs w:val="28"/>
          <w:rtl w:val="true"/>
          <w:lang w:bidi="ar-SA"/>
        </w:rPr>
        <w:t xml:space="preserve">عرّف المتكلّمون أُصول الدين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الاعتقاد به على وجه التفصيل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يقابلها الفروع فهي ما يجب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القاضي أنّه يجب على كلّ مسلم، عالماً كان أو غيره، الاعتقاد بالأُصول الخمسة أمّا التوحيد و العدل فذلك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ترك الاعتقاد بالتوحيد و العدل مظنّة الضرر و يخاف الإنسان من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لطف في أداء الواجبات و اجتناب المقبّحات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الأُصول الأُخر فيجب الاعتقاد بها، لأنّ العلم بكمال التوحيد و العدل موقوف على ذلك، أ لا ترى أنّ من جوّز على اللّٰه تعالى في وعده و وعيده الخلف و الإخلال بما يجب عليه من إزاحة علّة المكلّفين و غيره فإنّه لا يتكامل له العلم بالعدل، و لا فرق في ذلك بين من يسلك طريقة العلماء و بين من لا يكون كذلك، لأنّ العامي أيضاً يلزمه معرفة هذه الأُصول على سبيل الجملة، و إن لم يلزمه معرفتها على سبيل التفصيل، لأنّ من لم يعرف هذه الأُصول، لا على الجملة، و لا على التفصيل، لم يتكامل علمه بالتوحيد و العدل</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يلاحظ عليه</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بلزوم معرفة الأُصول الخمسة على النحو </w:t>
      </w:r>
      <w:bookmarkStart w:id="644" w:name="pg11536_164224"/>
    </w:p>
    <w:p>
      <w:pPr>
        <w:pStyle w:val="BookText"/>
        <w:rPr/>
      </w:pPr>
      <w:bookmarkEnd w:id="644"/>
      <w:r>
        <w:rPr>
          <w:rFonts w:ascii="Amiri" w:hAnsi="Amiri" w:eastAsia="Amiri" w:cs="Amiri"/>
          <w:color w:val="111111"/>
          <w:sz w:val="28"/>
          <w:sz w:val="28"/>
          <w:szCs w:val="28"/>
          <w:rtl w:val="true"/>
          <w:lang w:bidi="ar-SA"/>
        </w:rPr>
        <w:t>الّذي تسرده المعتزلة قول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النبيّ الأكرم صلى الله عليه و آله و سلم كان يقبل إسلام من شهد الشهادتين و إن لم يشهد على بعض هذه الأُصول، و معنى الشهادة الثانية هو التصديق بكلّ ما جاء به و هذا يكفي في تسمية الشاهد مسلماً إذا اعترف بلسانه، و مؤمناً إذا اعترف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فلا يلزم عرفان هذه الأُصول، لا على وجه التفصيل أي بالبرهنة و الاستدلال، و لا على وجه الإجمال أي تلقّيها أُصولاً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ما ذكره من البيان بطل الاقتصار على الأُصول الخمسة، لأنّ الاعتقاد بالنبوّات و الشرائع و المعاد و حشر الأجساد ممّا يتكامل به العلم بالعدل، فمن لم يعرفها، لا على وجه الجملة و لا على وجه التفصيل، لم يتكامل اعتقاده بالتوحيد و العدل، و قس عليه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يمكن أن يقال في المقام أنّ ما يجب تحصيله من هذه الأُصول الخمسة هو وجوب معرفة وحدانيّته على الوجه اللائق به، و أمّا الأُصول الأربعة فلا دليل على وجوب عرفانها بعينها استدلالاً أو تعبّداً</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3907737_73709187"/>
      <w:bookmarkStart w:id="646" w:name="_Toc236"/>
      <w:bookmarkEnd w:id="645"/>
      <w:r>
        <w:rPr/>
        <w:t>3</w:t>
      </w:r>
      <w:r>
        <w:rPr>
          <w:rtl w:val="true"/>
        </w:rPr>
        <w:t xml:space="preserve"> - </w:t>
      </w:r>
      <w:r>
        <w:rPr>
          <w:rtl w:val="true"/>
        </w:rPr>
        <w:t>سبب الاقتصار على الأُصول الخمسة</w:t>
      </w:r>
      <w:bookmarkEnd w:id="64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تعرّفت على أنّه لا وجه للاقتصار على الأُصول الخمسة، لما مرّ من أنّ أمر النبوّات و الشرائع و المعاد أولى بأن يعدّ من الأُصول، غير أنّ القاضي حاول أن يبيّن وجه الاقتصار على الخمسة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المخالف في هذه </w:t>
      </w:r>
    </w:p>
    <w:p>
      <w:pPr>
        <w:pStyle w:val="BookText"/>
        <w:rPr/>
      </w:pPr>
      <w:r>
        <w:rPr>
          <w:rFonts w:ascii="Amiri" w:hAnsi="Amiri" w:eastAsia="Amiri" w:cs="Amiri"/>
          <w:color w:val="111111"/>
          <w:sz w:val="28"/>
          <w:sz w:val="28"/>
          <w:szCs w:val="28"/>
          <w:rtl w:val="true"/>
          <w:lang w:bidi="ar-SA"/>
        </w:rPr>
        <w:t>الأُصول ربّما كفر و ربّما فسق و ربّما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خالف في التوحيد و نفى عن اللّٰه تعالى ما يجب إثباته، و أثبت ما يجب نفيه عنه، فإنّه يكون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خالف في العدل و أضاف إلى اللّٰه تعالى القبائح كلّها من الظّلم و الكذب و إظهار المعجزات على الكذّابين و تعذيب أطفال المشركين بذنوب آبائهم و الإخلال بالواجب، فإنّه يكفر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خالف في الوعد و الوعيد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ما وعد المطيعين بالثواب، و لا توعّد العاصين بالعقاب البتّة، فإنّه يكون كافراً، لأنّه ردّ ما هو معلوم ضرورة من دين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وعد و توعّد و لكن يجوز أن يخلف في وعيده، لأنّ الخلف في الوعيد كرم، فإنّه يكون كافراً لإضافة القبيح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وعد و توعّد، و لا يجوز أن يخلف في وعده و وعيده، و لكن يجوز أن يكون في عمومات الوعيد شرط أو استثناء لم يبيّنه اللّٰه تعالى، فإنّه يكون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خالف في المنزلة بين المنزلتين،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صاحب الكبيرة حكم عبدة الأوثان و المجوس و غيرهم فإنّه يكون كافراً، لأنّا نعلم خلافه من دين النبيّ و الأُمّة ضرورة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حكم المؤمن في التعظيم و الموالاة في اللّٰه تعالى، فإنّه </w:t>
      </w:r>
    </w:p>
    <w:p>
      <w:pPr>
        <w:pStyle w:val="BookText"/>
        <w:rPr/>
      </w:pPr>
      <w:r>
        <w:rPr>
          <w:rFonts w:ascii="Amiri" w:hAnsi="Amiri" w:eastAsia="Amiri" w:cs="Amiri"/>
          <w:color w:val="111111"/>
          <w:sz w:val="28"/>
          <w:sz w:val="28"/>
          <w:szCs w:val="28"/>
          <w:rtl w:val="true"/>
          <w:lang w:bidi="ar-SA"/>
        </w:rPr>
        <w:t>يكون فاسقاً، لأنّه خرق إجماعاً مصرّحاً به على معنى أنّه أنكر ما يعلم ضرورة من دين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حكمه حكم المؤمن و لا حكم الكافر و لكن أُسمّيه مؤمناً، فإنّه يكون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خالف في الأمر بالمعروف و النهي عن المنكر أصلاً،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 يكلّف الأمر بالمعروف و النهي عن المنكر أصلاً، فإنّه يكون كافراً، لأنّه ردّ ما هو معلوم ضرورة من دين النبيّ و دين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ورد به التكليف، و لكنّه مشروط بوجود الإمام فإنّه يكون مخطئاً</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الوجوه الثلاثة من الكفر و الفسق و الخطاء، لا تختصّ بهذه الخمسة، فهناك أُصول حالها حال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منكر نبوّة النبيّ الأعظم صلى الله عليه و آله و سلم أو عالميّة رسالته أو خاتميّتها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منكر عصمته بلا شبهة فاسق، و معها مخطئ</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وجه آخر لتخصيص الخمسة من الأُصول بالذكر أشار إليه القاضي في كلامه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خلاف المخالفين لنا لا يعدو أحد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خلاف الملحدة و المعطّلة و الدهرية و المشبّهة قد دخل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المجبّرة بأسرهم دخل في باب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خلاف المرجئة </w:t>
      </w:r>
    </w:p>
    <w:p>
      <w:pPr>
        <w:pStyle w:val="BookText"/>
        <w:rPr/>
      </w:pPr>
      <w:r>
        <w:rPr>
          <w:rFonts w:ascii="Amiri" w:hAnsi="Amiri" w:eastAsia="Amiri" w:cs="Amiri"/>
          <w:color w:val="111111"/>
          <w:sz w:val="28"/>
          <w:sz w:val="28"/>
          <w:szCs w:val="28"/>
          <w:rtl w:val="true"/>
          <w:lang w:bidi="ar-SA"/>
        </w:rPr>
        <w:t>دخل في باب 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الخوارج دخل تحت 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الإماميّة دخل في باب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هذا الوجه و إن صحّح سبب الاقتصار على الخمسة، لكنّه يدلّنا على شيء آخر غريب في باب العقائد و الأُصول، و هو أن السابر في كتب الحنابلة و الأشاعرة و المعتزلة يقف بوضوح على أنّ أكثر الأُصول الّتي اتّخذتها الطوائف الإسلاميّة أُصولاً عقائدية ليست إلّا أُصولاً كلاميّة ناتجة من المعارك العلمية، و ليست أُصولاً للدين،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على كلِّ مؤمن الإيمان به بالتفصيل و البرهنة أو بالإجمال و إن لم يقترن بالبرهان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الأُصول الخمسة الّتي يتبنّاها المعتزلة مؤلّفة من أُمور تعدُّ من أُصول الدين كالتوحيد و العدل على وجه، و من أُصول كلاميّة أنتجوها من البحث و النقاش، و أقحموها في الأُصول لغاية ردّ الفرق المخالفة الّتي لا توافقهم في هذه المسائل الكلاميّة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ذاك يستنتج القارئ أنّ ما اتّخذته المعتزلة من الأُصول، و جعلته في صدر آرائها ليست إلّا آراء كلاميّة لهذه الفرقة، تظاهروا بها للردّ على المجبّرة و المشبّهة و المرجئة و الإمامية و غيرهم من الفرق على نحو لو لا تلكم الفرق لما سمعت من هذه الأُصول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هذه أوّل قارورة كسرت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السلفيّين و أهل الحديث و الحنابلة و بعدهم </w:t>
      </w:r>
    </w:p>
    <w:p>
      <w:pPr>
        <w:pStyle w:val="BookText"/>
        <w:rPr/>
      </w:pPr>
      <w:r>
        <w:rPr>
          <w:rFonts w:ascii="Amiri" w:hAnsi="Amiri" w:eastAsia="Amiri" w:cs="Amiri"/>
          <w:color w:val="111111"/>
          <w:sz w:val="28"/>
          <w:sz w:val="28"/>
          <w:szCs w:val="28"/>
          <w:rtl w:val="true"/>
          <w:lang w:bidi="ar-SA"/>
        </w:rPr>
        <w:t xml:space="preserve">الأشاعرة ذهبوا هذا المذهب فقاموا بتنظيم قائمة بيّنوا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الّذي يقولون به، و ديانتهم الّتي يدينون بها</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مذاهب أهل العلم و أصحاب الأثر و أهل السنّة، فمن خالف شيئاً منها في هذه المذاهب أو طعن فيها، أو عاب قائلها فهو مخالف مبتدع و خارج عن الجماعة، زائل عن منهج أهل السنّة و سبيل الحقّ</w:t>
      </w:r>
      <w:r>
        <w:rPr>
          <w:rFonts w:eastAsia="Amiri" w:cs="Amiri" w:ascii="Amiri" w:hAnsi="Amiri"/>
          <w:color w:val="111111"/>
          <w:sz w:val="28"/>
          <w:szCs w:val="28"/>
          <w:rtl w:val="true"/>
          <w:lang w:bidi="ar-SA"/>
        </w:rPr>
        <w:t>».</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و في الوقت نفسه إنّ أكثر ما جاء في قائمتي الشيخين أُصول كلاميّة نتجت من البحث و النزاع، وصفت لدى الشيخين بعد عراك، و من تلك الأُصول القول بقدم القرآن و كونه غير مخلوق، مع تصريح أئمّة الحديث بعدم ورود نصّ في ذلك من الرسول و منها كون خير الأُمّة الخلفاء الراشدين و يتفاضلون بحسب تقدّم تصدّيهم للخلافة، فالأوّل منهم هو الأفضل ثمّ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هذا أنّ الأُصول الّتي يدين بها أهل السنّة لم تكن منتظمة و لا مرتّبة في عصر الرسول و الصحابة و لا التابعين، و إنّما انتظمت بعد احتكاك الآراء و اختلاف الأفكار حتّى أنتج البحث و النقاش هذه الأُصول و الكلّيات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ذا من العجب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الأُصول الّتي يدين بها أهل الحديث و الأشاعرة هي الّتي مزّقت الأُمّة الواحدة تمزيقاً، و صيّرتها فرقاً شتى، و ما هذا إلّا لأجل إصرارهم على أنّ هذه الأُصول أُصول الديانة، و الزائل عنها خارج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w:t>
      </w:r>
    </w:p>
    <w:p>
      <w:pPr>
        <w:pStyle w:val="BookText"/>
        <w:rPr/>
      </w:pPr>
      <w:r>
        <w:rPr>
          <w:rFonts w:ascii="Amiri" w:hAnsi="Amiri" w:eastAsia="Amiri" w:cs="Amiri"/>
          <w:color w:val="111111"/>
          <w:sz w:val="28"/>
          <w:sz w:val="28"/>
          <w:szCs w:val="28"/>
          <w:rtl w:val="true"/>
          <w:lang w:bidi="ar-SA"/>
        </w:rPr>
        <w:t>وسعهم التفريق بين الأُصول العقائدية الّتي لا منتدح لمسلم من عرفانها و الإيمان بها إجمالاً أو تفصيلاً، و الأُصول الكلاميّة الّتي وصل إليها البحث الكلامي بفضل النقاش في ضوء الكتاب و السنّة و البرهان العقلي القائم على أُصول موضوعية مبرهنة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تتجلّى عندك حقيقة ناصعة و هي أنّ أكثر الفرق الّتي عدّها أصحاب الملل و النحل و المقالات فرقاً إسلاميّة، فإنّما هي فرق كلامية و ليست فرقاً دينية إسلاميّة داخلة في الثلاث و السبعين فرقة بحيث تكون الواحدة منها ناجية و البواقي هلكى، لأنّ الإذعان بحكم مرتكب الكبيرة ليس ملاكاً للنجاة و الهلاك حتّى تكون فرقة منهم من أهل النجاة و غيرهم من أهل النار، و يكون الإيمان منوطاً بالإذعان به، و عدم الإيمان موجباً للخروج عنها، بل أقصى ما يقال في حقّ هذه الأُصول أنّها أُصول حقّة صحيحة دلّ على صحّتها الدليل، و لكن ليس كلّ حقّ ممّا يجب الإذعان به أو يؤاخذ على عدم الاعتقاد به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الشيخ أبو جعفر الطحاوي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رسالة حول عقيدة أهل السنّة تشتمل على مائة و خمسة أُصول زعم أنّها عقيدة الجماعة و السنّة على مذهب فقهاء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حنيفة، و أبي يوسف يعقوب بن إبراهيم الأنصاري، و أبي عبد اللّه محمّد بن الحسن الشيباني</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 قد كتب على هذه الرسالة شروح و تعاليق، و احتلّت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للأسف أنّ كلّ أصل من الكتابين ردّ على فرقة 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الأُصول الإسلاميّة عبارة عن عدّة أُصول يرد بكلِّ أصل ملّة و نحلة، كالملاحدة و المجبِّرة و القدرية و الرافضة من الفرق الكلامية الّتي أنجبتها الأبحاث و التيّارات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وقفت بعد ما حرّرته على ما نقلته المستشرقة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سوسنه ديفلد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المرتضى عن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يفهم إحدى العقائد السنّية فعليه أن يستحضر في خاطره أنّ كلّ جملة منها إنّما هي ردّ على إحدى الفرق المخالفة لها من الشيعة و الخوارج و المرجئة و الجهمية و المعتزلة، و لقد تشكّلت عقيدة أهل السنّة بردّ الفرق الضالّة الّتي لم تسمّ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غلبة أصحاب السنّة و الجماعة</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فواجب على الباحث المنصف الّذي يبتغي الحقيقة، التفكيك بين أُصول الدين و الأُصول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تحصل الوحدة بين الأُمّة أو تقرّب الخطى بين الفرق، و يقلّ التشاحّ و النزاع المؤدّي إلى الهلاك</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فلنأخذ بتفصيل الأُصول الخمسة واحداً بعد آخر</w:t>
      </w:r>
      <w:r>
        <w:rPr>
          <w:rFonts w:eastAsia="Amiri" w:cs="Amiri" w:ascii="Amiri" w:hAnsi="Amiri"/>
          <w:color w:val="111111"/>
          <w:sz w:val="28"/>
          <w:szCs w:val="28"/>
          <w:rtl w:val="true"/>
          <w:lang w:bidi="ar-SA"/>
        </w:rPr>
        <w:t xml:space="preserve">: </w:t>
      </w:r>
      <w:bookmarkStart w:id="647" w:name="pg11536_164231"/>
    </w:p>
    <w:p>
      <w:pPr>
        <w:pStyle w:val="Heading4"/>
        <w:numPr>
          <w:ilvl w:val="3"/>
          <w:numId w:val="1"/>
        </w:numPr>
        <w:rPr/>
      </w:pPr>
      <w:bookmarkStart w:id="648" w:name="__RefHeading___Toc3907739_73709187"/>
      <w:bookmarkStart w:id="649" w:name="_Toc237"/>
      <w:bookmarkEnd w:id="647"/>
      <w:bookmarkEnd w:id="648"/>
      <w:r>
        <w:rPr>
          <w:rtl w:val="true"/>
        </w:rPr>
        <w:t>الأصل الأوّل</w:t>
      </w:r>
      <w:r>
        <w:rPr>
          <w:rtl w:val="true"/>
        </w:rPr>
        <w:t xml:space="preserve">: </w:t>
      </w:r>
      <w:r>
        <w:rPr>
          <w:rtl w:val="true"/>
        </w:rPr>
        <w:t>التوحيد</w:t>
      </w:r>
      <w:bookmarkEnd w:id="649"/>
    </w:p>
    <w:p>
      <w:pPr>
        <w:pStyle w:val="Heading5"/>
        <w:numPr>
          <w:ilvl w:val="4"/>
          <w:numId w:val="1"/>
        </w:numPr>
        <w:rPr/>
      </w:pPr>
      <w:bookmarkStart w:id="650" w:name="__RefHeading___Toc3907741_73709187"/>
      <w:bookmarkStart w:id="651" w:name="_Toc238"/>
      <w:bookmarkEnd w:id="650"/>
      <w:r>
        <w:rPr>
          <w:rtl w:val="true"/>
        </w:rPr>
        <w:t>اشارة</w:t>
      </w:r>
      <w:bookmarkEnd w:id="651"/>
    </w:p>
    <w:p>
      <w:pPr>
        <w:pStyle w:val="BookText"/>
        <w:rPr/>
      </w:pPr>
      <w:r>
        <w:rPr>
          <w:rFonts w:ascii="Amiri" w:hAnsi="Amiri" w:eastAsia="Amiri" w:cs="Amiri"/>
          <w:color w:val="111111"/>
          <w:sz w:val="28"/>
          <w:sz w:val="28"/>
          <w:szCs w:val="28"/>
          <w:rtl w:val="true"/>
          <w:lang w:bidi="ar-SA"/>
        </w:rPr>
        <w:t xml:space="preserve">عرِّف التوحيد في مصطلح المتكلّمين بأنّه العلم بأنّ اللّٰه سبحانه واحد لا يشاركه غيره في الذات و الصفات و الأفعال و العبادة و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يصلح للبحث عنه في هذا الأصل عبارة عن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وجوده سبحانه في مقابل الدهريّة و الماديّة القائلين بأصالة المادّة و قدمها و غناها في الفعل و الانفعال و إيجاد الأنواع عن قدرة خارجة عن نطاقها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سبحانه واحد لا ثاني له، بسيط لا جزء له، فهو الواحد الأحد، خلافاً للثنويّة و المانويّة في الواحديّة، و للنصارى في الأحديّة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عرفان صفاته سبحانه سواء أ كانت من صفات الذات ككونه عالماً قادراً حيّاً سميعاً بصيراً مدركاً، أم من صفات الأفعال ككونه خالقاً رازقاً غافراً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استحقاقه لهذه الصفات و تبيّن وجه حملها عليه سبحانه، فهل تحمل عليه كحملها على سائر الممكنات أو لا؟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تنزيهه سبحانه عمّا لا يليق به كالحاجة و كونه جسماً أو جسمانيّاً، عرضاً أو جوهراً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تنزيهه سبحانه عن إمكان الرؤية الّتي يتبنّاها أهل الحديث و الأشاعرة بحماس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 هذه الأبحاث الستّة صالحة للبحث في هذا الأصل، لكن نرى أنّ المعتزلة يركّزون على البحث عن الرابع و السادس أكثر من غيرهما، و يمرّون على الأبحاث الباقية مروراً إجمالياً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أهل الحديث و الأشاعرة متّفقون معهم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يؤيّد ما ذكرنا من أنّ الأُصول العقائدية إنّما رتّبت و نظمت بين كلّ فرقة لأجل الردّ على مخالفيها لا لبيان الأُصول الّتي يناط بها الإسلام و الإيمان في عصر النبيّ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صار التوحيد عند المعتزلة رمزاً للتنزيه، فكلّما أطلقت هذه الكلمة، انصرفت أذهانهم إلى تنزيهه سبحانه عمّا لا يليق به في باب الصفات و مجال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أنّهم ينفون الصفات الزائدة على ذاته سبحانه، و تثبته الأشاعرة و قبلهم أهل الحديث، صارت الصفاتية شعاراً لهذه الفرقة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ذلك فلنركّز على النقاط الّتي يرجى تبيينها في زاوية فكر الاعتزال و نطوي الكلام عن غيرها لعدم الخلاف، فنقول</w:t>
      </w:r>
      <w:r>
        <w:rPr>
          <w:rFonts w:eastAsia="Amiri" w:cs="Amiri" w:ascii="Amiri" w:hAnsi="Amiri"/>
          <w:color w:val="111111"/>
          <w:sz w:val="28"/>
          <w:szCs w:val="28"/>
          <w:rtl w:val="true"/>
          <w:lang w:bidi="ar-SA"/>
        </w:rPr>
        <w:t xml:space="preserve">: </w:t>
      </w:r>
      <w:bookmarkStart w:id="652" w:name="pg11536_164233"/>
    </w:p>
    <w:p>
      <w:pPr>
        <w:pStyle w:val="BookText"/>
        <w:rPr/>
      </w:pPr>
      <w:bookmarkEnd w:id="652"/>
      <w:r>
        <w:rPr>
          <w:rFonts w:ascii="Amiri" w:hAnsi="Amiri" w:eastAsia="Amiri" w:cs="Amiri"/>
          <w:color w:val="111111"/>
          <w:sz w:val="28"/>
          <w:sz w:val="28"/>
          <w:szCs w:val="28"/>
          <w:rtl w:val="true"/>
          <w:lang w:bidi="ar-SA"/>
        </w:rPr>
        <w:t>إنّ البحث عن صفاته سبحانه يتمركز على نقاط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كيفيّة استحقاقه سبحانه لصفاته الكماليّة و حملها عليه، فهل هذه الصفات حادثة أو قديمة، زائدة على الذات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كيفية حمل الصفات الخبرية عليه الواردة في الذكر الحكيم من اليد و الوجه و العين، فهل تحمل على اللّٰه سبحانه بظواهرها الحرفيّة كما عليه السلفية و الأشاعرة، أو تحمل عليه بظواهرها التصديقيّة، أو لا هذا و لا ذاك بل تؤوّل لقرائن عقليّة؟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الرؤية الحسية الّتي يدّعيها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إلى تبيين النقطة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كيفيّة حمل الصفات عليه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3907743_73709187"/>
      <w:bookmarkStart w:id="654" w:name="_Toc239"/>
      <w:bookmarkEnd w:id="653"/>
      <w:r>
        <w:rPr>
          <w:rtl w:val="true"/>
        </w:rPr>
        <w:t xml:space="preserve">أ </w:t>
      </w:r>
      <w:r>
        <w:rPr>
          <w:rtl w:val="true"/>
        </w:rPr>
        <w:t xml:space="preserve">- </w:t>
      </w:r>
      <w:r>
        <w:rPr>
          <w:rtl w:val="true"/>
        </w:rPr>
        <w:t>نفي الصفات الزائدة على ذاته</w:t>
      </w:r>
      <w:bookmarkEnd w:id="654"/>
    </w:p>
    <w:p>
      <w:pPr>
        <w:pStyle w:val="Heading6"/>
        <w:numPr>
          <w:ilvl w:val="5"/>
          <w:numId w:val="1"/>
        </w:numPr>
        <w:rPr/>
      </w:pPr>
      <w:bookmarkStart w:id="655" w:name="__RefHeading___Toc3907745_73709187"/>
      <w:bookmarkStart w:id="656" w:name="_Toc240"/>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اتّفق أهل الحديث و الكلابيّة و تبعهم الشيخ الأشعري على أنّ للّٰه سبحانه صفات ذات كماليّة قديمة، زائدة على ذاته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عند الكلابيّة إنّه تعالى يستحقّ هذه الصفات لمعان أزليّة، و أراد بالأزلي القديم، إلّا أنّه لمّا رأى المسلمين متّفقين على أنّه لا قديم مع اللّٰه تعالى لم يتجاسر على إطلاق القول بذلك، ثمّ نبغ الأشعري و أطلق القول بأنّه تعالى يستحقُّ هذه الصفات لمعان قديمة لوقاحته و قلّة مبالاته </w:t>
      </w:r>
      <w:bookmarkStart w:id="657" w:name="pg11536_164234"/>
    </w:p>
    <w:p>
      <w:pPr>
        <w:pStyle w:val="BookText"/>
        <w:rPr/>
      </w:pPr>
      <w:bookmarkEnd w:id="657"/>
      <w:r>
        <w:rPr>
          <w:rFonts w:ascii="Amiri" w:hAnsi="Amiri" w:eastAsia="Amiri" w:cs="Amiri"/>
          <w:color w:val="111111"/>
          <w:sz w:val="28"/>
          <w:sz w:val="28"/>
          <w:szCs w:val="28"/>
          <w:rtl w:val="true"/>
          <w:lang w:bidi="ar-SA"/>
        </w:rPr>
        <w:t>بالإسلام و المسلمين</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 رائدهم في هذه العقيدة هو الظواهر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تَحْمِلُ مِنْ أُنْثىٰ وَ لاٰ تَضَعُ إِلاّٰ بِعِلْمِهِ</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 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اَلْقُوَّةِ اَلْمَتِينُ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ظواهر هذه الآيات تعرب عن أنّ هنا ذاتاً و لها علم و لها قدرة كلاهما يغايران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كانا نفس ذاته لما صحّ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سائر الآيات الظاهرة في مغايرة الصفات للذات</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هذا دليل أهل الحديث و الكلابيّة و الأشاعرة و نرجع إلى تبيين مفاد الآيات بعد الفراغ من دليل المعتزلة</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907747_73709187"/>
      <w:bookmarkStart w:id="659" w:name="_Toc241"/>
      <w:bookmarkEnd w:id="658"/>
      <w:r>
        <w:rPr>
          <w:rtl w:val="true"/>
        </w:rPr>
        <w:t>تثنية القديم في نظريّة أهل الحديث</w:t>
      </w:r>
      <w:bookmarkEnd w:id="65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النظريّة الّتي يتبنّاها أهل الحديث اغتراراً بظواهر النصوص، تؤدّي إلى تعدّد القديم المنتهي إلى تعدّد الواجب حسب عدد الصفات، و أيّ ثنويّة أسوأ من هذه؟ فلو قالت الثنويّة بأصلين أزليّين هما النور و الظلمة، و قالت المانويّة بأنّ العالم مركّب من أصلين قديمين أحدهما نور </w:t>
      </w:r>
    </w:p>
    <w:p>
      <w:pPr>
        <w:pStyle w:val="BookText"/>
        <w:rPr/>
      </w:pPr>
      <w:r>
        <w:rPr>
          <w:rFonts w:ascii="Amiri" w:hAnsi="Amiri" w:eastAsia="Amiri" w:cs="Amiri"/>
          <w:color w:val="111111"/>
          <w:sz w:val="28"/>
          <w:sz w:val="28"/>
          <w:szCs w:val="28"/>
          <w:rtl w:val="true"/>
          <w:lang w:bidi="ar-SA"/>
        </w:rPr>
        <w:t>و الآخر ظلمة، أو قالت النصارى بالأقانيم الثلاثة فقد قال هؤلاء الأشاعرة بقدماء كثيرين بحسب تعدّد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أنّ الحافز على التركيز على نفي الصفات الزائدة، هو التحفّظ على التوحيد و وحدانيّة الواجب و القديم، و نفي المثيل و النظير له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المحتمل عند البعض أنّ المعتزلة أرادوا بهذا، الردّ على فكرة الأقانيم لدى النصارى، فإنّ القول بأنّ الذات الإلهيّة جوهر يتقوّم بأقانيم أي صفات هي الوجود و العلم و الحياة، قد أدى إلى الاعتقاد باستقلال الأقانيم عن الجوهر، و إلى اعتبار الصفات أشخاصاً، و إلى تجسّد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الاقنوم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اقنوم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فلمواجهة هذا الاعتقاد نفى المعتزلة وصف اللّٰه بأنّه جوهر و اعتبروا الصفات هي الذات غير مغايرة لها، فصفات اللّٰه ليست حقائق مستقلّة و إنّما هي اعتبارات ذهنيّة، و يمكن أن تختلف وجوه الاعتبارات في النظر إلى الشيء الواحد دون أن يلزم من ذلك التعدّد في ذاته، فيقال عالم و نعني إثبات علم هو ذاته، و نفي الجهل عن ذاته،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و نعني إثبات ذاته و نفي العجز، فاللّٰه حيّ عالم قادر بذاته لا بحياة و علم و قدرة زائدة على ذاته</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يصح لو كانت الصفات الذاتيّة منحصرة في </w:t>
      </w:r>
      <w:bookmarkStart w:id="660" w:name="pg11536_164236"/>
    </w:p>
    <w:p>
      <w:pPr>
        <w:pStyle w:val="BookText"/>
        <w:rPr/>
      </w:pPr>
      <w:bookmarkEnd w:id="660"/>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القدرة و الحياة حتّى يقال إنّ الهدف من القول بالعينيّة نفي توهّم التثليث، بل الصفات الذاتية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تفسير عقيدة المعتزلة في باب الصفات بأنّها ليست حقائق مستقلّة و إنّما هي اعتبارات ذهنيّة، غير تامّة ناشئة من تفسير خصومهم بما ذكر، بل الحقُّ أنّ مرادهم هو أنّ واقعيّة خارجيّة بسيطة تجمع هذه الواقعيات ببساطتها و وحدتها، لا أنّها اعتبارات ذهنيّة، و ليست للصفات واقعيّة خارجية، فإنّه لا ينطبق إلّا على القول بالنيابة</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907749_73709187"/>
      <w:bookmarkStart w:id="662" w:name="_Toc242"/>
      <w:bookmarkEnd w:id="661"/>
      <w:r>
        <w:rPr>
          <w:rtl w:val="true"/>
        </w:rPr>
        <w:t>محاولة الأشاعرة لتصحيح تثنية القديم</w:t>
      </w:r>
      <w:bookmarkEnd w:id="662"/>
    </w:p>
    <w:p>
      <w:pPr>
        <w:pStyle w:val="BookText"/>
        <w:rPr/>
      </w:pPr>
      <w:r>
        <w:rPr>
          <w:rFonts w:ascii="Amiri" w:hAnsi="Amiri" w:eastAsia="Amiri" w:cs="Amiri"/>
          <w:color w:val="111111"/>
          <w:sz w:val="28"/>
          <w:sz w:val="28"/>
          <w:szCs w:val="28"/>
          <w:rtl w:val="true"/>
          <w:lang w:bidi="ar-SA"/>
        </w:rPr>
        <w:t>لمّا كان ما استند إليه أهل الاعتزال من البرهان في نفي الصفات الزائدة برهاناً دامغاً قاطعاً للنزاع، حاول أهل التفكير من الأشاعرة نقده، و لكن أتوا بالعجب العجاب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القاضي عضد الدين الإيجي يجيب عن البرهان في مواقفه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الكفر إثبات ذوات قديمة لا ذات و صفات</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 قد أقرّه شارحه الشريف الجرجاني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الوهن بمكان، إذ هو أشبه بتخصيص القاعدة العقليّة، و القاعدة العقليّة لا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الذات و الوصف حتّى يكون القول بتعدّد الأوّل موجباً للكفر دون الثاني، مع أنّ ملاك الكفر موجود في كلا الموضعين، فإنّ القول بتعدّد القدماء قول بتعدّد </w:t>
      </w:r>
    </w:p>
    <w:p>
      <w:pPr>
        <w:pStyle w:val="BookText"/>
        <w:rPr/>
      </w:pPr>
      <w:r>
        <w:rPr>
          <w:rFonts w:ascii="Amiri" w:hAnsi="Amiri" w:eastAsia="Amiri" w:cs="Amiri"/>
          <w:color w:val="111111"/>
          <w:sz w:val="28"/>
          <w:sz w:val="28"/>
          <w:szCs w:val="28"/>
          <w:rtl w:val="true"/>
          <w:lang w:bidi="ar-SA"/>
        </w:rPr>
        <w:t>الواجب، قول بتعدد الغنيّ بالذات المستغني عن غيره، قول بتعدّد من يكون وجوده عن ذاته لا عن غيره، و هذا كلّه من صفات الباري عزّ اسمه، فلو كانت صفاته غير ذاته و كانت قديمة، تكون واجبة غنيّة عن كلّ شيء، واجدة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محاولة ثانية للتخلّص عن تعدّد القدماء و هي القول بأنّ الصفات لا هو و لا غيره،</w:t>
      </w:r>
      <w:r>
        <w:rPr>
          <w:rStyle w:val="FootnoteAnchor"/>
          <w:rtl w:val="true"/>
        </w:rPr>
        <w:footnoteReference w:id="742"/>
      </w:r>
      <w:r>
        <w:rPr>
          <w:rFonts w:ascii="Amiri" w:hAnsi="Amiri" w:eastAsia="Amiri" w:cs="Amiri"/>
          <w:color w:val="111111"/>
          <w:sz w:val="28"/>
          <w:sz w:val="28"/>
          <w:szCs w:val="28"/>
          <w:rtl w:val="true"/>
          <w:lang w:bidi="ar-SA"/>
        </w:rPr>
        <w:t>و هذا أشبه باللّغز مع أنّ العقائد الإسلاميّة تتّسم بسمة الوضوح و السهولة، لا التعقيد و الغموض الّذي ربّما ينتهي في المقام إلى رفع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قال بحدوث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يقول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الفساد أفحش، و المصيبة أعظم، لأنّ اتّصافه بالقدرة الحادثة مثلاً إمّا بالاختيار و إمّا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محال لاستلزامه محذور التسلسل في صفاته، لأنّ الكلام ينتقل إلى القدرة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اتّصافه بها عن اختيار أو بايجاب؟ فعلى الأول يعود السؤال فيلزم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أن يكون فاعلاً موجباً بالذات، و أيُّ نقص أعظم من تصوير مبدأ الكمال و الجمال و خالق القدرة و الاختيار في الإنسان، فاعلاً موجباً في اتّصافه بصفاته، فلو صحّ كونه موجباً في مورد، فليصحّ في سائر الموارد ككونه فاعلاً موجباً بالقياس إلى مصنوعاته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الأُمور هي الحوافز الحقيقية الّتي دعت المعتزلة إلى القول </w:t>
      </w:r>
    </w:p>
    <w:p>
      <w:pPr>
        <w:pStyle w:val="BookText"/>
        <w:rPr/>
      </w:pPr>
      <w:r>
        <w:rPr>
          <w:rFonts w:ascii="Amiri" w:hAnsi="Amiri" w:eastAsia="Amiri" w:cs="Amiri"/>
          <w:color w:val="111111"/>
          <w:sz w:val="28"/>
          <w:sz w:val="28"/>
          <w:szCs w:val="28"/>
          <w:rtl w:val="true"/>
          <w:lang w:bidi="ar-SA"/>
        </w:rPr>
        <w:t>بالتوحيد و التنزيه في باب الصفات و نفي الصفات الزائدة و المعاني القائمة بذاته، و لم يكن الحافز إلّا الفرار عن الثنويّة و توابعها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الجسارة الواضحة بل الظلم الفاحش اتّهام هذه الفرقة بما كتبه عنهم أهل الملل و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الأشعري يتّهمهم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أرادت المعتزلة أن تنفي أنّ اللّٰه عالم قادر حيّ سميع بصير، فمنعهم خوف السيف من إظهارهم نفي ذلك، فأتوا بمعناه، لأنّهم 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للّٰه و لا قدرة له،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بعالم و لا قادر و وجب ذلك عليهم، و هذا إنّما أخذوه عن أهل الزندقة و التعطيل، لأنّ الزنادقة قال كثير منهم إنّ اللّٰه ليس بعالم و لا قادر و لا حيّ و لا سميع و لا بصير، فلم تقدر المعتزلة أن تفصح بذلك فأتت بمعناه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قادر حيّ سميع بصير من طريق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أن يثبتوا له حقيقة العلم و القدرة و السمع و البصر</w:t>
      </w:r>
      <w:r>
        <w:rPr>
          <w:rFonts w:eastAsia="Amiri" w:cs="Amiri" w:ascii="Amiri" w:hAnsi="Amiri"/>
          <w:color w:val="111111"/>
          <w:sz w:val="28"/>
          <w:szCs w:val="28"/>
          <w:rtl w:val="true"/>
          <w:lang w:bidi="ar-SA"/>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و حاصل تحليل الشيخ أنّ المعتزلة كانت بصدد نفي الأسماء و الصفات وفاقاً للزنادقة، فلم يقدروا عليه خوفاً من السلطة، و لكنّهم نفوا العلم و القدرة و الحياة حتّى يتسنّى لهم نفي الأسماء و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فمثلهم كمثل من خرج من الباب موهماً للانصراف ثمّ دخل من النافذة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و اللّٰه جرأة في الدين و جسارة بلا مبرّر، و الآثار الباقية من المعتزلة تبيّن لنا جهة إصرارهم على نفي الصفات الزائدة على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ليست الغاية نفي أسمائه و صفاته و تصوير كونه سبحانه غير عالم و لا قادر، بل الغاية نفي الثنويّة و تعدُّد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عالماً بعلم، لكان لا يخلو إمّا أن يكون موجوداً أو معدوماً، لا يجوز أن يكون معدوماً، و إن كان موجوداً فلا يخلو إمّا أن يكون قديماً أو محدثاً، و الأقسام كلُّها باطلة، فلم يبق إلّا أن يكون عالماً بذاته على ما نقوله</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يستحقّ هذه الصفات لمعان قديمة، وجب أن تكون هذه المعاني مثلاً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كلّ ذلك يعرب عن أنّ الداعي لنفي الصفات الأزليّة هو تنزيهه سبحانه عن المثل بل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حافزان آخران صارا سببين لنفي الصفات الزائدة على الذات نشير إليهما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تركيب الذات مع الصفات، فإنّه سبحانه كما هو واحد لا نظير له و لا مثيل فهو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لا جزء له، و التركيب حليف الإمكان، لأنّ المركّب متقوّم بالأجزاء، و المتقوّم لا يكون واجباً و لا غنياً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استلزام القول بالصفات الزائدة على الذات كونه سبحانه ناقصاً مستكملاً بالخارج عن ذاته و حيطة وجوده، مع أنّه سبحانه كلّ الجمال و الكمال، لا يشذُّ كمال عن حيطة وجوده، و لا جمال عن حدِّ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هذين الأمرين مع ما تقدّم من حديث تعدّد القدماء اشتهرت المعتزلة بنفاة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الزائدة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اشتهرت الأشاعرة بالصفاتية، متظاهرين بأنّ هناك ذاتاً و وصفاً، و الذات غير الوصف، و كلاهما قديمان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موقف المعتزلة في نفي الصفات الزائدة على الذات، فهلمّ معي نقرأ بحثاً آخر من هذا المقام و هو تبيين كيفيّة حمل الصفات على ذاته سبحانه على مذهبهم، إذ كيف يمكن توصيفه سبحانه بأنّه عالم و قادر مع القول بعدم الصفات الزائدة على الذات، أي عدم العلم و القدرة المغايرين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البحث المهمّ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في تبيين كيفيّة الحمل آراء مختلفة بين صحيح و زائف، و إليك الإشارة إلى عناوين مذاهبهم إلى أن نأخذ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بعلم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 هذه الصفات الأربع الّتي هي كونه قادراً، عالماً، حيّاً، موجوداً لذاته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يستحقّها لما هو عليه في ذاته</w:t>
      </w:r>
      <w:r>
        <w:rPr>
          <w:rFonts w:eastAsia="Amiri" w:cs="Amiri" w:ascii="Amiri" w:hAnsi="Amiri"/>
          <w:color w:val="111111"/>
          <w:sz w:val="28"/>
          <w:szCs w:val="28"/>
          <w:rtl w:val="true"/>
          <w:lang w:bidi="ar-SA"/>
        </w:rPr>
        <w:t>.</w:t>
      </w:r>
      <w:r>
        <w:rPr>
          <w:rStyle w:val="FootnoteAnchor"/>
          <w:rtl w:val="true"/>
        </w:rPr>
        <w:footnoteReference w:id="746"/>
      </w:r>
      <w:bookmarkStart w:id="663" w:name="pg11536_164241"/>
    </w:p>
    <w:p>
      <w:pPr>
        <w:pStyle w:val="BookText"/>
        <w:rPr/>
      </w:pPr>
      <w:bookmarkEnd w:id="663"/>
      <w:r>
        <w:rPr>
          <w:rFonts w:ascii="Amiri" w:hAnsi="Amiri" w:eastAsia="Amiri" w:cs="Amiri"/>
          <w:color w:val="111111"/>
          <w:sz w:val="28"/>
          <w:sz w:val="28"/>
          <w:szCs w:val="28"/>
          <w:rtl w:val="true"/>
          <w:lang w:bidi="ar-SA"/>
        </w:rPr>
        <w:t>هذه هي مذاهبهم الثلاثة في تبيين كيفيّة الحمل، و قد حاق بها الإبهام، و إليك التوضيح</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3907751_73709187"/>
      <w:bookmarkStart w:id="665" w:name="_Toc243"/>
      <w:bookmarkEnd w:id="664"/>
      <w:r>
        <w:rPr>
          <w:rtl w:val="true"/>
        </w:rPr>
        <w:t>توضيح مذهب أبي الهذيل</w:t>
      </w:r>
      <w:bookmarkEnd w:id="665"/>
    </w:p>
    <w:p>
      <w:pPr>
        <w:pStyle w:val="BookText"/>
        <w:rPr/>
      </w:pPr>
      <w:r>
        <w:rPr>
          <w:rFonts w:ascii="Amiri" w:hAnsi="Amiri" w:eastAsia="Amiri" w:cs="Amiri"/>
          <w:color w:val="111111"/>
          <w:sz w:val="28"/>
          <w:sz w:val="28"/>
          <w:szCs w:val="28"/>
          <w:rtl w:val="true"/>
          <w:lang w:bidi="ar-SA"/>
        </w:rPr>
        <w:t xml:space="preserve">إنّ أبا الهذيل من كبار رجال الاعتزال و أحد شيوخ مدرسة البصرة، توفّي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يعتبر أوّل من نظم قواعد الاعتزال و وضع أُصوله، و لكنّ الزمان عبث بكتبه، و لأجل ذلك طرأ على مذهبه الإبهام حتّى إنّ القاضي عبد الجبّار أرجعه إلى مذهب أبي عليّ الجبّائي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أبو الهذيل ما ذكره الشيخ أبو عليّ إلّا أنّه لم تتلخّص له العبارة</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لكن ما نقل عنه حول مذهبه في علم الباري يدفعنا إلى القول بأنّ مذهبه في باب الصفات يغاير مختار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الفرقة الهذيليّة يزعمون أنّ للّٰه علماً هو هو، و قدرة هي هو، و حياة هي هو، و سمعاً هو هو، و كذلك قالوا في سائر صفات الذات</w:t>
      </w:r>
      <w:r>
        <w:rPr>
          <w:rFonts w:eastAsia="Amiri" w:cs="Amiri" w:ascii="Amiri" w:hAnsi="Amiri"/>
          <w:color w:val="111111"/>
          <w:sz w:val="28"/>
          <w:szCs w:val="28"/>
          <w:rtl w:val="true"/>
          <w:lang w:bidi="ar-SA"/>
        </w:rPr>
        <w:t>».</w:t>
      </w:r>
      <w:r>
        <w:rPr>
          <w:rStyle w:val="FootnoteAnchor"/>
          <w:rtl w:val="true"/>
        </w:rPr>
        <w:footnoteReference w:id="748"/>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انفرد أبو الهذيل بعشر قواعد،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الباري تعالى عالم بعلم و علمه ذاته، قادر بقدرة و قدرته ذاته، حيّ بحياة و حياته ذاته، و إنّما اقتبس هذا الرأي من الفلاسفة الّذين اعتقدوا أنّ ذاته واحدة لا </w:t>
      </w:r>
    </w:p>
    <w:p>
      <w:pPr>
        <w:pStyle w:val="BookText"/>
        <w:rPr/>
      </w:pPr>
      <w:r>
        <w:rPr>
          <w:rFonts w:ascii="Amiri" w:hAnsi="Amiri" w:eastAsia="Amiri" w:cs="Amiri"/>
          <w:color w:val="111111"/>
          <w:sz w:val="28"/>
          <w:sz w:val="28"/>
          <w:szCs w:val="28"/>
          <w:rtl w:val="true"/>
          <w:lang w:bidi="ar-SA"/>
        </w:rPr>
        <w:t>كثرة فيها بوجه، و إنّما الصفات ليست وراء الذات معاني قائمة بذاته بل هي ذاته</w:t>
      </w:r>
      <w:r>
        <w:rPr>
          <w:rFonts w:eastAsia="Amiri" w:cs="Amiri" w:ascii="Amiri" w:hAnsi="Amiri"/>
          <w:color w:val="111111"/>
          <w:sz w:val="28"/>
          <w:szCs w:val="28"/>
          <w:rtl w:val="true"/>
          <w:lang w:bidi="ar-SA"/>
        </w:rPr>
        <w:t>».</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و لو صحّ نقل هذه الكلمات عن أبي الهذيل فهو لا يهدف إلى إنكار أسمائه كالعالم و القادر و الحيّ، و لا إلى إنكار صفاته من العلم و القدرة و الحياة، بل يعترف بهما معاً، غير أنّه يقول باتّحاد الصفات مع الذات وجوداً و عينيّة، و تغايرهما مفهوماً دفعاً للإشكالات المتوجّهة إلى القول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مرام الشيخ أبي الهذيل نأتي بالتوضيح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المتبادر من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قادر،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أهل اللّسان هو الذات الموصوفة بالعلم و القدرة و الحياة، بمعنى أنّه يتبادر مفهوم بسيط ينحلّ إلى ذلك المركّب مآلاً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هناك اثنينيّة باعتبار أنّ هناك موصوفاً و معروضاً و وصفاً و عرضاً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المتبادر في الاستعمالات العرفيّة، و لا يمكن إنكار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بهذا المعنى لا يصحّ إطلاقه على اللّٰه، لاستلزامه تثنية الواجب أوّلاً، و تركّبه من شيئين ثانياً، و استكماله بغيره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يجب أن يصار في توصيفه سبحانه إلى فرض آخر يحفظ معه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سبحانه واجداً لحقيقة العلم و القدرة و الحياة حتّى لا يلزم التعطيل، و كونه واحداً بسيطاً غير مركّب من شيء و شيء حتّى لا ترد الإشكالات الثلاثة الماضية، و التحفّظ </w:t>
      </w:r>
    </w:p>
    <w:p>
      <w:pPr>
        <w:pStyle w:val="BookText"/>
        <w:rPr/>
      </w:pPr>
      <w:r>
        <w:rPr>
          <w:rFonts w:ascii="Amiri" w:hAnsi="Amiri" w:eastAsia="Amiri" w:cs="Amiri"/>
          <w:color w:val="111111"/>
          <w:sz w:val="28"/>
          <w:sz w:val="28"/>
          <w:szCs w:val="28"/>
          <w:rtl w:val="true"/>
          <w:lang w:bidi="ar-SA"/>
        </w:rPr>
        <w:t>على هذين الأمرين لا يحصل إلّا بالقول بأنّ أوصافه سبحانه و نعوته كلّها موجودة بوجود واحد و هو وجود الذات، و هي بمفردها مصداق لهذه النعوت، و يكفي نفس وجودها في حمل هذه الصفات الكماليّة عليها بلا طروء تعدُّد في مرحلة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تقريب المطلب و أنّه يمكن أن تحمل صفات كثيرة على شيء واحد، و ينتزع منه مفاهيم عديدة، نأتي بمثال و إن كان الفرق بين المثل و الممثّل عظيماً، و لكنّ الهدف هو التقريب لا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تصوّرنا الإنسان الخارجي و فرضنا له ماهيّة، فلها ذاتيات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كالحيوان و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يعدّان من الأُمور الذاتية بالنسبة إلى ماهيته، فهذه الذاتيات موجودة بوجود واحد شخصي من دون أن تكون حيثيّة الحيوان في الخارج غير حيثيّة الناطق، بل الإنسان الخارجي كلّه بوحدته مصداق للحيوان، كما هو كلّه مصداق للناطق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شيء واحد و هو الشخصية الخارجية الّتي هي مصداق الإنسان، يصحّ أن ينتزع منه مفاهيم كثيرة من دون أن تنثلم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المثال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ذاته سبحانه بوحدتها و بساطتها، مصداق لكونه عالماً و قادراً و حيّاً، و ليست حقيقة العلم في ذاته تغاير واقعيّة القدرة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كليهما لا يغايران حقيقة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الذات الواحدة بما أنّها موجود بسيط، مصداق لهذه الكمالات من دون أن تضمّ إلى الذات ضميمة أو تطرأ كثرة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البيان تحفظ على بساطته، كما تحفظ على كونه واجداً لحقيقة </w:t>
      </w:r>
    </w:p>
    <w:p>
      <w:pPr>
        <w:pStyle w:val="BookText"/>
        <w:rPr/>
      </w:pPr>
      <w:r>
        <w:rPr>
          <w:rFonts w:ascii="Amiri" w:hAnsi="Amiri" w:eastAsia="Amiri" w:cs="Amiri"/>
          <w:color w:val="111111"/>
          <w:sz w:val="28"/>
          <w:sz w:val="28"/>
          <w:szCs w:val="28"/>
          <w:rtl w:val="true"/>
          <w:lang w:bidi="ar-SA"/>
        </w:rPr>
        <w:t>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يهدف هذا البيان إلى إخلاء الذات عن حقيقة هذه الصفات، و لا تعطيلها عن الاتصاف بها، بل يريد أنّ الذات لأجل كونها كلّ الكمال و كلّ الجمال، و ليس فوقها موجود أكمل و أجمل، بوحدتها و بساطتها واجدة لحقيقة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كونه سبحانه عالماً و كون زيد عالماً، بعد اشتراكهما في كونهما واجدين لحقيقة هذا الوصف، هو أنّه سبحانه ببساطته واجد لهذا الكمال، و ذاته مصداق للعلم، و لكنّ زيداً بذاته غير واجد لهذا الكمال و إنّما وصل إليه في مرتبة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كونه سبحانه عالماً بهذا المعنى يخالف ما هو المتبادر منه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أشباهه، فإنّ المتبادر منه هو الذات المتّصفة بالمبدإ لا الذات البسيطة المتحقّق فيها المبدأ، و القسم الثاني مصداق جديد لم يتعرّف عليه العرف كما لم يتعرّف عليه الواضع، و إنّما هو مصداق كشف عنه العقل بدقّته و غفل عنه العرف لمسامحته، و لكنّه لا يضر بالإطلاق، لأنّ العرف لا يتوجّه إلى هذه الدقائق، و أهل الدقّة غير غافلين عن هذا الفرق، و ارتكاب خلاف الظواهر بهذا المقدار فراراً عن الإشكالات العقليّة كثير النظير</w:t>
      </w:r>
      <w:r>
        <w:rPr>
          <w:rFonts w:eastAsia="Amiri" w:cs="Amiri" w:ascii="Amiri" w:hAnsi="Amiri"/>
          <w:color w:val="111111"/>
          <w:sz w:val="28"/>
          <w:szCs w:val="28"/>
          <w:rtl w:val="true"/>
          <w:lang w:bidi="ar-SA"/>
        </w:rPr>
        <w:t>.</w:t>
      </w:r>
      <w:r>
        <w:rPr>
          <w:rStyle w:val="FootnoteAnchor"/>
          <w:rtl w:val="true"/>
        </w:rPr>
        <w:footnoteReference w:id="75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بوحدة الصفات مع الذات لا يعنون منها الوحدة من حيث المفهوم و الموضوع له، بداهة أنّ ما يفهم من لفظ الجلالة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يفهم من المحمول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يعنون بها الوحدة من </w:t>
      </w:r>
      <w:bookmarkStart w:id="666" w:name="pg11536_164245"/>
    </w:p>
    <w:p>
      <w:pPr>
        <w:pStyle w:val="BookText"/>
        <w:rPr/>
      </w:pPr>
      <w:bookmarkEnd w:id="666"/>
      <w:r>
        <w:rPr>
          <w:rFonts w:ascii="Amiri" w:hAnsi="Amiri" w:eastAsia="Amiri" w:cs="Amiri"/>
          <w:color w:val="111111"/>
          <w:sz w:val="28"/>
          <w:sz w:val="28"/>
          <w:szCs w:val="28"/>
          <w:rtl w:val="true"/>
          <w:lang w:bidi="ar-SA"/>
        </w:rPr>
        <w:t>حيث العينيّة و التحقّق، بمعنى أنّ ما هو المصداق للفظ الجلالة هو المصداق للفظ العالم، و هكذا سائر الصفات</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3907753_73709187"/>
      <w:bookmarkStart w:id="668" w:name="_Toc244"/>
      <w:bookmarkEnd w:id="667"/>
      <w:r>
        <w:rPr>
          <w:rtl w:val="true"/>
        </w:rPr>
        <w:t>برهان بديع لإثبات الوحدة</w:t>
      </w:r>
      <w:bookmarkEnd w:id="668"/>
    </w:p>
    <w:p>
      <w:pPr>
        <w:pStyle w:val="BookText"/>
        <w:rPr/>
      </w:pPr>
      <w:r>
        <w:rPr>
          <w:rFonts w:ascii="Amiri" w:hAnsi="Amiri" w:eastAsia="Amiri" w:cs="Amiri"/>
          <w:color w:val="111111"/>
          <w:sz w:val="28"/>
          <w:sz w:val="28"/>
          <w:szCs w:val="28"/>
          <w:rtl w:val="true"/>
          <w:lang w:bidi="ar-SA"/>
        </w:rPr>
        <w:t>ثمّ إنّ لأهل التحقيق في إثبات الوحدة العينيّة براهين دقيقة نكتفي بذكر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بديهة العقل حاكمة بأنّ ذاتاً ما إذا كان لها من الكمال ما هو بحسب نفس ذاتها، فهي أفضل و أكمل من ذات لها كمال زائد على ذاتها، لأنّ تجمّل الأُولى بذاتها، و تجمّل الثانية بصفاتها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تجمّل بذاته أشرف ممّا يتجمّل بغير ذاته، و إن كان ذلك الغير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واجب الوجود يجب أن يكون في أعلى ما يتصوّر من البهاء و الشرف و الجمال، لأنّ ذاته مبدأ سلسلة الوجودات و واهب كلّ الخيرات و الكمالات، و الواهب المفيض لا محالة أكرم و أمجد من الموهوب المفاض عليه، فلو لم يكن كماله بنفس حقيقته المقدّسة، بل مع اللّواحق لكان المجموع من الذات و اللّواحق أشرف من الذات المجرّدة، و المجموع معلول فيلزم أن يكون المعلول أشرف و أكمل من علّته، و هو محال بيّن الاستحالة</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واقع النظرية و حقيقتها، و أنت إذا لاحظت دليلها و ما أوضحناها به تقف على أنّ ما ردّ به تلك النظرية ناش عن عدم الوقوف على </w:t>
      </w:r>
    </w:p>
    <w:p>
      <w:pPr>
        <w:pStyle w:val="BookText"/>
        <w:rPr/>
      </w:pPr>
      <w:r>
        <w:rPr>
          <w:rFonts w:ascii="Amiri" w:hAnsi="Amiri" w:eastAsia="Amiri" w:cs="Amiri"/>
          <w:color w:val="111111"/>
          <w:sz w:val="28"/>
          <w:sz w:val="28"/>
          <w:szCs w:val="28"/>
          <w:rtl w:val="true"/>
          <w:lang w:bidi="ar-SA"/>
        </w:rPr>
        <w:t>مراد القائل، و لو أنّهم كانوا واقفين على مصدر هذه النظريّة لما وجّهوا إليها سهامهم المسمومة، و إليك تلك الردود واحداً بعد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ألزم أبو الهذيل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إنّ علم اللّٰه هو اللّٰه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علم اللّٰه اغفر لي و ارحمني فأبى ذلك، فلزمته المناقضة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 عالم و لا علم، كان مناقضاً، كما أنّ من قال علم و لا عالم كان مناقضاً</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الهذيل لم يقل بالوحدة من حيث المفهوم، و إنّما قال بالوحدة من حيث التحقّق و العينيّة، و ما ذكره من النقض إنّما يرد على الوجه الأوّل لا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علم اللّٰه اغفر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المفهوم من لفظ علم اللّٰه غير المفهوم من لفظ الجلالة، فلا يصحّ أن يوضع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المفهوم 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بمفهوم غيره، و لأجل ذلك لا يصحّ أن يقال يا موجود، و يقصد به اللّٰه سبحانه، بحجّة أنّ ماهيّته إنيّته، و وجوده نفس ماهيّته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الشيخ الأشعري خلط بين نظريّة أبي الهذيل و نظرية الجبّائي الّذي تتلمذ عليه الشيخ الأشعري سنين متمادية إلى أن رفضه و رفض مذهبه، و انسلك في عداد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فتصوّر أنّ مذهب أبي عليّ نفس مذهب 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مذهب أبي عليّ، الذات خالية من الصفات </w:t>
      </w:r>
    </w:p>
    <w:p>
      <w:pPr>
        <w:pStyle w:val="BookText"/>
        <w:rPr/>
      </w:pPr>
      <w:r>
        <w:rPr>
          <w:rFonts w:ascii="Amiri" w:hAnsi="Amiri" w:eastAsia="Amiri" w:cs="Amiri"/>
          <w:color w:val="111111"/>
          <w:sz w:val="28"/>
          <w:sz w:val="28"/>
          <w:szCs w:val="28"/>
          <w:rtl w:val="true"/>
          <w:lang w:bidi="ar-SA"/>
        </w:rPr>
        <w:t>الحقيقيّة، غير أنّها نائبة منابها، و لأجل هذه النيابة يصحّ الحمل، و يجيء توضيحه عمّا قريب، بخلافه على مذهب أبي الهذيل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الفضيحة الرابعة من فضائحه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بأنّ علم اللّٰه سبحانه و تعالى هو اللّٰه و قدرته هي هو، و يلزمه على هذا القول أن يكون اللّٰه تعالى علماً و قدرة، و لو كان هو علماً و قدرة لاستحال أن يكون عالماً قادراً، لأنّ العلم لا يكون عالماً و القدرة لا تكون قادرة</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الاشكال مبنيّ على اقتناص المعارف الإلهية من اللّغة و العرف، أو من باب مقايسة الواجب بالممكن، فيما أنّ العلم و القدرة في الإنسان عرض و الإنسان معروض لهما، تخيّل أنّ العلم و القدرة في جميع المراتب أعراض لا تخرج عن حدِّها، و لكنّه غفل عن أنّ للعلم و القدرة و الحياة مراتب و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منه عرض كعلمنا بالأشياء الخارجيّة، و منه جوهر كعلمنا بذاتنا و حضور ذاتنا لدى ذاتنا، و منه واجب قائم بنفسه كعلم اللّٰه سبحانه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مانع من أن يكون هناك علم قائم بالذات و قدرة مثلها و حياة كذلك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كلمة قيّمة للحكيم الفارابي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في الوجود وجود بالذات، و في العلم علم بالذات، و في القدرة قدرة بالذات، و في الإرادة إرادة بالذات، حتّى تكون هذه الأُمور في غيره لا بالذات</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 مصدر هذه الكلمات العجيبة هو مقايسة الغائب بالشاهد و تصوّر أنّ علمه سبحانه أو قدرته و حياته كعلم الممكنات و قدرتها و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التشبيه الّذي هو الأساس لمذهب أهل الحديث و من لفّ لفّهم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الشهرستاني أنّ أبا الهذيل اقتبس هذا الرأي من الفلاسفة الّذين اعتقدوا أنّ ذاته واحدة لا كثرة فيها بوجه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رجم بالغيب و من الممكن أنّه وصل إليه من خطب الإمام أمير المؤمنين عليه السلام كما سيوافيك كلامه، و قد عرفت أنّ المعتزلة في التوحيد و العدل عالة على خطب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الإيجي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مفهوم كونه عالماً حيّاً قادراً نفس ذاته، لم يفد حملها على ذاته، و 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حمل الشيء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العلم نفس الذات و القدرة نفس الذات لكان العلم نفس القدرة فكان المفهوم من العلم و القدرة واحداً</w:t>
      </w:r>
      <w:r>
        <w:rPr>
          <w:rFonts w:eastAsia="Amiri" w:cs="Amiri" w:ascii="Amiri" w:hAnsi="Amiri"/>
          <w:color w:val="111111"/>
          <w:sz w:val="28"/>
          <w:szCs w:val="28"/>
          <w:rtl w:val="true"/>
          <w:lang w:bidi="ar-SA"/>
        </w:rPr>
        <w:t>».</w:t>
      </w:r>
      <w:r>
        <w:rPr>
          <w:rStyle w:val="FootnoteAnchor"/>
          <w:rtl w:val="true"/>
        </w:rPr>
        <w:footnoteReference w:id="756"/>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الإشكالين من الوهن بمكان، حتّى إنّ المستشكل لم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أساس الإشكال هو الخلط بين الوحدة المفهوميّة و الوحدة المصداقيّة، و القائل يقول بالثاني لا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الإيجي في دفع الإشكال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 نظر، فإنّه لا يفيد إلّا زيادة هذا المفهوم على </w:t>
      </w:r>
      <w:bookmarkStart w:id="669" w:name="pg11536_164249"/>
    </w:p>
    <w:p>
      <w:pPr>
        <w:pStyle w:val="BookText"/>
        <w:rPr/>
      </w:pPr>
      <w:bookmarkEnd w:id="669"/>
      <w:r>
        <w:rPr>
          <w:rFonts w:ascii="Amiri" w:hAnsi="Amiri" w:eastAsia="Amiri" w:cs="Amiri"/>
          <w:color w:val="111111"/>
          <w:sz w:val="28"/>
          <w:sz w:val="28"/>
          <w:szCs w:val="28"/>
          <w:rtl w:val="true"/>
          <w:lang w:bidi="ar-SA"/>
        </w:rPr>
        <w:t>مفهوم الذات، و أمّا زيادة ما صدق عليه هذا المفهوم على حقيقة الذات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يصحّ لشيخ الاعتزال أن يتمثّل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عائب قولاً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آفته من الفهم السقيم</w:t>
      </w:r>
    </w:p>
    <w:p>
      <w:pPr>
        <w:pStyle w:val="Heading6"/>
        <w:numPr>
          <w:ilvl w:val="5"/>
          <w:numId w:val="1"/>
        </w:numPr>
        <w:rPr/>
      </w:pPr>
      <w:bookmarkStart w:id="670" w:name="__RefHeading___Toc3907755_73709187"/>
      <w:bookmarkStart w:id="671" w:name="_Toc245"/>
      <w:bookmarkEnd w:id="670"/>
      <w:r>
        <w:rPr>
          <w:rtl w:val="true"/>
        </w:rPr>
        <w:t>كلام الإمام أمير المؤمنين عليه السلام في عينيّة الصفات مع الذات</w:t>
      </w:r>
      <w:bookmarkEnd w:id="671"/>
    </w:p>
    <w:p>
      <w:pPr>
        <w:pStyle w:val="BookText"/>
        <w:rPr/>
      </w:pPr>
      <w:r>
        <w:rPr>
          <w:rFonts w:ascii="Amiri" w:hAnsi="Amiri" w:eastAsia="Amiri" w:cs="Amiri"/>
          <w:color w:val="111111"/>
          <w:sz w:val="28"/>
          <w:sz w:val="28"/>
          <w:szCs w:val="28"/>
          <w:rtl w:val="true"/>
          <w:lang w:bidi="ar-SA"/>
        </w:rPr>
        <w:t>قد ورد في خطب الإمام عليه السلام ما يدلّ على نفي زيادة الصفات للّٰه تعالى بأبلغ وجه و آكده حيث قال في خطبة من خطبه المشهورة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 و من قال فيم فقد ضمّنه، و من قال علام فقد أخلى منه</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توضيح هذه الجمل الدريّة تدفعنا إلى البسط في الكلام و لكنّ المقام لا يقتضيه و إنّما نشير إلى بعضها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كمال توحيده الإخلاص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تخليصه سبحانه من الزوائد و الثواني حتّى لا يكون خليطاً مع غيره، ثمّ فرّع على ذلك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نفي الصفات الّتي وجودها غير وجود الذات لا نفي حقائقها عن ذاته، فإنّ ذاته بذاته مصداق لجميع النعوت الكماليّة و الأوصاف الإلهيّة من دون قيام أمر زائد على ذاته، فعلمه و قدرته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موجودة بوجود ذاته الأحديّة مع أنّ مفاهيمها متغايرة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لشهادة كلِّ صفة أنّها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برهان نفي الصفات العارضة، سواء فرضت قديمة كما عليه الكلابيّة و الأشاعرة أو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الصفة إذا كانت عارضة كانت مغايرة للموصوف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يترتّب عليه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وصفه فقد 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وصفه بصفة زائدة فقد قرنه بغيره، فإن كان ذلك الغير مستقلّاً في الوجود يلزم أن يكون له ثان في الوجود، و إن كان غير مستقلّ فبما أنّه جزء له فقد جعله مركّباً ذا جزءين و إليه يشير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ثنّاه فقد 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من جزّأه فقد جهله، و لم يعرفه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جهله بهذا المعنى فقد أشار إليه، و من أشار إليه فقد حدّه، لأنّ الإشارة إلى الشيء حسّيّة كانت أو عقليّة تستلزم جعله محدوداً بحدّ خاصّ، و من حدّه بحد معيّن فقد جعله واحداً بالعدد، إلى آخر ما أفاده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توضيح نظريّة أبي الهذيل و هو المختار لدى الإماميّة و عليه خطب الإمام و كلمات أئمّة أهل البيت عليهم السلام و عندئذ يحين وقت إيضاح النظرية الثانية المنسوبة إلى أبي علي الجبّائي</w:t>
      </w:r>
      <w:r>
        <w:rPr>
          <w:rFonts w:eastAsia="Amiri" w:cs="Amiri" w:ascii="Amiri" w:hAnsi="Amiri"/>
          <w:color w:val="111111"/>
          <w:sz w:val="28"/>
          <w:szCs w:val="28"/>
          <w:rtl w:val="true"/>
          <w:lang w:bidi="ar-SA"/>
        </w:rPr>
        <w:t xml:space="preserve">. </w:t>
      </w:r>
      <w:bookmarkStart w:id="672" w:name="pg11536_164251"/>
    </w:p>
    <w:p>
      <w:pPr>
        <w:pStyle w:val="Heading6"/>
        <w:numPr>
          <w:ilvl w:val="5"/>
          <w:numId w:val="1"/>
        </w:numPr>
        <w:rPr/>
      </w:pPr>
      <w:bookmarkStart w:id="673" w:name="__RefHeading___Toc3907757_73709187"/>
      <w:bookmarkStart w:id="674" w:name="_Toc246"/>
      <w:bookmarkEnd w:id="672"/>
      <w:bookmarkEnd w:id="673"/>
      <w:r>
        <w:rPr>
          <w:rtl w:val="true"/>
        </w:rPr>
        <w:t>توضيح مذهب أبي عليّ الجبّائي</w:t>
      </w:r>
      <w:bookmarkEnd w:id="674"/>
    </w:p>
    <w:p>
      <w:pPr>
        <w:pStyle w:val="BookText"/>
        <w:rPr/>
      </w:pPr>
      <w:r>
        <w:rPr>
          <w:rFonts w:ascii="Amiri" w:hAnsi="Amiri" w:eastAsia="Amiri" w:cs="Amiri"/>
          <w:color w:val="111111"/>
          <w:sz w:val="28"/>
          <w:sz w:val="28"/>
          <w:szCs w:val="28"/>
          <w:rtl w:val="true"/>
          <w:lang w:bidi="ar-SA"/>
        </w:rPr>
        <w:t>إنّ أبا عليّ الجبّائي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يستحقّ هذه الصّفات الأربع الّتي هي كونه قادراً عالماً حيّاً موجوداً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يهدف إلى نظريّة أُخرى يليق أن يتّهم معها بالتعطيل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الشهرستاني الفرق بين هذه النظرية و النظرية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بذاته لا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بعلم هو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الأوّل هو نفي الصفة، و الثاني إثبات ذات هو بعينه صفة، أو إثبات صفة هي بعينها ذات</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لقد أحسن في التوضيح و أصاب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القول ليست الذات واجدة لواقعيات الصفات، غير أنّ ما يترقّب من الذات المتصفة بها، يترتّب على ذاته سبحانه و إن لم تكن هناك تلك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أثر الذات الموصوفة بالعلم هو إتقان الفعل و هو يترتّب على ذاته سبحانه بلا وجود وصف العلم فيه، و قد اشتهر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الغايات و اترك المبادئ</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النظريّة توفّق في الجمع بين الأمرين الخطيرين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جانب اتّفقت الشرائع السماويّة على أنّه سبحانه عالم حيّ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جانب آخر واقعية الصفة لا تنفكّ عن القيام بالغير بحيث لو لم تكن قائمة به لما صدق عليه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يدور الأمر بين الأُمور التالية</w:t>
      </w:r>
      <w:r>
        <w:rPr>
          <w:rFonts w:eastAsia="Amiri" w:cs="Amiri" w:ascii="Amiri" w:hAnsi="Amiri"/>
          <w:color w:val="111111"/>
          <w:sz w:val="28"/>
          <w:szCs w:val="28"/>
          <w:rtl w:val="true"/>
          <w:lang w:bidi="ar-SA"/>
        </w:rPr>
        <w:t xml:space="preserve">: </w:t>
      </w:r>
      <w:bookmarkStart w:id="675" w:name="pg11536_164252"/>
    </w:p>
    <w:p>
      <w:pPr>
        <w:pStyle w:val="BookText"/>
        <w:rPr/>
      </w:pPr>
      <w:bookmarkEnd w:id="67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كونه عالماً قادراً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يكذّبه اتّفاق الشرائع السماوية و وجود آثار الصفات في أفعاله من الإتقان و النظم البارزين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صفاته زائدة على ذاته و هو يستلزم المفاسد السابقة من تعدّد القدماء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صفاته عين ذاته كما عليه شيخ المعتزلة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يتّفق مع واقعيّة الصِّفات، فإنّ واقعيّتها نفس قيامها بالغير لا صيرورتها نفسه، فتعيّن القول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ذاته نائبة مناب الصفات و إن لم تكن هناك واقعيّتها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اختار هذا القول قبل الجبّائي هو عبّاد بن سليمان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قادر، حيّ، و لا أثبت له علماً، و لا قدرة، و لا حياة و لا أثبت سمعاً و لا أثبت 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لا بعلم، و قادر لا بقدرة، و حيّ لا بحياة، و سميع لا بسمع، و كذلك سائر ما يسمّى به من الأسماء الّتي يسمّى بها</w:t>
      </w:r>
      <w:r>
        <w:rPr>
          <w:rFonts w:eastAsia="Amiri" w:cs="Amiri" w:ascii="Amiri" w:hAnsi="Amiri"/>
          <w:color w:val="111111"/>
          <w:sz w:val="28"/>
          <w:szCs w:val="28"/>
          <w:rtl w:val="true"/>
          <w:lang w:bidi="ar-SA"/>
        </w:rPr>
        <w:t>».</w:t>
      </w:r>
      <w:r>
        <w:rPr>
          <w:rStyle w:val="FootnoteAnchor"/>
          <w:rtl w:val="true"/>
        </w:rPr>
        <w:footnoteReference w:id="759"/>
      </w:r>
    </w:p>
    <w:p>
      <w:pPr>
        <w:pStyle w:val="Heading6"/>
        <w:numPr>
          <w:ilvl w:val="5"/>
          <w:numId w:val="1"/>
        </w:numPr>
        <w:rPr/>
      </w:pPr>
      <w:bookmarkStart w:id="676" w:name="__RefHeading___Toc3907759_73709187"/>
      <w:bookmarkStart w:id="677" w:name="_Toc247"/>
      <w:bookmarkEnd w:id="676"/>
      <w:r>
        <w:rPr>
          <w:rtl w:val="true"/>
        </w:rPr>
        <w:t>تقييم نظريّة النيابة</w:t>
      </w:r>
      <w:bookmarkEnd w:id="67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النظريّة من الوهن بمكان، فإنّ أبا عليّ لو تأمّل في واقعيّة الصفات الكماليّة لما أصرّ على أنّ واقعيّتها في جميع المجالات و المراحل، واقعية القيام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هي واقعيتها في بعض المراتب كعلم الإنسان </w:t>
      </w:r>
      <w:bookmarkStart w:id="678" w:name="pg11536_164253"/>
    </w:p>
    <w:p>
      <w:pPr>
        <w:pStyle w:val="BookText"/>
        <w:rPr/>
      </w:pPr>
      <w:bookmarkEnd w:id="678"/>
      <w:r>
        <w:rPr>
          <w:rFonts w:ascii="Amiri" w:hAnsi="Amiri" w:eastAsia="Amiri" w:cs="Amiri"/>
          <w:color w:val="111111"/>
          <w:sz w:val="28"/>
          <w:sz w:val="28"/>
          <w:szCs w:val="28"/>
          <w:rtl w:val="true"/>
          <w:lang w:bidi="ar-SA"/>
        </w:rPr>
        <w:t>و قدرته و حياته، و ليس في جميع المراتب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الكمالات ترجع إلى الوجود، و له شئون و عرض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منه وجوداً رابطاً و رابطيّاً و جوهراً، فكذا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عرض قائم بالغير، و منه جوهر قائم في نفسه كعلم الإنسان المدرك بذاته، و منه ممكن و منه واجب، و هكذا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فالإصرار على واقعيّة واحدة تجمع شتات العلم، إصرار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للعلم و كلّ كمال مثله، إطارات و قوالب و مظاهر و مجالات تختلف حسب اختلاف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وقفت على مذهب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معي ندرس مذهب الولد في باب حمل الصفات الذاتية عليه سبحانه</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907761_73709187"/>
      <w:bookmarkStart w:id="680" w:name="_Toc248"/>
      <w:bookmarkEnd w:id="679"/>
      <w:r>
        <w:rPr>
          <w:rtl w:val="true"/>
        </w:rPr>
        <w:t>مذهب أبي هاشم</w:t>
      </w:r>
      <w:bookmarkEnd w:id="680"/>
    </w:p>
    <w:p>
      <w:pPr>
        <w:pStyle w:val="BookText"/>
        <w:rPr/>
      </w:pPr>
      <w:r>
        <w:rPr>
          <w:rFonts w:ascii="Amiri" w:hAnsi="Amiri" w:eastAsia="Amiri" w:cs="Amiri"/>
          <w:color w:val="111111"/>
          <w:sz w:val="28"/>
          <w:sz w:val="28"/>
          <w:szCs w:val="28"/>
          <w:rtl w:val="true"/>
          <w:lang w:bidi="ar-SA"/>
        </w:rPr>
        <w:t>إنّ لأبي هاشم في كيفيّة استحقاق الصفات مذهباً خاصّاً عبّر عنه القاضي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أبي هاشم يستحقّها لما هو عليه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عبّر عن نظرية أبيه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يستحقّها القديم تعالى لذاته</w:t>
      </w:r>
      <w:r>
        <w:rPr>
          <w:rFonts w:eastAsia="Amiri" w:cs="Amiri" w:ascii="Amiri" w:hAnsi="Amiri"/>
          <w:color w:val="111111"/>
          <w:sz w:val="28"/>
          <w:szCs w:val="28"/>
          <w:rtl w:val="true"/>
          <w:lang w:bidi="ar-SA"/>
        </w:rPr>
        <w:t>».</w:t>
      </w:r>
      <w:r>
        <w:rPr>
          <w:rStyle w:val="FootnoteAnchor"/>
          <w:rtl w:val="true"/>
        </w:rPr>
        <w:footnoteReference w:id="760"/>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البغدادي تبيين الفرق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عليّ جعل نفس الباري علّة لكونه عالماً و قادراً، و خالف أبو هاشم أباه و زعم أنّ اللّٰه عالم لكونه على حال، قادر لكونه على حال، و زعم أنّ له في كلِّ معلوم حالاً مخصوصاً، </w:t>
      </w:r>
    </w:p>
    <w:p>
      <w:pPr>
        <w:pStyle w:val="BookText"/>
        <w:rPr/>
      </w:pPr>
      <w:r>
        <w:rPr>
          <w:rFonts w:ascii="Amiri" w:hAnsi="Amiri" w:eastAsia="Amiri" w:cs="Amiri"/>
          <w:color w:val="111111"/>
          <w:sz w:val="28"/>
          <w:sz w:val="28"/>
          <w:szCs w:val="28"/>
          <w:rtl w:val="true"/>
          <w:lang w:bidi="ar-SA"/>
        </w:rPr>
        <w:t>و في كلِّ مقدور حالاً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 الأحوال لا موجودة و لا معدومة و لا معلومة و لا أشياء</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 أوضحه الشهرستاني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لذاته، قادر حيّ لذاته، 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يقتضي كونه عالماً، صفة هي علم أو حال توجب كونه عالماً، و عند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عالم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ذو حالة هي صفة معلومة وراء كونه ذاتاً موجوداً، و إنّما تعلم الصِّفة على الذات، لا بانفرادها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أحوالاً هي صفات لا موجودة و لا معدومة و لا معلومة و لا مجهولة، أي هي على حيالها لا تعرف كذلك بل مع الذات</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و أنت تعلم أنّ هذه المحاولات تزيد في الغموض، و قد أصبحت نظريّته لغزاً من الألغاز لم يقف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الشيخ المفيد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تعقل و قد اجتهد المتكلّمون في تحصيل معانيها من معتقديها بكلِّ حيلة، فلم يظفروا منهم إلّا بعبارات يناقض المعنى فيها مفهوم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 مع ادّعاء الوحدة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كسب النّجارية و أحوال البهشميّة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يقال و لا حقيقة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معقولة تدنو إلى الأفهام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الكسب عند الأشعري 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البهشمي و طفرة النظام</w:t>
      </w:r>
      <w:r>
        <w:rPr>
          <w:rStyle w:val="FootnoteAnchor"/>
          <w:rtl w:val="true"/>
        </w:rPr>
        <w:footnoteReference w:id="764"/>
      </w:r>
      <w:bookmarkStart w:id="681" w:name="pg11536_164255"/>
    </w:p>
    <w:p>
      <w:pPr>
        <w:pStyle w:val="BookText"/>
        <w:rPr/>
      </w:pPr>
      <w:bookmarkEnd w:id="681"/>
      <w:r>
        <w:rPr>
          <w:rFonts w:ascii="Amiri" w:hAnsi="Amiri" w:eastAsia="Amiri" w:cs="Amiri"/>
          <w:color w:val="111111"/>
          <w:sz w:val="28"/>
          <w:sz w:val="28"/>
          <w:szCs w:val="28"/>
          <w:rtl w:val="true"/>
          <w:lang w:bidi="ar-SA"/>
        </w:rPr>
        <w:t xml:space="preserve">و بما أنّ تحقيق نظريته مبنيّ على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يتبنّاها أبو هاشم فلنكتف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حول المسألة الأُولى الّتي تركِّز المعتزلة عليها عند البحث عن الأصل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البحث في المسألة الثانية الّتي يركّزون عليها في إطار هذا الأصل، و هي تبيين كيفيّة حمل الصفات الخبريّة عليه سبحانه</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3907763_73709187"/>
      <w:bookmarkStart w:id="683" w:name="_Toc249"/>
      <w:bookmarkEnd w:id="682"/>
      <w:r>
        <w:rPr>
          <w:rtl w:val="true"/>
        </w:rPr>
        <w:t xml:space="preserve">ب </w:t>
      </w:r>
      <w:r>
        <w:rPr>
          <w:rtl w:val="true"/>
        </w:rPr>
        <w:t xml:space="preserve">- </w:t>
      </w:r>
      <w:r>
        <w:rPr>
          <w:rtl w:val="true"/>
        </w:rPr>
        <w:t>المعتزلة و حمل الصفات الخبريّة</w:t>
      </w:r>
      <w:bookmarkEnd w:id="683"/>
    </w:p>
    <w:p>
      <w:pPr>
        <w:pStyle w:val="Heading6"/>
        <w:numPr>
          <w:ilvl w:val="5"/>
          <w:numId w:val="1"/>
        </w:numPr>
        <w:rPr/>
      </w:pPr>
      <w:bookmarkStart w:id="684" w:name="__RefHeading___Toc3907765_73709187"/>
      <w:bookmarkStart w:id="685" w:name="_Toc250"/>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المعتزلة و حمل الصفات الخبريّة</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قسّم الباحثون صفاته سبحانه إلى صفات ذاتيّة و صفات خبريّة، فتوصيفه سبحانه بالعلم و القدرة توصيف بصفات ذاتيّة، كما أنّ توصيفه بما دلّ عليه ظواهر الآيات و الأحاديث كالوجه و اليدين صفات 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عقيدة المعتزلة في هذه الصفات، فقد وصفها الشيخ الأشعري في كتابه بأحسن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كلامه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أجمعت المعتزلة على أنّ اللّٰه واحد ليس كمثله شيء و هو السميع البصير، و ليس بجسم، و لا شبح، و لا جثّة، و لا صورة لحم و لا دم، و لا شخص و لا جوهر و لا عرض، و لا بذي لون و لا طعم و لا رائحة و لا مجسّة، و لا بذي حرارة و لا برودة و لا رطوبة و لا يبوسة، و لا طول و لا عرض و لا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عمق، و لا اجتماع و لا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يتحرّك و لا يسكن و لا يتبعّض، و لا بذي أبعاض و أجزاء و جوارح و أعضاء، و ليس بذي جهات و لا بذي يمين و شمال و أمام و خلف و فوق و تحت، و لا يحيط به مكان و لا يجري عليه زمان و لا تجوز عليه المماسّة و لا العزلة و لا الحلول في الأماكن، و لا يوصف بشيء من صفات الخلق الدالة على حدوثهم، و لا يوصف بأنّه متناه، و لا يوصف بمساحة و لا ذهاب في الجهات، و ليس بمحدود، و لا والد و لا مولود، و لا تحيط به الأقدار، و لا تحجبه الأستار، و لا تدركه الحواسّ و لا يقاس بالناس، و لا يشبه الخلق بوجه من الوجوه و لا تجري عليه الآفات، و لا تحلّ به العاهات، و كلّ ما خطر بالبال، و تصوّر بالوهم فغير مشبه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أوّلاً، سابقاً، متقدّماً للمحدثات، موجوداً قبل المخلوقات، و لم يزل عالماً قادراً حيّاً و لا يزال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 العيون، و لا تدركه الأبصار، و لا تحيط به الأوهام، و لا يسمع بالأسماع، شيء لا كالأشياء، عالم قادر حيّ لا كالعلماء القادرين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القديم وحده و لا قديم غيره و لا إله سواه، و لا شريك له في ملكه، و لا وزير له في سلطانه و لا معين على إنشاء ما أنشأ و خلق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يخلق الخلق على مثال سبق، و ليس خلق شيء بأهون عليه من خلق شيء آخر و لا بأصعب عليه منه، و لا يجوز عليه اجترار المنافع و لا تلحقه المضارّ، و لا يناله السرور و اللذات، و لا يصل إليه الأذى و الآلام، ليس بذي غاية فيتناهى، و لا يجوز عليه الفناء، و لا يلحقه العجز و النقص، تقدّس عن ملامسة النساء، و عن </w:t>
      </w:r>
    </w:p>
    <w:p>
      <w:pPr>
        <w:pStyle w:val="BookText"/>
        <w:rPr/>
      </w:pPr>
      <w:r>
        <w:rPr>
          <w:rFonts w:ascii="Amiri" w:hAnsi="Amiri" w:eastAsia="Amiri" w:cs="Amiri"/>
          <w:color w:val="111111"/>
          <w:sz w:val="28"/>
          <w:sz w:val="28"/>
          <w:szCs w:val="28"/>
          <w:rtl w:val="true"/>
          <w:lang w:bidi="ar-SA"/>
        </w:rPr>
        <w:t>اتّخاذ الصاحبة و الأبناء،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قولهم في التّوحيد</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 السابر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أنّ المعتزلة أخذت جلّ هذه الكلمات من خطب الإمام أمير المؤمنين عليه السلام لكن باختلاف في التعبير و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ذكرت المعتزلة و غيرهم دليلاً عقليّاً على تنزيهه سبحانه عن هذه الصفات،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ليس مادّة و لا ماديّاً و لا مركّباً منهما، و ما ليس كذلك يمتنع عليه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يُثبت له حركة أو سكوناً أو يداً أو رجلاً فلا منتدح له عن القول بكونه جسماً أو جسمانياً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الحقّ القراح الّذي لا يشكّ فيه مسلم 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تفسير ما ورد من النُّصوص المشتملة بظواهرها على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النقطة هي المخمصة الكبرى للمعتزلة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لهم من الجمع ما بين العقل و النقل بوجه يقبله العقل، و لا يكذّبه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للباحثين من المتكلِّمين و أهل الحديث في المقام طرقاً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مع التشبيه و التكييف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بلا تشبيه و لا تكييف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بحثنا عن الوجوه الثلاثة الأُول في الجزء الثاني، و هي خيرة أهل الحديث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الرابع هو خيرة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يسمّون المؤوّلة، فيؤوّلون الآيات المشتملة على اليد و الوجه و الاستيلاء و غير ذلك، و لنا هنا كلمة موجزة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التأويل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يرفضه الكتاب و لا يرضى به العقل و هو تأويل النصوص القرآنيّة و الأحاديث المتواترة بحجّة أنّها تخالف العقل الصريح فقط، و هذا رأي عازب، بل فكرة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ظواهر الكتاب و النصوص الصحيحة لا يمكن أن تكون مخالفة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كذب من قال من المؤوّلة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بظواهر الكتاب و السنّة من أُصول الكفر أو إنّ التمسّك في أُصول العقائد بمجرّد ظواهر الكتاب و السنّة من غير بصيرة في العقل هو أصل ضلالة الحشوية</w:t>
      </w:r>
      <w:r>
        <w:rPr>
          <w:rFonts w:eastAsia="Amiri" w:cs="Amiri" w:ascii="Amiri" w:hAnsi="Amiri"/>
          <w:color w:val="111111"/>
          <w:sz w:val="28"/>
          <w:szCs w:val="28"/>
          <w:rtl w:val="true"/>
          <w:lang w:bidi="ar-SA"/>
        </w:rPr>
        <w:t>.</w:t>
      </w:r>
      <w:r>
        <w:rPr>
          <w:rStyle w:val="FootnoteAnchor"/>
          <w:rtl w:val="true"/>
        </w:rPr>
        <w:footnoteReference w:id="76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هؤلاء لم يعرفوا موقف الكتاب و السنّة الصحيحة، فإنّ من الممتنع أن يشتمل الكتاب الهادي على ما يضادّ العقل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قسم يراد منه تمييز الظاهر التصديقي عن الظاهر الحرفي، و تمييز الظاهر البدوي عن الظاهر الاستمراري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يستقرّ في الذهن بعد 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لا يتحقّق إلّا بالتأمّل في نفس الآية الكريمة و ما احتفّ بها من القرائن اللفظية أو ما جاء في الآيات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لو صحّت تسميته بالتأويل، تأويل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ليس بتأويل بمعنى صرف الكلام عن ظاهره و الأخذ بخلاف الظاهر، بل واقعيته تحديد ظاهر الكلام، و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خواصّ كلِّ كلام مشتمل على نكات بديعة و معاني رفيعة ألقي لهداية الناس باختلاف طبقاتهم و تعدّد ثقافاتهم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لو صحّ عليه أنّه أخذ بخلاف الظاهر فإنّما هو أخذ بخلاف الظاهر الحرفي و رفض لظاهره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الظاهر التصديقي و الاستمراري فهو عين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نمثِّل 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القائل في تبيين سماحة شخص وجوده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ظاهر حرفي و ظاهر تصديقي، كما أنّ هناك ظاهراً بدئياً و ظاهراً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مرفوض جدّاً، فإنّ كثرة الرماد في البيت لو لم يكن ذمّاً لا يكون مدحاً، مع أنّ القائل بصدد المدح</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مقبول عند العقلاء و عليه يدور رحى الفصاحة و البلاغة و إلقاء الخطب الرنّانة و إنشاء الكلم البليغ على الأسماع</w:t>
      </w:r>
      <w:r>
        <w:rPr>
          <w:rFonts w:eastAsia="Amiri" w:cs="Amiri" w:ascii="Amiri" w:hAnsi="Amiri"/>
          <w:color w:val="111111"/>
          <w:sz w:val="28"/>
          <w:szCs w:val="28"/>
          <w:rtl w:val="true"/>
          <w:lang w:bidi="ar-SA"/>
        </w:rPr>
        <w:t xml:space="preserve">. </w:t>
      </w:r>
      <w:bookmarkStart w:id="686" w:name="pg11536_164260"/>
    </w:p>
    <w:p>
      <w:pPr>
        <w:pStyle w:val="Heading6"/>
        <w:numPr>
          <w:ilvl w:val="5"/>
          <w:numId w:val="1"/>
        </w:numPr>
        <w:rPr/>
      </w:pPr>
      <w:bookmarkStart w:id="687" w:name="__RefHeading___Toc3907767_73709187"/>
      <w:bookmarkStart w:id="688" w:name="_Toc251"/>
      <w:bookmarkEnd w:id="686"/>
      <w:bookmarkEnd w:id="687"/>
      <w:r>
        <w:rPr>
          <w:rtl w:val="true"/>
        </w:rPr>
        <w:t>المعتزلة بين التأويل المرفوض و المقبول</w:t>
      </w:r>
      <w:bookmarkEnd w:id="688"/>
    </w:p>
    <w:p>
      <w:pPr>
        <w:pStyle w:val="BookText"/>
        <w:rPr/>
      </w:pPr>
      <w:r>
        <w:rPr>
          <w:rFonts w:ascii="Amiri" w:hAnsi="Amiri" w:eastAsia="Amiri" w:cs="Amiri"/>
          <w:color w:val="111111"/>
          <w:sz w:val="28"/>
          <w:sz w:val="28"/>
          <w:szCs w:val="28"/>
          <w:rtl w:val="true"/>
          <w:lang w:bidi="ar-SA"/>
        </w:rPr>
        <w:t>إنّ المعتزلة في تفسير الآيات الواردة في مجال الصفات بين تأويل مرفوض، و تأويل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يؤوّلون الكلام بحجّة أنّه يخالف العقل و لا يذكرون للتأويل قرينة مقاليّة أو شاهداً من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يعرب عن أنّ الغاية منه هو التخلّص من مخالفة النقل مع العقل، و هذا هو التأويل المرفوض، فحاشا أن يكون النقل مخالفاً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المخالفة تتراءى إمّا لعدم تشخيص حقيقة النقل و تخيّل ما ليس بظاهرها ظاهراً، أو لاشتباه العقل فيما يحكم و يبرم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يؤوّلون معتمدين على القرائن و الشواهد الّتي تثبت الظهور التصديقي و توقفنا على أنّ الظهور البدائي أو التصوّري ليس بمراد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التأويل المقبول، و إليه الاستناد في تأويل المتشابهات بالمحكمات و تعيين الظهور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نماذج من التأويلين نأتي بمثالين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 القاضي يبادر إلى تأويل الآية بأنّ اليد هنا بمعنى القوّة</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اليد و إن كانت تستعمل في القوّة و النعمة،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عَبْدَنٰا دٰاوُدَ ذَا اَلْأَيْدِ إِنَّهُ أَوّٰابٌ</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فإنّ اليد في هذه الآية مردّدة ابتداء بين النعمة و القوّة و العضو المخصوص، إلّا أنّ القرينة في الآيات تدلُّ على أنّها كناية عن النعمة أو القوّة، و القرينة عليه ورودها في قصّة داود المشهورة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ذا نعمة و قوّة، أشار إليهما سبحانه في تلك السورة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سَخَّرْنَا اَلْجِبٰالَ مَعَهُ</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 هذه الآيات قرينة على أنّ اليد إنّما كنّى بها عن النعمة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الآية السابقة تفارق هذه الآية و ليس مثلها، و ذلك لأجل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المعلوم أنّ الخالق لا يخلق شيئاً إلّا عن قوّة، فلا معنى لذكرها إلّا أن تكون هنا نكتة، مثل دفع توهّم العجز في المتكلّم و ليس المقام كذلك كما سيأتي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منها هو القوّة، فما هو وجه التثنية؟</w:t>
      </w:r>
    </w:p>
    <w:p>
      <w:pPr>
        <w:pStyle w:val="BookText"/>
        <w:rPr/>
      </w:pPr>
      <w:r>
        <w:rPr>
          <w:rFonts w:ascii="Amiri" w:hAnsi="Amiri" w:eastAsia="Amiri" w:cs="Amiri"/>
          <w:color w:val="111111"/>
          <w:sz w:val="28"/>
          <w:sz w:val="28"/>
          <w:szCs w:val="28"/>
          <w:rtl w:val="true"/>
          <w:lang w:bidi="ar-SA"/>
        </w:rPr>
        <w:t>فلأجل ذلك كان اللّازم على القاضي و أمثاله، الإمعان في الآية حتّى يقفوا على الظهور التصديقي، ليستغنوا به عن مخالفة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اليد في الآية استعملت في العضو المخصوص، و لكنّها كُنّي بها عن الاهتمام بخلقة آدم حتّى يتسنّى بذلك ذمّ إبليس على ترك السجود لآدم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آدم لم يكن مخلوقاً لغيري حتّى يصحّ لك يا شيطان التجنّب عن السجود له، بحجّة أنّه لا صلة له بي، مع أنّه موجود خلقته بنفسي، و نفخت فيه من روحي، فهو مصنوعي و مخلوقي الّذي قمت بخلقه، فمع ذلك تمرّدت عن 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فأُطلقت الخلقة باليد و كنّى بها عن قيامه سبحانه بخلقه، و عنايته بإيجاده، و تعليمه إيّاه أسماءه، لأنّ الغالب في عمل الإنسان هو القيام به باستعمال اليد،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بنيته بيدي، أو ما صنعته بيدي، أو ربّيته بيدي و يراد من الكل هو القيام المباشري بالعمل، و ربّما استعان فيه بعينه و سمعه و غيرهما من الأعضاء، لكنّه لا يذكرها و يكتفي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سبحانه يندِّد بالشيطان بأنّك تركت السجود لموجود اهتممت بخلقه و 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يَرَوْا أَنّٰا خَلَقْنٰا لَهُمْ مِمّٰا عَمِلَتْ أَيْدِينٰا أَنْعٰاماً فَهُمْ لَهٰا مٰالِكُونَ</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فالأيدي كناية عن تفرّده تعالى بخلقها، لم يشركه 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مصنوعة للّٰه تعالى و الناس يتصرّفون فيها تصرف الملّاك كأنّها مصنوعة لهم، فبدل أن يشكروا يكفرون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إذا قارنت بين الآيتين تقف على أنّ المقصود هو المعنى الكنائي، و المدار في الموافقة و المخالفة هو الظهور التصديقي لا التصوّري</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مجرى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مشهور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w:t>
      </w:r>
    </w:p>
    <w:p>
      <w:pPr>
        <w:pStyle w:val="BookText"/>
        <w:rPr/>
      </w:pPr>
      <w:r>
        <w:rPr>
          <w:rFonts w:ascii="Amiri" w:hAnsi="Amiri" w:eastAsia="Amiri" w:cs="Amiri"/>
          <w:color w:val="111111"/>
          <w:sz w:val="28"/>
          <w:sz w:val="28"/>
          <w:szCs w:val="28"/>
          <w:rtl w:val="true"/>
          <w:lang w:bidi="ar-SA"/>
        </w:rPr>
        <w:t>كسبت يداك، و ما جرت عليك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أرادوا نفي الفعل عن الفاعل استعملوا فيه هذا الضرب من الكلام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لا تمشي قدمه، و لا ينطق لسانه، و لا تكتب يده، و كذلك في الإثبات، و لا يكون للفعل رجوع إلى الجوارح في الحقيقة بل الفائدة فيه النفي عن الفاعل</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بَنَيْنٰاهٰا بِأَيْدٍ وَ إِنّٰا لَمُوسِعُونَ</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فالمراد من الأيدي هو القوّة و الإحكام، و القرينة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بقدرة لا يوصف قدرها و إنّا لذو سعة في القدرة لا يعجزها شيء، أو بنيناها بقدرة عظيمة و نوسعها في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أن يقف على تأويل غير مقبول في تفسير الآية فعليه أن يرجع إلى كلام الزمخشري في هذا الباب، فإنّ تأويله أردأ من تأويل القاضي، و هو من ذلك العالم البارع الأديب بعيد جدّا</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هذا نموذج من التأويل المردود، و أمّا التأويل المقبول فحدّث عنه و لا حرج، و إليك نموذجاً منه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يُدَبِّرُ اَلْأَمْرَ مٰا مِنْ شَفِيعٍ إِلاّٰ مِنْ بَعْدِ إِذْنِهِ ذٰلِكُمُ اَللّٰهُ رَبُّكُمْ فَاعْبُدُوهُ أَ فَلاٰ تَذَكَّرُونَ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شغل بال المفسّرين و أهل الكلام استواؤه سبحانه على العرش، فأقصى ما عند أهل التنزيه من الأشاعرة أنّه سبحانه مستو على عرشه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أو مستقرّ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 غير كيف</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و أمّا المشبّهة فهم يقولون بالجلوس على العرش على الكيف و التشبيه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القوم تدبّروا في نفس الآيتين الماضيتين و الآيات الأُخر</w:t>
      </w:r>
      <w:r>
        <w:rPr>
          <w:rStyle w:val="FootnoteAnchor"/>
          <w:rtl w:val="true"/>
        </w:rPr>
        <w:footnoteReference w:id="781"/>
      </w:r>
      <w:r>
        <w:rPr>
          <w:rFonts w:ascii="Amiri" w:hAnsi="Amiri" w:eastAsia="Amiri" w:cs="Amiri"/>
          <w:color w:val="111111"/>
          <w:sz w:val="28"/>
          <w:sz w:val="28"/>
          <w:szCs w:val="28"/>
          <w:rtl w:val="true"/>
          <w:lang w:bidi="ar-SA"/>
        </w:rPr>
        <w:t>التي ورد فيها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لوقفوا على أنّ الظهور التصوّري و هو كونه سبحانه ذا سرير متربّعاً عليه، غير مراد قطعاً، إذ لا مناسبة لهذا المعنى مع ما جاء في الآيات من بيان عظمة قدرته وسعة ملكه و تدبيره، و إنّه لا يشذّ عن علمه شيء، بل المراد هو الظهور التصديقي، و أنّ الاستواء بمعنى التمكّن و الاستيلاء التام، لا الجلوس و لا الاستقرار بعد التزلزل، كما أنّ المراد من العرش، عرش التدبير و عرش </w:t>
      </w:r>
    </w:p>
    <w:p>
      <w:pPr>
        <w:pStyle w:val="BookText"/>
        <w:rPr/>
      </w:pPr>
      <w:r>
        <w:rPr>
          <w:rFonts w:ascii="Amiri" w:hAnsi="Amiri" w:eastAsia="Amiri" w:cs="Amiri"/>
          <w:color w:val="111111"/>
          <w:sz w:val="28"/>
          <w:sz w:val="28"/>
          <w:szCs w:val="28"/>
          <w:rtl w:val="true"/>
          <w:lang w:bidi="ar-SA"/>
        </w:rPr>
        <w:t>الملك لا الّذي يجلس عليه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شيئاً غير موجود في الأدب العربي بل هو مملوء من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الاستواء بمعنى الاستيلاء فقد قال الأخطل يمدح بشراً أخا عبد الملك بن مروان حين ولى إمرة العراقين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استوى بشر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سيف و دم مهراق</w:t>
      </w:r>
    </w:p>
    <w:p>
      <w:pPr>
        <w:pStyle w:val="BookText"/>
        <w:rPr/>
      </w:pPr>
      <w:r>
        <w:rPr>
          <w:rFonts w:ascii="Amiri" w:hAnsi="Amiri" w:eastAsia="Amiri" w:cs="Amiri"/>
          <w:color w:val="111111"/>
          <w:sz w:val="28"/>
          <w:sz w:val="28"/>
          <w:szCs w:val="28"/>
          <w:rtl w:val="true"/>
          <w:lang w:bidi="ar-SA"/>
        </w:rPr>
        <w:t>فالحمد للمهيمن الخلّاق</w:t>
      </w:r>
    </w:p>
    <w:p>
      <w:pPr>
        <w:pStyle w:val="BookText"/>
        <w:rPr/>
      </w:pPr>
      <w:r>
        <w:rPr>
          <w:rFonts w:ascii="Amiri" w:hAnsi="Amiri" w:eastAsia="Amiri" w:cs="Amiri"/>
          <w:color w:val="111111"/>
          <w:sz w:val="28"/>
          <w:sz w:val="28"/>
          <w:szCs w:val="28"/>
          <w:rtl w:val="true"/>
          <w:lang w:bidi="ar-SA"/>
        </w:rPr>
        <w:t>فليس المراد من الاستواء الجلوس أو الاستقرار، بل التمكّن و الاستيلاء التام و السيطرة على العراقين و كسح كلِّ مزاحم و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الطرمّاح بن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طال على رسم مهدد أبده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عفى و استوى به بلده</w:t>
      </w:r>
    </w:p>
    <w:p>
      <w:pPr>
        <w:pStyle w:val="BookText"/>
        <w:rPr/>
      </w:pPr>
      <w:r>
        <w:rPr>
          <w:rFonts w:ascii="IRNazanin" w:hAnsi="IRNazanin" w:eastAsia="IRNazanin"/>
          <w:color w:val="111111"/>
          <w:sz w:val="28"/>
          <w:sz w:val="28"/>
          <w:szCs w:val="28"/>
          <w:rtl w:val="true"/>
          <w:lang w:bidi="fa-IR"/>
        </w:rPr>
        <w:t>و المراد استقام له الأمر و استتبّ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علونا و استوينا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تركناهم صرعى لنسر و كاسر</w:t>
      </w:r>
    </w:p>
    <w:p>
      <w:pPr>
        <w:pStyle w:val="BookText"/>
        <w:rPr/>
      </w:pPr>
      <w:r>
        <w:rPr>
          <w:rFonts w:ascii="Amiri" w:hAnsi="Amiri" w:eastAsia="Amiri" w:cs="Amiri"/>
          <w:color w:val="111111"/>
          <w:sz w:val="28"/>
          <w:sz w:val="28"/>
          <w:szCs w:val="28"/>
          <w:rtl w:val="true"/>
          <w:lang w:bidi="ar-SA"/>
        </w:rPr>
        <w:t>هذا حول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العرش، فالمتبادر منه تصوّراً هو السرير يجلس عليه الملوك، و يدبّرون منه ملكهم و يصدرون الأوامر و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هناك كناية عن الملك و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 عرش بني فلان، إذا زال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الشاعر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بنو مروان ثلّت عروشهم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أودت كما أودت أياد و حمير </w:t>
      </w:r>
    </w:p>
    <w:p>
      <w:pPr>
        <w:pStyle w:val="BookText"/>
        <w:rPr/>
      </w:pPr>
      <w:r>
        <w:rPr>
          <w:rFonts w:ascii="Amiri" w:hAnsi="Amiri" w:eastAsia="Amiri" w:cs="Amiri"/>
          <w:color w:val="111111"/>
          <w:sz w:val="28"/>
          <w:sz w:val="28"/>
          <w:szCs w:val="28"/>
          <w:rtl w:val="true"/>
          <w:lang w:bidi="ar-SA"/>
        </w:rPr>
        <w:t>فليس المراد تهدّم العروش الّتي كانوا يجلسون عليها، بل كناية عن زوال الملك و السيطرة و انقطاع سلطتهم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الدقة في الآيات الّتي ورد فيها استيلاؤه سبحانه على العرش يثبت بوضوح أنّ المراد من الآية هو السيطرة و التمكّن على صحيفة الكون و الخلقة، و أنّها بعد الخلقة في قبضة قدرته و حوزة سلطنته لم تفوّض لغيره، و لأجل ذلك يذكر في سورة يونس بعد هذه الجملة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مٰا مِنْ شَفِيعٍ إِلاّٰ مِنْ بَعْدِ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معرباً عن أنّه المدبِّر لأمر الخلقة، و ذلك لاستيلائه على عرش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استولى على عرش ملكه يقوم بتدبيره، و من ثلّ عرشه أو زال ملكه أو انقطع عنه لا يقدر على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سبحانه يذكر بعد هذه الجملة في سورة الأعراف كيفيّة التدبير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 اَللَّيْلَ اَلنَّهٰارَ يَطْلُبُهُ حَثِيثاً وَ اَلشَّمْسَ وَ اَلْقَمَرَ وَ اَلنُّجُومَ مُسَخَّرٰاتٍ بِأَمْرِهِ أَلاٰ لَهُ اَلْخَلْقُ 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 تعابير عن تدبيره صحيفة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مصدراً لهذه التدبيرات الشامخة، دليل على أنّه مستول على ملكه، مهيمن عليه، مسيطر على ما خلق و لم يخرج الكون عن حوزة قدرته، و مثله سائر الآيات الواردة فيها تلك الجملة، فإنّك ترى أنّه جاء في ضمن بيان فعل من أفعاله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دلالات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مراتبه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فسّرنا الاستواء بالجلوس و الاستقرار، و العرش بالكرسي الّذي يتربّع عليه الملوك، يكون المعنى غير مرتبط بما ورد في الآية من المفاهيم، إذ أيّ مناسبة بين التربّع على الكرسي المادي و القيام بهذه التدابير الرفيعة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المصحِّح للتدبير هو السيطرة و الهيمنة على الملك و هو لا يحتاج إلى التربّع و الجلوس على الكرسي، بل يتوقّف على سعة ملكه و نفوذ سلطته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القاضي بتأويل الآية بمثل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بعبارات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نموذج واضح للتأويل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وقفت على هذا المقياس تقدر على تمييز المقبول عن الزائف في الصفات الخبريّة، و عليك بالآيات الوارد فيها الألفاظ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العين، الساق، مجيئه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الأحاديث المرويّة عن طرق ضعاف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القدم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فالمعتزلة بل العدليّة عامّة يصفونه سبحانه بكلِّ ما وصف نفسه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الاختلاف في تمييز المراد الجدّي عن الصوري، و الظاهر التصديقي عن الظاهر الحرفي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فالمشبِّهة و الأشاعرة مصرّون على الأخذ بالأوّل مع أنّ سيرة العقلاء العارفين بالكلام و أساليب البلاغة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لا تجد أيّ مخالفة بين العقل و النقل الصحيح كالقرآن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الروايات فأكثرها إسرائيليات دسّت في الأحاديث الإسلاميّة من طريق الأحبار و الرهبان و نقلها السذّج من أصحاب الحديث زاعمين أنّها حقائق راهنة يلزم الأخذ بها، و قد استوفينا الكلام فيها عند البحث عن عقائد أهل الحديث</w:t>
      </w:r>
      <w:r>
        <w:rPr>
          <w:rFonts w:eastAsia="Amiri" w:cs="Amiri" w:ascii="Amiri" w:hAnsi="Amiri"/>
          <w:color w:val="111111"/>
          <w:sz w:val="28"/>
          <w:szCs w:val="28"/>
          <w:rtl w:val="true"/>
          <w:lang w:bidi="ar-SA"/>
        </w:rPr>
        <w:t>.</w:t>
      </w:r>
      <w:bookmarkStart w:id="689" w:name="pg11536_164268"/>
    </w:p>
    <w:p>
      <w:pPr>
        <w:pStyle w:val="Heading5"/>
        <w:numPr>
          <w:ilvl w:val="4"/>
          <w:numId w:val="1"/>
        </w:numPr>
        <w:rPr/>
      </w:pPr>
      <w:bookmarkStart w:id="690" w:name="__RefHeading___Toc3907769_73709187"/>
      <w:bookmarkStart w:id="691" w:name="_Toc252"/>
      <w:bookmarkEnd w:id="689"/>
      <w:bookmarkEnd w:id="690"/>
      <w:r>
        <w:rPr>
          <w:rtl w:val="true"/>
        </w:rPr>
        <w:t xml:space="preserve">ج </w:t>
      </w:r>
      <w:r>
        <w:rPr>
          <w:rtl w:val="true"/>
        </w:rPr>
        <w:t xml:space="preserve">- </w:t>
      </w:r>
      <w:r>
        <w:rPr>
          <w:rtl w:val="true"/>
        </w:rPr>
        <w:t>نفي الرؤية الحسية</w:t>
      </w:r>
      <w:bookmarkEnd w:id="691"/>
    </w:p>
    <w:p>
      <w:pPr>
        <w:pStyle w:val="Heading6"/>
        <w:numPr>
          <w:ilvl w:val="5"/>
          <w:numId w:val="1"/>
        </w:numPr>
        <w:rPr/>
      </w:pPr>
      <w:bookmarkStart w:id="692" w:name="__RefHeading___Toc3907771_73709187"/>
      <w:bookmarkStart w:id="693" w:name="_Toc253"/>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هذه هي النقطة الثالثة الّتي تركز عليها المعتزلة عند البحث عن التوحيد، و قد عرفت أنّ التوحيد رمز للتنزيه، أي تنزيهه سبحانه عن الجسم و الجسمانيّات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شغلت هذه المسألة بال المفسِّرين و المتكلِّمين و قد بحث عنها القاضي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يجب نفيه عن اللّٰه تعالى الرؤية، و هذه مسألة خلاف بين الناس، و في الحقيقة الخلاف في هذه المسألة إنّما يتحقّق بيننا و بين هؤلاء الأشاعرة الّذين لا يكيّفون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المجسّمة فهم يسلِّمون أنّ اللّٰه تعالى لو لم يكن جسماً لم يصحّ أن يرى، و نحن نسلِّم لهم أنّ اللّٰه تعالى لو كان جسماً لصحّ أن يرى و الكلام معهم في هذه المسألة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أنّا استوفينا دراسة أدلّة المجوّزين للرؤية في الجزء الثاني، فلنكتف في المقام بدراسة أدلّة النافين 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استدلّت المعتزلة على نفي الرؤية بالأدلّة العقليّة و السمعية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العقلية، فهي ما أثبتها الحسّ و العلوم الطبيعية من أنّ الرائي بالحاسّة لا يرى الشيء إلّا إذا كان مقابلاً أو حاّلاً في المقابل أو في حكم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أنّ اللّٰه تعالى لا يجوز أن يكون كذلك، لأنّ المقابلة من أحكام الأجسام </w:t>
      </w:r>
    </w:p>
    <w:p>
      <w:pPr>
        <w:pStyle w:val="BookText"/>
        <w:rPr/>
      </w:pPr>
      <w:r>
        <w:rPr>
          <w:rFonts w:ascii="Amiri" w:hAnsi="Amiri" w:eastAsia="Amiri" w:cs="Amiri"/>
          <w:color w:val="111111"/>
          <w:sz w:val="28"/>
          <w:sz w:val="28"/>
          <w:szCs w:val="28"/>
          <w:rtl w:val="true"/>
          <w:lang w:bidi="ar-SA"/>
        </w:rPr>
        <w:t>و الأعراض و هو سبحانه فوق الممكنات و 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استدلّ به القاضي تبعاً لمشايخه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عمّا ربّما يتمسّك به المجوّز من أنّه يمكن أن نرى القديم تعالى بحاسّة سادسة من دون الحاجة إلى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جاز أن يرى القديم بحاسّة سادسة لجاز أن يذاق بحاسّة سابعة، و أن يلمس بحاسّة ثامنة، و أن يشمّ بحاسّة تاسعة، و يسمع بحاسّة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القاضي أن يعترض أيضاً بأنّ الرؤية بحاسّة سادسة مضافاً إلى أنّه رجم بالغيب، خروج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القاضي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الدلالة في الآية هو ما قد ثبت من أنّ الإدراك إذا قرن بالبصر، لا يحتمل إلّا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أنّه تعالى نفى عن نفسه إدراك البصر، و نجد في ذلك تمدّحاً راجعاً إلى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نفيه تمدّحاً راجعاً إلى ذاته كان إثباته نقصاً، و النقائص غير جائزة على اللّٰه تعالى في حال من الأحوال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ببصري حرارة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يصحّ قولكم إنّ الادراك إذا قرن بالبصر لا يحتمل إلّا الرؤية؟ أُجيب بأنّ هذا ليس من اللّغة في شيء، و إنّما اخترعه ابن أبي بشر الأشعري ليصحّح مذهبه </w:t>
      </w:r>
    </w:p>
    <w:p>
      <w:pPr>
        <w:pStyle w:val="BookText"/>
        <w:rPr/>
      </w:pPr>
      <w:r>
        <w:rPr>
          <w:rFonts w:ascii="Amiri" w:hAnsi="Amiri" w:eastAsia="Amiri" w:cs="Amiri"/>
          <w:color w:val="111111"/>
          <w:sz w:val="28"/>
          <w:sz w:val="28"/>
          <w:szCs w:val="28"/>
          <w:rtl w:val="true"/>
          <w:lang w:bidi="ar-SA"/>
        </w:rPr>
        <w:t>به، إذ لم يرد في كلامهم لا المنظوم و لا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في هذا المجال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أحسست ببصري حرارة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الباء إنّما تدخل على الآلة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مشيت برجلي و كتبت بقلمي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البصر ليس بآلة في إدراك الحرارة، بل يستوي فيه البصر و السمع، فلو أُطلق البصر فلا يراد منه إلّا العضو الحاسّ لا العضو الّذي يرى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أفاض الكلام في دلالة الآية و ردّ ما أُثير حولها من الشبهات بوجه ممتاز، فمن أراد فليرجع إليه</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من لطيف ما أفاده في المقام، هو الإجابة عن احتجاج المثبتين بما رووه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ربّكم يوم القيامة كما ترون القمر ليلة البدر</w:t>
      </w:r>
      <w:r>
        <w:rPr>
          <w:rFonts w:eastAsia="Amiri" w:cs="Amiri" w:ascii="Amiri" w:hAnsi="Amiri"/>
          <w:color w:val="111111"/>
          <w:sz w:val="28"/>
          <w:szCs w:val="28"/>
          <w:rtl w:val="true"/>
          <w:lang w:bidi="ar-SA"/>
        </w:rPr>
        <w:t>»</w:t>
      </w:r>
      <w:r>
        <w:rPr>
          <w:rStyle w:val="FootnoteAnchor"/>
          <w:rtl w:val="true"/>
        </w:rPr>
        <w:footnoteReference w:id="7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عن الاستدلال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بظاهر الخبر يستلزم أن نرى اللّٰه سبحانه مثلما نرى القمر، فإنّا لا نرى القمر إلّا مدوّراً عالياً منوّراً، و اللّٰه سبحانه أعلى من هذه الصفات</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الشبه هو الرؤية الحسيّة اليقينيّة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الإنسان لا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رأى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فهكذا فيه سبحانه لاتمام الخصوصيات</w:t>
      </w:r>
      <w:r>
        <w:rPr>
          <w:rFonts w:eastAsia="Amiri" w:cs="Amiri" w:ascii="Amiri" w:hAnsi="Amiri"/>
          <w:color w:val="111111"/>
          <w:sz w:val="28"/>
          <w:szCs w:val="28"/>
          <w:rtl w:val="true"/>
          <w:lang w:bidi="ar-SA"/>
        </w:rPr>
        <w:t xml:space="preserve">. </w:t>
      </w:r>
      <w:bookmarkStart w:id="694" w:name="pg11536_164271"/>
    </w:p>
    <w:p>
      <w:pPr>
        <w:pStyle w:val="BookText"/>
        <w:rPr/>
      </w:pPr>
      <w:bookmarkEnd w:id="69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يروى عن قيس بن أبي حازم، عن جرير بن عبد اللّه البجلي،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قيس هذا مطعون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 سمعت عليّاً على منبر الكوفة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إلى بقيّة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النهروان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بغضه على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بغض أمير المؤمنين عليه السلام قلبه فأقلّ أحواله أن لا يعتمد على قوله، و لا يحتجّ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خولط في عقله آخر عمره، و الكتبة يكتبون عنه على عادتهم في حال عدم التمييز، و لا ندري أنّ هذا الخبر رواه و هو صحيح العقل أو مختلطه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هذا الخبر فأكبر ما فيه أن يكون خبراً من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الواحد ممّا لا يقتضي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مسألتنا طريقها القطع و الثبات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معارض بأخبار 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بعض الأخبار</w:t>
      </w:r>
      <w:r>
        <w:rPr>
          <w:rFonts w:eastAsia="Amiri" w:cs="Amiri" w:ascii="Amiri" w:hAnsi="Amiri"/>
          <w:color w:val="111111"/>
          <w:sz w:val="28"/>
          <w:szCs w:val="28"/>
          <w:rtl w:val="true"/>
          <w:lang w:bidi="ar-SA"/>
        </w:rPr>
        <w:t>.</w:t>
      </w:r>
      <w:r>
        <w:rPr>
          <w:rStyle w:val="FootnoteAnchor"/>
          <w:rtl w:val="true"/>
        </w:rPr>
        <w:footnoteReference w:id="786"/>
      </w:r>
    </w:p>
    <w:p>
      <w:pPr>
        <w:pStyle w:val="Heading6"/>
        <w:numPr>
          <w:ilvl w:val="5"/>
          <w:numId w:val="1"/>
        </w:numPr>
        <w:rPr/>
      </w:pPr>
      <w:bookmarkStart w:id="695" w:name="__RefHeading___Toc3907773_73709187"/>
      <w:bookmarkStart w:id="696" w:name="_Toc254"/>
      <w:bookmarkEnd w:id="695"/>
      <w:r>
        <w:rPr>
          <w:rtl w:val="true"/>
        </w:rPr>
        <w:t>الإجابة عن الشبه الثلاث</w:t>
      </w:r>
      <w:bookmarkEnd w:id="696"/>
    </w:p>
    <w:p>
      <w:pPr>
        <w:pStyle w:val="BookText"/>
        <w:rPr/>
      </w:pPr>
      <w:r>
        <w:rPr>
          <w:rFonts w:ascii="Amiri" w:hAnsi="Amiri" w:eastAsia="Amiri" w:cs="Amiri"/>
          <w:color w:val="111111"/>
          <w:sz w:val="28"/>
          <w:sz w:val="28"/>
          <w:szCs w:val="28"/>
          <w:rtl w:val="true"/>
          <w:lang w:bidi="ar-SA"/>
        </w:rPr>
        <w:t>إنّ للمثبتين، شبهاً ثلاثاً أشبه ما تكون بشبهات الأحداث</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القديم تعالى عندكم راء لذاته، فيجب أن يرى نفسه فيما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نفسه، قال إنّه يراه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و الكبرى ممنوعتان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اُريد من رؤيته لذاته حضور ذاته لذاته و عدم غيبوبتها عنها، فهو صحيح و لا صلة له بالرؤية الحسّيّة، و إن أُريد الرؤية بالبصر فالصغرى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الكبرى فزعم المستدلّ أنّ المسألة مسألة فقهيّة لا يصحّ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مصحِّح الرؤية هو الوجود، بدليل أنّ الشيء متى كان موجوداً كان مرئياً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يكن كذلك لم يكن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شرط الرؤية لا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يرى الإنسان الإرادات و الكراهات و 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فللرؤية شرائط قد حقِّقت في العلوم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الرؤية للّٰه تعالى لا تؤدّي إلى حدوثه، و لا إلى حدوث معنى فيه، و لا إلى تشبيهه بخلقه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القاضي أنّ إثبات الرؤية تؤدّي إلى تشبيهه بخلقه، لأنّ الشيء إنّما يرى إذا كان مقابلاً، أو حالاً في المقابل، و هذه من صفات الأجسام، فيجب أن يكون تعالى جسماً، و إذا كان جسماً يجب أن يكون محدثاً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697" w:name="pg11536_164273"/>
    </w:p>
    <w:p>
      <w:pPr>
        <w:pStyle w:val="Heading4"/>
        <w:numPr>
          <w:ilvl w:val="3"/>
          <w:numId w:val="1"/>
        </w:numPr>
        <w:rPr/>
      </w:pPr>
      <w:bookmarkStart w:id="698" w:name="__RefHeading___Toc3907775_73709187"/>
      <w:bookmarkStart w:id="699" w:name="_Toc255"/>
      <w:bookmarkEnd w:id="697"/>
      <w:bookmarkEnd w:id="698"/>
      <w:r>
        <w:rPr>
          <w:rtl w:val="true"/>
        </w:rPr>
        <w:t>الأصل الثاني</w:t>
      </w:r>
      <w:r>
        <w:rPr>
          <w:rtl w:val="true"/>
        </w:rPr>
        <w:t xml:space="preserve">: </w:t>
      </w:r>
      <w:r>
        <w:rPr>
          <w:rtl w:val="true"/>
        </w:rPr>
        <w:t>العدل</w:t>
      </w:r>
      <w:bookmarkEnd w:id="699"/>
    </w:p>
    <w:p>
      <w:pPr>
        <w:pStyle w:val="Heading5"/>
        <w:numPr>
          <w:ilvl w:val="4"/>
          <w:numId w:val="1"/>
        </w:numPr>
        <w:rPr/>
      </w:pPr>
      <w:bookmarkStart w:id="700" w:name="__RefHeading___Toc3907777_73709187"/>
      <w:bookmarkStart w:id="701" w:name="_Toc256"/>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هذا هو الأصل الثاني من الأُصول الخمسة، و الأصل الأوّل يهدف إلى تنزيه ذاته سبحانه عمّا لا يجوز حمله عليه، و تمييزه عمّا يجوز، و هذا يهدف إلى أفعاله سبحانه و تمييز ما يجوز عليه عمّا لا يجوز، فإذا وصفنا القديم تعالى بأنّه عدل حكيم، فالمراد به أنّه لا يفعل القبيح أو لا يختاره و لا يخلّ بما هو واجب عليه و إنّ أفعاله كلّها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خالفتهم المجبِّرة و أضافت إلى اللّٰه تعالى كلّ قبيح، و قد تعرّفت على تعريف القاضي لهذا الأصل في مدخل البحث عن الأُصول الخمسة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هذا الأصل عند العدليّة من غير فرق بين المعتزلة و الإماميّة، هو أنّ اللّٰه عزّ و جلّ عدل كريم، خلق الخلق لعبادته، و أمرهم بطاعته، و نهاهم عن معصيته، و عمّهم بهدايته، بدأهم بالنعم و تفضّل عليهم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أحداً إلّا دون الطاقة، و لم يأمره إلّا بما جعل له عليه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عبث في صنعه و لا قبيح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عن مشاركة عباده في الأفعال، و تعالى عن اضطرارهم إلى الأعمال لا يعذِّب أحداً إلّا على ذنب فعله، و لا يلوم عبداً </w:t>
      </w:r>
    </w:p>
    <w:p>
      <w:pPr>
        <w:pStyle w:val="BookText"/>
        <w:rPr/>
      </w:pPr>
      <w:r>
        <w:rPr>
          <w:rFonts w:ascii="Amiri" w:hAnsi="Amiri" w:eastAsia="Amiri" w:cs="Amiri"/>
          <w:color w:val="111111"/>
          <w:sz w:val="28"/>
          <w:sz w:val="28"/>
          <w:szCs w:val="28"/>
          <w:rtl w:val="true"/>
          <w:lang w:bidi="ar-SA"/>
        </w:rPr>
        <w:t>إلّا على قبيح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مثقال ذرّة، و إن تك حسنة يضاعفها و يؤت من لدنه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لهذا الأصل دوراً كبيراً في تطوير المسائل الكلاميّة، و هو الحجر الأساس لكثير من آراء المعتزلة كما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يبتني على التحسين و التقبيح العقليّين، فلو ثبتا بالبرهان العقلي، يثبت العدل كما ثبت كلّ ما بنى عليه من المسائل، و إلّا يصبح الأساس و البناء خاليين من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ما ذكرنا في نصّ القاضي،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العَدْل مصدر عَدَلَ يَعْدلُ عَدْلاً، ثمّ قد يذكر و يراد به الفعل، و قد يذكر و يراد به الفاعل، فإذا وصف به الفعل، فالمراد به كلّ فعل حسن يفعله الفاعل لينفع به غيره أو ليضرّه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وصف به الفاعل، فعلى طريق المبالغة كقولهم للصائم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و نحن إذا وصفنا القديم تعالى بأنّه عدل حكيم، فالمراد به أنّه لا يفعل القبيح، أو لا يختاره، و لا يخلّ بما هو واجب عليه، و أنّ أفعاله كلّها حسنة، و قد خالفنا في ذلك المجبِّرة و أضافت إلى اللّٰه تعالى كلّ قبيح</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إنّ إثبات عدله سبحانه مبنيّ على ثبوت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أفعالاً تتّصف بذاتها بالحسن 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عالم بحسن الأشياء و قبحها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لا يصدر منه القبيح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برهنوا عليه بوجوه مختلفة، أوضحها ما أشار إليه أبو عبد اللّه البصري في عبارة مختصرة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عاقل يستحسن بكمال عقله التفرقة بين المحسن و المسيء، و إنّما تفرق بينهما الحسنة و إلّا فلا نفع في ذلك و لا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معرفة حسن الأفعال أو قبحها كمعرفة حسن الصِّدق و قبح الكذب، إنّما يعلم ببداهة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استنباط وجوه الحسن أو القبح في فعل معيّن فذلك يحتاج إلى تفكير و استدلال، و من ثمّ لا تختلف العقول في التمييز بين حسن الأفعال و قبحها على وجه الجملة، كمعرفة قبح الظلم، و لكنّها تختلف في الحكم على الإفعال تفصيلاً، فيستحسن الخوارج قتل مخالفيهم بينما تستقبح ذلك معظم فرق المسلمين</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الحكمة النظريّة قضايا نظريّة تنتهي إلى قضايا بديهيّة، و لو لا ذلك لعقمت القياسات و صارت غير منتجة، و مثلها الحكمة العمليّة، ففيها قضايا غير معلومة لا تعرف إلّا بالانتهاء إلى قضايا ضروريّة، و إلّا لما عرف الإنسان شيئاً من قضايا الحكمة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العقل يدرك القضايا البديهيّة في الحكمة النظريّة من صميم ذاتها، فهكذا يدرك بديهيّات القضايا في الحكمة العمليّة من صميم ذاتها بلا حاجة إلى تصوّر شيء آخر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إنّ كلّ القضايا النظريّة يجب أن تنتهي إلى قضيّة امتناع اجتماع </w:t>
      </w:r>
    </w:p>
    <w:p>
      <w:pPr>
        <w:pStyle w:val="BookText"/>
        <w:rPr/>
      </w:pPr>
      <w:r>
        <w:rPr>
          <w:rFonts w:ascii="Amiri" w:hAnsi="Amiri" w:eastAsia="Amiri" w:cs="Amiri"/>
          <w:color w:val="111111"/>
          <w:sz w:val="28"/>
          <w:sz w:val="28"/>
          <w:szCs w:val="28"/>
          <w:rtl w:val="true"/>
          <w:lang w:bidi="ar-SA"/>
        </w:rPr>
        <w:t xml:space="preserve">النقيضين و ارتفاعهما، بحيث لو ارتفع التصديق بهما لما أمكن التصديق بشيء من القضايا و لذا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يحصل اليقين بأنّ زوايا المثلّث مثلاً تساوي قائمتين، إلّا إذا حصل قبله امتناع صدق نقيض تلك القضيّة، أي عدم مساواتها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احتمل صدق النقيض لما حصل اليقين بالنسبة، و لأجل ذلك اتّفقت كلمة الحكماء على أنّ إقامة البرهان على المسائل النظريّة إنّما تتمّ إذا انتهى البرهان إلى أُمّ القضايا الّتي قد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البيان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للقضايا النظرية في العقل النظري قضايا بديهيّة أو قضايا أوّليّة تنتهي إليها، فهكذا القضايا غير الواضحة في العقل العملي يجب أن تنتهي إلى قضايا أوّليّة و واضحة عند ذلك العقل، بحيث لو ارتفع التصديق بهذه القضايا في الحكمة العمليّة لما صحّ التصديق بقضيّة من القضايا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تلك القضايا البديهيّة في العقل العملي مسألة التحسين و التقبيح العقليّين الثابتين لجملة من القضايا مثل قولنا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الإحسان بالإحسان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الإحسان بالإساءة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القضايا قضايا أوّلية في الحكمة العمليّة، و العقل العملي يدركها من ملاحظة القضيّة بنفسها و في ضوئها يحكم بما ورد في مجال العقل العملي من الأحكام المربوطة بالأخلاق أوّلاً، و تدبير المنزل ثانياً، و سياسة المدن ثالثاً، الّتي يبحث عنها في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استقلال العقل في تلك القضايا </w:t>
      </w:r>
    </w:p>
    <w:p>
      <w:pPr>
        <w:pStyle w:val="BookText"/>
        <w:rPr/>
      </w:pPr>
      <w:r>
        <w:rPr>
          <w:rFonts w:ascii="Amiri" w:hAnsi="Amiri" w:eastAsia="Amiri" w:cs="Amiri"/>
          <w:color w:val="111111"/>
          <w:sz w:val="28"/>
          <w:sz w:val="28"/>
          <w:szCs w:val="28"/>
          <w:rtl w:val="true"/>
          <w:lang w:bidi="ar-SA"/>
        </w:rPr>
        <w:t>الأوّلية الراجعة إلى العقل العملي إلّا لأجل أنّه يجدها إمّا ملائمة للجانب العالي من الإنسانيّة، المشترك بين جميع أفراد الإنسان، أو منافرة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تصبح قضيّة التحسين و التقبيح في قسم من الأفعال، قضيّة كلّية لا تختصّ بزمان دون زمان، و لا جيل دون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تختصّ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كمالاً أو نقصاً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بالإنسان بل تعمّ الموجود الحيّ المدرك المختار، لأنّ العقل يدركها بصورة قضيّة عامّة شاملة لكلّ من يمكن أن يتّصف بهذه الأفعال كالعدل و الظلم، فهو يدرك أنّ الأوّل حسن عند الجميع و من الجميع، و الثاني قبيح كذلك، و ليس للانسان خصوصيّة في ذلك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يصبح المدّعي للتحسين و التقبيح العقليّين الذاتيّين في غنى عن البرهنة لما يتبنّاه، كما أنّ المدّعي لامتناع اجتماع النقيضين و ارتفاعهما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الحكماء و المتكلّمين اتّفقوا على أنّه يجب انتهاء القضايا النظريّة في العقل النظري إلى قضايا بديهيّة، و إلّا عقمت الأقيسة و لزم التسلسل في مقام الاستنتاج، و لكنّهم غفلوا عن إجراء ذلك الأصل في جانب العقل العملي و لم يقسّموا القضايا العمليّة إلى فكرية و بديهيّة، أو نظريّة و 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الاستنتاج و الجزم بالقضايا الواردة في مجال العقل لا يتمّ إلّا إذا انتهى العقل إلى قضايا واضحة في ذلك المجال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فالمسائل المطروحة في الأخلاق ممّا يجب الاتصاف به أو التنزّه عنه، أو المطروحة في القضايا البيتيّة و العائليّة الّتي يعبّر عنها بتدبير المنزل، أو </w:t>
      </w:r>
    </w:p>
    <w:p>
      <w:pPr>
        <w:pStyle w:val="BookText"/>
        <w:rPr/>
      </w:pPr>
      <w:r>
        <w:rPr>
          <w:rFonts w:ascii="Amiri" w:hAnsi="Amiri" w:eastAsia="Amiri" w:cs="Amiri"/>
          <w:color w:val="111111"/>
          <w:sz w:val="28"/>
          <w:sz w:val="28"/>
          <w:szCs w:val="28"/>
          <w:rtl w:val="true"/>
          <w:lang w:bidi="ar-SA"/>
        </w:rPr>
        <w:t>القضايا المبحوث عنها في علم السياسة و تدبير المدن، ليست في الوضوح على نمط واحد، بل لها درجات و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ينال العقل الجزم بكلّ القضايا العمليّة إلّا إذا كانت هناك قضايا بديهيّة واضحة تبتني عليها القضايا المجهولة العمليّة حتّى يحصل الجزم بها و يرتفع الإبهام عن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فالقائل بالتحسين و التقبيح العقليّين في غنى عن التوسّع في طرح أدلّة القائلين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يستغني الإنسان عن كثير من الأدلّة الّتي أقامها القائلون بالحسن و القبح، سواء أ كانت صحيحة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ربّما يقال من أنّ أحدنا لو خيّر بين الصدق و الكذب و كان النفع في أحدهما كالنفع في الآخر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كذبت أعطيناك درهماً و إن صدقت أعطيناك درهماً، فإنّه قطُّ لا يختار الكذب على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إلّا لعلمه بقبحه و بغناه عنه</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الصِّدق على الكذب يمكن أن يكون مستنداً إلى أمر آخر، و هو كون الصِّدق مطابقاً للفطرة و الكذب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يختار الصبي إلّا الصِّدق و ليس ذلك لأجل العلم بقبح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كونه سبحانه عالماً بحسن الأشياء و قبحها، فقد استدلّ عليه القاضي بأنّه تعالى عالم لذاته، و من حقِّ العالم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جميع المعلومات على الوجوه الّتي يصح أن تعلم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الوجوه الّتي </w:t>
      </w:r>
    </w:p>
    <w:p>
      <w:pPr>
        <w:pStyle w:val="BookText"/>
        <w:rPr/>
      </w:pPr>
      <w:r>
        <w:rPr>
          <w:rFonts w:ascii="Amiri" w:hAnsi="Amiri" w:eastAsia="Amiri" w:cs="Amiri"/>
          <w:color w:val="111111"/>
          <w:sz w:val="28"/>
          <w:sz w:val="28"/>
          <w:szCs w:val="28"/>
          <w:rtl w:val="true"/>
          <w:lang w:bidi="ar-SA"/>
        </w:rPr>
        <w:t>يصحّ أن يعلم المعلوم عليه قبح القبائح، فيجب أن يكون القديم تعالى عالماً به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مجمل و لعلّه يريد أنّ ذاته سبحانه علّة الأشياء و علّة لصفاتها، و العلم بالعلّة، علم بالمعاليل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سبحانه بما أنّه عالم لذاته، عالم بمعاليله من الذوات و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التقرير عليل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القبح من صفات الأفعال لا من صفات الأشياء الخارجية من الجواهر و الأعراض القائمة بها، و أفعال الإنسان ليست مخلوقة له سبحانه عند المعتزلة فلا تكون معلولة لذاته حتّى يلزم من العلم بالذات،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القبح، بمعنى يجب أَنْ يفعل أو لا يفعل، من الأحكام العقلية و ليست من الصفات الخارجية للأفعال و الأشياء، حتّى يكونا مخلوقين له سبحانه، و حتى يقال بأنّ خالق القبيح و الحسن خالق لقبحه أو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الأوسط، الاستدلال على علمه بالحسن و القبيح بعلم الإنسان بهما، و اللّٰه سبحانه عالم بما خلق، و بما ينطوي عليه مخلوقه من التصورات و التصديقات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حسن الأشياء و قبحها بذاتها معلومة للإنسان المخلوق، فهي </w:t>
      </w:r>
    </w:p>
    <w:p>
      <w:pPr>
        <w:pStyle w:val="BookText"/>
        <w:rPr/>
      </w:pPr>
      <w:r>
        <w:rPr>
          <w:rFonts w:ascii="Amiri" w:hAnsi="Amiri" w:eastAsia="Amiri" w:cs="Amiri"/>
          <w:color w:val="111111"/>
          <w:sz w:val="28"/>
          <w:sz w:val="28"/>
          <w:szCs w:val="28"/>
          <w:rtl w:val="true"/>
          <w:lang w:bidi="ar-SA"/>
        </w:rPr>
        <w:t>معلومة له بالضرورة، لانتهاء ما في الكون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و قد تعرّفت في البيان الّذي أوضحنا به دليل أبي عبد اللّه البصري أنّ العقل يدرك أن هنا شيئاً حسناً لدى الكلّ و قبيحاً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يختصّ قبح الأشياء و لا حسنها بشخص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عليه بما ورد في الكتب الكلاميّة من أنّ القبيح لا يختاره إلّا الجاهل بالقبح أو المحتاج إليه، و كلاهما منفيّان عنه تعالى، و لأجل ذلك إنّ الظلمة و الفسقة لا يرتكبون القبائح إلّا لجهلهم بقبحها أو لاعتقادهم أنّهم سيحتاجون إليها في المستقبل، كما في غصب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مبنيّ على كون فاعليّة الواجب بالداعي الزائد على ذاته، و هو خلاف التحقيق لكونه تامّاً في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في الإيجاد محتاجاً إلى شيء وراء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الأولى أن يقرّر بأنّ مقتضى التحسين و التقبيح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العقل بما هو هو، يدرك أنّ هذا الشيء بما هو هو، حسن أو قبيح، و أنّ أحد هذين الوصفين ثابت للشيء بما هو هو، من دون دخالة ظرف من الظروف أو قيد من القيود، و من دون دخالة درك مدرك خاصّ</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فالعقل في تحسينه و تقبيحه يدرك واقعيّة عامّة و متساوية </w:t>
      </w:r>
      <w:bookmarkStart w:id="702" w:name="pg11536_164281"/>
    </w:p>
    <w:p>
      <w:pPr>
        <w:pStyle w:val="BookText"/>
        <w:rPr/>
      </w:pPr>
      <w:bookmarkEnd w:id="702"/>
      <w:r>
        <w:rPr>
          <w:rFonts w:ascii="Amiri" w:hAnsi="Amiri" w:eastAsia="Amiri" w:cs="Amiri"/>
          <w:color w:val="111111"/>
          <w:sz w:val="28"/>
          <w:sz w:val="28"/>
          <w:szCs w:val="28"/>
          <w:rtl w:val="true"/>
          <w:lang w:bidi="ar-SA"/>
        </w:rPr>
        <w:t>بالنسبة إلى جميع المدركين و الفاعلين، من غير فرق بين الممكن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حسن يمدح فاعله عند الجميع، و الظلم قبيح يذمّ فاعله عند الجميع، و على هذا الأساس فاللّٰه سبحانه، المدرك للفعل و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الفاعل للمدح أو الذمّ من غير خصوصيّة للفاعل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يقوم بفعل ما يحكم بأنّ فاعله مستحقّ للذّم، أو يقوم بفعل ما يحكم بأنّه يجب التنزّه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فاللّٰه سبحانه عادل، لأنّ الظلم قبيح و ممّا يجب التنزّه عنه، و لا يصدر القبيح من الحكيم، و العدل حسن و ممّا ينبغي الاتّصاف به، فيكون الاتّصاف بالعدل من شئون كونه حكيماً منزّهاً عمّا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يدرك أنّ القيام بالعدل كمال لكلّ أحد، و ارتكاب الظلم نقص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حسب إدراك العقل، عنده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كيف يجوز أن يرتكب الواجب خلاف الكمال، و يقوم بما يجرّ النّقص إليه؟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3907779_73709187"/>
      <w:bookmarkStart w:id="704" w:name="_Toc257"/>
      <w:bookmarkEnd w:id="703"/>
      <w:r>
        <w:rPr>
          <w:rtl w:val="true"/>
        </w:rPr>
        <w:t>ما يتفرّع على العدل من المسائل</w:t>
      </w:r>
      <w:bookmarkEnd w:id="704"/>
    </w:p>
    <w:p>
      <w:pPr>
        <w:pStyle w:val="Heading6"/>
        <w:numPr>
          <w:ilvl w:val="5"/>
          <w:numId w:val="1"/>
        </w:numPr>
        <w:rPr/>
      </w:pPr>
      <w:bookmarkStart w:id="705" w:name="__RefHeading___Toc3907781_73709187"/>
      <w:bookmarkStart w:id="706" w:name="_Toc258"/>
      <w:bookmarkEnd w:id="705"/>
      <w:r>
        <w:rPr>
          <w:rtl w:val="true"/>
        </w:rPr>
        <w:t>اشارة</w:t>
      </w:r>
      <w:bookmarkEnd w:id="706"/>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الحسن و القبح أساس القول بالعدل، و عنه تتفرّع عدّة مسائل تفترق فيها مدرسة الاعتزال عن مدرسة أهل الحديث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نشير إلى عناوينها، ثمّ نبحث عن كلّ واحد تلو الآخر، و هي عبارة 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قادر على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أفعال العباد غير مخلوقة فيهم و أنّهم المحدثون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الاستطاعة متقدِّمة على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قبح التكليف بما لا يطاق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تعالى لا يكون مريداً للمعاصي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اللّطف واجب على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القرآن الكريم من حيث الحدوث و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يتعلّق بالنبوّات و الشرائع و معاجز الأنبياء</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المسائل المبنيّة على العدل، و نحن نأخذ بالبحث عنها على منهج الاعتزال، و سيوافيك أنّ ثمرات التحسين و التقبيح العقليّين أوسع ممّا ذكر</w:t>
      </w:r>
      <w:r>
        <w:rPr>
          <w:rFonts w:eastAsia="Amiri" w:cs="Amiri" w:ascii="Amiri" w:hAnsi="Amiri"/>
          <w:color w:val="111111"/>
          <w:sz w:val="28"/>
          <w:szCs w:val="28"/>
          <w:rtl w:val="true"/>
          <w:lang w:bidi="ar-SA"/>
        </w:rPr>
        <w:t xml:space="preserve">. </w:t>
      </w:r>
      <w:bookmarkStart w:id="707" w:name="pg11536_164283"/>
    </w:p>
    <w:p>
      <w:pPr>
        <w:pStyle w:val="Heading6"/>
        <w:numPr>
          <w:ilvl w:val="5"/>
          <w:numId w:val="1"/>
        </w:numPr>
        <w:rPr/>
      </w:pPr>
      <w:bookmarkStart w:id="708" w:name="__RefHeading___Toc3907783_73709187"/>
      <w:bookmarkStart w:id="709" w:name="_Toc259"/>
      <w:bookmarkEnd w:id="707"/>
      <w:bookmarkEnd w:id="708"/>
      <w:r>
        <w:rPr>
          <w:rtl w:val="true"/>
        </w:rPr>
        <w:t>المسألة الأُولى</w:t>
      </w:r>
      <w:r>
        <w:rPr>
          <w:rtl w:val="true"/>
        </w:rPr>
        <w:t xml:space="preserve">: </w:t>
      </w:r>
      <w:r>
        <w:rPr>
          <w:rtl w:val="true"/>
        </w:rPr>
        <w:t>قدرته سبحانه على القبيح</w:t>
      </w:r>
      <w:bookmarkEnd w:id="709"/>
    </w:p>
    <w:p>
      <w:pPr>
        <w:pStyle w:val="BookText"/>
        <w:rPr/>
      </w:pPr>
      <w:r>
        <w:rPr>
          <w:rFonts w:ascii="Amiri" w:hAnsi="Amiri" w:eastAsia="Amiri" w:cs="Amiri"/>
          <w:color w:val="111111"/>
          <w:sz w:val="28"/>
          <w:sz w:val="28"/>
          <w:szCs w:val="28"/>
          <w:rtl w:val="true"/>
          <w:lang w:bidi="ar-SA"/>
        </w:rPr>
        <w:t xml:space="preserve">قد عرفت أنّ القاضي قد رتّب على القول بالعدل عدّة مسائل، و لأجل التعرّف على منهج الاعتزال نطرح هذه المسائل مكتفين على ما جاء به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رائدنا في هذه المباحث، و من أراد التبسّط فعليه المراجعة لكتابه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منه أربعة عشر جزءاً، و على كلّ حال فكتب القاضي هي الممثّلة لرأي المعتزلة في أعصارهم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المسألة الأُولى في قدرته سبحانه على القبيح و إنّما عنونها في هذا الفصل لأدنى مناسبة، مع أنّ عنوانها في عموم القدرة أولى من عنوانها في مسألة التحسين و التقبيح، و المخالف فيها عدّة من المعتزلة منهم النظّام و عليّ الأسواري و الجاحظ، حيث ذهبوا إلى أنّه تعالى غير موصوف بالقدرة على ما لو فعله لكان قبيحاً، و قد ردّ عليهم القاضي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تعالى قادر على أن يخلق فينا العلم كما هو قادر على أن يخلق بدله الجهل، و أيضاً قادر على أن يخلق الشهوة في أهل الجنّة كما هو قادر على أن يخلق فيهم النفرة</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بين القدرة على الحسن و القدرة على القبيح، موهون جدّاً، و ناشٍ عن عدم التعرّف على مفهوم القدرة، فإنّها تستعمل فيما إذا كان الفاعل بالنسبة إلى الفعل و الترك متساوياً، و إلّا لما وصف بالقدرة، بل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قادراً على إدخال المطيع إلى الجنّة، و لم يكن قادراً على إدخاله في النار لما وصف بالقادر، بل كان فاعلاً موجباً، و بذلك يعلم حال عدّة من المسائل الّتي اختلف فيها المعتزلة، و إليك عناوينها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عبّاد بن سليمان إلى عدم قدرته تعالى على خلاف معلومه، قائلاً بأنّ ما علم وقوعه يقع قطعاً، فهو واجب الوقوع، و ما علم عدم وقوعه لا يقع قطعاً، فهو ممتنع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نفي القدرة و توصيفه سبحانه بالإيجاب أوّلاً، و أن تعلّق العلم بوقوعه لا يخرجه عن الاختيار ثانياً، لأنّه تعلّق بصدوره عنه سبحانه اختياراً لا اضطراراً و إيجاباً، و قد قلنا نظير ذلك في تعلّق علمه سبحانه بصدور أفعال العباد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البلخي إلى عدم قدرته تعالى على مثل مقدور العبد، لأنّه إمّا طاعة، أو معصية، أو 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منزّه عن أن يكون مطيعاً، أو عاصياً، أو عابثاً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غفل عن أنّ الاطاعة و المعصية، ليستا من الأُمور الحقيقيّة الدخيلة في ماهيّة العمل، فلو قام إنسان كالخليل لبناء بيت امتثالاً لأمره سبحانه، فاللّٰه </w:t>
      </w:r>
    </w:p>
    <w:p>
      <w:pPr>
        <w:pStyle w:val="BookText"/>
        <w:rPr/>
      </w:pPr>
      <w:r>
        <w:rPr>
          <w:rFonts w:ascii="Amiri" w:hAnsi="Amiri" w:eastAsia="Amiri" w:cs="Amiri"/>
          <w:color w:val="111111"/>
          <w:sz w:val="28"/>
          <w:sz w:val="28"/>
          <w:szCs w:val="28"/>
          <w:rtl w:val="true"/>
          <w:lang w:bidi="ar-SA"/>
        </w:rPr>
        <w:t>سبحانه يقدر على إيجاد بيت مثله، و الفعلان متّحدان ماهيّة و هيئة، و إن كان الأوّل مصداقاً للإطاعة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أمر انتزاعيّ ينتزعه العقل من مطابقة المأتي به لما أمر به المولى، و على هذا فهناك واقعيّتان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المأتيّ به، و أمّا الموافقة و المخالفة فهما أمران ذهنيّان يتواردان على الذهن من ملاحظتهما، فإن وجد بينهما المشابهة أو المخالفة يعبّر عن الأُولى بالطاعة، و عن الثانية بالعصيان، و ليس لهما واقعيّة وراء الذهن، فلا تكون الحقيقة الخارجيّة سواء صدرت عن اللّٰه سبحانه، أو عن عباده، أمرين متباينين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الجبّائيان إلى عدم قدرته تعالى على عين مقدور العبد، و إلّا لزم اجتماع النقيضين إذا أراده اللّٰه و كرهه العبد، أو بالعكس</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القائل الاستدلال بوجه آخر، و هو أنّه يلزم حينئذ اجتماع العلّتين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فما جاء في الاستدلال نشأ من فكرة ثنويّة ناشئة عن مبادئ الاعتزال، فتخيّل أنّ فعل العبد يجب أن يكون مخلوقاً للعبد وحده و لا يكون للّٰه سبحانه فيه شأن، لما أنّ هناك فاعلين مستقلّين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لكلّ مجاله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لا يرتبط مقدور العبد باللّٰه سبحانه كما لا يرتبط مقدوره بعباده، و لكنّه باطل، لما عرفت من أنّ العلّتين ليستا عرضيّتين بل طوليّتين، فالعلل الإمكانيّة في طول العلّة الواجبة، و بما أنّه تنتهي العلل إلى الواجب، يكون مخلوق العبد مخلوقه سبحانه</w:t>
      </w:r>
      <w:r>
        <w:rPr>
          <w:rFonts w:eastAsia="Amiri" w:cs="Amiri" w:ascii="Amiri" w:hAnsi="Amiri"/>
          <w:color w:val="111111"/>
          <w:sz w:val="28"/>
          <w:szCs w:val="28"/>
          <w:rtl w:val="true"/>
          <w:lang w:bidi="ar-SA"/>
        </w:rPr>
        <w:t xml:space="preserve">. </w:t>
      </w:r>
      <w:bookmarkStart w:id="710" w:name="pg11536_164286"/>
    </w:p>
    <w:p>
      <w:pPr>
        <w:pStyle w:val="Heading6"/>
        <w:numPr>
          <w:ilvl w:val="5"/>
          <w:numId w:val="1"/>
        </w:numPr>
        <w:rPr/>
      </w:pPr>
      <w:bookmarkStart w:id="711" w:name="__RefHeading___Toc3907785_73709187"/>
      <w:bookmarkStart w:id="712" w:name="_Toc260"/>
      <w:bookmarkEnd w:id="710"/>
      <w:bookmarkEnd w:id="711"/>
      <w:r>
        <w:rPr>
          <w:rtl w:val="true"/>
        </w:rPr>
        <w:t>المسألة الثانية</w:t>
      </w:r>
      <w:r>
        <w:rPr>
          <w:rtl w:val="true"/>
        </w:rPr>
        <w:t xml:space="preserve">: </w:t>
      </w:r>
      <w:r>
        <w:rPr>
          <w:rtl w:val="true"/>
        </w:rPr>
        <w:t>في أنّ أفعال العباد، ليست مخلوقة للّٰه سبحانه</w:t>
      </w:r>
      <w:bookmarkEnd w:id="712"/>
    </w:p>
    <w:p>
      <w:pPr>
        <w:pStyle w:val="Heading6"/>
        <w:numPr>
          <w:ilvl w:val="5"/>
          <w:numId w:val="1"/>
        </w:numPr>
        <w:rPr/>
      </w:pPr>
      <w:bookmarkStart w:id="713" w:name="__RefHeading___Toc3907787_73709187"/>
      <w:bookmarkStart w:id="714" w:name="_Toc261"/>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من فروع القول بالعدل كون فعل الإنسان فعله، لا فعل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الحديث و الأشاعرة يعتقدون بكون أفعال العباد مخلوقة للّٰه سبحانه، و عندئذ يلزم على أُصول الاعتزال كونه سبحانه موصوفاً بفعل القبيح، و ذلك لأنّ أفعال العباد بين حسن و قبيح، فلو كان هو الفاعل يلزم أن يكون فاعل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الجزاء على القبيح قبيح مع كون الفاعل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يفصّل القاضي الأقوال في المسألة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 هم المحدثون لأفعالهم، و يقابلهم الجبريّة كالجهميّة القائلون بأنّ أفعالهم مخلوقة للّٰه و لا تعلّق لها بالعباد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ذهب إلى كونها مخلوقة للّٰه و لكن لها تعلّق بهم من جهة الكسب</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سوّى في هذه القضيّة بين المباشر و المتولّد،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مخلوق للّٰه سبحانه و متعلّق بنا من جهة الكسب، و ينسب هذا إلى ضرار بن عمرو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 من فصل بين المباشر و المتولّد،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المباشر خلق اللّٰه تعالى فينا متعلّق بنا من حيث الكسب، و أمّا المتولّد كالإحراق بعد الإلقاء فاللّٰه تعالى متفرّد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أنّا استوفينا الكلام في عقيدة الأشاعرة و مفهوم الكسب في الجزء الثاني، نركّز البحث هنا على عقيدة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فالمنقول عنهم تفويض، أفعال العباد إلى أنفسهم و أنّه لا شأن للّٰه سبحانه في أفعال عباده، فذواتهم مخلوقة للّٰه و أفعالهم مفوّضة إلى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في ذواتهم محتاجون إلى الواجب لا في أفعالهم و حركاتهم و سكناتهم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في كتب الأشاعرة و الشيعة الإماميّة، مرميّة بهذه العقيدة، و إليك نقل ما يعرب عن مذهبهم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 المعتزلة أنّ اللّٰه تعالى لم يخلق الكفر و المعاصي و لا شيئاً من أفعال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خلق الكافر لا كافراً، ثمّ إنّه كفر و كذلك المؤمن، و اختلفت في الإنسان يخلق فعله أم لا، على ثلاث 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 بعضهم أنّ معنى فاعل و خالق واحد، و أنّا لا نطلق ذلك في الإنسان لأنّا مُنعنا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لا بآلة و لا بجارحة، و هذا يستحيل منه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منه الفعل مقدّراً، فكلّ من وقع فعله مقدّراً فهو خالق، قديماً كان أم محدثاً</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حاصله أنّهم لم يقولوا بكون أفعال العباد مخلوقة لله، و أمّا كونها مخلوقة لأنفسهم فمن فسّر الخلق بالإيجاد لا بآلة و لا بجارحة، فمنع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فسّر الخلق بالتقدير فقد جوّزه، و سيوافيك التصريح من أبي بكر الأنباري و غيره أنّ الخلق ربّما يستعمل في التقدير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غير خالق لأكساب الناس، و لا لشيء من أعمال الحيوانات، و قد زعموا أنّ الناس هم الّذين يقدرون على أكسابهم و أنّه ليس للّٰه عزّ و جلّ في أكسابهم و لا في أعمال سائر الحيوانات صنع و تقدير</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شيخنا أبو عليّ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كلّ أهل العدل على أنّ أفعال العباد من تصرّفهم و قيامهم و قعودهم، حادثة من جهتهم، و أنّ اللّٰه عزّ و جلّ أقدرهم على ذلك، و لا فاعل لها و لا محدث سواهم، و أنّ من قال إنّ اللّٰه سبحانه خالقها و محدثها، فقد عظم خطاؤه، و أحالوا حدوث فعل من فاعلين</w:t>
      </w:r>
      <w:r>
        <w:rPr>
          <w:rFonts w:eastAsia="Amiri" w:cs="Amiri" w:ascii="Amiri" w:hAnsi="Amiri"/>
          <w:color w:val="111111"/>
          <w:sz w:val="28"/>
          <w:szCs w:val="28"/>
          <w:rtl w:val="true"/>
          <w:lang w:bidi="ar-SA"/>
        </w:rPr>
        <w:t>».</w:t>
      </w:r>
      <w:r>
        <w:rPr>
          <w:rStyle w:val="FootnoteAnchor"/>
          <w:rtl w:val="true"/>
        </w:rPr>
        <w:footnoteReference w:id="797"/>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نبيّن أنّ العبد إنّما يقدر على إحداث و إيجاد، و أنّ القدرة لا تتعلّق بالشيء إلّا على طريق الحدوث، و أنّه يستحيل أن يفعل الشيء من وجهين، و يستحيل تعلّق الفعل بفاعلين محدثين، أو قديم 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نبيِّن من بعد إبطال قول من أضاف أفعال العباد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نذكر ما يلزمهم على قوده من الفساد، و الخروج عن الدين، و التزام جحد الضروريات</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جماعة إلى أنّ اللّٰه أوجد العباد و أقدرهم على بعض الأفعال، و فوّض إليهم الاختيار، فهم مستقلّون بإيجادها على وفق مشيئتهم و طبق إرادتهم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و هذه النصوص الخمسة من أكابر الأشاعرة و المعتزلة و الإماميّة، تحاول أن ترميهم بالتّفويض و إن لم تكن في الصراحة بمكان يجزم الإنسان معها بصحّة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يلزم المزيد من التتبّع في كتبهم الّتي قصرت أيدينا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التوضيح نبحث عن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شكّ في وجود القول بالتفويض في عصر الإمام الباقر عليه السلام كيف و قد طلب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عامله في المدينة، أن يوجّه محمّد بن علي الباقر إلى الشام حتّى يناظر قدريّاً أعيا الشاميين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الإمام ولده جعفراً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الشام و اجتمع مع القدري،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بلغ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تستعين؟ ما حاجتك إلى المعونة؟ إنّ 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فبهت القدري</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تضافر عنهم عليهم السلام التنديد بالجبر و التفويض بمضامين مختلفة، نأتي بواحد منها حتّى تقف على ما يشابهه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بن عجلان الصادق عليه السلام أنّه هل فوّض اللّٰه الأمر إلى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أكرم من أن يفوّض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فأجبرهم على أفعالهم؟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من أن يجبر عبداً على فعل ثمّ يعذّبه عليه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تضافر عن أئمّة أهل البيت عليهم السلام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يدفعنا إلى القول بوجود المفوِّضة في زمن صدور هذه الروايات بين الأُمة الإسلاميّة، و يرجع صدورها إلى أواخر القرن الأوّل، و أواسط القرن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الكلام في أنّ المعتزلة هل هم المعنيّون في هذه الأخبار، أو هم غيرهم، و هذا هو الّذي يحتاج إلى دراسة عميقة بالغور في الآثار الباقية من المعتزلة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نقلناه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محتمل الوجهين، فيمكن أن يكون إشارة إلى استقلال العباد في أفعالهم و أعمالهم كما نسب إليهم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فاعل لأفعال العباد و لا محدث لها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نفي كونها مخلوقة للّٰه سبحانه مباشرة و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عليه قوله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من قال إنّ اللّٰه سبحانه خالقها و محدثها، فقد عظم خطاؤه و أحالوا حدوث فعل من فاعلين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فالعبارة بصدد نفي كون فعل العباد مخلوقاً للّٰه مباشرة على النحو الّذي يذهب إليه أهل الحديث و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القول باستقلال العباد في أفعالهم و غناهم عن الواجب في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المذهب في أفعال العباد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أفعالهم مخلوقة للّٰه مباشرة و بلا واسطة، أو كون أفعالهم مخلوقة للعبد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الحديث و الأشاعرة على الأوّل، و المعتزلة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القول بالثاني ليس بمعنى انقطاع عمل العباد عن اللّٰه سبحانه، و عدم انتهاء سلسلة العلل إلى الحقّ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 يكن الأمر بين الأمرين شيئاً مفهوماً لديهم حتّى يعتقدوا به، لأنّه من الكنوز العلميّة الّتي ظهرت من معادن العلم و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عدم الوقوف على هذا المذهب غير الاعتقاد على التفويض و الإذعان بالمعنى الباطل الّذي لا يفارق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استدلّ به القاضي على مذهبه لا يثبت سوى نفي الجبر و كون أفعال العباد غير مخلوقة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التفويض الّذي اتّهم به، فلا تثبته أدلّته، و إليك بعض ما استدلّ به على ردّ الخصم على وجه الإجمال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يدلّ على ذلك أن نفصل بين المحسن و المسيء، و بين حسن الوجه و قبيحه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فنحمد المحسن على إحسانه و نذمّ المسيء على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تجوز هذه الطريقة في حسن الوجه و قبيحه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w:t>
      </w:r>
    </w:p>
    <w:p>
      <w:pPr>
        <w:pStyle w:val="BookText"/>
        <w:rPr/>
      </w:pPr>
      <w:r>
        <w:rPr>
          <w:rFonts w:ascii="IRNazanin" w:hAnsi="IRNazanin" w:eastAsia="IRNazanin"/>
          <w:color w:val="111111"/>
          <w:sz w:val="28"/>
          <w:sz w:val="28"/>
          <w:szCs w:val="28"/>
          <w:rtl w:val="true"/>
          <w:lang w:bidi="fa-IR"/>
        </w:rPr>
        <w:t>أحدهما متعلّق بنا بخلاف الآخر، لما وجب هذا الفصل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صحّ الجبر لزمهم التسوية بين الرسول و إبليس، لأنّ الرسول يدعوهم إلى خلاف ما أراد اللّٰه تعالى منهم، كما أنّ إبليس يدعوهم إلى ذلك، بل يلزمهم أن يكون حال الرسول أسوأ من حال إبليس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قبح مجاهدة الكفّار، لأنّ للكفرة أن يقولوا لما ذا تجاهدونا؟ فإن كان جهادكم إيّانا على ما لا يريده اللّٰه تعالى منّا و لا يحبّه، فالجهاد لكم أولى و أوجب، و إن كان الجهاد لنا على ما خلق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جهاد لا معنى له</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إلى غير ذلك من الأدلّة الّتي أقامها القاضي على نفي الجبر، فلا يجد الإنسان في كتابه ما يثبت به التفويض و لو بصورة الدليل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فكرة التّفويض فكرة ثنويّة لا يعرج عليها مسلم واع، عارف بالكتاب و السنّة و بدايات الفلسفة الإلهيّة، و لا ينطق بها من وقف على موقف الممكن من الواجب، و واقعيّة العلل و المعاليل الإمكانيّة بالنسبة إلى الواجب المكوِّن لها بأسرها، فإنّ صفحة الوجود الإمكاني صفحة فقيرة متدلّية بالذات قائمة بالغير، ذاتاً كان أم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نسبة الوجود الإمكاني إلى الوجود الواجبي، كنسبة الوجود الحرفي إلى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عندئذ كيف يعقل لموجود امكاني الاستقلال في التّأثير و الفعل من دون أن يستند إلى الواجب و يعتمد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للمعنى الحرفي الخروج عن إطار المعنى الاسمي في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 الدلالة، و التحقّق في الخارج، فهكذا المعلول الامكاني بهويّته و أفعاله، فليس له الخروج عن إطار العلّة الواجبة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أوضحنا بطلان التفويض كتاباً و عقلاً في أبحاثنا الكلاميّة</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أفعال العباد مفوّضة إليهم أنفسهم أو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الذوات الإمكانيّة محتاجة إلى الواجب في حدوثهم فقط، أو في حدوثهم و بقائهم؟</w:t>
      </w:r>
    </w:p>
    <w:p>
      <w:pPr>
        <w:pStyle w:val="BookText"/>
        <w:rPr/>
      </w:pPr>
      <w:r>
        <w:rPr>
          <w:rFonts w:ascii="Amiri" w:hAnsi="Amiri" w:eastAsia="Amiri" w:cs="Amiri"/>
          <w:color w:val="111111"/>
          <w:sz w:val="28"/>
          <w:sz w:val="28"/>
          <w:szCs w:val="28"/>
          <w:rtl w:val="true"/>
          <w:lang w:bidi="ar-SA"/>
        </w:rPr>
        <w:t>فمن قال بالأوّل وجب له القول بالتفويض في الأفعال بوجه أولى، لأنّ الذات إذا كانت غنيّة عن الواجب في بقائه، فأولى أن يكون كذلك في أفعالها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الرئيس في إشاراته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يقولون إنّه إذا أوجد فقد زالت الحاجة إلى الفاعل، حتّى إنّه لو فقد الفاعل جاز أن يبقى المفعول موجوداً كما يشاهدونه من فقدان البنّاء و قوام البناء، و حتّى إنّ كثيراً منهم لا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جاز على الباري تعالى العدم لما ضرّ عدمه وجود العالم، لأنّ </w:t>
      </w:r>
    </w:p>
    <w:p>
      <w:pPr>
        <w:pStyle w:val="BookText"/>
        <w:rPr/>
      </w:pPr>
      <w:r>
        <w:rPr>
          <w:rFonts w:ascii="Amiri" w:hAnsi="Amiri" w:eastAsia="Amiri" w:cs="Amiri"/>
          <w:color w:val="111111"/>
          <w:sz w:val="28"/>
          <w:sz w:val="28"/>
          <w:szCs w:val="28"/>
          <w:rtl w:val="true"/>
          <w:lang w:bidi="ar-SA"/>
        </w:rPr>
        <w:t>العالم عندهم إنّما احتاج إلى الباري تعالى في أن أوجده أي أخرجه من العدم إلى الوجود، حتّى كان بذلك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 فعل و حصل له الوجود عن العدم، فكيف يخرج بعد ذلك إلى الوجود عن العدم حتّى يحتاج إلى الفاعل</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الشيخ عنهم مبنيّ على أنّ مناط حاجة الممكن إلى العلّة هل هو إمكانه أو حدوثه، فمن قال بالثاني، صوّر الممكن غنياً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بالأوّل، أظهر الممكن محتاجاً في كلِّ حال من الأحوال إلى الواجب حدوثاً و بقاءً و ذاتاً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التحقيق كون مناط الحاجة هو الإمكان، فإذاً يصبح التفويض أمراً باطلاً لا يحتاج إلى التدليل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نأتي ببعض الدلائل المتقنة على أنّ مناط الحاجة هو الإمكان، و هو لا يزول عن الممكن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فذاته تتعلّق به دائماً، فكيف بأفعاله، فانتظر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من الشيخ المفيد موافقة المعتزلة للإماميّة في مسألة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عدل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 عن مشاركة عباده في الأفعال، و تعالى عن اضطرارهم إلى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أحداً إلّا على ذنب فعله، و لا يلوم عبداً إلّا على قبيح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مثقال ذرّة، فإن تك حسنة يضاعفها و يؤت من لدنه أجراً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القول جمهور أهل الإمامة، و به تواترت الآثار عن آل محمّد عليهم السلام، و إليه يذهب المعتزلة بأسرها إلّا ضراراً منها و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كثير من المرجئة، و جماعة من الزيديّة و المحكّمة، و نفر من أصحاب الحديث، و خالف فيه جمهور العامّة و بقايا ممّن عددناه</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 ما ذكره الشيخ المفيد يعرب عن أنّ المعتزلة في ذلك العصر لم تكن معتقدة بالتفويض، و إلّا لم يعدّها الشيخ متّحدة مع الإماميّة القائلة بنفي الجبر و التفويض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من المفيد أنّ المراد من التفويض الوارد في الروايات غير ما هو المصطلح بيننا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الجبر هو الحمل على الفعل و الاضطرار إليه بالقهر و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ذلك إيجاد الفعل في الخلق من غير أن يكون له قدرة على دفعه، و الامتناع من وجوده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التفويض هو القول برفع الحظر عن الخلق في الأفعال، و الإباحة لهم مع ما شاءوا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الزنادقة و أصحاب الإباحات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الواسطة بين هذين القولين أنّ اللّٰه أقدر الخلق على أفعالهم، و مكّنهم من أعمالهم، و حدّ لهم الحدود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أفاده</w:t>
      </w:r>
      <w:r>
        <w:rPr>
          <w:rFonts w:eastAsia="Amiri" w:cs="Amiri" w:ascii="Amiri" w:hAnsi="Amiri"/>
          <w:color w:val="111111"/>
          <w:sz w:val="28"/>
          <w:szCs w:val="28"/>
          <w:rtl w:val="true"/>
          <w:lang w:bidi="ar-SA"/>
        </w:rPr>
        <w:t>».</w:t>
      </w:r>
      <w:r>
        <w:rPr>
          <w:rStyle w:val="FootnoteAnchor"/>
          <w:rtl w:val="true"/>
        </w:rPr>
        <w:footnoteReference w:id="806"/>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يصحّ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فعل الإنسان، أو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اللّٰه سبحانه؟ </w:t>
      </w:r>
    </w:p>
    <w:p>
      <w:pPr>
        <w:pStyle w:val="BookText"/>
        <w:rPr/>
      </w:pPr>
      <w:r>
        <w:rPr>
          <w:rFonts w:ascii="Amiri" w:hAnsi="Amiri" w:eastAsia="Amiri" w:cs="Amiri"/>
          <w:color w:val="111111"/>
          <w:sz w:val="28"/>
          <w:sz w:val="28"/>
          <w:szCs w:val="28"/>
          <w:rtl w:val="true"/>
          <w:lang w:bidi="ar-SA"/>
        </w:rPr>
        <w:t>لا شكّ أنّ اللّٰه سبحانه هو الخالق، و أنّه خلق السموات و الأرض بجواهرها و أعراضها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يصحُّ استعمال كلمة الخلق في مورد فعل الإنسان، فإذا قام أو قعد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القيام و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أكل و شرب هل يصحّ لنا 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يجوز ذلك إلّا في مورد يكون هناك عناية في استعمال 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الرائج في مصطلح القرآن هو التّعبير بالكسب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مٰا كَسَبَتْ وَ عَلَيْهٰا مَا اِكْتَسَبَتْ</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فَعَلَ اَلَّذِينَ مِنْ قَبْلِهِمْ</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تَقُولُونَ مٰا لاٰ تَفْعَلُونَ</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فالتعبير الرائج عن أفعال الإنسان بصورة عامّة هو الكسب و الفعل، و بصورة خاصّة هو الأفعال المخصوصة من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 كلمة الخلق في مورد الفعل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الفعل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بمعهود، و إنّما هو اصطلاح تسرّب إلى كلمات المحدِّثين و المتكلِّمين في نهاية القرن الأوّل و أوائل الثاني، حتّى قام البخاري بتأليف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الأعمال</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الخلق يفعلون، و يحدثون، و يخترعون، </w:t>
      </w:r>
    </w:p>
    <w:p>
      <w:pPr>
        <w:pStyle w:val="BookText"/>
        <w:rPr/>
      </w:pPr>
      <w:r>
        <w:rPr>
          <w:rFonts w:ascii="Amiri" w:hAnsi="Amiri" w:eastAsia="Amiri" w:cs="Amiri"/>
          <w:color w:val="111111"/>
          <w:sz w:val="28"/>
          <w:sz w:val="28"/>
          <w:szCs w:val="28"/>
          <w:rtl w:val="true"/>
          <w:lang w:bidi="ar-SA"/>
        </w:rPr>
        <w:t>و يصنعون، و يكتسبون، و لا أطلق القول عليهم بأنّهم يخلقون و لا لهم خالقون، و لا أتعدّى ذكر ذلك فيما ذكر اللّٰه تعالى، و لا أتجاوز به مواضعه من القرآن، و على هذا القول إجماع الإماميّة، و الزيديّة، و البغداديّين من المعتزلة، و أكثر المرجئة، و أصحاب الحديث، و خالف فيه البصريّون من المعتزلة، و أطلقوا على العباد أنّهم خالقون، فخرجوا بذلك من إجماع المسلمين</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أمّا القرآن فلم يصف فعل الإنسان بما هو فعله من دون أن يحدث هيئة أو تركيباً بالخلق إلّا في مورد واحد،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تَعْبُدُونَ مِنْ دُونِ اَللّٰهِ أَوْثٰاناً وَ تَخْلُقُونَ إِفْكاً</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مع أنّه يحتمل أن يكون الخلق فيه بمعنى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الكذب و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افتراه، ابتدعه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أيضاً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كذب الأوّلين</w:t>
      </w:r>
      <w:r>
        <w:rPr>
          <w:rFonts w:eastAsia="Amiri" w:cs="Amiri" w:ascii="Amiri" w:hAnsi="Amiri"/>
          <w:color w:val="111111"/>
          <w:sz w:val="28"/>
          <w:szCs w:val="28"/>
          <w:rtl w:val="true"/>
          <w:lang w:bidi="ar-SA"/>
        </w:rPr>
        <w:t>.</w:t>
      </w:r>
      <w:r>
        <w:rPr>
          <w:rStyle w:val="FootnoteAnchor"/>
          <w:rtl w:val="true"/>
        </w:rPr>
        <w:footnoteReference w:id="812"/>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وصف القرآن عمل المسيح بالخلق، لكن في مورد خاصّ و هو إحداث صورة و هيئة و تركيب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جعل من الطّين كهيئة الطير، خاطبه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تَخْلُقُ مِنَ اَلطِّينِ كَهَيْئَةِ اَلطَّيْرِ بِإِذْنِي فَتَنْفُخُ </w:t>
      </w:r>
    </w:p>
    <w:p>
      <w:pPr>
        <w:pStyle w:val="BookText"/>
        <w:rPr/>
      </w:pPr>
      <w:r>
        <w:rPr>
          <w:rFonts w:ascii="Amiri" w:hAnsi="Amiri" w:eastAsia="Amiri" w:cs="Amiri"/>
          <w:color w:val="111111"/>
          <w:sz w:val="28"/>
          <w:sz w:val="28"/>
          <w:szCs w:val="28"/>
          <w:rtl w:val="true"/>
          <w:lang w:bidi="ar-SA"/>
        </w:rPr>
        <w:t>فِيهٰا فَتَكُونُ طَيْراً بِإِذْنِي</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 عليه يحمل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غير هذه الصورة، كالفعل المجرّد عن إحداث شيء مثل المشي و القعود، فلم يعهد توصيفه بالخلق، و إنّما حدث هذا الاصطلاح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خلق الأفعال و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القرن الأوّل و أوائل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تنصرف الإطلاقات الواردة في القرآن الكريم من أنّه خالق كلّ شيء إلى غير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حيث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اللّغة، فالظاهر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الخلق بمعنى الانشاء على مثال أبدعه، و الخلق بمعنى التقدير، و الأوّل يختصّ باللّٰه سبحانه، و الثاني يعمّه و غيره، و عليه حملوا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اَلْخٰالِقِينَ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المقدّرين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بمعنى التقدير، و خلق الأديم يخلقه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لما يريد قبل القطع، و قاسه ليقطع منه</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و لأجل ذلك، فالأولى في عنوان البحث مكان خلق الأعمال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أفعال العباد مستندة إلى اللّٰه سبحانه فقط، أو إلى العباد فقط، أو إليهما معاً، أو ما يشبه ذلك؟</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الأبحاث العقليّة لا تدور مدار صحّة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فسواء أصحّ </w:t>
      </w:r>
    </w:p>
    <w:p>
      <w:pPr>
        <w:pStyle w:val="BookText"/>
        <w:rPr/>
      </w:pPr>
      <w:r>
        <w:rPr>
          <w:rFonts w:ascii="Amiri" w:hAnsi="Amiri" w:eastAsia="Amiri" w:cs="Amiri"/>
          <w:color w:val="111111"/>
          <w:sz w:val="28"/>
          <w:sz w:val="28"/>
          <w:szCs w:val="28"/>
          <w:rtl w:val="true"/>
          <w:lang w:bidi="ar-SA"/>
        </w:rPr>
        <w:t>توصيف أفعال العباد بالخلق أم لا، ففعل الإنسان بما أنّه من الموجودات الإمكانيّة، لا يخرج من كتم العدم إلى حيِّز الوجود إلّا بعلّة واجبة أو ممكنة منتهية إلى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فعلاً مباشرياً له، و على الثاني يكون فعلاً تسبّبياً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بطلان كلا المذهبين، أمّا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تصوير أنّ العلّة التامّة للفعل هو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كون الفعل الصادر من العبد فعلاً مباشريّاً للواجب، و كيف يمكن أن يكون الأكل، و الشرب، و المشي، و القعود أفعالاً له مع أنّ ماهيات هذه الأفعال واقعة بأعمال الجوارح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تصوير استقلال العبد في مقام الفعل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كون الإنسان فاعلاً واجباً في مقام الفعل غير محتاج إلى الواجب في عمله، و مرجعه إلى الثّنويّة في الاعتقاد، و الشرك في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من رفض القولين و اختيار مذهب بين المذهبين الّذي يدعمه العقل، و الكتاب، و أحاديث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الوقوف على حقيقته فعليه بالمؤلفات الكلامية لأصحابنا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الجنوح إلى التفويض لأحد أمرين أو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الحادث في حدوثه محتاجاً إلى الواجب لا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الذات فيكون الفعل الصادر عنها غير مستند إليه بوجه أولى؟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الفعل مستنداً إلى خالق العبد و نفسه يلزم توارد القدرتين </w:t>
      </w:r>
      <w:bookmarkStart w:id="715" w:name="pg11536_164300"/>
    </w:p>
    <w:p>
      <w:pPr>
        <w:pStyle w:val="BookText"/>
        <w:rPr/>
      </w:pPr>
      <w:bookmarkEnd w:id="715"/>
      <w:r>
        <w:rPr>
          <w:rFonts w:ascii="Amiri" w:hAnsi="Amiri" w:eastAsia="Amiri" w:cs="Amiri"/>
          <w:color w:val="111111"/>
          <w:sz w:val="28"/>
          <w:sz w:val="28"/>
          <w:szCs w:val="28"/>
          <w:rtl w:val="true"/>
          <w:lang w:bidi="ar-SA"/>
        </w:rPr>
        <w:t>على مقدور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إيضاح حال كلا الدليلين نبحث عن كلّ منهما مستقلاّ</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3907789_73709187"/>
      <w:bookmarkStart w:id="717" w:name="_Toc262"/>
      <w:bookmarkEnd w:id="716"/>
      <w:r>
        <w:rPr>
          <w:rtl w:val="true"/>
        </w:rPr>
        <w:t>مناط الحاجة إلى العلّة هو الإمكان لا الحدوث</w:t>
      </w:r>
      <w:bookmarkEnd w:id="717"/>
    </w:p>
    <w:p>
      <w:pPr>
        <w:pStyle w:val="BookText"/>
        <w:rPr/>
      </w:pPr>
      <w:r>
        <w:rPr>
          <w:rFonts w:ascii="Amiri" w:hAnsi="Amiri" w:eastAsia="Amiri" w:cs="Amiri"/>
          <w:color w:val="111111"/>
          <w:sz w:val="28"/>
          <w:sz w:val="28"/>
          <w:szCs w:val="28"/>
          <w:rtl w:val="true"/>
          <w:lang w:bidi="ar-SA"/>
        </w:rPr>
        <w:t xml:space="preserve">إنّ هذا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مناط الحاجة إلى العلّة هو الحدوث لا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بنت عليها المفوِّضة نظريّتهم في أفعال العباد، بل و آثار كلِّ الكائنات، باطل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مناط حاجة المعلول إلى العلّة هو الإمكان، أي عدم كون وجوده نابعاً من ذاته، أو كون الوجود و العدم بالنسبة إلى ذاته متساويين، و هذا الملاك موجود في حالتي البدء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الحدوث فليس ملاكاً للحاجة فإنّه عبارة عن تحقّق الشّيء بعد عدمه و مثل هذا، أمر انتزاعيّ ينتزع بعد اتّصاف الماهيّة بالوجود، و ملاك الحاجة يجب أن يكون قبل الوجود لا بعده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الحدوث أمر منتزع من الشيء بعد تحقّقه، و يقع في الدرجة الخامسة من محلّ حاجة الممكن إلى العلّة، و ذلك لأنّ الشيء يحتاج أوّلاً، ثمّ تقترنه العلّة ثانياً، فتوجده ثالثاً، فيتحقّق الوجود رابعاً، فينتزع منه وصف الحدوث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الحدوث مناط الحاجة الّذي يجب أن يكون في المرتبة الأُولى، و قد اشتهر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فاحتاج، فأُوجد، فوجد، فحدث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الحكماء إلى أنّ مناط الحاجة هو 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 النسبة إلى الوجود و العدم، و أنّه بذاته لا يقتضي شيئاً واحداً من الطرفين، و لا يخرج عن حدِّ الاستواء إلّا بعلّة قاهرة تجرّه إلى أحد الطرفين و تخرجه عن حالة اللّااقتضاء إلى حالة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مناط الحاجة هو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الشيء بالنّظر إلى ذاته لا يقتضي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موجود في حالتي الحدوث و البقاء، و القول باستغناء الكون في بقائه عن العلّة، دون حدوثه، تخصيص للقاعدة العقليّة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ممكن ما دام ممكناً، بمعنى ما دام كون الوجود غير نابع من ذاته، يحتاج إلى علّة، و تخصيص القاعدة العقليّة مرفوض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يشير الحكيم المتألّه الشيخ محمد حسين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منظومته إلى هذا الوجه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الافتقار لازم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البرهان</w:t>
      </w:r>
    </w:p>
    <w:p>
      <w:pPr>
        <w:pStyle w:val="BookText"/>
        <w:rPr/>
      </w:pPr>
      <w:r>
        <w:rPr>
          <w:rFonts w:ascii="Amiri" w:hAnsi="Amiri" w:eastAsia="Amiri" w:cs="Amiri"/>
          <w:color w:val="111111"/>
          <w:sz w:val="28"/>
          <w:sz w:val="28"/>
          <w:szCs w:val="28"/>
          <w:rtl w:val="true"/>
          <w:lang w:bidi="ar-SA"/>
        </w:rPr>
        <w:t xml:space="preserve">لا فرق ما بين الحدوث و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لازم الذّات و لن يفترقا</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العالم المادّي بحاجة إلى العلّة في الحدوث دون البقاء، يشبه القول بأنّ بعض أبعاد الجسم بحاجة إلى العلّة دون الأبعاد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جسم بعدين، بعداً مكانياً و بعداً زمانياً، فامتداد الجسم في أبعاده الثلاثة، يشكّل بعده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بقاءه في عمود الزمان يشكّل بعده 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فالجسم باعتبار أبعاضه ذو أبعاد مكانيّة و باعتبار استمرار وجوده مدى الساعات و الأيّام ذو أبعاد </w:t>
      </w:r>
    </w:p>
    <w:p>
      <w:pPr>
        <w:pStyle w:val="BookText"/>
        <w:rPr/>
      </w:pPr>
      <w:r>
        <w:rPr>
          <w:rFonts w:ascii="Amiri" w:hAnsi="Amiri" w:eastAsia="Amiri" w:cs="Amiri"/>
          <w:color w:val="111111"/>
          <w:sz w:val="28"/>
          <w:sz w:val="28"/>
          <w:szCs w:val="28"/>
          <w:rtl w:val="true"/>
          <w:lang w:bidi="ar-SA"/>
        </w:rPr>
        <w:t>زمانيّة، فكما أنّ حاجة الجسم إلى العلّة لا تختصّ ببعض أجزائه و أبعاضه، بل الجسم في كلِّ بعد من الأبعاد المكانيّة محتاج إلى العلّة، فكذا هو محتاج إليها في جميع أبعاده الزّمانيّة، حدوثاً و بقاء من غير فرق بين آن الحدوث و آن البقاء و الآنات المتتالية، فالتفريق بين الحدوث و البقاء يشبه القول باستغناء الجسم في بعض أبعاضه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فالبعد الزماني و المكاني وجهان لعملة واحدة، و بعدان لشيء واحد فلا يمكن التفكيك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حقيقة هذا الوجه إذا وقفنا على أنّ العالم في ظلّ الحركة الجوهريّة، في تبدّل مستمرّ و تغيّر دائم، نافذين في جوهر الأشياء و طبيعة العالم المادّي، فذوات الأشياء في تجدّد دائم و انتثار متواصل و العالم حسب هذه النظريّة أشبه بنهر جار تنعكس فيه صورة القمر، فالناظر الساذج يتصوّر أنّ هناك صورة منعكسة على الماء و هي باقية ثابتة، و الناظر الدقيق يقضي على أنّ الصور تتبدّل حسب جريان الماء و سيلانه، فهناك صور مستمرّة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هذه النظرية، العالم المادّي أشبه بعين نابعة من دون توقّف حتّى لحظة واحدة، فإذا كان هذا حال العالم المادّي، فكيف يصحّ لعاقل أن يقول إنّ العالم، و منه الإنسان، إنّما يحتاج إلى العلّة في حدوثه دون بقائه، مع أنّه ليس هنا أيّ بقاء و ثبات، بل العالم في حدوث بعد حدوث و زوال بعد زوال، على وجه الاتصال و الاستمرار بحيث يحسبه الساذج بقاء </w:t>
      </w:r>
    </w:p>
    <w:p>
      <w:pPr>
        <w:pStyle w:val="BookText"/>
        <w:rPr/>
      </w:pPr>
      <w:r>
        <w:rPr>
          <w:rFonts w:ascii="Amiri" w:hAnsi="Amiri" w:eastAsia="Amiri" w:cs="Amiri"/>
          <w:color w:val="111111"/>
          <w:sz w:val="28"/>
          <w:sz w:val="28"/>
          <w:szCs w:val="28"/>
          <w:rtl w:val="true"/>
          <w:lang w:bidi="ar-SA"/>
        </w:rPr>
        <w:t xml:space="preserve">و هو في حال الزوال و التبدّل و السيلان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اَلْجِبٰالَ تَحْسَبُهٰا جٰامِدَةً وَ هِيَ تَمُرُّ مَرَّ اَلسَّحٰابِ</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بحاجة الممكن إلى العلّة في حدوثه دون بقائه غفلة عن واقعيّة المعلول و نسبته إلى علّته، فإنّ وزانه إليها وزان المعنى الحرفي بالنسبة إلى المعنى الاسمي، فكما أنّه ليس للأوّل الخروج عن إطار الثاني في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 الدلالة، و التحقق، فهكذا المعلول ليس له الخروج عن إطار العلّة في حال من الحالين الحدوث 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المقيس عليه فاستوضح منه حال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المفاض منه سبحانه هو الوجود، و هو لا يخلو عن إحدى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وجود واجب، أو ممكن، و الأوّل خلف لأنّ المفروض كونه معلولاً، فثبت الثاني، و ما هو كذلك لا يمكن أن يخرج عمّا هو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هو ممكن حدوثاً ممكن بقاء، و مثل ذلك لا يستغني عن الواجب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الاستغناء آية انقلابه عن الإمكان إلى الوجوب و عن الفقر إلى الغنى</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ذكرنا من النسبة إنّما يجري في العلل و المعاليل الإلهيّة لا الفواعل الطبيعيّة، فالمعلول الإلهي بالنسبة إلى علّته هو ما ذكرنا، و المراد من </w:t>
      </w:r>
    </w:p>
    <w:p>
      <w:pPr>
        <w:pStyle w:val="BookText"/>
        <w:rPr/>
      </w:pPr>
      <w:r>
        <w:rPr>
          <w:rFonts w:ascii="Amiri" w:hAnsi="Amiri" w:eastAsia="Amiri" w:cs="Amiri"/>
          <w:color w:val="111111"/>
          <w:sz w:val="28"/>
          <w:sz w:val="28"/>
          <w:szCs w:val="28"/>
          <w:rtl w:val="true"/>
          <w:lang w:bidi="ar-SA"/>
        </w:rPr>
        <w:t>العلّة الإلهيّة مفيض الوجود و معطيه، كالنفس بالنسبة إلى الصور الّتي تخلقها في ضميرها، و الإرادة الّتي توجدها في موطنها، ففي مثل هذه المعاليل تكون نسبة المعلول إلى العلّة كنسبة المعنى الحرفي إلى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الفاعل الطبيعي، كالنار بالنسبة إلى الإحراق، فخارج عن إطار بحثنا، إذ ليس هناك علّيّة حقيقيّة، بل حديث العلّيّة هناك لا يتجاوز عن تبديل أجزاء النار إلى الحرارة، و ذلك كما هو الحال في العلل الفيزيائيّة و الكيميائيّة، فالعلّيّة هناك تبدّل عنصر إلى عنصر في ظلّ شرائط و خصوصيات توجب التبدّل، و ليس هناك حديث عن الإيجاد و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ذلك فالتفويض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استقلال الفاعل في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انقلاب الممكن و صيرورته واجباً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في جانب الذات من حيث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في جانب نفس الفعل مع أنّ الفعل ممكن مثل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بالتفويض يستلزم الشرك، أي الاعتقاد بوجود خالقين مستقلّين أحدهما العلّة العليا الّتي أحدثت الموجودات و الكائنات و الإنسان، و الأُخرى الإنسان بل كلّ الكائنات، فإنّها تستقلّ بعد الخلقة و الحدوث في بقائها أوّلاً، و تأثيراتها ثانياً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قالت المعتزلة بالتفصيل بين الكائنات و الإنسان و نسبت آثار </w:t>
      </w:r>
      <w:bookmarkStart w:id="718" w:name="pg11536_164305"/>
    </w:p>
    <w:p>
      <w:pPr>
        <w:pStyle w:val="BookText"/>
        <w:rPr/>
      </w:pPr>
      <w:bookmarkEnd w:id="718"/>
      <w:r>
        <w:rPr>
          <w:rFonts w:ascii="Amiri" w:hAnsi="Amiri" w:eastAsia="Amiri" w:cs="Amiri"/>
          <w:color w:val="111111"/>
          <w:sz w:val="28"/>
          <w:sz w:val="28"/>
          <w:szCs w:val="28"/>
          <w:rtl w:val="true"/>
          <w:lang w:bidi="ar-SA"/>
        </w:rPr>
        <w:t>الكائنات إلى الواجب، فهو لأجل أنّها لا تزاحم العدل دون الإنسان، و على ما ذكرنا يكون التفصيل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القوم استدلّوا على المسألة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 الممكن في بقائه عن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بالأمثلة المحسوسة،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البناء و المصنوعات بعد موت البنّاء و الصانع، و لكنّ التمثيل في غير محلّه، لأنّ البنّاء و الصانع فاعلان للحركة أي ضمّ بعض الأجزاء إلى بعض و الحركة تنتهي بانتهاء عملهما فضلاً عن موتهما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بقاء البناء و المصنوعات فهو مرهون للنظم السائد فيهما، فإنّ البناء يبقى بفضل القوى الطبيعيّة الكامنة فيه، الّتي أودعها اللّٰه سبحانه في صميم الأشياء فليس للبنّاء و الصانع فيها صنع، و أمّا الهيئة و الشكل فهما نتيجة اجتماع أجزاء صغيرة، فتحصّل من المجموع هيئة خاصّة و ليس لهما فيها أيضاً صنع</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3907791_73709187"/>
      <w:bookmarkStart w:id="720" w:name="_Toc263"/>
      <w:bookmarkEnd w:id="719"/>
      <w:r>
        <w:rPr>
          <w:rtl w:val="true"/>
        </w:rPr>
        <w:t>تمثيلان لإيضاح الحقيقة</w:t>
      </w:r>
      <w:bookmarkEnd w:id="720"/>
    </w:p>
    <w:p>
      <w:pPr>
        <w:pStyle w:val="BookText"/>
        <w:rPr/>
      </w:pPr>
      <w:r>
        <w:rPr>
          <w:rFonts w:ascii="Amiri" w:hAnsi="Amiri" w:eastAsia="Amiri" w:cs="Amiri"/>
          <w:color w:val="111111"/>
          <w:sz w:val="28"/>
          <w:sz w:val="28"/>
          <w:szCs w:val="28"/>
          <w:rtl w:val="true"/>
          <w:lang w:bidi="ar-SA"/>
        </w:rPr>
        <w:t xml:space="preserve">الحقّ إنّ قياس المعقول بالمحسوس الّذي ارتكبته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غير تامّ، و لو أراد المحقّق القياس و التمثيل فعليه أن يتمسّك بالمثالين التاليين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الموجودات الإمكانيّة بالنسبة إلى الواجب، كمثل المصباح الكهربائي المضيء، فالحسّ الخاطئ يزعم أنّ الضوء المنبعث من هذا المصباح هو استمرار للضوء الأوّل، و يتصوّر أنّ المصباح إنّما يحتاج </w:t>
      </w:r>
    </w:p>
    <w:p>
      <w:pPr>
        <w:pStyle w:val="BookText"/>
        <w:rPr/>
      </w:pPr>
      <w:r>
        <w:rPr>
          <w:rFonts w:ascii="Amiri" w:hAnsi="Amiri" w:eastAsia="Amiri" w:cs="Amiri"/>
          <w:color w:val="111111"/>
          <w:sz w:val="28"/>
          <w:sz w:val="28"/>
          <w:szCs w:val="28"/>
          <w:rtl w:val="true"/>
          <w:lang w:bidi="ar-SA"/>
        </w:rPr>
        <w:t>إلى المولِّد الكهربائي في حدوث الضوء دون 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إنّ المصباح فاقد للإضاءة في مقام الذات، محتاج في حصولها إلى ذلك المولِّد في كلِّ لحظة، لأنّ الضوء المتلألئ من المصباح إنّما هو استضاءة بعد استضاءة و استنارة بعد استنارة، من المولّد الكهربائي، أ فلا ينطفئ المصباح إذا انقطع الاتصال بينه و بين المولّد؟ فالعالم يشبه هذا المصباح الكهربائي تماماً، فهو لكونه فاقداً للوجود الذّاتي يحتاج إلى العلّة في حدوثه و بقائه، لأنّه يأخذ الوجود آناً بعد آن، و زماناً بعد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منطقة حارّة جافّة تطلع عليها الشمس بأشعّتها المحرقة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تكون تلك المنطقة رطبة دائماً بتقطير الماء عليها، و إفاضته بما يشبه الرذاذ</w:t>
      </w:r>
      <w:r>
        <w:rPr>
          <w:rStyle w:val="FootnoteAnchor"/>
          <w:rtl w:val="true"/>
        </w:rPr>
        <w:footnoteReference w:id="818"/>
      </w:r>
      <w:r>
        <w:rPr>
          <w:rFonts w:ascii="Amiri" w:hAnsi="Amiri" w:eastAsia="Amiri" w:cs="Amiri"/>
          <w:color w:val="111111"/>
          <w:sz w:val="28"/>
          <w:sz w:val="28"/>
          <w:szCs w:val="28"/>
          <w:rtl w:val="true"/>
          <w:lang w:bidi="ar-SA"/>
        </w:rPr>
        <w:t>، فإنّ هذا الأمر يتوقّف على استمرار تقاطر الماء عليها، و لو انقطع لحظة ساد عليها الجفاف، و صارت يابسة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الممكن يتّصف بالوجود باستمرار، مثل هذه الأرض المتّصفة بالرطوبة دائماً، فكما أنّ الثاني رهن استمرار إفاضة قطرات الماء عليها آناً بعد آن، فهكذا الأوّل لا يتحقّق إلّا باستمرار إفاضة الوجود عليه آناً بعد آن، و لو انقطع الفيض و الصِّلة بينه و بين المفيض لانعدم و لم يبق منه أثر</w:t>
      </w:r>
      <w:r>
        <w:rPr>
          <w:rFonts w:eastAsia="Amiri" w:cs="Amiri" w:ascii="Amiri" w:hAnsi="Amiri"/>
          <w:color w:val="111111"/>
          <w:sz w:val="28"/>
          <w:szCs w:val="28"/>
          <w:rtl w:val="true"/>
          <w:lang w:bidi="ar-SA"/>
        </w:rPr>
        <w:t xml:space="preserve">. </w:t>
      </w:r>
      <w:bookmarkStart w:id="721" w:name="pg11536_164307"/>
    </w:p>
    <w:p>
      <w:pPr>
        <w:pStyle w:val="Heading6"/>
        <w:numPr>
          <w:ilvl w:val="5"/>
          <w:numId w:val="1"/>
        </w:numPr>
        <w:rPr/>
      </w:pPr>
      <w:bookmarkStart w:id="722" w:name="__RefHeading___Toc3907793_73709187"/>
      <w:bookmarkStart w:id="723" w:name="_Toc264"/>
      <w:bookmarkEnd w:id="721"/>
      <w:bookmarkEnd w:id="722"/>
      <w:r>
        <w:rPr>
          <w:rtl w:val="true"/>
        </w:rPr>
        <w:t>تعلّق مقدور واحد بقادرين أو قدرتين</w:t>
      </w:r>
      <w:bookmarkEnd w:id="723"/>
    </w:p>
    <w:p>
      <w:pPr>
        <w:pStyle w:val="BookText"/>
        <w:rPr/>
      </w:pPr>
      <w:r>
        <w:rPr>
          <w:rFonts w:ascii="Amiri" w:hAnsi="Amiri" w:eastAsia="Amiri" w:cs="Amiri"/>
          <w:color w:val="111111"/>
          <w:sz w:val="28"/>
          <w:sz w:val="28"/>
          <w:szCs w:val="28"/>
          <w:rtl w:val="true"/>
          <w:lang w:bidi="ar-SA"/>
        </w:rPr>
        <w:t>قد سبق أن القاضي اعتمد على هذا الوجه</w:t>
      </w:r>
      <w:r>
        <w:rPr>
          <w:rStyle w:val="FootnoteAnchor"/>
          <w:rtl w:val="true"/>
        </w:rPr>
        <w:footnoteReference w:id="819"/>
      </w:r>
      <w:r>
        <w:rPr>
          <w:rFonts w:ascii="Amiri" w:hAnsi="Amiri" w:eastAsia="Amiri" w:cs="Amiri"/>
          <w:color w:val="111111"/>
          <w:sz w:val="28"/>
          <w:sz w:val="28"/>
          <w:szCs w:val="28"/>
          <w:rtl w:val="true"/>
          <w:lang w:bidi="ar-SA"/>
        </w:rPr>
        <w:t>في نفي صلة فعل العبد باللّٰه سبحانه، و زعم أنّ القول بكون أفعال العباد مخلوقه للّٰه سبحانه يستلزم تعلّق المقدور الواحد بقادرين أو بقدرتين، و هذا أمر محال سواء أ كانا حادثين أم قديمين، أم كان أحدهما حادثاً و الآخر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خصّص القاضي الجزء الثامن من أجزاء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بالجبر و الاختيار، و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يشتمل على عشرين فصلاً، عرض فيها آراء المعتزلة المتنوِّعة في خلق الأفعال و ناقش خصومهم، و ردّ على شبهاتهم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عقد فصلاً خاصّاً</w:t>
      </w:r>
      <w:r>
        <w:rPr>
          <w:rStyle w:val="FootnoteAnchor"/>
          <w:rtl w:val="true"/>
        </w:rPr>
        <w:footnoteReference w:id="820"/>
      </w:r>
      <w:r>
        <w:rPr>
          <w:rFonts w:ascii="Amiri" w:hAnsi="Amiri" w:eastAsia="Amiri" w:cs="Amiri"/>
          <w:color w:val="111111"/>
          <w:sz w:val="28"/>
          <w:sz w:val="28"/>
          <w:szCs w:val="28"/>
          <w:rtl w:val="true"/>
          <w:lang w:bidi="ar-SA"/>
        </w:rPr>
        <w:t>لهذا الأمر، و استدلّ على الامتناع بأدلّة عشر أو أزيد، و هو أبسط الفصول و أوسعها من بينها، و قد فات على القاضي تحرير محلِّ النزاع، و أنّ المراد من القدرتين ما هو؟ فهل المراد القدرتان العرضيّتان أو الطوليتان؟</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المراد هو الأُولى فاستحالة اجتماع قدرتين تامّتين عرضيّتين على مقدور واحد لا يحتاج إلى الإطناب الّذي ارتكبه القاضي، لأنّه ينتهي إلى خلف الفرض، و تخرج العلّة التامّة عن كونها علّة تامّة، و تصير علّة 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المقدور بعد التحقّق إمّا أن ينسب إلى كلتا القدرتين، بحيث يكون لكلِّ منهما تأثير و دخالة، فتعود العلّة التامّة إلى العلّة الناقصة، و القادر التامّ إلى القادر غير التامّ و هو خلف الفرض، و هذا كما إذا اشترك رجلان في رفع الصخرة، مع قدرة كلِّ منهما على الرفع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لا يعدّ كل منهما علّة تامّة في مقام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ينسب إلى واحدة منهما دون الأُخرى، و 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لا ينسب إلى واحدة منهما، فكيف خرج عن كتم العدم، مع أنّ حاجة الحادث إلى العلّة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اجتماع قدرتين عرضيّتين لكن ناقصتين على مقدور واحد، فلا يترتّب عليه محذور أبداً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اللائق بالبحث غير هاتين الصورتين، فإنّ قدرة اللّٰه سبحانه و قدرة العبد ليستا في عرض واحد، بل الثانية في طول الأُخرى، فهو الّذي خلق العبد، و حباه القدرة، و أقدره على الإيجاد و هو في كلِّ آن و حين يستمدُّ من مواهب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فالعبد و كلّ ما في الكون من علل و أسباب، جنوده و قواه، بين فاعل بالاختيار، و مؤثّر بالاضطرار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فللفعل صلة بقدرة العبد، كما أنّ له صلة باللّٰه سبحانه و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بعيد كالرؤية و السماع، فهما فعلان للأجهزة الظاهريّة من العين و الأُذن، و في الوقت نفسه فعلان للنفس القاهرة على قواه الباطنيّة و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فاجتماع قدرتين مثل هاتين لا يستلزم شيئاً من الإشكالات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المعتزلة لم تجد في حلِّ مشكلة فعل الإنسان إلّا سلوك أحد الطريقين و زعمت أنّه لا طريق غيرهما ينتهي أحدهما إلى الجبر، و الآخر إلى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صلة الفعل باللّٰه سبحانه و انقطاعه عن العبد، فعند ذاك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يحاسَب العبد و يعاقب؟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الفعل إلى العبد و انقطاعه عن بارئه،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أفعال تجاوز قدرة اللّٰه و هل يصدر في ملكه ما لا يريد؟</w:t>
      </w:r>
    </w:p>
    <w:p>
      <w:pPr>
        <w:pStyle w:val="BookText"/>
        <w:rPr/>
      </w:pPr>
      <w:r>
        <w:rPr>
          <w:rFonts w:ascii="Amiri" w:hAnsi="Amiri" w:eastAsia="Amiri" w:cs="Amiri"/>
          <w:color w:val="111111"/>
          <w:sz w:val="28"/>
          <w:sz w:val="28"/>
          <w:szCs w:val="28"/>
          <w:rtl w:val="true"/>
          <w:lang w:bidi="ar-SA"/>
        </w:rPr>
        <w:t>فالأشاعرة استسهلوا الإشكال الأوّل و نسبوا الفعل إلى اللّٰه سبحانه و صوّروا العبد محلاً لإرادته و قدرته سبحانه، من دون أن يقيموا لإرادة العبد و قدرته وزناً 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المعتزلة اختارت الثاني و استسهلت وقوع ظاهرة خارجة عن سلطانه سبحانه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القوم وقفوا على الطريق الثالث الّذي يتنزّه عن فساد المسلكين و يجمع مزيّتهما، لأعرضوا عنهما و التجأوا إلى الحقّ اللّاحب و هو القول بالأمر بين الأمرين، فللفعل صلة لخالق العبد، كما أنّ له صلة لفاعل الفعل، و لكنّ المسئولية متوجّهة على العبد، إذ هو الّذي يصرف القدرة الموهوبة عن اختيار فيما يختاره من الأفعال و يعمله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تقف على حقيقة الحال عند بيان عقائد الإماميّة فانتظر</w:t>
      </w:r>
      <w:r>
        <w:rPr>
          <w:rFonts w:eastAsia="Amiri" w:cs="Amiri" w:ascii="Amiri" w:hAnsi="Amiri"/>
          <w:color w:val="111111"/>
          <w:sz w:val="28"/>
          <w:szCs w:val="28"/>
          <w:rtl w:val="true"/>
          <w:lang w:bidi="ar-SA"/>
        </w:rPr>
        <w:t xml:space="preserve">. </w:t>
      </w:r>
      <w:bookmarkStart w:id="724" w:name="pg11536_164310"/>
    </w:p>
    <w:p>
      <w:pPr>
        <w:pStyle w:val="Heading6"/>
        <w:numPr>
          <w:ilvl w:val="5"/>
          <w:numId w:val="1"/>
        </w:numPr>
        <w:rPr/>
      </w:pPr>
      <w:bookmarkStart w:id="725" w:name="__RefHeading___Toc3907795_73709187"/>
      <w:bookmarkStart w:id="726" w:name="_Toc265"/>
      <w:bookmarkEnd w:id="724"/>
      <w:bookmarkEnd w:id="725"/>
      <w:r>
        <w:rPr>
          <w:rtl w:val="true"/>
        </w:rPr>
        <w:t>المسألة الثالثة</w:t>
      </w:r>
      <w:r>
        <w:rPr>
          <w:rtl w:val="true"/>
        </w:rPr>
        <w:t xml:space="preserve">: </w:t>
      </w:r>
      <w:r>
        <w:rPr>
          <w:rtl w:val="true"/>
        </w:rPr>
        <w:t>في تقدّم الاستطاعة على الفعل</w:t>
      </w:r>
      <w:bookmarkEnd w:id="726"/>
    </w:p>
    <w:p>
      <w:pPr>
        <w:pStyle w:val="BookText"/>
        <w:rPr/>
      </w:pPr>
      <w:r>
        <w:rPr>
          <w:rFonts w:ascii="Amiri" w:hAnsi="Amiri" w:eastAsia="Amiri" w:cs="Amiri"/>
          <w:color w:val="111111"/>
          <w:sz w:val="28"/>
          <w:sz w:val="28"/>
          <w:szCs w:val="28"/>
          <w:rtl w:val="true"/>
          <w:lang w:bidi="ar-SA"/>
        </w:rPr>
        <w:t>اختلفت المعتزلة و الأشاعرة في تقدّم القدرة على المقدور، فالطائفة الأُولى على لزوم تقدُّمها عليه و الثانية على لزوم المقارنة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الأولى البحث عن هذه المسألة في باب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القاضي طرحه في باب العدل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اتّصاله به أنّه يلزم على القول بمقارنتها للمقدور، تكليف ما لا يطاق و ذلك قبيح، و من العدل أن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مذهبه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القدرة مقارنة لمقدورها لوجب أن يكون تكليف الكافر بالإيمان تكليفاً بما لا يطاق، إذ لو أطاقه لوقع منه، فلمّا لم يقع دلّ على أنّه كان غير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تكليف ما لا يطاق قبيح</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صالحة للضدّين، فلو كانت مقارنة لهما لوجب بوجودها وجود الضدّين، فيجب في الكافر و قد كلّف بالإيمان، أن يكون كافراً مؤمناً دفعة واحدة، و ذلك محال</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يلاحظ على الاستدلال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تفسير القدرة بالعلّة التامّة الّتي يكون الفعل معها ضروريّ الوجود فيصحّ كلّ ما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التكليف مشروط بالقدرة، و القدرة المفسّرة بالعلّة التامّة لا تنفكّ عن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فيستكشف عند عدم اعتناقه له بعد التكليف، فقدان القدرة و الطاقة، إذ لو كانت لآمنت، لاستحالة انفكاك العلّة التامّة عن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تكليف ما لا يطاق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المستدلّ غفل عن أنّ المراد من القدرة هو الاستعداد للفعل بحيث لو أراد وقع، و مثل هذا لا يستلزم وجود المقدور، و لا يستكشف من عدمه عدمه، لأنّ الاستعداد للفعل ليس علّة تامّة للمقدور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فللأشعري أن يلتزم باقتران القدرة للفعل في تكليف أبي جهل، و لا يترتّب عليه أيّ تال فاسد عند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فسِّرت القدرة فيه على خلاف ما فسّرت به في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مبنى استدلاله في هذا الدليل هو تفسير القدرة بالعلّة الناقصة و الاستعداد، لوضوح أنّ القدرة بهذا المعنى صالحة للضدّين، لا القدرة بمعنى العلّة التامّة، فلو قلنا باقترانها بالمقدور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صالحة للضدّين و لكن لا يلزم منه أن يكون مؤمناً و كافراً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صالحة للضدّين مبنيّ على كونها علّة ناقصة، و لزوم </w:t>
      </w:r>
    </w:p>
    <w:p>
      <w:pPr>
        <w:pStyle w:val="BookText"/>
        <w:rPr/>
      </w:pPr>
      <w:r>
        <w:rPr>
          <w:rFonts w:ascii="Amiri" w:hAnsi="Amiri" w:eastAsia="Amiri" w:cs="Amiri"/>
          <w:color w:val="111111"/>
          <w:sz w:val="28"/>
          <w:sz w:val="28"/>
          <w:szCs w:val="28"/>
          <w:rtl w:val="true"/>
          <w:lang w:bidi="ar-SA"/>
        </w:rPr>
        <w:t>كون الإنسان مؤمناً و كافراً معاً، مبنيّ على كونها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الواحد مبنيّ على مبنيين مختلفين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إنّ المسألة غير منقّحة في كلام الطّائفتين، إذ لم ينقّح موضوع البحث، و لا المراد من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التفصيل بين القدرة بمعنى الاقتضاء فهي مقدّمة على الفعل، و العلّة التامّة فمقارنة له</w:t>
      </w:r>
      <w:r>
        <w:rPr>
          <w:rFonts w:eastAsia="Amiri" w:cs="Amiri" w:ascii="Amiri" w:hAnsi="Amiri"/>
          <w:color w:val="111111"/>
          <w:sz w:val="28"/>
          <w:szCs w:val="28"/>
          <w:rtl w:val="true"/>
          <w:lang w:bidi="ar-SA"/>
        </w:rPr>
        <w:t>.</w:t>
      </w:r>
      <w:r>
        <w:rPr>
          <w:rStyle w:val="FootnoteAnchor"/>
          <w:rtl w:val="true"/>
        </w:rPr>
        <w:footnoteReference w:id="822"/>
      </w:r>
      <w:bookmarkStart w:id="727" w:name="pg11536_164313"/>
    </w:p>
    <w:p>
      <w:pPr>
        <w:pStyle w:val="Heading6"/>
        <w:numPr>
          <w:ilvl w:val="5"/>
          <w:numId w:val="1"/>
        </w:numPr>
        <w:rPr/>
      </w:pPr>
      <w:bookmarkStart w:id="728" w:name="__RefHeading___Toc3907797_73709187"/>
      <w:bookmarkStart w:id="729" w:name="_Toc266"/>
      <w:bookmarkEnd w:id="727"/>
      <w:bookmarkEnd w:id="728"/>
      <w:r>
        <w:rPr>
          <w:rtl w:val="true"/>
        </w:rPr>
        <w:t>المسألة الرابعة</w:t>
      </w:r>
      <w:r>
        <w:rPr>
          <w:rtl w:val="true"/>
        </w:rPr>
        <w:t xml:space="preserve">: </w:t>
      </w:r>
      <w:r>
        <w:rPr>
          <w:rtl w:val="true"/>
        </w:rPr>
        <w:t>في قبح التكليف بما لا يطاق</w:t>
      </w:r>
      <w:bookmarkEnd w:id="729"/>
    </w:p>
    <w:p>
      <w:pPr>
        <w:pStyle w:val="BookText"/>
        <w:rPr/>
      </w:pPr>
      <w:r>
        <w:rPr>
          <w:rFonts w:ascii="Amiri" w:hAnsi="Amiri" w:eastAsia="Amiri" w:cs="Amiri"/>
          <w:color w:val="111111"/>
          <w:sz w:val="28"/>
          <w:sz w:val="28"/>
          <w:szCs w:val="28"/>
          <w:rtl w:val="true"/>
          <w:lang w:bidi="ar-SA"/>
        </w:rPr>
        <w:t>القول بجواز التكليف بما لا يطاق نشأ من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السابقة منقّحة من حيث الموضوع و الحكم، لما اندفعت الأشاعرة إلى اختيار الجواز في هذه المسألة الّتي يشهد العقل السليم بقبحه أوّلاً، و عدم إمكانه ثبوتاً ثانياً، إذ كيف يريد الإنسان بالإرادة الجدّيّة الركض من الفالج، و النكاح من الطفل الرضيع؟</w:t>
      </w:r>
    </w:p>
    <w:p>
      <w:pPr>
        <w:pStyle w:val="BookText"/>
        <w:rPr/>
      </w:pPr>
      <w:r>
        <w:rPr>
          <w:rFonts w:ascii="Amiri" w:hAnsi="Amiri" w:eastAsia="Amiri" w:cs="Amiri"/>
          <w:color w:val="111111"/>
          <w:sz w:val="28"/>
          <w:sz w:val="28"/>
          <w:szCs w:val="28"/>
          <w:rtl w:val="true"/>
          <w:lang w:bidi="ar-SA"/>
        </w:rPr>
        <w:t>و لكنّهم لمّا فسّروا القدرة بالعلّة التامّة من جانب، و اعتقدوا بلزوم اقترانها بالمقدور من جانب آخر، و استنتجوا من عدم الاعتناق عدم القدرة، فلزمهم عند تكليف الكفّار بالإيمان و عدم اعتناقهم، القول بجواز التكليف بما لا يطاق، و إنّه كان هناك تكليف للكافر، و لم تكن له طاقة، و ذلك لأنّه لو كانت له طاقة لآمن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فبقاؤه على الكفر يكشف عن عدم قدرته، إذ لو كانت لآمن قطعاً لحديث امتناع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أنّ التكليف كان موجوداً و لم يكن هناك قدرة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الأشعري و من قبله و من بعده، لو فسّروا القدرة الّتي هي من شرائط التكليف بمعنى العلّة الناقصة و الاقتضاء، لما لزمهم الالتزام بهذه </w:t>
      </w:r>
    </w:p>
    <w:p>
      <w:pPr>
        <w:pStyle w:val="BookText"/>
        <w:rPr/>
      </w:pPr>
      <w:r>
        <w:rPr>
          <w:rFonts w:ascii="Amiri" w:hAnsi="Amiri" w:eastAsia="Amiri" w:cs="Amiri"/>
          <w:color w:val="111111"/>
          <w:sz w:val="28"/>
          <w:sz w:val="28"/>
          <w:szCs w:val="28"/>
          <w:rtl w:val="true"/>
          <w:lang w:bidi="ar-SA"/>
        </w:rPr>
        <w:t>النتيجة الفاسدة، حتّى و لو قالوا بلزوم 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أبي جهل و أبي لهب كان هناك تكليف أوّلاً، و طاقة بمعنى الاستعداد و الاستطاعة على نحو لو أراد كلّ لآمن ثانياً، و كانت القدرة بهذا المعنى مقارنة للتكليف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عدم إيمانه و إصراره على الكفر، لا يكشف عن فقدان الشرط، لأنّ الاستطاعة بمعنى الاقتضاء أعمّ من تحقّق المعلول معها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هؤلاء استدلّوا بآيات على ما يتبنّونه من جواز التّكليف بالقبيح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عرّفوا الإسلام و القرآن مناقضين للفطرة و حكم العقل و إدراك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سوء الموقف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الاجابة عن الاستدلال بالآيات واضحة، طوينا الكلام عن استدلالاتهم، روماً للاختصار و لما سبق منّا في الجزء الثاني في تحليل عقائد الأشعري</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730" w:name="pg11536_164315"/>
    </w:p>
    <w:p>
      <w:pPr>
        <w:pStyle w:val="Heading6"/>
        <w:numPr>
          <w:ilvl w:val="5"/>
          <w:numId w:val="1"/>
        </w:numPr>
        <w:rPr/>
      </w:pPr>
      <w:bookmarkStart w:id="731" w:name="__RefHeading___Toc3907799_73709187"/>
      <w:bookmarkStart w:id="732" w:name="_Toc267"/>
      <w:bookmarkEnd w:id="730"/>
      <w:bookmarkEnd w:id="731"/>
      <w:r>
        <w:rPr>
          <w:rtl w:val="true"/>
        </w:rPr>
        <w:t>المسألة الخامسة</w:t>
      </w:r>
      <w:r>
        <w:rPr>
          <w:rtl w:val="true"/>
        </w:rPr>
        <w:t xml:space="preserve">: </w:t>
      </w:r>
      <w:r>
        <w:rPr>
          <w:rtl w:val="true"/>
        </w:rPr>
        <w:t>في أنّ اللّٰه لا يريد المعاصي</w:t>
      </w:r>
      <w:bookmarkEnd w:id="732"/>
    </w:p>
    <w:p>
      <w:pPr>
        <w:pStyle w:val="BookText"/>
        <w:rPr/>
      </w:pPr>
      <w:r>
        <w:rPr>
          <w:rFonts w:ascii="Amiri" w:hAnsi="Amiri" w:eastAsia="Amiri" w:cs="Amiri"/>
          <w:color w:val="111111"/>
          <w:sz w:val="28"/>
          <w:sz w:val="28"/>
          <w:szCs w:val="28"/>
          <w:rtl w:val="true"/>
          <w:lang w:bidi="ar-SA"/>
        </w:rPr>
        <w:t>ذهبت المعتزلة إلى أنّه لا يجوز أن يكون سبحانه مريداً للمعاصي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القاضي وجه صلة هذا البحث بباب العدل بأنّ الإرادة فعل من الأفعال، و متى تعلّقت بالقبيح كانت واجبة لا محالة، و كونه تعالى عدلاً يقتضي أن تنفى عنه هذه الإرادة</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المعتزلة ينظرون إلى المسألة من زاوية التنزيه فيتصوّرون أنّ تنزيه الربِّ يتحقق بعدم تعلّق إرادته بالقبائح، لأنّ من أراد القبيح يتّصف فعله بالقبح و يسري إلى الفاعل، بينما يريد الأشعري تعظيم الربّ، و أنّه لا يكون في ملكه ما لا يريد و يذهب إلى سعة إرادته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نقل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القاضي عبد الجبّار دار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الأُستاذ أبا إسحاق الإسفرائيني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تنزّه عن الفحشاء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مزدرياً بالأسفراييني بأنّه لأجل القول بسعة إرادته يصفه سبحانه </w:t>
      </w:r>
    </w:p>
    <w:p>
      <w:pPr>
        <w:pStyle w:val="BookText"/>
        <w:rPr/>
      </w:pP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الإسفرائيني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لا يجري في ملكه إلّا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بأنّ القاضي لأجل قوله بضيق إرادته سبحانه، يعتقد بأنّ هناك أشياء تقع في سلطانه و مملكته خارجة عن مشيئته</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لكنّ القولين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يتبنّيانه من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التنزيه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برفض القولين، و الاعتناق بالقول الثالث الّذي هو مذهب بين المذهبين، و 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المذهب هو المرويّ عن أئمّة أهل البيت عليهم السلام و يوافقه العقل و تؤيّده نصوص الكتاب، و هو جامع بين المزيّتين و منزّهٌ عن شناعة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و إن أصابوا في تنزيه الربّ عن القبائح، لكنّهم أخطئوا في تحديد سلطنته بإخراج أفعال عباده عن إحاطة إرادته و سلطنته و ملكه، فصوّروا الإنسان فاعلاً يفعل بإرادته، و يعمل بمشيئته مستقلاً بلا استمداد من إرادته و مشيئته سبحانه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الأشاعرة، و إن أصابوا في إدخال أفعال العباد في ملكه و سلطنته، لكنّهم أخطئوا في جعل أفعال العباد مرادة للّٰه بالإرادة المباشريّة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هناك مريد واحد و هو اللّٰه سبحانه و غيره من الفواعل مظاهر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يستلزم كونه سبحانه هو المسئول عن القبائح لكونه الفاعل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القول الثالث فهو عبارة عن سعة إرادته لكلِّ ظاهرة إمكانيّة، لكن لا بمعنى كونه سبحانه هو المصدر المباشر لكلِّ شيء، بل بمعنى أنّه تعلّقت إرادته على صدور كلِّ فعل عن فاعله بما فيه من الخصوصيّات، فلو صدر عنه بلا هذه الخصوصيّات لزم تخلّف مراده عن إرادته، فتعلّقت إرادته سبحانه على كون النار مصدراً للحرارة بلا علم و شعور، بل عن جبر 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تعلّقت إرادته على صدور فعل الإنسان عنه باختيار ذاتيّ و حرّيّة فطريّة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باختصار، شاء أن يكون الإنسان مختاراً في فعله 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اختار و فعل فقد فعل بإرادته، كما فعل بإرادة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الإرادة الأزليّة منافية لحرّيّته و اختياره، و قد أوضحنا ذلك في أبحاثنا الكلاميّة</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هناك كلام للشهيد الأجلّ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بحثه عن تضافر الأخبار على أنّ صلة الأرحام تزيد في العمر، يقرب ممّا ذكرناه، قال قدس سره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أُشكل هذا بأنّ المقدّرات في الأزل، و المكتوبات في اللّوح المحفوظ لا تتغيّر بالزيادة و النقصان لاستحالة خلاف معلوم اللّٰه تعالى، و قد سبق العلم بوجود كلِّ ممكن أراد وجوده و بعدم كلِّ ممكن أراد بقاءه على حالة العدم أو إعدامه بعد إيجاده، فكيف </w:t>
      </w:r>
    </w:p>
    <w:p>
      <w:pPr>
        <w:pStyle w:val="BookText"/>
        <w:rPr/>
      </w:pPr>
      <w:r>
        <w:rPr>
          <w:rFonts w:ascii="Amiri" w:hAnsi="Amiri" w:eastAsia="Amiri" w:cs="Amiri"/>
          <w:color w:val="111111"/>
          <w:sz w:val="28"/>
          <w:sz w:val="28"/>
          <w:szCs w:val="28"/>
          <w:rtl w:val="true"/>
          <w:lang w:bidi="ar-SA"/>
        </w:rPr>
        <w:t>يمكن الحكم بزيادة العمر و نقصانه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كما علم كميّة العمر، علم ارتباطه بسببه المخصوص، و كما علم من زيد دخول الجنّة، جعله مرتبطاً بأسبابه المخصوصة، من إيجاده، و خلق العقل له، و بعث الأنبياء و نصب الألطاف، و حسن الاختيار، و العمل بموجب الشرع، فالواجب على كلِّ مكلّف الإتيان بما أُمر به، و لا يتّكل على العلم، فإنّه مهما صدر منه فهو المعلوم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يحدث في العالم، معلوم للّٰه تعالى على ما هو عليه واقع، من شرط أو سبب و ليس نصب صلة الرحم زيادة في العمر إلّا كنصب الإيمان سبباً في دخول الجنّة</w:t>
      </w:r>
      <w:r>
        <w:rPr>
          <w:rFonts w:eastAsia="Amiri" w:cs="Amiri" w:ascii="Amiri" w:hAnsi="Amiri"/>
          <w:color w:val="111111"/>
          <w:sz w:val="28"/>
          <w:szCs w:val="28"/>
          <w:rtl w:val="true"/>
          <w:lang w:bidi="ar-SA"/>
        </w:rPr>
        <w:t>».</w:t>
      </w:r>
      <w:r>
        <w:rPr>
          <w:rStyle w:val="FootnoteAnchor"/>
          <w:rtl w:val="true"/>
        </w:rPr>
        <w:footnoteReference w:id="827"/>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أمعنت في أطراف كلامه تجد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نفس الجواب الّذي بيّناه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مرتبطاً بأسبابه المخصوصة من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يحدث في العالم معلوم للّٰه تعالى على ما هو عليه</w:t>
      </w:r>
      <w:r>
        <w:rPr>
          <w:rFonts w:eastAsia="Amiri" w:cs="Amiri" w:ascii="Amiri" w:hAnsi="Amiri"/>
          <w:color w:val="111111"/>
          <w:sz w:val="28"/>
          <w:szCs w:val="28"/>
          <w:rtl w:val="true"/>
          <w:lang w:bidi="ar-SA"/>
        </w:rPr>
        <w:t xml:space="preserve">...». </w:t>
      </w:r>
      <w:bookmarkStart w:id="733" w:name="pg11536_164319"/>
    </w:p>
    <w:p>
      <w:pPr>
        <w:pStyle w:val="Heading6"/>
        <w:numPr>
          <w:ilvl w:val="5"/>
          <w:numId w:val="1"/>
        </w:numPr>
        <w:rPr/>
      </w:pPr>
      <w:bookmarkStart w:id="734" w:name="__RefHeading___Toc3907801_73709187"/>
      <w:bookmarkStart w:id="735" w:name="_Toc268"/>
      <w:bookmarkEnd w:id="733"/>
      <w:bookmarkEnd w:id="734"/>
      <w:r>
        <w:rPr>
          <w:rtl w:val="true"/>
        </w:rPr>
        <w:t>المسألة السادسة</w:t>
      </w:r>
      <w:r>
        <w:rPr>
          <w:rtl w:val="true"/>
        </w:rPr>
        <w:t xml:space="preserve">: </w:t>
      </w:r>
      <w:r>
        <w:rPr>
          <w:rtl w:val="true"/>
        </w:rPr>
        <w:t>في وجوب اللّطف</w:t>
      </w:r>
      <w:bookmarkEnd w:id="735"/>
    </w:p>
    <w:p>
      <w:pPr>
        <w:pStyle w:val="Heading6"/>
        <w:numPr>
          <w:ilvl w:val="5"/>
          <w:numId w:val="1"/>
        </w:numPr>
        <w:rPr/>
      </w:pPr>
      <w:bookmarkStart w:id="736" w:name="__RefHeading___Toc3907803_73709187"/>
      <w:bookmarkStart w:id="737" w:name="_Toc269"/>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اشتهرت العدليّة بوجوب اللّطف</w:t>
      </w:r>
      <w:r>
        <w:rPr>
          <w:rStyle w:val="FootnoteAnchor"/>
          <w:rtl w:val="true"/>
        </w:rPr>
        <w:footnoteReference w:id="828"/>
      </w:r>
      <w:r>
        <w:rPr>
          <w:rFonts w:ascii="Amiri" w:hAnsi="Amiri" w:eastAsia="Amiri" w:cs="Amiri"/>
          <w:color w:val="111111"/>
          <w:sz w:val="28"/>
          <w:sz w:val="28"/>
          <w:szCs w:val="28"/>
          <w:rtl w:val="true"/>
          <w:lang w:bidi="ar-SA"/>
        </w:rPr>
        <w:t>على اللّٰه سبحانه، و خالفتهم الأشعريّة و بشر بن المعتمر من معتزلة بغداد، و إيضاح الحقّ يستدعي البحث عن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اللّطف و بيان حقيقته و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اللّطف، في اصطلاح المتكلّمين، يوصف بوصفين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اللّطف المُحَصِّل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اللّطف المُقَرِّب</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مسائل تترتّب على اللّطف بالمعنى الأوّل، و مسائل أُخرى </w:t>
      </w:r>
      <w:bookmarkStart w:id="738" w:name="pg11536_164320"/>
    </w:p>
    <w:p>
      <w:pPr>
        <w:pStyle w:val="BookText"/>
        <w:rPr/>
      </w:pPr>
      <w:bookmarkEnd w:id="738"/>
      <w:r>
        <w:rPr>
          <w:rFonts w:ascii="Amiri" w:hAnsi="Amiri" w:eastAsia="Amiri" w:cs="Amiri"/>
          <w:color w:val="111111"/>
          <w:sz w:val="28"/>
          <w:sz w:val="28"/>
          <w:szCs w:val="28"/>
          <w:rtl w:val="true"/>
          <w:lang w:bidi="ar-SA"/>
        </w:rPr>
        <w:t>تترتّب على اللّطف بالمعنى الثاني، و ربّما يؤدّي عدم التّمييز بين المعنيين إلى خلط ما يترتّب على الأوّل بما يترتّب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الاحتراز عن ذلك نبحث عن كلٍّ منهما بنحو مستقل</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3907805_73709187"/>
      <w:bookmarkStart w:id="740" w:name="_Toc270"/>
      <w:bookmarkEnd w:id="739"/>
      <w:r>
        <w:rPr/>
        <w:t>1</w:t>
      </w:r>
      <w:r>
        <w:rPr>
          <w:rtl w:val="true"/>
        </w:rPr>
        <w:t xml:space="preserve"> - </w:t>
      </w:r>
      <w:r>
        <w:rPr>
          <w:rtl w:val="true"/>
        </w:rPr>
        <w:t>اللُّطف المحصِّل</w:t>
      </w:r>
      <w:bookmarkEnd w:id="740"/>
    </w:p>
    <w:p>
      <w:pPr>
        <w:pStyle w:val="BookText"/>
        <w:rPr/>
      </w:pPr>
      <w:r>
        <w:rPr>
          <w:rFonts w:ascii="Amiri" w:hAnsi="Amiri" w:eastAsia="Amiri" w:cs="Amiri"/>
          <w:color w:val="111111"/>
          <w:sz w:val="28"/>
          <w:sz w:val="28"/>
          <w:szCs w:val="28"/>
          <w:rtl w:val="true"/>
          <w:lang w:bidi="ar-SA"/>
        </w:rPr>
        <w:t>اللُّطف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القيام بالمبادئ و المقدّمات الّتي يتوقّف عليها تحقّق غرض الخلقة، و صونها عن العبث و اللغو، بحيث لو لا القيام بهذه المبادئ و المقدّمات من جانبه سبحانه، لصار فعله فارغاً عن الغاية، و ناقَضَ حكمته الّتي تستلزم التحرّز عن العبث، و ذلك كبيان تكاليف الإنسان و إعطائه القدرة على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بعث الرسل لتبيين طريق السعادة، و تيسير سلوكها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الأدلّة السابقة، أنّ الإنسان أقصر من أن ينال المعارف الحقّة، أو يهتدي إلى طريق السعادة في الحياة بالاعتماد على عقله، و الاستغناء عن التعليم السماوي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وجوب اللّطف بهذا المعنى، ليس موضع مناقشة لدى القائلين بحكمته سبحانه، و تنزيهه عن الفعل العبثي الّذي اتّفق عليه العقل و النقل</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البيان فيه</w:t>
      </w:r>
      <w:r>
        <w:rPr>
          <w:rFonts w:eastAsia="Amiri" w:cs="Amiri" w:ascii="Amiri" w:hAnsi="Amiri"/>
          <w:color w:val="111111"/>
          <w:sz w:val="28"/>
          <w:szCs w:val="28"/>
          <w:rtl w:val="true"/>
          <w:lang w:bidi="ar-SA"/>
        </w:rPr>
        <w:t xml:space="preserve">: </w:t>
      </w:r>
      <w:bookmarkStart w:id="741" w:name="pg11536_164321"/>
    </w:p>
    <w:p>
      <w:pPr>
        <w:pStyle w:val="Heading6"/>
        <w:numPr>
          <w:ilvl w:val="5"/>
          <w:numId w:val="1"/>
        </w:numPr>
        <w:rPr/>
      </w:pPr>
      <w:bookmarkStart w:id="742" w:name="__RefHeading___Toc3907807_73709187"/>
      <w:bookmarkStart w:id="743" w:name="_Toc271"/>
      <w:bookmarkEnd w:id="741"/>
      <w:bookmarkEnd w:id="742"/>
      <w:r>
        <w:rPr/>
        <w:t>2</w:t>
      </w:r>
      <w:r>
        <w:rPr>
          <w:rtl w:val="true"/>
        </w:rPr>
        <w:t xml:space="preserve"> - </w:t>
      </w:r>
      <w:r>
        <w:rPr>
          <w:rtl w:val="true"/>
        </w:rPr>
        <w:t>اللُّطف المقرِّب</w:t>
      </w:r>
      <w:bookmarkEnd w:id="743"/>
    </w:p>
    <w:p>
      <w:pPr>
        <w:pStyle w:val="BookText"/>
        <w:rPr/>
      </w:pPr>
      <w:r>
        <w:rPr>
          <w:rFonts w:ascii="Amiri" w:hAnsi="Amiri" w:eastAsia="Amiri" w:cs="Amiri"/>
          <w:color w:val="111111"/>
          <w:sz w:val="28"/>
          <w:sz w:val="28"/>
          <w:szCs w:val="28"/>
          <w:rtl w:val="true"/>
          <w:lang w:bidi="ar-SA"/>
        </w:rPr>
        <w:t>اللّطف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القيام بما يكون محصِّلا لغرض التكليف بحيث لولاه لما حصل الغرض منه و ذلك كالوعد و الوعيد، و الترغيب و الترهيب، الّتي تستتبع رغبة العبد إلى العمل، و بعده عن المعصية</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فخرج بالقيد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المحصّل، فإنّ له دخالة في تمكين المكلّف من الفعل بحيث لولاه لانتفت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بالقيد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حدّ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 و الإلزام على الطاعة و الاجتناب عن المعصية، فإنّ ذلك ينافي التكليف الذي يتطلب الحرية و الاختيار في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هو كل ما يختار عنده المرء الواجب و يتجنب القبيح، أو ما يكون عنده أقرب إمّا إلى اختيار الواجب أو ترك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النوع من اللّطف ليس دخيلاً في تمكين العبد من الطاعة، بل هو قادر على الطاعة و ترك المخالفة، سواء أ كان هناك وعد أم لا، فإنّ القدرة على الامتثال رهن التعرّف على التكليف عن طريق الأنبياء، مضافاً إلى إعطاء الطاقات الماديّة، و المفروض حصول هذه المبادئ و المقدّمات، غير أنّ كثيراً من الناس لا يقومون بواجبهم بمجرّد الوقوف على التكليف ما لم يكن هناك وعد و وعيد و ترغيب و ترهيب، فهذا النوع من اللّطف قد وقع موقع النِّقاش بين المتكلِّمين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هو القول بوجوب اللّطف إذا كان غرض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غرض الخلقة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موقوفاً عليه عند الأكثريّة الساحقة من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لو فرضنا أنّ غالب المكلّفين، لا يقومون بتكاليفهم بمجرّد سماعها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كانوا قادرين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مقرونة بالوعد و الوعيد، و الترغيب و الترهيب، وجب على المكلّف القيام بذلك، صوناً للتكليف عن اللّغوية، و لو أهملها المكلّف ترتّب عليه بطلان غرضه من التكليف، و بالتالي بطلان غرضه من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الكتاب و السنّة إشارات إلى هذا النوع من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بَلَوْنٰاهُمْ بِالْحَسَنٰاتِ وَ اَلسَّيِّئٰاتِ لَعَلَّهُمْ يَرْجِعُونَ</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الحسنات و السيئات، نعماء الدنيا و ضرّاؤها، و كأنّ الهدف من ابتلائهم بهما هو رجوعهم إلى الحقّ و الطاعة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فِي قَرْيَةٍ مِنْ نَبِيٍّ إِلاّٰ أَخَذْنٰا أَهْلَهٰا بِالْبَأْسٰاءِ وَ اَلضَّرّٰاءِ لَعَلَّهُمْ يَضَّرَّعُونَ</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 و في الآية إشارة إلى كلا القسمين من اللّطف، و مفاد الآية أنّ اللّٰه تعالى أرسل رسله لإِبلاغ تكاليفه إلى العباد و إرشادهم إلى طريق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الرفاه و الرخاء و التوغّل في النعم المادّية، ربّما يسبِّب الطغيان و غفلة الإِنسان عن هدف الخلقة و إجابة دعوة الأنبياء، فاقتضت حكمته تعالى أخذهم بالبأساء </w:t>
      </w:r>
    </w:p>
    <w:p>
      <w:pPr>
        <w:pStyle w:val="BookText"/>
        <w:rPr/>
      </w:pPr>
      <w:r>
        <w:rPr>
          <w:rFonts w:ascii="Amiri" w:hAnsi="Amiri" w:eastAsia="Amiri" w:cs="Amiri"/>
          <w:color w:val="111111"/>
          <w:sz w:val="28"/>
          <w:sz w:val="28"/>
          <w:szCs w:val="28"/>
          <w:rtl w:val="true"/>
          <w:lang w:bidi="ar-SA"/>
        </w:rPr>
        <w:t>و الضرّاء، لعلّهم يَضّرّعون و يبتهلون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نشهد أنّ الأنبياء لم يكتفوا بإقامة الحجّة و البرهان، و الإتيان بالمعاجز، بل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مبشِّرين و منذرين، و كان الترغيب و الترهيب من شئون رسالتهم،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 مُنْذِرِينَ</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 الإنذار و التبشير دخيلان في رغبة الناس بالطاعة و ابتعادهم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الإِمام عليّ عليه السلام إشارة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تبارك و تعالى لمّا خلق خلقَه أراد أن يكونوا على آداب رفيعة و أخلاق شريفة، فعلم أنّهم لم يكونوا كذلك إلّا بأن يعرّفهم ما لهم و ما عليهم، و التعريف لا يكون إلّا بالأمر و النهي</w:t>
      </w:r>
      <w:r>
        <w:rPr>
          <w:rStyle w:val="FootnoteAnchor"/>
          <w:rtl w:val="true"/>
        </w:rPr>
        <w:footnoteReference w:id="834"/>
      </w:r>
      <w:r>
        <w:rPr>
          <w:rFonts w:ascii="Amiri" w:hAnsi="Amiri" w:eastAsia="Amiri" w:cs="Amiri"/>
          <w:color w:val="111111"/>
          <w:sz w:val="28"/>
          <w:sz w:val="28"/>
          <w:szCs w:val="28"/>
          <w:rtl w:val="true"/>
          <w:lang w:bidi="ar-SA"/>
        </w:rPr>
        <w:t>، و الأمر و النهي لا يجتمعان إلّا بالوعد و الوعيد، و الوعد لا يكون إلّا بالترغيب، و الوعيد لا يكون إلّا بالترهيب، و الترغيب لا يكون إلا بما تشتهيه أنفسهم و تلذّه أعينهم، و الترهيب لا يكون إلّا بضدّ ذلك</w:t>
      </w:r>
      <w:r>
        <w:rPr>
          <w:rFonts w:eastAsia="Amiri" w:cs="Amiri" w:ascii="Amiri" w:hAnsi="Amiri"/>
          <w:color w:val="111111"/>
          <w:sz w:val="28"/>
          <w:szCs w:val="28"/>
          <w:rtl w:val="true"/>
          <w:lang w:bidi="ar-SA"/>
        </w:rPr>
        <w:t>...».</w:t>
      </w:r>
      <w:r>
        <w:rPr>
          <w:rStyle w:val="FootnoteAnchor"/>
          <w:rtl w:val="true"/>
        </w:rPr>
        <w:footnoteReference w:id="835"/>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و النهي لا يجتمعان إلّا بالوعد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امتثال الأمر و النهي و نفوذهما في نفوس الناس، يتوقّف على الثواب و العقاب، فلولاهما لما كان هناك حركة إيجابيّة نحو التكليف إلّا من </w:t>
      </w:r>
    </w:p>
    <w:p>
      <w:pPr>
        <w:pStyle w:val="BookText"/>
        <w:rPr/>
      </w:pPr>
      <w:r>
        <w:rPr>
          <w:rFonts w:ascii="Amiri" w:hAnsi="Amiri" w:eastAsia="Amiri" w:cs="Amiri"/>
          <w:color w:val="111111"/>
          <w:sz w:val="28"/>
          <w:sz w:val="28"/>
          <w:szCs w:val="28"/>
          <w:rtl w:val="true"/>
          <w:lang w:bidi="ar-SA"/>
        </w:rPr>
        <w:t>العارفين الّذين يعبدون اللّٰه تعالى، لا رغبة و لا رهبة، بل لكونه مستحقّاً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ذلك أنّ ما هو دخيل في تحقّق الرغبة بالطاعة، و الابتعاد عن المعصية في نفوس الأكثريّة الساحقة من البشر، يجب على اللّٰه سبحانه القيام به صوناً للتكليف عن اللّغو، و بالتالي صوناً للخلقة عن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هذه المبادئ كافية في تحريك الأكثريّة نحو الطاعة، و لكنّ القليل منهم لا يمتثلون إلّا في ظروف خاصّة كاليسار في الرزق، أو كثرة الرفاه، فهل هو واجب على اللّٰه سبحانه؟ الظاهر لا، إلّا من باب الجود و التفضّل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اللّطف المقرِّب إذا كان مؤثّراً في رغبة الأكثريّة بالطاعة و ترك المعصية يجب من باب الحكمة، و أمّا إذا كان مؤثّراً في آحادهم المعدودين، فالقيام به من باب الفضل و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تقف على مدى صحّة ما استدلّ به بعضهم على اللّطف في المقام، أو سقمه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القاضي عبد الجبّار على وجوب اللّطف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كلّف المكلّف، و كان غرضه بذلك تعريضه إلى درجة الثواب، و علم أنّ في مقدوره ما لو فعل به لاختار عنده الواجب، و اجتنب القبيح، فلا بدّ من أن يفعل به ذلك الفعل و إلّا عاد بالنقض على غرضه، و صار الحال فيه كالحال في أحدنا إذ أراد من بعض أصدقائه أن يجيبه إلى طعام قد اتّخذه، و علم من حاله أنّه لا يجيبه، إلّا إذا بعث إليه بعض أعزّته من ولد أو غيره، فإنّه يجب </w:t>
      </w:r>
    </w:p>
    <w:p>
      <w:pPr>
        <w:pStyle w:val="BookText"/>
        <w:rPr/>
      </w:pPr>
      <w:r>
        <w:rPr>
          <w:rFonts w:ascii="Amiri" w:hAnsi="Amiri" w:eastAsia="Amiri" w:cs="Amiri"/>
          <w:color w:val="111111"/>
          <w:sz w:val="28"/>
          <w:sz w:val="28"/>
          <w:szCs w:val="28"/>
          <w:rtl w:val="true"/>
          <w:lang w:bidi="ar-SA"/>
        </w:rPr>
        <w:t>عليه أن يبعث، حتّى إذا لم يفعل عاد بالنقض على غرضه و كذلك هاهنا</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عبارة عن كلِّ ما يوصل الإنسان إلى الطاعة و يبعِّده عن المعصية، و لمّا كان اللّٰه عادلاً في حكمه، رءوفاً بخلقه، ناظراً لعباده، لا يرضى لعباده الكفر، و لا يريد ظلماً للعالمين، فهو لم يدّخر عنهم شيئاً ممّا يعلم أنّه إذا فعل بهم، أتوا بالطاعة و الصلاح</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يطيع إلّا باللّطف، فلو كلّفه من دونه، كان ناقضاً لغرضه، كمن دعا غيره إلى طعام، و هو يعلم أنّه لا يجيبه إلّا أن يستعمل معه نوعاً من التأدّب، فإن لم يفعل الداعي ذلك النوع من التأدّب كان ناقضاً لغرضه، فوجوب اللّطف يستلزم تحصيل الغرض</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بيّنّا أنّه تعالى مريد للطاعة و كاره للمعصية، فإذا علم أنّ المكلّف لا يختار الطاعة، أو لا يترك المعصية، أو لا يكون أقرب إلى ذلك إلّا عند فعلٍ يفعله به، و ذلك الفعل ليس فيه مشقّة و لا غضاضة، فإنّه يجب في حكمته أن يفعله، إذ لو لم يفعله لكشف ذلك، إمّا عن عدم إرادته لذلك الفعل، و هو باطل لما تقدّم، أو عن نقض غرضه إذا كان مريداً له، لكن ثبت كونه مريداً له فيكون ناقضاً لغرضه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يجري ذلك في الشاهد مجرى من أراد حضور شخص إلى وليمة، و عرف أو غلب على ظنِّه أنّ ذلك الشخص لا يحضر إلّا مع فعل يفعله، من إرسال رسول، أو نوع أدب، أو بشاشة، أو غير ذلك من الأفعال، و لا غضاضة عليه في فعل ذلك، فمتى لم يفعل عُدّ ناقضاً لغرضه، و نقض الغرض باطل، لأنّه نقص، و النقص عليه تعالى محال، و لأنّ العقلاء يعدّونه سَفَهاً و هو ينافي الحكمة</w:t>
      </w:r>
      <w:r>
        <w:rPr>
          <w:rFonts w:eastAsia="Amiri" w:cs="Amiri" w:ascii="Amiri" w:hAnsi="Amiri"/>
          <w:color w:val="111111"/>
          <w:sz w:val="28"/>
          <w:szCs w:val="28"/>
          <w:rtl w:val="true"/>
          <w:lang w:bidi="ar-SA"/>
        </w:rPr>
        <w:t>».</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هذه البيانات تدلّ على أنّ اللّطف واجب من باب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كلام القائلين بوجوب اللّطف، و هو على إطلاقه غير تامّ، بل الحقّ هو التفصيل بين ما يكون مؤثِّراً في تحقّق التكليف بشكل عامّ بين المكلّفين، فيجب من باب الحكمة، و إلّا فيرجع إلى جوده و تفضّله من دون إيجاب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القائل بعدم وجوبه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وجب اللّطف على اللّٰه تعالى لكان لا يوجد في العالم عاص، لأنّه ما من مكلّف إلّا و في مقدور اللّٰه تعالى من الألطاف ما لو فعله به لاختار عنده الواجب و اجتنب القبيح، فلمّا وجدنا في المكلّفين من أطاع و فيهم من عصى، تبيّن أنّ الألطاف غير واجبة على اللّٰه تعالى</w:t>
      </w:r>
      <w:r>
        <w:rPr>
          <w:rFonts w:eastAsia="Amiri" w:cs="Amiri" w:ascii="Amiri" w:hAnsi="Amiri"/>
          <w:color w:val="111111"/>
          <w:sz w:val="28"/>
          <w:szCs w:val="28"/>
          <w:rtl w:val="true"/>
          <w:lang w:bidi="ar-SA"/>
        </w:rPr>
        <w:t>».</w:t>
      </w:r>
      <w:r>
        <w:rPr>
          <w:rStyle w:val="FootnoteAnchor"/>
          <w:rtl w:val="true"/>
        </w:rPr>
        <w:footnoteReference w:id="840"/>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المستدلّ لم يقف على حقيقة اللّطف، و لذلك </w:t>
      </w:r>
    </w:p>
    <w:p>
      <w:pPr>
        <w:pStyle w:val="BookText"/>
        <w:rPr/>
      </w:pPr>
      <w:r>
        <w:rPr>
          <w:rFonts w:ascii="Amiri" w:hAnsi="Amiri" w:eastAsia="Amiri" w:cs="Amiri"/>
          <w:color w:val="111111"/>
          <w:sz w:val="28"/>
          <w:sz w:val="28"/>
          <w:szCs w:val="28"/>
          <w:rtl w:val="true"/>
          <w:lang w:bidi="ar-SA"/>
        </w:rPr>
        <w:t>استدلّ بوجود العصاة على عدم وجوبه، فهو تصوّر أنّ اللّطف عبارة عمّا لا يتخلّف معه المكلّف عن الإتيان بالطاعة و ترك المعصية، فنتيجته كون وجود العصيان دليلاً على عدم وجوبه، و عدم وجوده دليلاً على وجوبه، مع أنّك قد عرفت في أدلّة القائلين به بأنّه ما يكون مقرِّباً إلى الطاعة و مبعِّداً عن المعصية من دون أن يبلغ حدّ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العباد على قسمين، فإنّ فيهم من يعلم اللّٰه تعالى من حاله أنّه إن فعل به بعض الأفعال كان عند ذلك يختار الواجب و يتجنّب القبيح، أو يكون أقرب إلى ذلك، و فيهم من هو خلافه حتّى إن فعل به كلّ ما فعل لم يختر عنده واجباً و لا اجتنب قبيحاً</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يؤيِّده ما ورد في الذِّكر الحكيم من أنّ هناك أُناساً لا يؤمنون أبداً و لو جاءهم نبيّهم بكلِّ أنواع الآيات و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تُغْنِي اَلْآيٰاتُ وَ اَلنُّذُرُ عَنْ قَوْمٍ لاٰ يُؤْمِنُونَ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أَتَيْتَ اَلَّذِينَ أُوتُوا اَلْكِتٰابَ بِكُلِّ آيَةٍ مٰا تَبِعُوا قِبْلَتَكَ</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اللُّطف سواء أ كان المراد منه اللّطف المحصِّل أم اللّطف المقرِّب، من شئون الحكمة، فمن وصفه سبحانه بالحكمة و التنزّه </w:t>
      </w:r>
    </w:p>
    <w:p>
      <w:pPr>
        <w:pStyle w:val="BookText"/>
        <w:rPr/>
      </w:pPr>
      <w:r>
        <w:rPr>
          <w:rFonts w:ascii="Amiri" w:hAnsi="Amiri" w:eastAsia="Amiri" w:cs="Amiri"/>
          <w:color w:val="111111"/>
          <w:sz w:val="28"/>
          <w:sz w:val="28"/>
          <w:szCs w:val="28"/>
          <w:rtl w:val="true"/>
          <w:lang w:bidi="ar-SA"/>
        </w:rPr>
        <w:t>عن اللّغو و العبث، لا مناص له عن الاعتقاد بهذه القاعدة، غير أنّ القول بوجوب اللّطف في المحصِّل أوضح من القول به في المقرِّب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يظهر من الشيخ المفيد أنّ وجوب اللّطف من باب الجود و الكرم،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أوجبه أصحاب اللّطف من اللّطف، إنّما وجب من جهة الجود و الكرم، لا من حيث ظنّوا أنّ العدل أوجبه، و أنّه لو لم يفعل لكان ظالماً</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إيجابه من باب الجود و الكرم يختصّ باللّطف الراجع إلى آحاد المكلّفين، لا ما يرجع إلى تجسيد غرض الخلقة، أو غرض التكليف، عند الأكثريّة الساحقة من المكلّفين، كما عرفت</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وجوب اللّطف على اللّٰه سبحانه ليس ما يتبادر إلى أذهان السطحيّين من الناس، من حاكميّة العباد على اللّٰه، مع أنّ له الحكم و الفصل، بل المراد استكشاف الوجوب من أوصافه تعالى، فإنّ أفعاله مظاهر لأوصافه تعالى، كما أنّ أوصافه مظاهر لذاته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عقليّ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حكيم، استتبع ذلك و استلزم العلم بأنّه لطيف بعباده، حيثما يَبطل غرض الخلقة أو غرض التكليف لو لا اللّطف</w:t>
      </w:r>
      <w:r>
        <w:rPr>
          <w:rFonts w:eastAsia="Amiri" w:cs="Amiri" w:ascii="Amiri" w:hAnsi="Amiri"/>
          <w:color w:val="111111"/>
          <w:sz w:val="28"/>
          <w:szCs w:val="28"/>
          <w:rtl w:val="true"/>
          <w:lang w:bidi="ar-SA"/>
        </w:rPr>
        <w:t xml:space="preserve">. </w:t>
      </w:r>
      <w:bookmarkStart w:id="744" w:name="pg11536_164329"/>
    </w:p>
    <w:p>
      <w:pPr>
        <w:pStyle w:val="Heading6"/>
        <w:numPr>
          <w:ilvl w:val="5"/>
          <w:numId w:val="1"/>
        </w:numPr>
        <w:rPr/>
      </w:pPr>
      <w:bookmarkStart w:id="745" w:name="__RefHeading___Toc3907809_73709187"/>
      <w:bookmarkStart w:id="746" w:name="_Toc272"/>
      <w:bookmarkEnd w:id="744"/>
      <w:bookmarkEnd w:id="745"/>
      <w:r>
        <w:rPr>
          <w:rtl w:val="true"/>
        </w:rPr>
        <w:t>المسألة السابعة</w:t>
      </w:r>
      <w:r>
        <w:rPr>
          <w:rtl w:val="true"/>
        </w:rPr>
        <w:t xml:space="preserve">: </w:t>
      </w:r>
      <w:r>
        <w:rPr>
          <w:rtl w:val="true"/>
        </w:rPr>
        <w:t>في حدوث كلامه تعالى</w:t>
      </w:r>
      <w:bookmarkEnd w:id="746"/>
    </w:p>
    <w:p>
      <w:pPr>
        <w:pStyle w:val="Heading6"/>
        <w:numPr>
          <w:ilvl w:val="5"/>
          <w:numId w:val="1"/>
        </w:numPr>
        <w:rPr/>
      </w:pPr>
      <w:bookmarkStart w:id="747" w:name="__RefHeading___Toc3907811_73709187"/>
      <w:bookmarkStart w:id="748" w:name="_Toc273"/>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من المسائل الّتي أثارت ضجّة كبرى بين العلماء و انتهت إلى محنة تعرف في التأريخ بمحنة الإمام أحمد بن حنبل، هي البحث عن حدوث القرآن و قدمه، و عن كونه مخلوقاً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على حدوث القرآن و نفي قدمه تنزيهاً له سبحانه عن المثل القديم و غير المخلوق، و أصحاب الحديث و الحنابلة و بعدهم الأشاعرة على ضدّهم و أنّه قديم أو ليس بمخلوق فراراً عن سمة الحدوث الطارئ على صفاته مثل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وصلت المعتزلة في عصر المأمون و بعده في عصر الواثق إلى قمّة القدرة و كانت الخلافة العبّاسية تؤازرهم و تؤيّدهم، خرجوا عن منهجهم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الحرّيّة في الرأي و التفكّر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سلكوا في هذه المسألة مسلك الضغط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فطفقوا يحملون الناس على عقيدتهم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و الإكراه، فمن خالفهم و لم يقرّ به يحكم عليه بالحبس تارة و الضرب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أوجد ذلك في حياتهم العلميّة نقطة سوداء، و سيوافيك تفصيل حمل الناس على اعتناق عقيدتهم في هذا المجال في فصل خاصّ</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من جانب و من جانب آخر، لمّا أخذ أحمد بن حنبل في هذا </w:t>
      </w:r>
      <w:bookmarkStart w:id="749" w:name="pg11536_164330"/>
    </w:p>
    <w:p>
      <w:pPr>
        <w:pStyle w:val="BookText"/>
        <w:rPr/>
      </w:pPr>
      <w:bookmarkEnd w:id="749"/>
      <w:r>
        <w:rPr>
          <w:rFonts w:ascii="Amiri" w:hAnsi="Amiri" w:eastAsia="Amiri" w:cs="Amiri"/>
          <w:color w:val="111111"/>
          <w:sz w:val="28"/>
          <w:sz w:val="28"/>
          <w:szCs w:val="28"/>
          <w:rtl w:val="true"/>
          <w:lang w:bidi="ar-SA"/>
        </w:rPr>
        <w:t>المجال موقف الصمود و الثبات في عقيدته صار بطلاً في حياته، و بعدها يضرب به المثل في الصمود على العقيدة، و قد استبطلته المعتزلة و صار إماماً في عقائد أهل السنّة بصموده في طريق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لإيضاح الحقّ نرسم أُموراً</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3907813_73709187"/>
      <w:bookmarkStart w:id="751" w:name="_Toc274"/>
      <w:bookmarkEnd w:id="750"/>
      <w:r>
        <w:rPr/>
        <w:t>1</w:t>
      </w:r>
      <w:r>
        <w:rPr>
          <w:rtl w:val="true"/>
        </w:rPr>
        <w:t xml:space="preserve"> - </w:t>
      </w:r>
      <w:r>
        <w:rPr>
          <w:rtl w:val="true"/>
        </w:rPr>
        <w:t>مسلك أهل الحديث</w:t>
      </w:r>
      <w:bookmarkEnd w:id="751"/>
    </w:p>
    <w:p>
      <w:pPr>
        <w:pStyle w:val="BookText"/>
        <w:rPr/>
      </w:pPr>
      <w:r>
        <w:rPr>
          <w:rFonts w:ascii="Amiri" w:hAnsi="Amiri" w:eastAsia="Amiri" w:cs="Amiri"/>
          <w:color w:val="111111"/>
          <w:sz w:val="28"/>
          <w:sz w:val="28"/>
          <w:szCs w:val="28"/>
          <w:rtl w:val="true"/>
          <w:lang w:bidi="ar-SA"/>
        </w:rPr>
        <w:t>إنّ مسلك أهل الحديث في اتّخاذ العقيدة في مسائل الدين هو اقتفاء كتاب اللّٰه و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فيها يؤخذ به و ما لم يجئ فيها يسكت عنه و لا يبحث فيه، و لأجل ذلك كان أهل الحديث يحرِّمون علم الكلام، و يمنعون البحث عن كلِّ ما ليس وارداً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هذا كان اللازم على أهل الحديث السكوت و عدم النبس ببنت شفة في هذه المسألة، لأنّ البحث فيها حرام على أُصولهم، سواء أ كان الموقف هو قدم القرآن أم حدوثه، لأنّه لم يرد فيه نصّ عن رسول اللّٰه، و لا عن أصحابه، و مع الأسف كان موقفهم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مقدّمهم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الإيجاب و تكفير المخالف</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أحمد بن حنبل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القرآن كلام اللّٰه ليس بمخلوق، فمن زعم أنّ القرآن مخلوق فهو جهميّ كافر، و من زعم أنّ القرآن كلام اللّٰه عزّ و جلّ و وقف و لم يقل مخلوق و لا غير مخلوق فهو أخبث من الأوّل، و من زعم أنّ ألفاظنا بالقرآن و تلاوتنا له مخلوقة و القرآن كلام اللّٰه، </w:t>
      </w:r>
      <w:bookmarkStart w:id="752" w:name="pg11536_164331"/>
    </w:p>
    <w:p>
      <w:pPr>
        <w:pStyle w:val="BookText"/>
        <w:rPr/>
      </w:pPr>
      <w:bookmarkEnd w:id="752"/>
      <w:r>
        <w:rPr>
          <w:rFonts w:ascii="Amiri" w:hAnsi="Amiri" w:eastAsia="Amiri" w:cs="Amiri"/>
          <w:color w:val="111111"/>
          <w:sz w:val="28"/>
          <w:sz w:val="28"/>
          <w:szCs w:val="28"/>
          <w:rtl w:val="true"/>
          <w:lang w:bidi="ar-SA"/>
        </w:rPr>
        <w:t>فهو جهميّ، و من لم يكفِّر هؤلاء القوم كلّهم فهو مثلهم</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إنّ السّلفيين و حتّى أتباعهم في هذه الأيّام يتحرّجون من القول بأنّ اللّٰه ليس بجسم، قائلين بأنّه لم يرد نصّ فيه في الشريعة، و لكن يتشدّقون بقدم القرآن و عدم حدوثه، بلا اكتراث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سالفهم و لاحقهم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جعلوه أصلاً يدور عليه إسلام المرء و كفره</w:t>
      </w:r>
      <w:r>
        <w:rPr>
          <w:rFonts w:eastAsia="Amiri" w:cs="Amiri" w:ascii="Amiri" w:hAnsi="Amiri"/>
          <w:color w:val="111111"/>
          <w:sz w:val="28"/>
          <w:szCs w:val="28"/>
          <w:rtl w:val="true"/>
          <w:lang w:bidi="ar-SA"/>
        </w:rPr>
        <w:t>.</w:t>
      </w:r>
    </w:p>
    <w:p>
      <w:pPr>
        <w:pStyle w:val="Heading6"/>
        <w:numPr>
          <w:ilvl w:val="5"/>
          <w:numId w:val="1"/>
        </w:numPr>
        <w:rPr/>
      </w:pPr>
      <w:bookmarkStart w:id="753" w:name="__RefHeading___Toc3907815_73709187"/>
      <w:bookmarkStart w:id="754" w:name="_Toc275"/>
      <w:bookmarkEnd w:id="753"/>
      <w:r>
        <w:rPr/>
        <w:t>2</w:t>
      </w:r>
      <w:r>
        <w:rPr>
          <w:rtl w:val="true"/>
        </w:rPr>
        <w:t xml:space="preserve"> - </w:t>
      </w:r>
      <w:r>
        <w:rPr>
          <w:rtl w:val="true"/>
        </w:rPr>
        <w:t>النصارى و قدم الكلمة</w:t>
      </w:r>
      <w:bookmarkEnd w:id="754"/>
    </w:p>
    <w:p>
      <w:pPr>
        <w:pStyle w:val="BookText"/>
        <w:rPr/>
      </w:pPr>
      <w:r>
        <w:rPr>
          <w:rFonts w:ascii="Amiri" w:hAnsi="Amiri" w:eastAsia="Amiri" w:cs="Amiri"/>
          <w:color w:val="111111"/>
          <w:sz w:val="28"/>
          <w:sz w:val="28"/>
          <w:szCs w:val="28"/>
          <w:rtl w:val="true"/>
          <w:lang w:bidi="ar-SA"/>
        </w:rPr>
        <w:t>إنّ القول بقدم القرآن تسرّب إلى أوساط المسلمين من المسيحيّين، حيث كانوا يقولون بقدم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بذلك الخليفة العبّاسي في كتابه الّذي بعثه من الرقّة إلى رئيس شرطة بغداد إسحاق بن إبراهيم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ضاهوا به قول النصارى في ادّعائهم في عيسى بن مريم أنّه ليس بمخلوق إذ كان كلمة اللّٰه</w:t>
      </w:r>
      <w:r>
        <w:rPr>
          <w:rFonts w:eastAsia="Amiri" w:cs="Amiri" w:ascii="Amiri" w:hAnsi="Amiri"/>
          <w:color w:val="111111"/>
          <w:sz w:val="28"/>
          <w:szCs w:val="28"/>
          <w:rtl w:val="true"/>
          <w:lang w:bidi="ar-SA"/>
        </w:rPr>
        <w:t>».</w:t>
      </w:r>
      <w:r>
        <w:rPr>
          <w:rStyle w:val="FootnoteAnchor"/>
          <w:rtl w:val="true"/>
        </w:rPr>
        <w:footnoteReference w:id="84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العبّاس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 و كان في دار الروم بالجانب الغربي، فجرى الحديث إلى أن سألته عن ابن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يقول بأنّ كلام اللّٰه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عبد اللّه كان يجيء فيجلس إلى تلك الزاوية و أشار إلى ناحية من البيعة و عني أخذ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اللّٰه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عاش لنصّرنا المسلمين؛ 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محمّد بن إسحاق </w:t>
      </w:r>
    </w:p>
    <w:p>
      <w:pPr>
        <w:pStyle w:val="BookText"/>
        <w:rPr/>
      </w:pPr>
      <w:r>
        <w:rPr>
          <w:rFonts w:ascii="Amiri" w:hAnsi="Amiri" w:eastAsia="Amiri" w:cs="Amiri"/>
          <w:color w:val="111111"/>
          <w:sz w:val="28"/>
          <w:sz w:val="28"/>
          <w:szCs w:val="28"/>
          <w:rtl w:val="true"/>
          <w:lang w:bidi="ar-SA"/>
        </w:rPr>
        <w:t>الطالقاني،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يقوله أهل السنّة من المسلمين في القرآن</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قال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النصارى الّذين كانوا في حاشية البيت الأُموي و على رأسهم يوحنّا الدمشقي و غيرهم، كانوا يبثّون الشكوك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القرآن أنّ عيسى بن مريم كلمة اللّٰه ألقاها إلى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يبثّ بين المسلمين أنّ كلمة اللّٰه قديمة فيسألهم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كلمته قديمة أم لا؟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قديمة، ادّعى أنّ عيسى قديم</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بعد ذلك لا يعبأ بما قاله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القول بخلق القرآن جاء من اليهود، و أنّ أوّل من نشرها منهم لبيد بن الأعصم عدوّ النبي صلى الله عليه و آله و سلم اللّدود الّذي كان يقول بخلق القرآن، ثمّ أخذ ابن أُخته طالوت هذه المقالة عنه، و صنّف في خلق القرآن</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هذا، و إنّ المشهور بين اليهود هو قدم التوراة</w:t>
      </w:r>
      <w:r>
        <w:rPr>
          <w:rFonts w:eastAsia="Amiri" w:cs="Amiri" w:ascii="Amiri" w:hAnsi="Amiri"/>
          <w:color w:val="111111"/>
          <w:sz w:val="28"/>
          <w:szCs w:val="28"/>
          <w:rtl w:val="true"/>
          <w:lang w:bidi="ar-SA"/>
        </w:rPr>
        <w:t>.</w:t>
      </w:r>
      <w:r>
        <w:rPr>
          <w:rStyle w:val="FootnoteAnchor"/>
          <w:rtl w:val="true"/>
        </w:rPr>
        <w:footnoteReference w:id="850"/>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فالمسألة مستوردة و ليست نابتة من صميم الدين و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طرحت في أواخر القرن الثاني في عصر المأمون، و امتدّت </w:t>
      </w:r>
    </w:p>
    <w:p>
      <w:pPr>
        <w:pStyle w:val="BookText"/>
        <w:rPr/>
      </w:pPr>
      <w:r>
        <w:rPr>
          <w:rFonts w:ascii="Amiri" w:hAnsi="Amiri" w:eastAsia="Amiri" w:cs="Amiri"/>
          <w:color w:val="111111"/>
          <w:sz w:val="28"/>
          <w:sz w:val="28"/>
          <w:szCs w:val="28"/>
          <w:rtl w:val="true"/>
          <w:lang w:bidi="ar-SA"/>
        </w:rPr>
        <w:t>إلى عصر المتوكّل و من بعده الّذين يضغطون على المعتزلة و ينكِّلون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تأريخ البحث يعرب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طرحت في جوّ غير هادئ و مشحون بالعداء، و لم يكن البحث لكشف الحقيقة و ابتداعها، بل كلُّ يصرّ على إثبات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موضوع البحث منقّحاً حتّى يتوارد عليه النفي و الإثبات، و أنّهم لما ذا يفرّون من القول بحدوث القرآن و لما ذا يكفّرون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يريدون من قدم القرآن، قدم الآيات الّتي يتلوها القارئ، أم النبي الأكرم، أم أمين الوحي، أم يريدون قدم معانيه و المفاهيم الواردة فيه، أم يريدون قدم علمه سبحانه إلى غير ذلك من الاحتمالات الّتي لم يركّز البحث على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الحشويّة من الحنابلة إلى أنّ هذا القرآن المتلوّ في المحاريب و المكتوب في المصاحف، غير مخلوق و لا محدث، بل قديم مع اللّٰه تعالى</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اتّفقوا على أنّ القرآن كلام اللّٰه غير مخلوق و إنّما اختلفوا في اللّفظ بالقرآن لغموض وقع في ذلك و كلّهم يجمعون على أنّ القرآن بكلّ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مقروءاً و مكتوباً و مسموعاً و محفوظاً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مخلوق</w:t>
      </w:r>
      <w:r>
        <w:rPr>
          <w:rFonts w:eastAsia="Amiri" w:cs="Amiri" w:ascii="Amiri" w:hAnsi="Amiri"/>
          <w:color w:val="111111"/>
          <w:sz w:val="28"/>
          <w:szCs w:val="28"/>
          <w:rtl w:val="true"/>
          <w:lang w:bidi="ar-SA"/>
        </w:rPr>
        <w:t>».</w:t>
      </w:r>
      <w:r>
        <w:rPr>
          <w:rStyle w:val="FootnoteAnchor"/>
          <w:rtl w:val="true"/>
        </w:rPr>
        <w:footnoteReference w:id="851"/>
      </w:r>
      <w:bookmarkStart w:id="755" w:name="pg11536_164334"/>
    </w:p>
    <w:p>
      <w:pPr>
        <w:pStyle w:val="BookText"/>
        <w:rPr/>
      </w:pPr>
      <w:bookmarkEnd w:id="755"/>
      <w:r>
        <w:rPr>
          <w:rFonts w:ascii="Amiri" w:hAnsi="Amiri" w:eastAsia="Amiri" w:cs="Amiri"/>
          <w:color w:val="111111"/>
          <w:sz w:val="28"/>
          <w:sz w:val="28"/>
          <w:szCs w:val="28"/>
          <w:rtl w:val="true"/>
          <w:lang w:bidi="ar-SA"/>
        </w:rPr>
        <w:t>و ذهبت الكلابيّة</w:t>
      </w:r>
      <w:r>
        <w:rPr>
          <w:rStyle w:val="FootnoteAnchor"/>
          <w:rtl w:val="true"/>
        </w:rPr>
        <w:footnoteReference w:id="852"/>
      </w:r>
      <w:r>
        <w:rPr>
          <w:rFonts w:ascii="Amiri" w:hAnsi="Amiri" w:eastAsia="Amiri" w:cs="Amiri"/>
          <w:color w:val="111111"/>
          <w:sz w:val="28"/>
          <w:sz w:val="28"/>
          <w:szCs w:val="28"/>
          <w:rtl w:val="true"/>
          <w:lang w:bidi="ar-SA"/>
        </w:rPr>
        <w:t>إلى أنّ كلام اللّٰه تعالى هو معنى أزليّ قائم بذاته مع أنّه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مذهبنا في ذلك فهو أنّ القرآن كلام اللّٰه تعالى و وحيه و هو مخلوق محدث أنزله اللّٰه على نبيِّه ليكون علماً و دالاّ على نبوّته، و جعله دلالة لنا على الأحكام لنرجع إليه في الحلال و الحرام و استوجب منّا بذلك الحمد و الشكر و التحميد و التقديس، و اذن هو الّذي نسمعه اليوم و نتلوه و إن لم يكن محدثاً من جهة اللّٰه تعالى فهو مضاف إليه على الحقيقة كما يضاف ما ننشده اليوم من قصيدة امرئ القيس على الحقيقة، و إن لم يكن مُحدِثاً لها من جهته الآن</w:t>
      </w:r>
      <w:r>
        <w:rPr>
          <w:rFonts w:eastAsia="Amiri" w:cs="Amiri" w:ascii="Amiri" w:hAnsi="Amiri"/>
          <w:color w:val="111111"/>
          <w:sz w:val="28"/>
          <w:szCs w:val="28"/>
          <w:rtl w:val="true"/>
          <w:lang w:bidi="ar-SA"/>
        </w:rPr>
        <w:t>.</w:t>
      </w:r>
      <w:r>
        <w:rPr>
          <w:rStyle w:val="FootnoteAnchor"/>
          <w:rtl w:val="true"/>
        </w:rPr>
        <w:footnoteReference w:id="853"/>
      </w:r>
    </w:p>
    <w:p>
      <w:pPr>
        <w:pStyle w:val="Heading6"/>
        <w:numPr>
          <w:ilvl w:val="5"/>
          <w:numId w:val="1"/>
        </w:numPr>
        <w:rPr/>
      </w:pPr>
      <w:bookmarkStart w:id="756" w:name="__RefHeading___Toc3907817_73709187"/>
      <w:bookmarkStart w:id="757" w:name="_Toc276"/>
      <w:bookmarkEnd w:id="756"/>
      <w:r>
        <w:rPr/>
        <w:t>3</w:t>
      </w:r>
      <w:r>
        <w:rPr>
          <w:rtl w:val="true"/>
        </w:rPr>
        <w:t xml:space="preserve"> - </w:t>
      </w:r>
      <w:r>
        <w:rPr>
          <w:rtl w:val="true"/>
        </w:rPr>
        <w:t>استدلالهم على حدوث القرآن</w:t>
      </w:r>
      <w:bookmarkEnd w:id="757"/>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محلّ النزاع هو القرآن المتلوّ كما يظهر من كلام القاضي فحدوثه أمر واضح، فإنّ الكلام هو الحروف المنظومة الّتي تظهر بالأصوات المقطّعة و ليس حدوثه شيئاً يحتاج إلى دليل، و لو احتاج حدوث مثل هذا إلى دليل إذاً احتاج النهار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إنّ ترتيب حروف الكلمات و الجمل يستلزم الحدوث، لأنّ تحقّق كلمة بسم اللّٰه يتوقّف على حدوث </w:t>
      </w:r>
    </w:p>
    <w:p>
      <w:pPr>
        <w:pStyle w:val="BookText"/>
        <w:rPr/>
      </w:pPr>
      <w:r>
        <w:rPr>
          <w:rFonts w:ascii="Amiri" w:hAnsi="Amiri" w:eastAsia="Amiri" w:cs="Amiri"/>
          <w:color w:val="111111"/>
          <w:sz w:val="28"/>
          <w:sz w:val="28"/>
          <w:szCs w:val="28"/>
          <w:rtl w:val="true"/>
          <w:lang w:bidi="ar-SA"/>
        </w:rPr>
        <w:t>الباء و انعدامها، ثمّ حدوث السين كذلك، ثمّ حدوث الميم و هكذا إلى آخر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فالحدوث ثمّ الانعدام لا يفارقان مفردات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ضوء هذا توجد الكلمة فكيف يمكن أن يكون مثل هذا قديماً أزليّاً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متين لا مفرّ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استدلّ على حدوث القرآن بآيات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 و الذِّكر هو القرآن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وصفه بأنّه محدث، و وصفه بأنّه منزّل، و المنزّل لا يكون إلّا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دلالة على حدوثه من وجه آخر،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قديماً لما احتاج إلى حافظ يحفظه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 كِتٰابٌ أُحْكِمَتْ آيٰاتُهُ ثُمَّ فُصِّلَتْ</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كونه مركّباً من هذه الحروف و ذلك دلالة حدوثه، ثمّ وصفه بأنّه كتاب، أي مجتمع من كتب، و منه سمّيت الكتيبة كتيبة، و ما كان مجتمعاً لا يجوز أن يكون قديماً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نَزَّلَ أَحْسَنَ اَلْحَدِيثِ كِتٰاباً مُتَشٰابِهاً مَثٰانِيَ</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758" w:name="pg11536_164336"/>
    </w:p>
    <w:p>
      <w:pPr>
        <w:pStyle w:val="BookText"/>
        <w:rPr/>
      </w:pPr>
      <w:bookmarkEnd w:id="758"/>
      <w:r>
        <w:rPr>
          <w:rFonts w:ascii="Amiri" w:hAnsi="Amiri" w:eastAsia="Amiri" w:cs="Amiri"/>
          <w:color w:val="111111"/>
          <w:sz w:val="28"/>
          <w:sz w:val="28"/>
          <w:szCs w:val="28"/>
          <w:rtl w:val="true"/>
          <w:lang w:bidi="ar-SA"/>
        </w:rPr>
        <w:t xml:space="preserve">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بالحسن، و الحسن من صفات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المحدث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صريح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يدلّ على حدوثه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يشبه بعضه بعضاً في الإعجاز و الدلالة على صدق من ظهر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حاله لا بدّ من أن يكون محدثاً</w:t>
      </w:r>
      <w:r>
        <w:rPr>
          <w:rFonts w:eastAsia="Amiri" w:cs="Amiri" w:ascii="Amiri" w:hAnsi="Amiri"/>
          <w:color w:val="111111"/>
          <w:sz w:val="28"/>
          <w:szCs w:val="28"/>
          <w:rtl w:val="true"/>
          <w:lang w:bidi="ar-SA"/>
        </w:rPr>
        <w:t>.</w:t>
      </w:r>
      <w:r>
        <w:rPr>
          <w:rStyle w:val="FootnoteAnchor"/>
          <w:rtl w:val="true"/>
        </w:rPr>
        <w:footnoteReference w:id="858"/>
      </w:r>
    </w:p>
    <w:p>
      <w:pPr>
        <w:pStyle w:val="Heading6"/>
        <w:numPr>
          <w:ilvl w:val="5"/>
          <w:numId w:val="1"/>
        </w:numPr>
        <w:rPr/>
      </w:pPr>
      <w:bookmarkStart w:id="759" w:name="__RefHeading___Toc3907819_73709187"/>
      <w:bookmarkStart w:id="760" w:name="_Toc277"/>
      <w:bookmarkEnd w:id="759"/>
      <w:r>
        <w:rPr/>
        <w:t>4</w:t>
      </w:r>
      <w:r>
        <w:rPr>
          <w:rtl w:val="true"/>
        </w:rPr>
        <w:t xml:space="preserve"> - </w:t>
      </w:r>
      <w:r>
        <w:rPr>
          <w:rtl w:val="true"/>
        </w:rPr>
        <w:t>محاولة بعض الحنابلة لإثبات القدم</w:t>
      </w:r>
      <w:bookmarkEnd w:id="760"/>
    </w:p>
    <w:p>
      <w:pPr>
        <w:pStyle w:val="BookText"/>
        <w:rPr/>
      </w:pPr>
      <w:r>
        <w:rPr>
          <w:rFonts w:ascii="Amiri" w:hAnsi="Amiri" w:eastAsia="Amiri" w:cs="Amiri"/>
          <w:color w:val="111111"/>
          <w:sz w:val="28"/>
          <w:sz w:val="28"/>
          <w:szCs w:val="28"/>
          <w:rtl w:val="true"/>
          <w:lang w:bidi="ar-SA"/>
        </w:rPr>
        <w:t xml:space="preserve">و لمّا كانت العقيدة بقدم القرآن منافية لتوحيده سبحانه، حاول ابن تيميّة تصحيح عقيدة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صارت متروكة و مندرسة بعد ثورة الإمام الأشعري على الطّائفتين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بالتفريق بين القدم و عدم المخلوقيّة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لم يقل أحد من السلف إنّ كلام اللّٰه مخلوق، فلم يقل أحد منهم إنّه قديم، و لم يقل واحداً من القولين أحد من الصحابة، و لا التابعين لهم بإحسان، و لا من بعدهم من الأئمّة الأربعة و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عرف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اللّه بن سعيد بن كلاب</w:t>
      </w:r>
      <w:r>
        <w:rPr>
          <w:rFonts w:eastAsia="Amiri" w:cs="Amiri" w:ascii="Amiri" w:hAnsi="Amiri"/>
          <w:color w:val="111111"/>
          <w:sz w:val="28"/>
          <w:szCs w:val="28"/>
          <w:rtl w:val="true"/>
          <w:lang w:bidi="ar-SA"/>
        </w:rPr>
        <w:t>».</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لا يخفى أنّ التفريق بين عدم الخلقة و القدم، كالتفريق بين المترادفين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يصحّ أن يقال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بشر لا إنسان، فهكذا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غير مخلوق و لكن ليس بقديم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p>
    <w:p>
      <w:pPr>
        <w:pStyle w:val="BookText"/>
        <w:rPr/>
      </w:pPr>
      <w:r>
        <w:rPr>
          <w:rFonts w:ascii="Amiri" w:hAnsi="Amiri" w:eastAsia="Amiri" w:cs="Amiri"/>
          <w:color w:val="111111"/>
          <w:sz w:val="28"/>
          <w:sz w:val="28"/>
          <w:szCs w:val="28"/>
          <w:rtl w:val="true"/>
          <w:lang w:bidi="ar-SA"/>
        </w:rPr>
        <w:t>الشيء إذا لم يكن مخلوقاً يكون وجوده لذاته، و ما كان كذلك لا يكون مسبوقاً بالعدم فيكون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ابن الجوزي صرّح بأنّ الأئمّة المعتمد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كلام اللّٰه قديم</w:t>
      </w:r>
      <w:r>
        <w:rPr>
          <w:rFonts w:eastAsia="Amiri" w:cs="Amiri" w:ascii="Amiri" w:hAnsi="Amiri"/>
          <w:color w:val="111111"/>
          <w:sz w:val="28"/>
          <w:szCs w:val="28"/>
          <w:rtl w:val="true"/>
          <w:lang w:bidi="ar-SA"/>
        </w:rPr>
        <w:t>.</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فكما أنّ هذه المحاولة فاشلة، فهكذا محاولته الثانية الّتي لا يليق بها أن تسطر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القول بقدم حروف المعجم الّتي هي موادّ كلمة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تكلّم اللّٰه به فهو قائم به، ليس مخلوقاً منفصلاً عنه، فلا تكون الحروف التي هي مباني أسماء اللّٰه سبحانه و كتبه المنزلة مخلوقة، فقول القائل بأنّ الحروف قديمة، أو حروف المعجم قديمة، فإن أراد جنسها فهذا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الحرف المعيّن فقد أخطأ</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إنّ القول بقدم موادِّ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بالقول بقدم الماهيّات المنفكّة عن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الحروف بجنسها، كما أنّ الماهيّات بنوعها، ليست إلّا مفاهيم بحتة معدومة و إنّما تتشخّص بالوجود، و تتحقّق بالكينونة، و لا يكون ذلك إلّا فرداً و هو حادث قطعاً حسب ما اعترف به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المسائل صارت سبباً لسقوط عقيدة الحنابلة في أعين المفكِّرين و المحقّقين من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التجأ الأشعري لتصحيح العقيدة إلى الكلام النفسي القائم بذاته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في تبيين عقيدة </w:t>
      </w:r>
      <w:bookmarkStart w:id="761" w:name="pg11536_164338"/>
    </w:p>
    <w:p>
      <w:pPr>
        <w:pStyle w:val="BookText"/>
        <w:rPr/>
      </w:pPr>
      <w:bookmarkEnd w:id="761"/>
      <w:r>
        <w:rPr>
          <w:rFonts w:ascii="Amiri" w:hAnsi="Amiri" w:eastAsia="Amiri" w:cs="Amiri"/>
          <w:color w:val="111111"/>
          <w:sz w:val="28"/>
          <w:sz w:val="28"/>
          <w:szCs w:val="28"/>
          <w:rtl w:val="true"/>
          <w:lang w:bidi="ar-SA"/>
        </w:rPr>
        <w:t>الأشعري أنّ مرجع الكلام النفسي إلى العلم، و ليس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أدلّة سمعيّة للحنابلة في إثبات قدم القرآن نأتي بها على وجه الإجمال، و قد طرحها القاضي في كتبه و قام بتحليلها</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3907821_73709187"/>
      <w:bookmarkStart w:id="763" w:name="_Toc278"/>
      <w:bookmarkEnd w:id="762"/>
      <w:r>
        <w:rPr/>
        <w:t>5</w:t>
      </w:r>
      <w:r>
        <w:rPr>
          <w:rtl w:val="true"/>
        </w:rPr>
        <w:t xml:space="preserve"> - </w:t>
      </w:r>
      <w:r>
        <w:rPr>
          <w:rtl w:val="true"/>
        </w:rPr>
        <w:t>نقد أدلّة القائلين بالقدم</w:t>
      </w:r>
      <w:bookmarkEnd w:id="763"/>
    </w:p>
    <w:p>
      <w:pPr>
        <w:pStyle w:val="BookText"/>
        <w:rPr/>
      </w:pPr>
      <w:r>
        <w:rPr>
          <w:rFonts w:ascii="Amiri" w:hAnsi="Amiri" w:eastAsia="Amiri" w:cs="Amiri"/>
          <w:color w:val="111111"/>
          <w:sz w:val="28"/>
          <w:sz w:val="28"/>
          <w:szCs w:val="28"/>
          <w:rtl w:val="true"/>
          <w:lang w:bidi="ar-SA"/>
        </w:rPr>
        <w:t>إنّ القاضي يذكر أدلّة القائلين بقدم القرآن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للمخالف في قدم القرآن شبه،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القرآن مشتمل على أسماء اللّٰه تعالى و الاسم و المسمّى واحد، فيجب في القرآن أن يكون قديماً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يدلّ على أنّ الاسم و المسمّى واحد، هو أنّ أحدنا عند الحلف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و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كذلك إلّا و الأمر على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فقد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الحول ثمّ اسم السلام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يبك حولاً كاملاً فقد اعتذر</w:t>
      </w:r>
    </w:p>
    <w:p>
      <w:pPr>
        <w:pStyle w:val="BookText"/>
        <w:rPr/>
      </w:pPr>
      <w:r>
        <w:rPr>
          <w:rFonts w:ascii="Amiri" w:hAnsi="Amiri" w:eastAsia="Amiri" w:cs="Amiri"/>
          <w:color w:val="111111"/>
          <w:sz w:val="28"/>
          <w:sz w:val="28"/>
          <w:szCs w:val="28"/>
          <w:rtl w:val="true"/>
          <w:lang w:bidi="ar-SA"/>
        </w:rPr>
        <w:t>أي السلام عليكما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فإنّ أحدنا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زينب، كان الطلاق واقعاً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الاسم و المسمّى واحداً لا يكون كذلك</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القاضي بأنّ الاسم غير المسمّى و إلّا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يجب أن يحترق فمه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على هذا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من قال ناراً أُحرقت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تفوّه باسم النار مخلوق</w:t>
      </w:r>
    </w:p>
    <w:p>
      <w:pPr>
        <w:pStyle w:val="BookText"/>
        <w:rPr/>
      </w:pPr>
      <w:r>
        <w:rPr>
          <w:rFonts w:ascii="Amiri" w:hAnsi="Amiri" w:eastAsia="Amiri" w:cs="Amiri"/>
          <w:color w:val="111111"/>
          <w:sz w:val="28"/>
          <w:sz w:val="28"/>
          <w:szCs w:val="28"/>
          <w:rtl w:val="true"/>
          <w:lang w:bidi="ar-SA"/>
        </w:rPr>
        <w:t>فكيف يكون الاسم و المسمّى واحداً، مع أنّ الاسم عرض و المسمّى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إلفات نظر القارئ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اتّحاد الاسم مع المسمّى صحيح على وجه و باطل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أرادوا اتّحاد واقعيّة العالم مع ذاته سبحانه فذلك صحيح، لما قلنا من أنّ ذاته سبحانه بلا ضمّ ضميمة مصداق للعالم، و ليست ذاته شيئاً و عالميّته شيئاً آخر، و لأجل ذلك، الاسم هو واقعيّة العالميّة،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أرادوا اتّحاد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حدوثه ذاتيّ، و تدرّجه عين تحقّقه، مع المسمّى فذلك من البطلان بمكان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المعارف الإلهيّة لا تبتنى على المسائل الفقهيّة، فإنّ لكلِّ علم منهجاً خاصّاً لتحليل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فالمعارف الإلهيّة مسائل حقيقيّة تطرح على بساط البحث، و ينظر إليها من زاوية البرهان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المسائل الفقهيّة فهي مسائل اعتباريّة، اعتبرها الشارع موضوعاً لأمره و نهيه و طاعته و عصيانه، فلا يصحّ الاستدلال عليها إلّا من زاوية العلوم الاعتباريّة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فالعالم كلُّ العالم من يحلِّل كلّ مسألة بمنهجها الخاصّ، و لا يخلط هذا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الحنابلة طفقوا يستدلّون على اتّحاد الاسم مع المسمّى بمسألة فقهيّة، و هذا مثل من أنكر كرويّة الأرض بحجّة أنّ كرويّتها لا توافق كون ليلة القدر ليلة واحدة، بل تستلزم أن تكون ليلتين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أوضحنا حال هذه الشبهة في أبحاثنا 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الحلف في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واقع على الاسم لا على المسمّى، لوضوح أنّ المقسم به هو لفظ الجلالة لا مصداقه، غاية الأمر اللّفظ طريق و مرآة إلى المسمّى، و مع ذلك فالمحلوف به لفظه و اسمه، لا مصداقه و ذاته مباشرة، فأين للإنسان الناقص شهود ذاته حتّى يحلف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تصعّد و تصوّب لا يكون حلفه خارجاً عن الحلف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الحلف هنا على الاسم، يكون الحلف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الاسم بحجّة أنّ الإضافة بيانيّة، بمعنى أحلف على الاسم الّذي 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كلا القسمين الحلف واقع على الاسم، دون المسمّى، و ليس الحلف في الأوّل على المسمّى حتّى يستدلّ بصحّة الحلف في الثاني المشتمل على لفظ الاسم، على أنّ الاسم هو المسمّى و يستنتج من قدم المسمّى قدم الاسم و منه قدم القرآن لاشتماله على أسمائه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اتّحاد الاسم مع المسمّى من الأفكار الباطلة الّتي شطب العلم و الفكر الصحيح عليها طيلة 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الأسف إنّ الشيخ الأشعري جعله من جملة عقائد أصحاب الحديث و أهل السنّة، و قال في قائمة عقائد تلك </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اللّٰه لا يقال إنّها غير اللّٰه، كما قالت المعتزلة و الخوارج</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يحكى أنّ بعض الحنابلة ناظر أبا الهذيل في هذه المسألة فأخذ لوحاً و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فتنكر أن يكون هذا هو اللّٰه و تدفع المحسوس؟ فأخذ أبو الهذيل اللّوح من يده و كتب بجنبه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اللّٰه إذن؟ فانقطع المدبر</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صحّت هذه الوحدة لوجب تعدّد الآلهة حسب تعدُّد أسمائه و كثرتها في لغة العرب و سائر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تعلّقوا بآيات من القرآن في إثبات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 اَلْأَمْرُ</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فصّل بين الخلق و الأمر، و في ذلك دلالة على أنّ الأمر غير مخلوق</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مشتمل على الأمر فيكون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القاضي بأنّ ذلك من قبيل عطف الخاصِّ على العامّ،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 نَخْلٌ وَ رُمّٰانٌ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يجاب بالنقض و الحلّ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نقضاً فبقوله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اَلرُّوحِ قُلِ اَلرُّوحُ مِنْ أَمْرِ رَبِّي</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الأمر غير مخلوق يلزم أن يكون الروح الّذي من الأمر غير مخلوق و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حلّاً فبوجهين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الخلق هنا هو التقدير، قال في 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و خلَق الأديم يخلقه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لما يريد قبل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يمدح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 تَفري ما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القوم يَخلق ثمّ لا يفري</w:t>
      </w:r>
      <w:r>
        <w:rPr>
          <w:rStyle w:val="FootnoteAnchor"/>
          <w:rtl w:val="true"/>
        </w:rPr>
        <w:footnoteReference w:id="86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الأمر هو الإيجاد،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يعود معنى الآية إلى أنّ التقدير و الإيجاد في عالم الكون من السّماوات و الأرض و ما بينهما 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عليه ملاحظة نفس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 اَلْأَرْضَ فِي سِتَّةِ أَيّٰامٍ ثُمَّ اِسْتَوىٰ عَلَى اَلْعَرْشِ يُغْشِي اَللَّيْلَ اَلنَّهٰارَ يَطْلُبُهُ حَثِيثاً وَ اَلشَّمْسَ وَ اَلْقَمَرَ وَ اَلنُّجُومَ مُسَخَّرٰاتٍ بِأَمْرِهِ أَلاٰ لَهُ اَلْخَلْقُ وَ 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فخلق العالم من الذرّة إلى المجرّة، رهن التقدير و الإيجاد، و لا شريك له سبحانه في واحد من هذين الأمرين، و عندئذ لا صلة لكلمة الأمر، بالأوامر الشرعية الواردة في القرآن الكريم حتّى يستدلّ من حديث المقابلة أنّ الأمر غير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الخلق هو الإيجاد، كما هو الشائع، و المراد من الأمر السنن السائدة على العالم، الحاكمة عليه و الوسيلة للتدبير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مسخّرات بسننه و قوانينه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معنى الآية أيضاً إلى أنّ الخلق و التدبير بالسنن له سبحانه، لا يشاركه فيهما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ذلك إذا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الأمر الوارد قبله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مُسَخَّرٰاتٍ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التسخير قائم بوضع سنن و قوانين على عالم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القرآن بأنّه مخلوق ربّما يوهم وصف القرآن بالكذب و الاختلاق، و لهذا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مخلوقة و مختلقة، إذا كانت مشتملة على أكاذيب و 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اِخْتِلاٰقٌ</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الإجابة عنه واضحة، فإنّ المراد من كونه مخلوقاً، كونه مخلوقاً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 أنّه سبحانه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من الأفعال الدالّة على انتسابه إلى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استغلال الملحد لهذه الكلمة بتفسيرها بالكذب و الاختلاق لا يغيِّر الواقع، فالمراد أنّ القرآن المتلوّ على لسان النبي و الصحابة و التابعين و المسلمين، شيء موجود و لا بدّ له من محدث و خالق، و خالقه هو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اللّٰه تعالى محدث، و بذلك جاءت الآثار عن آل محمّد عليهم السلام، و المراد أنّ القرآن كلام اللّٰه و وحيه و أنّه محدث كما وصفه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أمنع من إطلاق القول عليه بأنّه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جاءت الآثار عن الصادقين، و عليه كافّة الإماميّة إلّا من شذّ</w:t>
      </w:r>
      <w:r>
        <w:rPr>
          <w:rFonts w:eastAsia="Amiri" w:cs="Amiri" w:ascii="Amiri" w:hAnsi="Amiri"/>
          <w:color w:val="111111"/>
          <w:sz w:val="28"/>
          <w:szCs w:val="28"/>
          <w:rtl w:val="true"/>
          <w:lang w:bidi="ar-SA"/>
        </w:rPr>
        <w:t>».</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الحاصل إنّ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القرآن، لمّا كان موهماً لكونه كذباً و مختلقاً، منع من إطلاقه في هذا المقام، و أجيز إطلاق ما لا يوهم مثل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كلام اللّٰه و كتابه و تنزيله، مما يفيد أنه غير أزليّ، و ليس بقديم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يكون من قبيل</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عباراتنا شتّى و 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إلى ذاك الجمال يشير </w:t>
      </w:r>
    </w:p>
    <w:p>
      <w:pPr>
        <w:pStyle w:val="BookText"/>
        <w:rPr/>
      </w:pPr>
      <w:r>
        <w:rPr>
          <w:rFonts w:ascii="Amiri" w:hAnsi="Amiri" w:eastAsia="Amiri" w:cs="Amiri"/>
          <w:color w:val="111111"/>
          <w:sz w:val="28"/>
          <w:sz w:val="28"/>
          <w:szCs w:val="28"/>
          <w:rtl w:val="true"/>
          <w:lang w:bidi="ar-SA"/>
        </w:rPr>
        <w:t xml:space="preserve">و قد وردت الروايات في النهي عن إطلاق الخلق على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 استغلال الملاحدة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قد أشار القاضي عبد الجبّار إلى هذا الوجه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تخلقون إفكاً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كونه كذباً فما أنكرتم، أ ليس من أنّ القرآن لا يوصف بذلك من إيهام كونه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يقولون قصيدة مخلوقة مختلقة يعني أنّها كذب، و على هذا الوجه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حديثاً و اختلقته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و لكنّ الإجابة عنه واضحة، لما عرفت من أنّه يمكن التعبير عنه بوجه لا يستلزم ذلك الوهم ككونه محدثاً، أو إنّه غير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الوجه في عدم توصيفه بكونه مخلوقاً هو تصوّر الملازمة بين كونه مخلوقاً و كون علمه سبحانه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وجه آخر لعدم التزامهم بكونه مخلوقاً و هو تصوّر أنّ كلّ مخلوق فان، فيلزم فناء القرآن و موته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خلق العالم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w:t>
      </w:r>
    </w:p>
    <w:p>
      <w:pPr>
        <w:pStyle w:val="BookText"/>
        <w:rPr/>
      </w:pPr>
      <w:r>
        <w:rPr>
          <w:rFonts w:ascii="Amiri" w:hAnsi="Amiri" w:eastAsia="Amiri" w:cs="Amiri"/>
          <w:color w:val="111111"/>
          <w:sz w:val="28"/>
          <w:sz w:val="28"/>
          <w:szCs w:val="28"/>
          <w:rtl w:val="true"/>
          <w:lang w:bidi="ar-SA"/>
        </w:rPr>
        <w:t>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877"/>
      </w:r>
      <w:r>
        <w:rPr>
          <w:rFonts w:ascii="Amiri" w:hAnsi="Amiri" w:eastAsia="Amiri" w:cs="Amiri"/>
          <w:color w:val="111111"/>
          <w:sz w:val="28"/>
          <w:sz w:val="28"/>
          <w:szCs w:val="28"/>
          <w:rtl w:val="true"/>
          <w:lang w:bidi="ar-SA"/>
        </w:rPr>
        <w:t xml:space="preserve">، و يقولون لو لم يكن هذا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لوجب أن يكون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لا يحدث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ذلك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كالكلام فيه، فيتسلسل إلى ما لا نهاية له</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أجاب عنه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هذه اللّفظة هو المركّب من الكاف و النون، إذ لا شكّ في حدوثه، فيجب أن يكون المراد هو الإرادة</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الغرض من هذه الآية و ما جرى مجراها إنّما هو الدلالة على سرعة استجابة الأشياء له من غير امتناع، نظيرها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 لِلْأَرْضِ اِئْتِيٰا طَوْعاً أَوْ كَرْهاً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له العينان سمعاً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حدرتا كالدُّرّ لمّا يثقّب</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يدلّ على أنّ المراد هنا ليس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ليس في المقام مخاطب ذو سمع يسمع الخطاب فيوجد به، و عندئذ تصير الآية تمثيلاً لحقيقة فلسفيّة، و هي أنّ إفاضته سبحانه وجود الشيء لا تتوقّف على شيء </w:t>
      </w:r>
    </w:p>
    <w:p>
      <w:pPr>
        <w:pStyle w:val="BookText"/>
        <w:rPr/>
      </w:pPr>
      <w:r>
        <w:rPr>
          <w:rFonts w:ascii="Amiri" w:hAnsi="Amiri" w:eastAsia="Amiri" w:cs="Amiri"/>
          <w:color w:val="111111"/>
          <w:sz w:val="28"/>
          <w:sz w:val="28"/>
          <w:szCs w:val="28"/>
          <w:rtl w:val="true"/>
          <w:lang w:bidi="ar-SA"/>
        </w:rPr>
        <w:t>وراء ذاته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فمشيئته سبحانه مساوقة لوجود الشيء بلا 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حقيقة إرادته فلبيانها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نفس الآيات إشارات لطيفة إلى هذا المعنى</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أَمْرُنٰا إِلاّٰ وٰاحِدَةٌ كَلَمْحٍ بِالْبَصَرِ</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 فيكون الهدف من الآية و نظائرها بيان أنّ إرادته و مشيئته المتعلِّقة بتحقّق الشيء يساوق وجوده و ليست كإرادة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و المشيئة فيه لا تساوق وجود الشيء، بل يحتاج إلى مقدّمات و أسباب</w:t>
      </w:r>
      <w:r>
        <w:rPr>
          <w:rFonts w:eastAsia="Amiri" w:cs="Amiri" w:ascii="Amiri" w:hAnsi="Amiri"/>
          <w:color w:val="111111"/>
          <w:sz w:val="28"/>
          <w:szCs w:val="28"/>
          <w:rtl w:val="true"/>
          <w:lang w:bidi="ar-SA"/>
        </w:rPr>
        <w:t xml:space="preserve">. </w:t>
      </w:r>
      <w:bookmarkStart w:id="764" w:name="pg11536_164348"/>
    </w:p>
    <w:p>
      <w:pPr>
        <w:pStyle w:val="Heading6"/>
        <w:numPr>
          <w:ilvl w:val="5"/>
          <w:numId w:val="1"/>
        </w:numPr>
        <w:rPr/>
      </w:pPr>
      <w:bookmarkStart w:id="765" w:name="__RefHeading___Toc3907823_73709187"/>
      <w:bookmarkStart w:id="766" w:name="_Toc279"/>
      <w:bookmarkEnd w:id="764"/>
      <w:bookmarkEnd w:id="765"/>
      <w:r>
        <w:rPr>
          <w:rtl w:val="true"/>
        </w:rPr>
        <w:t>المسألة الثامنة</w:t>
      </w:r>
      <w:r>
        <w:rPr>
          <w:rtl w:val="true"/>
        </w:rPr>
        <w:t xml:space="preserve">: </w:t>
      </w:r>
      <w:r>
        <w:rPr>
          <w:rtl w:val="true"/>
        </w:rPr>
        <w:t>ما تتعلّق بالنبوّات و الشرائع و معاجز الأنبياء</w:t>
      </w:r>
      <w:bookmarkEnd w:id="766"/>
    </w:p>
    <w:p>
      <w:pPr>
        <w:pStyle w:val="BookText"/>
        <w:rPr/>
      </w:pPr>
      <w:r>
        <w:rPr>
          <w:rFonts w:ascii="Amiri" w:hAnsi="Amiri" w:eastAsia="Amiri" w:cs="Amiri"/>
          <w:color w:val="111111"/>
          <w:sz w:val="28"/>
          <w:sz w:val="28"/>
          <w:szCs w:val="28"/>
          <w:rtl w:val="true"/>
          <w:lang w:bidi="ar-SA"/>
        </w:rPr>
        <w:t>إنّ القاضي رتّب على القول بالعدل عدّة مسائل زعم أنّها من نتائج القول به، و بما أنّ الاختلاف فيها بين المعتزلة و غيرهم بسيط، نكتفي بإيرادها إجمالاً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اتّصاله بباب العدل هو أنّه سبحانه إذا علم أنّ صلاحنا يتعلّق بالشرعيات، فلا بدّ من أن يعرِّفناها، لكي لا يكون مُخلّاً بما هو واجب عليه، و من العدل أن لا يخلّ بما هو واجب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اقتران النبوّة بالمعجز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إلينا رسولاً ليعرِّفنا المصالح، فلا بدّ من أن يدّعي النبوّة و يظهر عليه العلم المعجز الدالّ على صدقه عقيب دعواه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فصّل حقيقة المعجز</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العدل بعث الأنبياء بالدلائل و البيّنات المثبتة لدعواهم النبوّة، و لا تنحصر البيّنات بالمعجزات، بل المعجز إحدى الطرق إلى التعرّف على صدق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طريقان آخران نشير إلى عنوانيهما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النبيّ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ثبتت نبوّته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النبيِّ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القرائن و الشواهد الّتي تدلّ على صدق دعواه صدقاً قطعيا</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لا بدّ أن يكون منزّهاً عن المنفِّرات جملة، كبيرة أو صغيرة، لأنّ الغرض من البعثة ليس إلّا لطف العباد و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مقبولاً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جوّز صدور الصّغائر عن الأنبياء الّتي لا حظّ لها إلّا في تقليل الثواب دون التنفير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قلّة الثواب ممّا لا يقدح في صدق الرُّسل و لا في القبول منهم</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صدور الذنب من النبي يوجب زوال الثقة بصدق قوله،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صادقاً فيما يرويه فلما ذا يتخلّف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جملة من الأدلّة على جواز النسخ في الشرائع و طرح القول بالبداء و بيّن الفرق بينه و بين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نبوّة نبيّ الإسلام و دلائل نبوّته و أنّ القرآن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بسط الكلام في إعجاز القرآن إلى أن وصل بحثه إلى القول بالتحريف في القرآن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أعجب ما أتى به قوله إنّ الإماميّة جوّزوا في القرآن الزيادة </w:t>
      </w:r>
    </w:p>
    <w:p>
      <w:pPr>
        <w:pStyle w:val="BookText"/>
        <w:rPr/>
      </w:pPr>
      <w:r>
        <w:rPr>
          <w:rFonts w:ascii="Amiri" w:hAnsi="Amiri" w:eastAsia="Amiri" w:cs="Amiri"/>
          <w:color w:val="111111"/>
          <w:sz w:val="28"/>
          <w:sz w:val="28"/>
          <w:szCs w:val="28"/>
          <w:rtl w:val="true"/>
          <w:lang w:bidi="ar-SA"/>
        </w:rPr>
        <w:t>و النقصان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سورة الأحزاب كانت بحمل جمل، و إنّه قد زيد فيها، و نقص، و غيِّر و حرِّف</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 القاضي أنّ الإماميّة عن بكرة أبيهم لم يصدر منهم هذا الكلام الركيك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القرطبي عند تفسيره سورة الأحزاب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سورة الأحزاب تعدل على عهد رسول اللّٰه صلى الله عليه و آله و سلم مائتي آية، فلمّا كتب المصحف لم يقدر منها إلّا على ما هي الآن</w:t>
      </w:r>
      <w:r>
        <w:rPr>
          <w:rFonts w:eastAsia="Amiri" w:cs="Amiri" w:ascii="Amiri" w:hAnsi="Amiri"/>
          <w:color w:val="111111"/>
          <w:sz w:val="28"/>
          <w:szCs w:val="28"/>
          <w:rtl w:val="true"/>
          <w:lang w:bidi="ar-SA"/>
        </w:rPr>
        <w:t>.</w:t>
      </w:r>
      <w:r>
        <w:rPr>
          <w:rStyle w:val="FootnoteAnchor"/>
          <w:rtl w:val="true"/>
        </w:rPr>
        <w:footnoteReference w:id="885"/>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حول الأصل الثاني و الفروع الّتي تترتّب عليه</w:t>
      </w:r>
      <w:r>
        <w:rPr>
          <w:rFonts w:eastAsia="Amiri" w:cs="Amiri" w:ascii="Amiri" w:hAnsi="Amiri"/>
          <w:color w:val="111111"/>
          <w:sz w:val="28"/>
          <w:szCs w:val="28"/>
          <w:rtl w:val="true"/>
          <w:lang w:bidi="ar-SA"/>
        </w:rPr>
        <w:t xml:space="preserve">. </w:t>
      </w:r>
      <w:bookmarkStart w:id="767" w:name="pg11536_164351"/>
    </w:p>
    <w:p>
      <w:pPr>
        <w:pStyle w:val="Heading4"/>
        <w:numPr>
          <w:ilvl w:val="3"/>
          <w:numId w:val="1"/>
        </w:numPr>
        <w:rPr/>
      </w:pPr>
      <w:bookmarkStart w:id="768" w:name="__RefHeading___Toc3907825_73709187"/>
      <w:bookmarkStart w:id="769" w:name="_Toc280"/>
      <w:bookmarkEnd w:id="767"/>
      <w:bookmarkEnd w:id="768"/>
      <w:r>
        <w:rPr>
          <w:rtl w:val="true"/>
        </w:rPr>
        <w:t>الأصل الثالث</w:t>
      </w:r>
      <w:r>
        <w:rPr>
          <w:rtl w:val="true"/>
        </w:rPr>
        <w:t xml:space="preserve">: </w:t>
      </w:r>
      <w:r>
        <w:rPr>
          <w:rtl w:val="true"/>
        </w:rPr>
        <w:t>الوعد و الوعيد</w:t>
      </w:r>
      <w:bookmarkEnd w:id="769"/>
    </w:p>
    <w:p>
      <w:pPr>
        <w:pStyle w:val="Heading5"/>
        <w:numPr>
          <w:ilvl w:val="4"/>
          <w:numId w:val="1"/>
        </w:numPr>
        <w:rPr/>
      </w:pPr>
      <w:bookmarkStart w:id="770" w:name="__RefHeading___Toc3907827_73709187"/>
      <w:bookmarkStart w:id="771" w:name="_Toc281"/>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هذا هو الأصل الثالث من الأُصول الّتي بني عليها الاعتزال، و المراد من الوعد هو المدح و الثواب على الطاعات، و من الوعيد الذمّ و العقاب على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المسائل المبتنية على الوعد و الوعيد في الكتاب و السنّة و العقل كثيرة طرحها المتكلِّمون و المفسِّرون في كتبهم الكلاميّة و التفسيريّة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المعتزلة متفرِّدة بالرأي في هذه المسائل و إنّما تفرّدوا في بعض الفروع و لأجل ذلك نذكر عناوين المسائل الكليّة، ثمّ نركِّز على متفرِّدات المعتزلة، و 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في المستحَقّ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المدح و الذمّ، أو الثواب و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في الشروط الّتي معها تستحقّ هذه الأحكام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الثواب على وجه التفضّل كما هو المشهور لدى الشيعة </w:t>
      </w:r>
    </w:p>
    <w:p>
      <w:pPr>
        <w:pStyle w:val="BookText"/>
        <w:rPr/>
      </w:pPr>
      <w:r>
        <w:rPr>
          <w:rFonts w:ascii="Amiri" w:hAnsi="Amiri" w:eastAsia="Amiri" w:cs="Amiri"/>
          <w:color w:val="111111"/>
          <w:sz w:val="28"/>
          <w:sz w:val="28"/>
          <w:szCs w:val="28"/>
          <w:rtl w:val="true"/>
          <w:lang w:bidi="ar-SA"/>
        </w:rPr>
        <w:t>و جماعة من أهل السنّة، أو من باب الاستحقاق، كما هو المشهور لدى معتزلة البصرة؟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استحقاق العقاب عقليّ و سمعيّ، أو سمعيّ فقط؟</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الطاعات مؤثِّرة في سقوط العقاب، و المعاصي مؤثِّرة في سقوط الثواب، فيعبّر عن الأوّل بالتكفير، و عن الثاني بالإحباط؟</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تقسيم المعاصي إلى الكبائر و الصغائر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المسائل الّتي اختلفت فيها كلمة المتكلّمين من غير فرق بين المعتزليّ و غيره، و لا نركّز البحث على هذه المسائل، و إنّما نبحث في المسائل الآتية الّتي تعدّ من متفرّدات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يحسن من اللّٰه تعالى عقلاً أن يعفو عن العصاة و أن لا يعاقبهم إذا ماتوا بلا توبة، أو إنّه ليس له إسقاطه؟</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مخلّد في العذاب أو لا؟ سواء أ كان العذاب بالنّار أم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التخليد في العذاب أمراً محقّقاً، فما معنى الشفاعة الّتي تضافر عليها الكتاب و السنّة المفسّرة بخروج الفسّاق من النار بشفاعة الرسول و غيره؟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القائلون بجواز العفو أو عدم الخلود مرجئة أم راجية؟ </w:t>
      </w:r>
      <w:bookmarkStart w:id="772" w:name="pg11536_164353"/>
    </w:p>
    <w:p>
      <w:pPr>
        <w:pStyle w:val="BookText"/>
        <w:rPr/>
      </w:pPr>
      <w:bookmarkEnd w:id="772"/>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الطاعات مؤثِّرة في سقوط العقاب، و المعاصي مؤثرة في سقوط الثواب؟</w:t>
      </w:r>
    </w:p>
    <w:p>
      <w:pPr>
        <w:pStyle w:val="BookText"/>
        <w:rPr/>
      </w:pPr>
      <w:r>
        <w:rPr>
          <w:rFonts w:ascii="Amiri" w:hAnsi="Amiri" w:eastAsia="Amiri" w:cs="Amiri"/>
          <w:color w:val="111111"/>
          <w:sz w:val="28"/>
          <w:sz w:val="28"/>
          <w:szCs w:val="28"/>
          <w:rtl w:val="true"/>
          <w:lang w:bidi="ar-SA"/>
        </w:rPr>
        <w:t xml:space="preserve">هذه هي المسائل الّتي تفرّدت بها المعتزلة، و اشتركت معهم فئة الخوارج في تخليد الفسّاق في العذاب، لقولهم بكفر المرتكب للكبيرة، و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الوعد و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هذه المسائل الخمس الأخيرة</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3907829_73709187"/>
      <w:bookmarkStart w:id="774" w:name="_Toc282"/>
      <w:bookmarkEnd w:id="773"/>
      <w:r>
        <w:rPr>
          <w:rtl w:val="true"/>
        </w:rPr>
        <w:t xml:space="preserve">أ </w:t>
      </w:r>
      <w:r>
        <w:rPr>
          <w:rtl w:val="true"/>
        </w:rPr>
        <w:t xml:space="preserve">- </w:t>
      </w:r>
      <w:r>
        <w:rPr>
          <w:rtl w:val="true"/>
        </w:rPr>
        <w:t>هل يحسن العفو عن العصاة من اللّٰه أو لا؟</w:t>
      </w:r>
      <w:bookmarkEnd w:id="774"/>
    </w:p>
    <w:p>
      <w:pPr>
        <w:pStyle w:val="BookText"/>
        <w:rPr/>
      </w:pPr>
      <w:r>
        <w:rPr>
          <w:rFonts w:ascii="Amiri" w:hAnsi="Amiri" w:eastAsia="Amiri" w:cs="Amiri"/>
          <w:color w:val="111111"/>
          <w:sz w:val="28"/>
          <w:sz w:val="28"/>
          <w:szCs w:val="28"/>
          <w:rtl w:val="true"/>
          <w:lang w:bidi="ar-SA"/>
        </w:rPr>
        <w:t>اختلفت مدارس الاعتزال فيها، فالبصريّون و منهم القاضي عبد الجبّار على الجواز، و البغداديّون على المنع، حتّى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عليه أن يعاقب المستحقّ للعقوبة، و لا يجوز أن يعفو عنه، حتّى صار العقاب عندهم أعلى حالاً في الوجوب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الثواب عندهم لا يجب إلّا من حيث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قولهم في العقاب فإنّه يجب فعله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القاضي على الجواز بأنّ العقاب حقّ اللّٰه تعالى على العبد، و ليس في إسقاطه إسقاط حقّ ليس من توابعه، و إليه استبقاؤه فله إسقاطه، كالدَّين فإنّه لمّا كان حقّاً لصاحب الدَّين خالصاً، و لم يتضمّن إسقاط حقّ ليس من توابعه و كان إليه استبقاؤه، كان له أن يسقط كما أنّ له أن يستوفيه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البغداديّون بوجوه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لطف من جهة اللّٰه تعالى و اللُّطف يجب أن يكون </w:t>
      </w:r>
    </w:p>
    <w:p>
      <w:pPr>
        <w:pStyle w:val="BookText"/>
        <w:rPr/>
      </w:pPr>
      <w:r>
        <w:rPr>
          <w:rFonts w:ascii="Amiri" w:hAnsi="Amiri" w:eastAsia="Amiri" w:cs="Amiri"/>
          <w:color w:val="111111"/>
          <w:sz w:val="28"/>
          <w:sz w:val="28"/>
          <w:szCs w:val="28"/>
          <w:rtl w:val="true"/>
          <w:lang w:bidi="ar-SA"/>
        </w:rPr>
        <w:t>مفعولاً بالمكلّف على أبلغ الوجوه، و لن يكون كذلك إلّا و العقاب واجب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فمعلوم أنّ المكلّف متى علم أنّه يفعل به ما يستحقّه من العقوبة على كلِّ وجه، كان أقرب إلى أداء الواجبات و اجتناب الكبائر</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اللُّطف عبارة عمّا يقرِّب الإنسان من الطاعة و يبعِّده عن المعصية، و هذا لا يتصوّر إلّا في دار التّكليف لا دار الجزاء، ففي الأُولى العمل و السعي، و في الأُخرى الحساب و الاجتناء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ذكروه أخيراً من أنّه لو علم المكلّف أنّه يفعل به ما يستحقّه من العقوبة على كلِّ وجه كان أقرب إلى أداء الواجبات و 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لوجب سدّ باب التوبة، لإمكان أن يقال إنّ المكلّف لو علم أنّه لا تقبل توبته، كان أقرب إلى الطاعة، و أبعد من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إنّ للرجاء آثاراً بنّاءة في حياة الإنسان، و لليأس آثاراً سلبيّة في الإدامة على الموبقات، و لأجل ذلك يشتمل الذِّكر الحكيم على آيات الترغيب كما يشتمل على آيات الترهيب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بجواز العفو، غير القول بحتميّته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الأثر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يترتّب على الثاني دون الأوّل، و الكلام في جواز العفو لا في وجوبه و حتميّته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عنهم العلّامة الدواني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المعتزلة و الخوارج أوجبوا عقاب صاحب الكبيرة إذا مات بلا توبة، و حرّموا عليه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بأنّ اللّٰه أوعد مرتكب الكبيرة بالعقاب، فلو لم يعاقب لزم الخلف في وعده و الكذب في خبره، و هما محالان</w:t>
      </w:r>
      <w:r>
        <w:rPr>
          <w:rFonts w:eastAsia="Amiri" w:cs="Amiri" w:ascii="Amiri" w:hAnsi="Amiri"/>
          <w:color w:val="111111"/>
          <w:sz w:val="28"/>
          <w:szCs w:val="28"/>
          <w:rtl w:val="true"/>
          <w:lang w:bidi="ar-SA"/>
        </w:rPr>
        <w:t>».</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و أُجيب عنه بأنّ الوعد و الوعيد مشروطان بقيود و شروط معلومة من النصوص، فيجوز التخلّف بسبب انتفاء بعض تلك الشروط</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 ربّما أُجيب بوجه آخر و هو أنّ الخلف في الوعيد جائز على اللّٰه تعالى و إن كان لا يجوز أن يخلف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أنس بن مالك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وعده اللّٰه على عمله ثواباً فهو منجز له، و من أوعده على عمله عقاباً فهو في الخيار</w:t>
      </w:r>
      <w:r>
        <w:rPr>
          <w:rFonts w:eastAsia="Amiri" w:cs="Amiri" w:ascii="Amiri" w:hAnsi="Amiri"/>
          <w:color w:val="111111"/>
          <w:sz w:val="28"/>
          <w:szCs w:val="28"/>
          <w:rtl w:val="true"/>
          <w:lang w:bidi="ar-SA"/>
        </w:rPr>
        <w:t>».</w:t>
      </w:r>
      <w:r>
        <w:rPr>
          <w:rStyle w:val="FootnoteAnchor"/>
          <w:rtl w:val="true"/>
        </w:rPr>
        <w:footnoteReference w:id="889"/>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عمرو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المعتزلة بعد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أبي عمرو بن العلاء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يخلف اللّٰه ما وعده؟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من أوعده اللّٰه على عمل عقاباً، أ يخلف اللّٰه وعيده فيه؟ فقال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العجمة أتيت يا أبا عثمان، إنّ الوعد غير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لا يَعدّ عيباً و لا خلفاً، أن يعد شرّاً ثمّ لم يفعل، بل يرى ذلك كرماً و فضلاً، و إنّما الخلف أن </w:t>
      </w:r>
    </w:p>
    <w:p>
      <w:pPr>
        <w:pStyle w:val="BookText"/>
        <w:rPr/>
      </w:pPr>
      <w:r>
        <w:rPr>
          <w:rFonts w:ascii="Amiri" w:hAnsi="Amiri" w:eastAsia="Amiri" w:cs="Amiri"/>
          <w:color w:val="111111"/>
          <w:sz w:val="28"/>
          <w:sz w:val="28"/>
          <w:szCs w:val="28"/>
          <w:rtl w:val="true"/>
          <w:lang w:bidi="ar-SA"/>
        </w:rPr>
        <w:t>يعد خيراً ثمّ 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فأوجدني هذا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إذا أوعدته أو وعدته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لمخلف إيعادي و منجز موعدي</w:t>
      </w:r>
    </w:p>
    <w:p>
      <w:pPr>
        <w:pStyle w:val="BookText"/>
        <w:rPr/>
      </w:pPr>
      <w:r>
        <w:rPr>
          <w:rFonts w:ascii="Amiri" w:hAnsi="Amiri" w:eastAsia="Amiri" w:cs="Amiri"/>
          <w:color w:val="111111"/>
          <w:sz w:val="28"/>
          <w:sz w:val="28"/>
          <w:szCs w:val="28"/>
          <w:rtl w:val="true"/>
          <w:lang w:bidi="ar-SA"/>
        </w:rPr>
        <w:t>و ذكر الشاعر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وعد السرّاء أنجز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أوعد الضرّاء فالعفو مانع</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احتمال محض يثبت به الإمكان لا الوقوع، و يرتفع به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الغاية هي إثبات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الجواب الثاني فظاهره أشبه بالبحث اللّفظي و الأدبي، مع أنّ المسألة عقليّة، و لعلّ المجيب يريد شيئاً آخر أشار إليه شيخنا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بين الوعد و الوعيد، و أنّ الخلف في الأوّل قبيح عقلاً و الخلف في الثاني ليس بقبيح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أنّ كلّ عاقل يستحسن العفو بعد الوعيد في ظروف خاصّة، و لا يعلِّقون بصاحبه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العفو من اللّٰه تعالى مع الوعيد قبيحاً، يجب أن يكون كذلك عند كلِّ عاقل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وجه ذلك أنّ الخلف في الوعد إسقاط لحقّ الغير و إمساك عن أداء ما عليه من الحقّ، و أمّا الوعيد فإنّ مآل الخلف إلى إسقاط حقّ نفسه، </w:t>
      </w:r>
    </w:p>
    <w:p>
      <w:pPr>
        <w:pStyle w:val="BookText"/>
        <w:rPr/>
      </w:pPr>
      <w:r>
        <w:rPr>
          <w:rFonts w:ascii="Amiri" w:hAnsi="Amiri" w:eastAsia="Amiri" w:cs="Amiri"/>
          <w:color w:val="111111"/>
          <w:sz w:val="28"/>
          <w:sz w:val="28"/>
          <w:szCs w:val="28"/>
          <w:rtl w:val="true"/>
          <w:lang w:bidi="ar-SA"/>
        </w:rPr>
        <w:t>و مثل ذلك يعدّ مستحسناً لا قبيحاً إذا وقع الخلف في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جواز ذلك إغراء للمكلّف بفعل القبيح اتّكالاً منه على عفو اللّٰه، فالعقاب ضروري، لأنّه زاجر عن ارتكاب القبائح، كما أنّ في العفو تسوية بين المطيع و العاصي و ذلك ما لا يتّفق مع العدل</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الإغراء لازم القول بالعفو قطعاً كما عليه المرجئة، لا القول به احتمالاً كما عليه الراجئة، و لو صحّ ما ذكر، لبطل الوعد بالتّوبة و الشفاعة، و أمّا حديث التسوية، فهو يرتفع بإثابة المطيع دون العاصي و إنّما يلزم بتسويتهما في الثواب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المسألة الأُولى و ثبت أنّ العفو عن العصاة من المسلمين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يقول الصدوق في تبيين 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اعتقادنا في الوعد و الوعيد هو أنّ من وعده اللّٰه على عمل ثواباً فهو منجّزة، و من وعده على عمل عقاباً فهو بالخيار إن عذّبه فبعدله، و إن عفا عنه فبفضله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موجز الكلام في المسألة الأُولى، و إليك البحث في مسألة التخليد</w:t>
      </w:r>
      <w:r>
        <w:rPr>
          <w:rFonts w:eastAsia="Amiri" w:cs="Amiri" w:ascii="Amiri" w:hAnsi="Amiri"/>
          <w:color w:val="111111"/>
          <w:sz w:val="28"/>
          <w:szCs w:val="28"/>
          <w:rtl w:val="true"/>
          <w:lang w:bidi="ar-SA"/>
        </w:rPr>
        <w:t xml:space="preserve">. </w:t>
      </w:r>
      <w:bookmarkStart w:id="775" w:name="pg11536_164358"/>
    </w:p>
    <w:p>
      <w:pPr>
        <w:pStyle w:val="Heading5"/>
        <w:numPr>
          <w:ilvl w:val="4"/>
          <w:numId w:val="1"/>
        </w:numPr>
        <w:rPr/>
      </w:pPr>
      <w:bookmarkStart w:id="776" w:name="__RefHeading___Toc3907831_73709187"/>
      <w:bookmarkStart w:id="777" w:name="_Toc283"/>
      <w:bookmarkEnd w:id="775"/>
      <w:bookmarkEnd w:id="776"/>
      <w:r>
        <w:rPr>
          <w:rtl w:val="true"/>
        </w:rPr>
        <w:t xml:space="preserve">ب </w:t>
      </w:r>
      <w:r>
        <w:rPr>
          <w:rtl w:val="true"/>
        </w:rPr>
        <w:t xml:space="preserve">- </w:t>
      </w:r>
      <w:r>
        <w:rPr>
          <w:rtl w:val="true"/>
        </w:rPr>
        <w:t>هل الفاسق مخلد في العذاب أو لا؟</w:t>
      </w:r>
      <w:bookmarkEnd w:id="777"/>
    </w:p>
    <w:p>
      <w:pPr>
        <w:pStyle w:val="BookText"/>
        <w:rPr/>
      </w:pPr>
      <w:r>
        <w:rPr>
          <w:rFonts w:ascii="Amiri" w:hAnsi="Amiri" w:eastAsia="Amiri" w:cs="Amiri"/>
          <w:color w:val="111111"/>
          <w:sz w:val="28"/>
          <w:sz w:val="28"/>
          <w:szCs w:val="28"/>
          <w:rtl w:val="true"/>
          <w:lang w:bidi="ar-SA"/>
        </w:rPr>
        <w:t>هذا هو البحث المهمّ في هذا الأصل، و يعدّ بيت القصيد في فروعه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اللّٰه تعالى أوعد المجرمين التخليد في العذاب، فهل هو مختصّ بالمشركين و المنافقين أو يعمّ مرتكب الكبائر؟ ذهبت المعتزلة إلى عمومها و صار القول بالتخليد شارة الاعتزال وسمته، و خالفوا في ذلك جمهور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اتّفقت الإمامية على أنّ الوعيد بالخلود في النار متوجّه إلى الكفّار خاصّة، دون مرتكبي الذنوب من أهل المعرفة باللّٰه تعالى و الإقرار بفرائضه من أهل الصلاة، و وافقهم على هذا القول كافّة المرجئة سوى محمّد بن شبيب و أصحاب الحديث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المعتزلة على خلاف ذلك و زعموا أنّ الوعيد بالخلود في النار عامّ في الكفّار، و جميع فسّاق أهل الصلاة</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ثمّ إنّ المعتزلة استدلّت على خلود الفاسق في النار بالسّمع و هو عدّة آيات، استظهرت من إطلاقها أنّ الخلود يعمّ الكافر و المنافق و الفاسق، و إليك هذه الآيات واحدة بعد الأُخرى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 لا شكّ أنّ الفاسق ممّن عصى اللّٰه و رسوله بترك الفرائض و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على خلود الفاسق في النّار لا يتجاوز حدّ الإطلاق، و المطلق قابل للتّقييد، و قد خرج عن هذه الآية باتّفاق المسلمين، الفاسق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دلّ دليل هنا على أنّ المسلم الفاسق ربّما تشمله عناية اللّٰه و رحمته، و يخرج عن العذاب، لكان المطلق مقيّداً بقيد آخر وراء التائب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تحت الآية، المشرك و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في الآية ليس مطلق العصيان، بل العصيان المنضمّ إليه تعدّي حدود اللّٰه، و من المحتمل جدّاً أنّ المراد من التعدّي هو رفض أحكامه سبحانه، و طردها، و عدم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وردت الآية بعد بيان أحكام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وَ مَنْ يُطِعِ اَللّٰهَ وَ رَسُولَهُ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وَ يَتَعَدَّ حُدُودَهُ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ظاهراً في رفض التشريع، لكنّه يحتمله، بل ليس الحمل عليه بعيداً بشهادة الآيات الأُخرى الدالّة على شمول غفرانه لكلِّ ذنب دون الشرك، أو شمول رحمته للناس على ظلمهم إلى غير ذلك من الآيات الواردة في حقّ الفاسق غير التائب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الطبرسي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يَتَعَدَّ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تعدّي جميع حدود اللّٰه، و هذه صفة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صاحب الصّغيرة بلا خلاف خارج عن عموم الآية و إن كان فاعلاً للمعصية، و متعدّياً حدّاً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إخراجه بدليل، جاز لغيره أن يخرج من عمومها من يشفع له النبي، أو يتفضّل اللّٰه عليه بالعفو،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فإنّ التائب لا بدّ من إخراجه من عموم الآية لقيام الدليل على وجوب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يجب إخراج من يتفضّل اللّٰه بإسقاط عقابه منها لقيام الدّلالة على جواز وقوع التفضّل بالعفو</w:t>
      </w:r>
      <w:r>
        <w:rPr>
          <w:rFonts w:eastAsia="Amiri" w:cs="Amiri" w:ascii="Amiri" w:hAnsi="Amiri"/>
          <w:color w:val="111111"/>
          <w:sz w:val="28"/>
          <w:szCs w:val="28"/>
          <w:rtl w:val="true"/>
          <w:lang w:bidi="ar-SA"/>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الاستدلال هو أنّه تعالى بيّن أنّ من قتل مؤمناً عمداً جازاه، و عاقبه، و غضب عليه، و لعنه و أخلده في جهنّم</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الآية بالإطلاق، فكما خرج منه القاتل الكافر إذا أسلم، و المسلم القاتل إذا تاب، فليكن كذلك من مات بلا توبة و لكن اقتضت الحكمة الإلهيّة أن يتفضّل عليه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التخصيص أمراً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المحتمل أن يكون المراد القاتل المستحلّ لقتل المؤمن، أو قتله لإيمانه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بعيد لمن لاحظ سياق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بعد هذه الآية حكم قتل المؤمن خطأً و تعمّداً، و في ضوء هذا يمكن أن يستظهر أنّ الآية ناظرة إلى القتل العمديّ الّذي يقوم به القاتل لعداء دينيّ لا غير، فيكون ناظراً إلى غير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الاستدلال بهذه الآية إنّما يصحّ مع غضِّ النظر عن سياقها، و أمّا مع </w:t>
      </w:r>
    </w:p>
    <w:p>
      <w:pPr>
        <w:pStyle w:val="BookText"/>
        <w:rPr/>
      </w:pPr>
      <w:r>
        <w:rPr>
          <w:rFonts w:ascii="Amiri" w:hAnsi="Amiri" w:eastAsia="Amiri" w:cs="Amiri"/>
          <w:color w:val="111111"/>
          <w:sz w:val="28"/>
          <w:sz w:val="28"/>
          <w:szCs w:val="28"/>
          <w:rtl w:val="true"/>
          <w:lang w:bidi="ar-SA"/>
        </w:rPr>
        <w:t>النظر إليه فإنّها واردة في حقِّ اليهود، أضف إليه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أَحٰاطَتْ بِهِ خَطِيئَتُهُ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يهدف إلّا إلى الكافر، فإنّ المسلم المؤمن مهما كان عاصياً لا تحيط به خطيئته، ففي قلبه نقاط بيضاء يشعّ عليها إيمانه و اعتقاده باللّٰه سبحانه و أنبيائه و كتبه على أنّ دلالة الآية بالإطلاق، فلو ثبت ما تقوله جمهرة المسلمين، يخرج الفاسق من الآية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 هُمْ فِيهِ مُبْلِسُونَ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دلالة الآية بالإطلاق فهي قابلة للتقييد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الآية في حقِّ الكفّار ثانياً، بشهادة قوله سبحانه قبل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بِآيٰاتِنٰا وَ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أَزْوٰاجُكُمْ تُحْبَرُونَ</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يعمّ المسلم</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الآيات الّتي استدلّت بها المعتزلة على تخليد الفاسق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أنّ دلالتها بالإطلاق لا بالصِّراحة، و تقييد المطلق أمر سهل، مثل تخصيص العام، مضافاً إلى انصراف أكثرها أو جميعها إلى الكافر </w:t>
      </w:r>
    </w:p>
    <w:p>
      <w:pPr>
        <w:pStyle w:val="BookText"/>
        <w:rPr/>
      </w:pPr>
      <w:r>
        <w:rPr>
          <w:rFonts w:ascii="Amiri" w:hAnsi="Amiri" w:eastAsia="Amiri" w:cs="Amiri"/>
          <w:color w:val="111111"/>
          <w:sz w:val="28"/>
          <w:sz w:val="28"/>
          <w:szCs w:val="28"/>
          <w:rtl w:val="true"/>
          <w:lang w:bidi="ar-SA"/>
        </w:rPr>
        <w:t>و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آيات</w:t>
      </w:r>
      <w:r>
        <w:rPr>
          <w:rStyle w:val="FootnoteAnchor"/>
          <w:rtl w:val="true"/>
        </w:rPr>
        <w:footnoteReference w:id="907"/>
      </w:r>
      <w:r>
        <w:rPr>
          <w:rFonts w:ascii="Amiri" w:hAnsi="Amiri" w:eastAsia="Amiri" w:cs="Amiri"/>
          <w:color w:val="111111"/>
          <w:sz w:val="28"/>
          <w:sz w:val="28"/>
          <w:szCs w:val="28"/>
          <w:rtl w:val="true"/>
          <w:lang w:bidi="ar-SA"/>
        </w:rPr>
        <w:t>أظهر ممّا سبق تدلّ على شمول الرحمة الإلهيّة للفسّاق غير التائبين، و إليك 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يَسْتَعْجِلُونَكَ بِالسَّيِّئَةِ قَبْلَ اَلْحَسَنَةِ وَ قَدْ خَلَتْ مِنْ قَبْلِهِمُ اَلْمَثُلاٰتُ وَ إِنَّ رَبَّكَ لَذُو مَغْفِرَةٍ لِلنّٰاسِ عَلىٰ ظُلْمِهِمْ وَ إِنَّ رَبَّكَ لَشَدِيدُ اَلْعِقٰابِ</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الشريف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الآية دلالة على جواز المغفرة للمذنبين من أهل القبلة، لأنّه سبحانه دلّنا على أنّه يغفر لهم مع كونهم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الحال الّتي يكونون عليها ظالمين، و يجري ذلك مجرى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أودّ فلاناً على غدره، و أصِلُه على هجره</w:t>
      </w:r>
      <w:r>
        <w:rPr>
          <w:rFonts w:eastAsia="Amiri" w:cs="Amiri" w:ascii="Amiri" w:hAnsi="Amiri"/>
          <w:color w:val="111111"/>
          <w:sz w:val="28"/>
          <w:szCs w:val="28"/>
          <w:rtl w:val="true"/>
          <w:lang w:bidi="ar-SA"/>
        </w:rPr>
        <w:t>».</w:t>
      </w:r>
      <w:r>
        <w:rPr>
          <w:rStyle w:val="FootnoteAnchor"/>
          <w:rtl w:val="true"/>
        </w:rPr>
        <w:footnoteReference w:id="909"/>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قرّر القاضي دلالة الآية و أجاب عنه بأنّ الأخذ بظاهر الآية ممّا لا يجوز بالاتّفاق، لأنّه يقتضي الإغراء على الظلم، و ذلك ممّا لا يجوز على اللّٰه تعالى، فلا بدّ من أن يؤوّل، و تأويله هو أنّه يغفر للظّالم على ظلمه إذا تاب</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الإشكال، جار في صورة التوبة أيضاً، فإنّ الوعد بالمغفرة مع التوبة يوجب تمادي العاصي في المعصية برجاء أنّه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بعدم خلود المؤمن موجباً للإغراء، فليكن الوعد بالغفران مع التوبة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أنّ الحكم عامّ للتائب و غيره هو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المراد هو التائب لكان المناسب أن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ربّك لذو مغفرة للمؤمنين على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قوله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 الحكم عامّ يعمّ التائب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 إنّ الآية تعد المغفرة للنّاس و لا تذكر حدودها و شرائطها، فلا يصحّ عند العقل الاعتماد على هذا الوعد و ارتكاب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وعد إجماليّ غير مبيّن من حيث الشروط و القيود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بهذه الآية على أنّ رحمته تشمل غير التائب من الذنوب، أنّه سبحانه نفى غفران الشِّرك دون غيره من الذنوب، و بما أنّ الشرك يغفر مع التوبة فتكون الجملتان ناظرتين إلى غير التائب،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يغفر إذا مات بلا توبة، كما أنّ معنى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يغفر ما دون الشِّرك من الذنوب بغير توبة لمن يشاء من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سائر الذنوب مثل الشِّرك غير مغفورة إلّا بالتوبة، لما حسن التّفصيل بينهما، مع وضوح الآية في التفصيل</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قد أوضح القاضي دلالة الآية على ما يتبنّاه الجمهور بوجه رائع، و لكنّه تأثّراً بعقيدته الخاصّة في الفاسق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مجملة مفتقرة إلى البيان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من الّذي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 أن يكون المراد به أصحاب الصغائر، و احتمل أن يكون المراد به أصحاب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احتجاجهم بالآية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عن القاضي أنّ الآية مطلقة تعمّ كلا القسمين، فأيّ إجمال في الآية حتّى نتوقّف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أنّه يتمسّك بإطلاق الطائفة الأُولى من الآيات، و لكنّه يتوقّف في إطلاق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دفعاً للإغراء، و قطعاً لعذر الجاهل، قيّد سبحانه غفرانه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يصدّه عن الارتماء في أحضان المعصية بحجّة أنّه سبحانه وعد له بالمغفرة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القاسم بن محمّد بن عليّ الزّيدي العلويّ المعتزلي تبع القاضي في تحديد مداليل هذه الآيات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الوعيد لا إجمال فيها، و هذه </w:t>
      </w:r>
      <w:bookmarkStart w:id="778" w:name="pg11536_164366"/>
    </w:p>
    <w:p>
      <w:pPr>
        <w:pStyle w:val="BookText"/>
        <w:rPr/>
      </w:pPr>
      <w:bookmarkEnd w:id="778"/>
      <w:r>
        <w:rPr>
          <w:rFonts w:ascii="Amiri" w:hAnsi="Amiri" w:eastAsia="Amiri" w:cs="Amiri"/>
          <w:color w:val="111111"/>
          <w:sz w:val="28"/>
          <w:sz w:val="28"/>
          <w:szCs w:val="28"/>
          <w:rtl w:val="true"/>
          <w:lang w:bidi="ar-SA"/>
        </w:rPr>
        <w:t>الآيات و نحوها مجملة فيجب حملها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ثمّ ساق بعض الآيات الواردة في غفران العباد في مجال التوبة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يظهر النظر في كلامه ممّا قدّمناه في نقد كلام القاضي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الآيات الّتي استدلّ بها جمهور المسلمين على شمول مغفرته سبحانه لعصاة المسلمين، و عدم تعذيبهم، أو إخراجهم من العذاب، بعد فترة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البحث أشبه بالبحث التفسيري منه بالكلامي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أراد الاستقصاء في هذا المجال فعليه جمع الآيات الواردة حول الذنوب و الغفران، حتّى يتّضح الحال فيها، و يتّخذ موضعاً حاسماً بإزاء اختلافاتها الأوّليّة</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3907833_73709187"/>
      <w:bookmarkStart w:id="780" w:name="_Toc284"/>
      <w:bookmarkEnd w:id="779"/>
      <w:r>
        <w:rPr>
          <w:rtl w:val="true"/>
        </w:rPr>
        <w:t xml:space="preserve">ج </w:t>
      </w:r>
      <w:r>
        <w:rPr>
          <w:rtl w:val="true"/>
        </w:rPr>
        <w:t xml:space="preserve">- </w:t>
      </w:r>
      <w:r>
        <w:rPr>
          <w:rtl w:val="true"/>
        </w:rPr>
        <w:t>هل الشفاعة للتائبين من المؤمنين أو للفسّاق منهم؟</w:t>
      </w:r>
      <w:bookmarkEnd w:id="78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المسألة مبنيّة على المختار في المسألة السابقة، و لمّا كان المختار عند جمهور المسلمين جواز العفو عن الفاسق، أو عدم تخليده بعد تعذيبه مدّة، قالوا بأنّ الشّفاعة للفسّاق و أنّ شفاعة الشفعاء تجلب عفوه سبحانه إليهم، فيعفو عنهم من بدء الأمر، أو بعد ما يعذِّبهم فترة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المعتزلة، فلمّا كان المختار عندهم في المسألة السابقة خلود الفاسق في العذاب، خصّوا الشّفاعة بالتّائبين من المؤمنين، و صار أثرها عندهم ترفيع المقام لا الانقاذ من العذاب، أو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النقطة الحسّاسة في الأبحاث الكلاميّة الّتي لها صلة بكتاب اللّٰه و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فالمعتزلة في المقام أوّلوا صريح القرآن و الروايات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شفاعة الفسّاق الّذين ماتوا على الفسوق و لم يتوبوا، يتنزّل منزلة الشفاعة لمن قتل ولد الغير و ترصّد للآخر حتّى يقتله؛، فكما أنّ ذلك يقبح فكذلك هاهنا</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 الخطأ في تفسير آيات الشفاعة، و رفض الروايات المتواترة، حدث من الخطأ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شيمة الخطأ و خاصّته فلا يقف عند حد،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الخطايا خيل شمس، حمل عليها أهلها، و خلعت لجمها</w:t>
      </w:r>
      <w:r>
        <w:rPr>
          <w:rFonts w:eastAsia="Amiri" w:cs="Amiri" w:ascii="Amiri" w:hAnsi="Amiri"/>
          <w:color w:val="111111"/>
          <w:sz w:val="28"/>
          <w:szCs w:val="28"/>
          <w:rtl w:val="true"/>
          <w:lang w:bidi="ar-SA"/>
        </w:rPr>
        <w:t>».</w:t>
      </w:r>
      <w:r>
        <w:rPr>
          <w:rStyle w:val="FootnoteAnchor"/>
          <w:rtl w:val="true"/>
        </w:rPr>
        <w:footnoteReference w:id="917"/>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القاضي غفلة عن شروط الشفاعة، المحرّرة في محلِّها، فإنّ بعض الذنوب الكبيرة ربّما تقطع العلائق الإيمانيّة باللّٰه سبحانه، كما تقطع الأواصر الروحيّة مع النبي الأكرم صلى الله عليه و آله و سلم، فأمثال هؤلاء العصاة لا تشملهم الشفاعة، و قد وردت الروايات الإسلاميّة حول شروط الشفاعة، و في حرمان طوائف من الناس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أنّ القاضي يستدلّ على أنّ العقوبة على طريق الدوام، و لا يخرج الفاسق من النّار بشفاعة النّبي صلى الله عليه و آله و سلم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تَجْزِي نَفْسٌ عَنْ نَفْسٍ شَيْئاً</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الأُسلوب الصحيح لتفسير القرآن الكريم هو تجريد المفسِّر نفسه عن كلِّ رأي سابق أوّلاً، و جمع الآيات المربوطة بموضوع واحد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يقدر على فهم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نظر إلى الآيات بمنظار الاعتزال أوّلاً، و لم يجمع الآيات الراجعة إلى الشفاعة ثانياً، مع أنّ الآيات الراجعة إلى الشفاعة على سبعة أصناف</w:t>
      </w:r>
      <w:r>
        <w:rPr>
          <w:rStyle w:val="FootnoteAnchor"/>
          <w:rtl w:val="true"/>
        </w:rPr>
        <w:footnoteReference w:id="921"/>
      </w:r>
      <w:r>
        <w:rPr>
          <w:rFonts w:ascii="Amiri" w:hAnsi="Amiri" w:eastAsia="Amiri" w:cs="Amiri"/>
          <w:color w:val="111111"/>
          <w:sz w:val="28"/>
          <w:sz w:val="28"/>
          <w:szCs w:val="28"/>
          <w:rtl w:val="true"/>
          <w:lang w:bidi="ar-SA"/>
        </w:rPr>
        <w:t>فأخذ صنفاً واحداً و ترك الأصناف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الآيتين في نفي الشفاعة راجعتان الى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الأُولى ناظرة إلى نفي الشّفاعة الّتي كانت اليهود يتبنّونها كما هو صريح سياقها، و الآية الثانية الّتي وردت في السورة المكّية ناظرة إلى الشفاعة الّتي كان المشركون يعتقدون بها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 حاكياً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صَدِيقٍ حَمِيمٍ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الشفاعة لم تكن فكرة جديدة ابتكرها الإسلام و انفرد بها، بل كانت فكرة رائجة بين أُمم العالم من قبل، و خاصّة الوثنيّين و اليهود، و الإسلام طرحها مهذّبة من الخرافات، و ممّا نسج حولها من الأوهام، و قرّرها على أُسلوب يوافق أُصول العدل و العقل، و صحّحها تحت شرائط في الشافع و المشفوع له، و هي الّتي تجرّ العصاة إلى الطهارة من الذنوب، و كفّ اليد عن الآثام و المعاصي، و لا توجد فيهم جرأة و جسارة على هتك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أمعن النظر في آراء اليهود و الوثنيّين في أمر الشفاعة يرى أنّ الشفاعة تقف على الدارجة بينهم، خصوصاً اليهود، و كانت مبنيّة على رجائهم لشفاعة أنبيائهم و آبائهم في حطِّ ذنوبهم، و غفران 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هذا الاعتقاد كانوا يقترفون المعاصي، و يرتكبون الذّنوب تعويلاً على ذلك الرجاء</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الموقف يقول سبحانه ردّاً على تلك العقيدة الباعثة على الجرأة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 و يقول أيضاً رفضاً لتلك الشفاعة المحرّرة من كلِّ قيد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حاصل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الشفاعة الّتي تدّعيها اليهود و يلوذ بها الوثنيّون حقّ ثابت في الشريعة السماويّة، غير أنّ لها شروطاً أهمّها إذنه سبحانه للشّافع، و رضاه للمشفوع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فكيف يصحّ لنا تخصيص الآيات بقسم خاصّ من الشفاعة و هي شفاعة الأولياء لرفع الدرجة و زيادة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دليل على عموميّة الشفاعة ما أصفق على نقله المحدِّثون من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ادّخرت شفاعتي لأهل الكبائر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القاضي رمى هذا الحديث بأنّه خبر واحد لا يصحّ به الاحتجاج في باب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يعرب عن قصور باعه في مجال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 من أئمّة الحديث أبو داود في سننه، و التّرمذي في صحيحه، و ابن حنبل في مسنده، و ابن ماجة في صحيحه</w:t>
      </w:r>
      <w:r>
        <w:rPr>
          <w:rFonts w:eastAsia="Amiri" w:cs="Amiri" w:ascii="Amiri" w:hAnsi="Amiri"/>
          <w:color w:val="111111"/>
          <w:sz w:val="28"/>
          <w:szCs w:val="28"/>
          <w:rtl w:val="true"/>
          <w:lang w:bidi="ar-SA"/>
        </w:rPr>
        <w:t>.</w:t>
      </w:r>
      <w:r>
        <w:rPr>
          <w:rStyle w:val="FootnoteAnchor"/>
          <w:rtl w:val="true"/>
        </w:rPr>
        <w:footnoteReference w:id="926"/>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حديث الشفاعة الدالّ على شمولها لأصحاب الكبائر منحصراً به، بل أحاديث الشفاعة في هذا المجال متواترة، و قد جمعنا ما رواه السنّة و الشيعة في هذا المجال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bookmarkStart w:id="781" w:name="pg11536_164371"/>
    </w:p>
    <w:p>
      <w:pPr>
        <w:pStyle w:val="Heading5"/>
        <w:numPr>
          <w:ilvl w:val="4"/>
          <w:numId w:val="1"/>
        </w:numPr>
        <w:rPr/>
      </w:pPr>
      <w:bookmarkStart w:id="782" w:name="__RefHeading___Toc3907835_73709187"/>
      <w:bookmarkStart w:id="783" w:name="_Toc285"/>
      <w:bookmarkEnd w:id="781"/>
      <w:bookmarkEnd w:id="782"/>
      <w:r>
        <w:rPr>
          <w:rtl w:val="true"/>
        </w:rPr>
        <w:t xml:space="preserve">د </w:t>
      </w:r>
      <w:r>
        <w:rPr>
          <w:rtl w:val="true"/>
        </w:rPr>
        <w:t xml:space="preserve">- </w:t>
      </w:r>
      <w:r>
        <w:rPr>
          <w:rtl w:val="true"/>
        </w:rPr>
        <w:t>القائلون بجواز العفو أو عدم الخلود، مرجئة أو راجية؟</w:t>
      </w:r>
      <w:bookmarkEnd w:id="783"/>
    </w:p>
    <w:p>
      <w:pPr>
        <w:pStyle w:val="BookText"/>
        <w:rPr/>
      </w:pPr>
      <w:r>
        <w:rPr>
          <w:rFonts w:ascii="Amiri" w:hAnsi="Amiri" w:eastAsia="Amiri" w:cs="Amiri"/>
          <w:color w:val="111111"/>
          <w:sz w:val="28"/>
          <w:sz w:val="28"/>
          <w:szCs w:val="28"/>
          <w:rtl w:val="true"/>
          <w:lang w:bidi="ar-SA"/>
        </w:rPr>
        <w:t>قد تعرّفت على عقيدة المرجئة في الفصول السابقة و أنّ شعارهم أنّه لا تضرّ مع الإيمان معصية، كما لا تنفع مع الشِّرك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عرّفناك منهجهم و أنّ هؤلاء بهذا الشعار يغرّون الجهّال بالمعصية و اقتراف الذنوب و لا يعتنون بالعمل بحجّة أنّهم مؤمنون في كلِّ حال، و يعيشون في جميع الأحوال بإرجاء العمل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إيمان واحد منّا يعدل إيمان جبرائيل و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جمهرة المسلمين القائلون بجواز العفو و عدم الخلود، فهم راجية، يعتقدون بالعقاب و الثواب، يدعون ربّهم رغباً و رهباً، و لا يتّكلون في حياتهم على العفو و الرجاء من دون عمل، غير أنّهم يبثّون بذور الرجاء في قلوب العباد لما فيه من آثار 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محلِّه أنّ في القول بالعفو عن العصاة و خروجهم من النار بالشفاعة و غيرها، بصيص من الرجاء، و نافذة من الأمل فتحه القرآن في وجه العصاة حتّى لا ييأسوا من روح اللّٰه و رحمته، و لئلّا يغلبهم الشعور بالحرمان من عفوه، فيتمادوا في العصيان</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فالمرجئة من قدّموا الإيمان و أخّروا العمل، بخلاف الراجية، فإنّهم جعلوا الإيمان غير منفكّ عن العمل و ينادون بأعلى أصواتهم أنّ الإيمان بلا عمل كشجرة بلا ثمر، لا يغني و لا يسمن من جوع، و يخافون </w:t>
      </w:r>
      <w:bookmarkStart w:id="784" w:name="pg11536_164372"/>
    </w:p>
    <w:p>
      <w:pPr>
        <w:pStyle w:val="BookText"/>
        <w:rPr/>
      </w:pPr>
      <w:bookmarkEnd w:id="784"/>
      <w:r>
        <w:rPr>
          <w:rFonts w:ascii="Amiri" w:hAnsi="Amiri" w:eastAsia="Amiri" w:cs="Amiri"/>
          <w:color w:val="111111"/>
          <w:sz w:val="28"/>
          <w:sz w:val="28"/>
          <w:szCs w:val="28"/>
          <w:rtl w:val="true"/>
          <w:lang w:bidi="ar-SA"/>
        </w:rPr>
        <w:t>ربّهم بالغيب، و مع ذلك يرجون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ينفكّ الخوف عن الرجاء، و الرهبة عن الرغبة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3907837_73709187"/>
      <w:bookmarkStart w:id="786" w:name="_Toc286"/>
      <w:bookmarkEnd w:id="785"/>
      <w:r>
        <w:rPr>
          <w:rtl w:val="true"/>
        </w:rPr>
        <w:t xml:space="preserve">ه </w:t>
      </w:r>
      <w:r>
        <w:rPr>
          <w:rtl w:val="true"/>
        </w:rPr>
        <w:t xml:space="preserve">- </w:t>
      </w:r>
      <w:r>
        <w:rPr>
          <w:rtl w:val="true"/>
        </w:rPr>
        <w:t>هل الطاعات مؤثِّرة في سقوط العقاب، و المعاصي مؤثِّرة في سقوط الثواب، و هذا ما يعبّر عنه بالإحباط و التكفير</w:t>
      </w:r>
      <w:r>
        <w:rPr>
          <w:rtl w:val="true"/>
        </w:rPr>
        <w:t>.</w:t>
      </w:r>
      <w:bookmarkEnd w:id="786"/>
    </w:p>
    <w:p>
      <w:pPr>
        <w:pStyle w:val="Heading6"/>
        <w:numPr>
          <w:ilvl w:val="5"/>
          <w:numId w:val="1"/>
        </w:numPr>
        <w:rPr/>
      </w:pPr>
      <w:bookmarkStart w:id="787" w:name="__RefHeading___Toc3907839_73709187"/>
      <w:bookmarkStart w:id="788" w:name="_Toc287"/>
      <w:bookmarkEnd w:id="787"/>
      <w:r>
        <w:rPr>
          <w:rtl w:val="true"/>
        </w:rPr>
        <w:t>اشارة</w:t>
      </w:r>
      <w:bookmarkEnd w:id="788"/>
    </w:p>
    <w:p>
      <w:pPr>
        <w:pStyle w:val="BookText"/>
        <w:rPr/>
      </w:pPr>
      <w:r>
        <w:rPr>
          <w:rFonts w:ascii="Amiri" w:hAnsi="Amiri" w:eastAsia="Amiri" w:cs="Amiri"/>
          <w:color w:val="111111"/>
          <w:sz w:val="28"/>
          <w:sz w:val="28"/>
          <w:szCs w:val="28"/>
          <w:rtl w:val="true"/>
          <w:lang w:bidi="ar-SA"/>
        </w:rPr>
        <w:t>الإحباط في اللّغة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اللّٰه عمل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أبطله</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 الكفر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 لمن غطّى درعه 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كفر درعه، و المكفّر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المتغطّي بسلاحه، و يقال للزّارع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لأنّه يغطي الحَبّ بتراب الأرض،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الكفر ضدّ الإيمان، سمّي بذلك لأنّه تغطية الحقّ</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المراد من الحبط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ثواب العمل الصالح المتقدَّم، بالذنوب المتأخّرة، كما أنّ المراد من التكفير هو سقوط الذنوب المتقدَّمة، بالطاعة المتأخِّرة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الإحباط في عرف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إبطال الحسنة بعدم ترتّب ما يتوقّع منها عليها، و يقابله التكفير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السيّئة </w:t>
      </w:r>
      <w:bookmarkStart w:id="789" w:name="pg11536_164373"/>
    </w:p>
    <w:p>
      <w:pPr>
        <w:pStyle w:val="BookText"/>
        <w:rPr/>
      </w:pPr>
      <w:bookmarkEnd w:id="789"/>
      <w:r>
        <w:rPr>
          <w:rFonts w:ascii="Amiri" w:hAnsi="Amiri" w:eastAsia="Amiri" w:cs="Amiri"/>
          <w:color w:val="111111"/>
          <w:sz w:val="28"/>
          <w:sz w:val="28"/>
          <w:szCs w:val="28"/>
          <w:rtl w:val="true"/>
          <w:lang w:bidi="ar-SA"/>
        </w:rPr>
        <w:t>بعدم جريان مقتضاها عليها، فهو في المعصية نقيض الإحباط في الطاعة و لنقدّم الكلام في الإحباط أوّلاً</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3907841_73709187"/>
      <w:bookmarkStart w:id="791" w:name="_Toc288"/>
      <w:bookmarkEnd w:id="790"/>
      <w:r>
        <w:rPr/>
        <w:t>1</w:t>
      </w:r>
      <w:r>
        <w:rPr>
          <w:rtl w:val="true"/>
        </w:rPr>
        <w:t xml:space="preserve"> - </w:t>
      </w:r>
      <w:r>
        <w:rPr>
          <w:rtl w:val="true"/>
        </w:rPr>
        <w:t>الإحباط</w:t>
      </w:r>
      <w:bookmarkEnd w:id="791"/>
    </w:p>
    <w:p>
      <w:pPr>
        <w:pStyle w:val="Heading6"/>
        <w:numPr>
          <w:ilvl w:val="5"/>
          <w:numId w:val="1"/>
        </w:numPr>
        <w:rPr/>
      </w:pPr>
      <w:bookmarkStart w:id="792" w:name="__RefHeading___Toc3907843_73709187"/>
      <w:bookmarkStart w:id="793" w:name="_Toc289"/>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المعروف عن المعتزلة هو القول بالإحباط، كما أنّ المعروف عن الإماميّة و الأشاعرة هو أنّه لا تحابط بين المعاصي و الطاعات و الثواب و العقاب</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لا يخلو إمّا أن تخلص طاعاته و معاصيه، أو يكون قد جمع بينهما، فلا يخلو إمّا أن تتساوى طاعاته و معاصيه، أو يزيد أحدهما على الآخر، فإنّه لا بدّ من أن يسقط الأقلّ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القول بالإحباط و التكفير على ما قاله المشايخ، و قد خالفنا في ذلك المرجئة، و عبّاد بن سليمان الصيمري</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أنّ من آمن بعد الكفر و المعاصي فهو من أهل الجنّة بمنزلة من لا معصية له، و من كفر بعد الإيمان و العمل الصالح، فهو من أهل النّار بمنزلة من لا حسنة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فيمن آمن و عمل </w:t>
      </w:r>
    </w:p>
    <w:p>
      <w:pPr>
        <w:pStyle w:val="BookText"/>
        <w:rPr/>
      </w:pPr>
      <w:r>
        <w:rPr>
          <w:rFonts w:ascii="Amiri" w:hAnsi="Amiri" w:eastAsia="Amiri" w:cs="Amiri"/>
          <w:color w:val="111111"/>
          <w:sz w:val="28"/>
          <w:sz w:val="28"/>
          <w:szCs w:val="28"/>
          <w:rtl w:val="true"/>
          <w:lang w:bidi="ar-SA"/>
        </w:rPr>
        <w:t>صالحاً و آخر سيّئاً، و استمرّ على الطاعات و الكبائر، كما يشاهد من الناس، فعندنا مآله إلى الجنّة و لو بعد النّار، و استحقاقه للثواب و العقاب، بمقتضى الوعد و الوعيد من غير حبوط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من مذهب المعتزلة أنّه من أهل الخلود في النار إذا مات قبل التوبة، فأشكل عليهم الأمر في إيمانه و طاعته و ما يثبت من استحقاقاته، أين طارت؟ و كيف زالت؟ فقالوا بحبوط الطاعات، و مالوا إلى أنّ السيّئات يذهبن الحسنات</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المتكلّمين أنّ المعتزلة يقولون بالإحباط و التكفير، و أمّا الأشاعرة و الإماميّة فهم يذهبون إلى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هنا مشكلة و هي أنّ نفيهما على الإطلاق يخالف ما هو مسلّم عند المسلمين من أنّ الإيمان يُكفِّر الكفر، و يُدخل المؤمن الجنّة خالداً فيها، و أنّ الكفر يُحبط الإيمان و يخلِّد الكافر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النوع من الإحباط و التكفير ممّا أصفقت عليه الأُمّة، و مع ذلك كيف يمكن نفيهما في مذهب الأشاعرة و الإماميّة؟ و لأجل ذلك، يجب الدقّة في فهم مرادهما من نفيهما على الإطلاق، و سوف يتبيّن الحال في هذين المجالين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القائلين بالإحباط اختلفوا في كيفيّته، فمنهم من قال بأنّ الإساءة الكثيرة تسقط الحسنات القليلة، و تمحوها بالكليّة، من دون أن يكون لها تأثير في تقليل الإساءة، و هو المحكيّ عن أبي عليّ الجبّائي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قال بأنّ الإحسان القليل يسقط بالإساءة الكثيرة، و لكنّه </w:t>
      </w:r>
      <w:bookmarkStart w:id="794" w:name="pg11536_164375"/>
    </w:p>
    <w:p>
      <w:pPr>
        <w:pStyle w:val="BookText"/>
        <w:rPr/>
      </w:pPr>
      <w:bookmarkEnd w:id="794"/>
      <w:r>
        <w:rPr>
          <w:rFonts w:ascii="Amiri" w:hAnsi="Amiri" w:eastAsia="Amiri" w:cs="Amiri"/>
          <w:color w:val="111111"/>
          <w:sz w:val="28"/>
          <w:sz w:val="28"/>
          <w:szCs w:val="28"/>
          <w:rtl w:val="true"/>
          <w:lang w:bidi="ar-SA"/>
        </w:rPr>
        <w:t>يؤثّر في تقليل الإساءة فينقص الإحسان من الإساءة، فيجزى العبد بالمقدار الباقي بعد التنقيص، و هو المنسوب إلى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قول آخر في الإحباط و هو عجيب جدّاً، حكاه التفتازاني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الإساءة المتأخِّرة تحبط جميع الطاعات و إن كانت الإساءة أقلّ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ذهب الجمهور منهم إلى أنّ الكبيرة الواحدة تحبط ثواب جميع العبادات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على هذا</w:t>
      </w:r>
      <w:r>
        <w:rPr>
          <w:rStyle w:val="FootnoteAnchor"/>
          <w:rtl w:val="true"/>
        </w:rPr>
        <w:footnoteReference w:id="934"/>
      </w:r>
      <w:r>
        <w:rPr>
          <w:rFonts w:ascii="Amiri" w:hAnsi="Amiri" w:eastAsia="Amiri" w:cs="Amiri"/>
          <w:color w:val="111111"/>
          <w:sz w:val="28"/>
          <w:sz w:val="28"/>
          <w:szCs w:val="28"/>
          <w:rtl w:val="true"/>
          <w:lang w:bidi="ar-SA"/>
        </w:rPr>
        <w:t>ففي الإحباط 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الكثيرة تسقط الحسنة القليلة من دون تأثير في تقليل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الإساءة الكثيرة تسقط الحسنة القليلة، مع تأثير الإحسان في تقليل الإساءة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الإساءة المتأخِّرة عن الطاعات، تبطل جميع الطاعات من دون ملاحظة القلّة 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موضع النزاع في كلام القوم، فلننقل أدلّة الطرفين</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3907845_73709187"/>
      <w:bookmarkStart w:id="796" w:name="_Toc290"/>
      <w:bookmarkEnd w:id="795"/>
      <w:r>
        <w:rPr>
          <w:rtl w:val="true"/>
        </w:rPr>
        <w:t>أدلّة نفاة الإحباط</w:t>
      </w:r>
      <w:bookmarkEnd w:id="796"/>
    </w:p>
    <w:p>
      <w:pPr>
        <w:pStyle w:val="BookText"/>
        <w:rPr/>
      </w:pPr>
      <w:r>
        <w:rPr>
          <w:rFonts w:ascii="Amiri" w:hAnsi="Amiri" w:eastAsia="Amiri" w:cs="Amiri"/>
          <w:color w:val="111111"/>
          <w:sz w:val="28"/>
          <w:sz w:val="28"/>
          <w:szCs w:val="28"/>
          <w:rtl w:val="true"/>
          <w:lang w:bidi="ar-SA"/>
        </w:rPr>
        <w:t>استدلّ النافون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 و نقليّ</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القول بالإِحباط يستلزم الظلم، لأنّ من أساء </w:t>
      </w:r>
    </w:p>
    <w:p>
      <w:pPr>
        <w:pStyle w:val="BookText"/>
        <w:rPr/>
      </w:pPr>
      <w:r>
        <w:rPr>
          <w:rFonts w:ascii="Amiri" w:hAnsi="Amiri" w:eastAsia="Amiri" w:cs="Amiri"/>
          <w:color w:val="111111"/>
          <w:sz w:val="28"/>
          <w:sz w:val="28"/>
          <w:szCs w:val="28"/>
          <w:rtl w:val="true"/>
          <w:lang w:bidi="ar-SA"/>
        </w:rPr>
        <w:t>و أطاع و كانت إساءته أكثر، يكون بمنزلة من 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إحسانه أَكثر، يكون بمنزلة من لم يسئ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تساويا يكون مساوياً لمن يصدر عنه أحدهما، و هو نفس الظّلم</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الإِحباط إنّما يعدّ ظلماً، و يشمُلُه هذا الدليل، إذا كان الأكثر من الإِساءة مؤثِّراً في سقوط الأقلّ من الطاعة بالكلّية، من دون أن تؤثّر الطاعة القليلة في تقليل الإساءة الكثيرة، كما عليه أبو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بالموازنة، كما هو المحكيّ عن ابنه أبي هاشم، فلا يلزم الظلم، و صورته أن يأتي المكلّف بطاعة استحقّ عليها عشرة أجزاء من الثواب، و بمعصية استحقّ عليها عشرين جزءاً من العقاب، فلو قلنا بأنّه يَحسُن من اللّٰه سبحانه أَن يفعل به عشرين جزءاً من العقاب، و لا يكون لما استحقّه من الطاعة أيّ تأثير للزم منه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قلنا بأنّه يقبح من اللّٰه تعالى ذلك، و لا يحسن منه أَن يفعل به من العقاب إلّا عشرة أجزاء، و أَمّا العشرة الأُخرى فإنّها تسقط بالثواب الّذي استحقّه على ما أتى به من الطاعة، فلا يلزم ذلك</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القاضي عبد الجبّار بعد نقل مذهب أبي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لَعَمري إنّه القول اللّائق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يقوله أبو عليّ و الّذي يدلّ على صحّته هو أَنّ المكلّف أتى بالطاعات على الحدّ الذي أُمر به، و على الحدّ الّذي لو أتى به منفرداً عن المعصية لكان يستحقّ عليها الثواب، فيجب أن يستحقّ عليها الثواب و إن دَنّسها بالمعصية، إلّا أَنّه لا يمكن و الحالة هذه أَن يوفّر عليه، </w:t>
      </w:r>
    </w:p>
    <w:p>
      <w:pPr>
        <w:pStyle w:val="BookText"/>
        <w:rPr/>
      </w:pPr>
      <w:r>
        <w:rPr>
          <w:rFonts w:ascii="Amiri" w:hAnsi="Amiri" w:eastAsia="Amiri" w:cs="Amiri"/>
          <w:color w:val="111111"/>
          <w:sz w:val="28"/>
          <w:sz w:val="28"/>
          <w:szCs w:val="28"/>
          <w:rtl w:val="true"/>
          <w:lang w:bidi="ar-SA"/>
        </w:rPr>
        <w:t>على الحدّ الّذي يستحقّه، لاستحالته، فلا مانع من أَن يزول من العقاب بمقداره، لأنّ دفع الضرر كالنفع في أنّه مما يعدّ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على مذهب أبي عليّ فيلزم أن لا يكون قد رأى صاحب الكبيرة شيئاً ممّا أتى به من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نصّ اللّٰه تعالى على خلافه</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الأولى أن يستدلّ على بطلان الإحباط بأَنّه يستلزم خُلف الوعد إذا كان الوعد منجّزاً، كما هو في محلّ النّزاع، و أمّا إذا كان مشروطاً بعدم لحوق العصيان به، فهو خارج عن محلِّ البحث هذا، من غير فرق بين قول الوالد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النقلي،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بالآية إنّما يتمّ على القولين الأوّل و الثالث، حيث لا يكون للإحسان القليل دور، و أمّا على القول الثاني، فالآية قابلة للانطباق عليه، لأنّه إِذا كان للإحسان القليل، تأثير في تقليل الإِساءة الكثيرة، فهو نحو رؤية له، لأنّ دفع المضرّة كالنفع في أنّه مما يُعَدّ 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إذا ربح إنسان في تجارة قليلاً، و خسر في تجارة أُخرى أكثر فأَدّى بعض ديونه من الرِّبح القليل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الظاهر من الآية رؤية جزاء الخير، و هو بالقول بعدم الإِحباط ألصق و أطبق</w:t>
      </w:r>
      <w:r>
        <w:rPr>
          <w:rFonts w:eastAsia="Amiri" w:cs="Amiri" w:ascii="Amiri" w:hAnsi="Amiri"/>
          <w:color w:val="111111"/>
          <w:sz w:val="28"/>
          <w:szCs w:val="28"/>
          <w:rtl w:val="true"/>
          <w:lang w:bidi="ar-SA"/>
        </w:rPr>
        <w:t xml:space="preserve">. </w:t>
      </w:r>
      <w:bookmarkStart w:id="797" w:name="pg11536_164378"/>
    </w:p>
    <w:p>
      <w:pPr>
        <w:pStyle w:val="Heading6"/>
        <w:numPr>
          <w:ilvl w:val="5"/>
          <w:numId w:val="1"/>
        </w:numPr>
        <w:rPr/>
      </w:pPr>
      <w:bookmarkStart w:id="798" w:name="__RefHeading___Toc3907847_73709187"/>
      <w:bookmarkStart w:id="799" w:name="_Toc291"/>
      <w:bookmarkEnd w:id="797"/>
      <w:bookmarkEnd w:id="798"/>
      <w:r>
        <w:rPr>
          <w:rtl w:val="true"/>
        </w:rPr>
        <w:t>سؤال و إجابة</w:t>
      </w:r>
      <w:bookmarkEnd w:id="799"/>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القول بالإحباط مستلزماً للظلم، أو كان مستلزماً لخلف الوعد، فما هو المخلص فيما يدلّ على حبط العمل، في غير مورد من الآيات الّتي ورد فيها أنّ الكفر و الارتداد و الشرك و الإِساءة إلى النبي و غير ذلك ممّا يحبط الحسنات</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الجواب عن هذه الآيات؟ و ما هو تفسيرها؟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ببطلان الإحباط يفسِّرون الآيات بأنّ الاستحقاق في مواردها كان مشروطاً بعدم لحوق العصيان بالطاعات، فإذا عصى الإِنسان و لم يحقِّق الشرط، انكشف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بأنّ الاستحقاق في بدء صدور الطاعات لم يكن مشروطاً بعدم لحوق العصيان، بل كان استقرار الاستحقاق في مستقبل الأيّام، هو المشروط بعدم لحوق المعصية، فإن فُقِد الشرط فُقِد استقرار الاستحقاق و استمراره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الطوسي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معناه أنّها صارت بمنزلة ما لم يكن، </w:t>
      </w:r>
    </w:p>
    <w:p>
      <w:pPr>
        <w:pStyle w:val="BookText"/>
        <w:rPr/>
      </w:pPr>
      <w:r>
        <w:rPr>
          <w:rFonts w:ascii="Amiri" w:hAnsi="Amiri" w:eastAsia="Amiri" w:cs="Amiri"/>
          <w:color w:val="111111"/>
          <w:sz w:val="28"/>
          <w:sz w:val="28"/>
          <w:szCs w:val="28"/>
          <w:rtl w:val="true"/>
          <w:lang w:bidi="ar-SA"/>
        </w:rPr>
        <w:t>لإيقاعهم إيّاها على خلاف الوجه المأمور به، و ليس المراد أنّهم استحقّوا عليها الثواب ثمّ انحبطت، لأنّ الإحباطَ عندنا باطل على هذا الوجه</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يقول الطبرسي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9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حَبِطَ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دلالة على أنّ حبوط الأعمال لا يترتّب على ثبوت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الكافر لا يكون له عمل قد ثبت عليه ثواب، و إنّما يكون له عمل في الظاهر لو لا كفره لكان يستحقّ الثواب عليه، فعبّر سبحانه عن هذا العمل بأنّه حبط، فهو حقيقة معناه</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و يقول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يَقُولُ اَلَّذِينَ آمَنُوا أَ هٰؤُلاٰءِ اَلَّذِينَ أَقْسَمُوا بِاللّٰهِ جَهْدَ أَيْمٰانِهِمْ إِنَّهُمْ لَمَعَكُمْ حَبِطَتْ أَعْمٰالُهُمْ فَأَصْبَحُوا خٰاسِرِينَ</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ضاعت أَعمالهم الّتي عملوها لأنّهم أَوقعوها على خلاف الوجه المأمور به، و بَطَلَ ما أظهروه من الإِيمان، لأنّه لم يوافق باطنُهم ظاهرَهُم، فلم يستحقّوا به الثواب</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ذكره الطبرسي يظهر جواب سؤال آخر، و هو أنّه إذا كان الاستحقاق مشروطاً بعدم صدور العصيان، فإذا صدر يكشف عن عدم </w:t>
      </w:r>
    </w:p>
    <w:p>
      <w:pPr>
        <w:pStyle w:val="BookText"/>
        <w:rPr/>
      </w:pPr>
      <w:r>
        <w:rPr>
          <w:rFonts w:ascii="Amiri" w:hAnsi="Amiri" w:eastAsia="Amiri" w:cs="Amiri"/>
          <w:color w:val="111111"/>
          <w:sz w:val="28"/>
          <w:sz w:val="28"/>
          <w:szCs w:val="28"/>
          <w:rtl w:val="true"/>
          <w:lang w:bidi="ar-SA"/>
        </w:rPr>
        <w:t>الاستحقاق أبداً، فكيف يطلق عليه الإِحباط، و ما الإحباط إلّا الإِبطال و الإسقاط، و لم يكن هناك شيء حتّى يبطل أو يسقط؟</w:t>
      </w:r>
    </w:p>
    <w:p>
      <w:pPr>
        <w:pStyle w:val="BookText"/>
        <w:rPr/>
      </w:pPr>
      <w:r>
        <w:rPr>
          <w:rFonts w:ascii="Amiri" w:hAnsi="Amiri" w:eastAsia="Amiri" w:cs="Amiri"/>
          <w:color w:val="111111"/>
          <w:sz w:val="28"/>
          <w:sz w:val="28"/>
          <w:szCs w:val="28"/>
          <w:rtl w:val="true"/>
          <w:lang w:bidi="ar-SA"/>
        </w:rPr>
        <w:t>و ذلك لأنّ نفس العمل في الظاهر سبب و مقتضٍ، فالإبطال و الإسقاط كما يصدقان مع وجود العلّة التامّة، فهكذا يصدقان مع وجود جزء العلّة و سببها و مقتضيها، و هذا كمن ملك أَرضاً صالحة للزراعة فأَحدث فيها ما أفقدها هذه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على الكفر، و إن كان يُبطل ثواب جميع الأعمال، لكن ليس هذا بالإحباط، بل لاشتراط الموافاة على الإِيمان في استحقاق الثواب على القول بالاستحقاق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إنجاز الوعد بالثواب على القول بعدم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القول في المعاصي الّتي ورد أنّها حابطة لبعض الحسنات من غير قول بالحبط، بل يكون الاستحقاق أَو الوعد مشروطاً بعدم صدور تلك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يبدو لنا من هذه الكلمات إنّ النزاع بين نافي الإحباط و مثبته في هذه الموارد الخاصّة، أشبه بنزاع لفظي، لأنّهما متّفقان على النتيجة و هي عدم ترتّب الثواب على الإيمان و الأعمال الحسنة إذا لحقها الكفر أو بعض الكبائر، غير أنّ النافي يقول بأنّه لم يكن هناك ثواب فعليّ حتّى يحبطه الكفر أو بعض الكبائر، لأنّ ترتّب الثواب أو الاستحقاق كان مشروطاً بشرط غير حاصل، و المثبت له يقول بوجوده فعلاً، لكنّه يسقط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واحدة من النظريّتين فالكافر و المرتكب للكبائر، صفر اليد يوم القيامة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التفسير إنّما نحتاج إليه في جانب الإحباط، و أمّا في جانب </w:t>
      </w:r>
      <w:bookmarkStart w:id="800" w:name="pg11536_164381"/>
    </w:p>
    <w:p>
      <w:pPr>
        <w:pStyle w:val="BookText"/>
        <w:rPr/>
      </w:pPr>
      <w:bookmarkEnd w:id="800"/>
      <w:r>
        <w:rPr>
          <w:rFonts w:ascii="Amiri" w:hAnsi="Amiri" w:eastAsia="Amiri" w:cs="Amiri"/>
          <w:color w:val="111111"/>
          <w:sz w:val="28"/>
          <w:sz w:val="28"/>
          <w:szCs w:val="28"/>
          <w:rtl w:val="true"/>
          <w:lang w:bidi="ar-SA"/>
        </w:rPr>
        <w:t>التكفير فلا حاجة إليه، بل لنا أَن نقول إنّ التوبة و الأعمال المكفِّرة يذهبان العقاب المكتوب على المعاصي من دون حاجة إلى القول بكون الاستحقاق مشروطاً بالموافاة على الكفر، لجواز تفضّله سبحانه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يصحّ القول بالإِحباط و التكفير في كلِّ المعاصي عند النافي، بل يجب عليه تَتَبُّعُ النّصوص، فكلّ معصية وردت في الكتاب أو في الآثار الصحيحة إنّها مذهبة لأثر الإيمان و الحسنة نقول بالاحباط فيها على التفسير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جانب التكفير فلا يمكن لنا أَن نقول إِنّ كلّ حسنة تُذهب السيّئة إلّا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قول المثبت فالظاهر أنّه يقول بأنّ كلّ كبيرة توجب الإحباط للأصل الّذي افترضه صحيحاً و هو خلود مرتكب الكبيرة في النار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دليل النافين للإحباط على الوجه اللائق بكلامهم، و الإجابة عليه</w:t>
      </w:r>
      <w:r>
        <w:rPr>
          <w:rFonts w:eastAsia="Amiri" w:cs="Amiri" w:ascii="Amiri" w:hAnsi="Amiri"/>
          <w:color w:val="111111"/>
          <w:sz w:val="28"/>
          <w:szCs w:val="28"/>
          <w:rtl w:val="true"/>
          <w:lang w:bidi="ar-SA"/>
        </w:rPr>
        <w:t>.</w:t>
      </w:r>
    </w:p>
    <w:p>
      <w:pPr>
        <w:pStyle w:val="Heading6"/>
        <w:numPr>
          <w:ilvl w:val="5"/>
          <w:numId w:val="1"/>
        </w:numPr>
        <w:rPr/>
      </w:pPr>
      <w:bookmarkStart w:id="801" w:name="__RefHeading___Toc3907849_73709187"/>
      <w:bookmarkStart w:id="802" w:name="_Toc292"/>
      <w:bookmarkEnd w:id="801"/>
      <w:r>
        <w:rPr>
          <w:rtl w:val="true"/>
        </w:rPr>
        <w:t>أدلّة مُثبِتي الإِحباط</w:t>
      </w:r>
      <w:bookmarkEnd w:id="80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القاضي على ثبوت الإحباط بوجه عقليّ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أَنّ الثواب</w:t>
      </w:r>
      <w:r>
        <w:rPr>
          <w:rStyle w:val="FootnoteAnchor"/>
          <w:rtl w:val="true"/>
        </w:rPr>
        <w:footnoteReference w:id="945"/>
      </w:r>
      <w:r>
        <w:rPr>
          <w:rFonts w:ascii="Amiri" w:hAnsi="Amiri" w:eastAsia="Amiri" w:cs="Amiri"/>
          <w:color w:val="111111"/>
          <w:sz w:val="28"/>
          <w:sz w:val="28"/>
          <w:szCs w:val="28"/>
          <w:rtl w:val="true"/>
          <w:lang w:bidi="ar-SA"/>
        </w:rPr>
        <w:t>و العقاب يستحقّان على طريق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المكلّف إمّا أن يستحقّ الثواب فيثاب، أَو يستحقّ العقاب فيعاقب، أَو لا يستحقّ الثواب و لا </w:t>
      </w:r>
    </w:p>
    <w:p>
      <w:pPr>
        <w:pStyle w:val="BookText"/>
        <w:rPr/>
      </w:pPr>
      <w:r>
        <w:rPr>
          <w:rFonts w:ascii="Amiri" w:hAnsi="Amiri" w:eastAsia="Amiri" w:cs="Amiri"/>
          <w:color w:val="111111"/>
          <w:sz w:val="28"/>
          <w:sz w:val="28"/>
          <w:szCs w:val="28"/>
          <w:rtl w:val="true"/>
          <w:lang w:bidi="ar-SA"/>
        </w:rPr>
        <w:t>العقاب، فلا يثاب و لا يعاقب، أَو يستحقّ الثواب و العقاب، فيثاب و يعاقب دفعة واحدة، أَو يؤثّر الأكثر في الأقلّ على ما نقوله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أن لا يستحقّ الثواب و لا العقاب، فإنّ ذلك خلاف ما اتّفقت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يستحقّ الثواب و العقاب معاً فيكون مثاباً و معاقباً دفعة واحدة، لأنّ ذلك مستحيل و المستحيل ممّا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إلّا ما ذكرناه من أنّ الأقلّ يسقط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يقوله الشيخان أبو عليّ و أبو هاشم و لا يختلفان فيه، و إنّما الخلاف بينهما في كيفيّة ذلك</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استحقاق العقاب على وجه الدوام، و هو مبنيّ على أنّ مرتكب الكبيرة مُخلّد في النار، و بما أنّ الأساس باطل، فيبطل ما بنى عليه، فلا دليل على دوام استحقاق العقاب، و على ذلك فالحصر غير حاصر، و أنّ هنا شقّاً سادساً ترك في كلامه و هو أنّه يستحقّ الثواب و العقاب معاً لكن لا دفعة واحدة، بل يعاقب مدّة ثمّ يخرج من النار فيثاب بالجنّة على ما عليه جمهور المسلمين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القاضي عبد الجبّار وجهاً عقليّاً آخر للإِحباط عن الشيخ أبي عليّ و أجاب عنه، فلاحظ</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803" w:name="pg11536_164383"/>
    </w:p>
    <w:p>
      <w:pPr>
        <w:pStyle w:val="Heading6"/>
        <w:numPr>
          <w:ilvl w:val="5"/>
          <w:numId w:val="1"/>
        </w:numPr>
        <w:rPr/>
      </w:pPr>
      <w:bookmarkStart w:id="804" w:name="__RefHeading___Toc3907851_73709187"/>
      <w:bookmarkStart w:id="805" w:name="_Toc293"/>
      <w:bookmarkEnd w:id="803"/>
      <w:bookmarkEnd w:id="804"/>
      <w:r>
        <w:rPr>
          <w:rtl w:val="true"/>
        </w:rPr>
        <w:t>تحليل لمسألة الإِحباط</w:t>
      </w:r>
      <w:bookmarkEnd w:id="805"/>
    </w:p>
    <w:p>
      <w:pPr>
        <w:pStyle w:val="BookText"/>
        <w:rPr/>
      </w:pPr>
      <w:r>
        <w:rPr>
          <w:rFonts w:ascii="Amiri" w:hAnsi="Amiri" w:eastAsia="Amiri" w:cs="Amiri"/>
          <w:color w:val="111111"/>
          <w:sz w:val="28"/>
          <w:sz w:val="28"/>
          <w:szCs w:val="28"/>
          <w:rtl w:val="true"/>
          <w:lang w:bidi="ar-SA"/>
        </w:rPr>
        <w:t>و هاهنا تحليل آخر للمسألة و هو أَنّ في الثواب و العقاب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من قبيل الأُمور الوضعيّة الجعليّة، كجعل الأُجرة للعامل، و العقاب للمتخلّف في هذه النشأة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مخلوقان لنفس الإنسان حسب الملكات الّتي اكتسبها في هذه الدنيا، بحيث لا يمكن لصاحب هذه الملكة، السُّكون و الهدوء إلّا بفعل ما يناسبها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الثواب و العقاب في الآخرة عبارة عن تمثّل العمل في الآخرة و تجلّيه فيها بوجوده الأُخروي من دون أَن يكون للنفس دور في تلك الحياة في تجلّي هذه الأعمال بتلك الصور، بل هي من ملازمات وجود الإنسان المحشور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قلنا بالوجه الأوّل، كان لما نقلناه من نفاة الحبط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الاستحقاق أو استمراره مشروط بعدم الإتيان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حسن، لأنّ الأُمور الوضعيّة، رفعها و وضعها و تبسيطها و تضييقها، بيد المقنِّن و المشرع، و عندئذ يُجمع بين حكم العقل بلزوم الوفاء بالوعد، و ما دلّ من الآيات على وجود الإحباط في موارد مختلفة، كما سيوافيك</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حاصل الجمع، و هو أَنّ إطلاق الإحباط ليس لإبطال </w:t>
      </w:r>
    </w:p>
    <w:p>
      <w:pPr>
        <w:pStyle w:val="BookText"/>
        <w:rPr/>
      </w:pPr>
      <w:r>
        <w:rPr>
          <w:rFonts w:ascii="Amiri" w:hAnsi="Amiri" w:eastAsia="Amiri" w:cs="Amiri"/>
          <w:color w:val="111111"/>
          <w:sz w:val="28"/>
          <w:sz w:val="28"/>
          <w:szCs w:val="28"/>
          <w:rtl w:val="true"/>
          <w:lang w:bidi="ar-SA"/>
        </w:rPr>
        <w:t>استحقاق الإنسان الثواب، بل لم يكن مستحقّاً من رأس لعدم تحقُّق شرط الثواب، و أمّا مصحِّح تسميته بالإحباط فقد عرفته أَيضاً، و هو أَنّ ظاهر العمل كان يحكي عن الثواب و كان جزء علّة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بالوجه الثاني، و حاصله أَنّ الملكات الحسنة و السيّئة الّتي تعدّ فعليّات للنّفس، تحصل بسبب الحسنات و السيّئات الّتي كانت تصدر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قامت بفعل الحسنات، تحصل فيها صورة معنويّة مقتضية لخلق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إذا صدر منها سيّئة، تقوم بها صورة معنويّة تصلح لأن تكون مبدأ لخلق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الإنسان في معرض التحوّل و التغيّر من حيث الملكات النفسانيّة، حسب ما يفعل من الحسنات و السيّئات، فإنّ من الممكن بُطلان صورة موجودة في النفس و تبدُّلها إلى صورة غيرها ما دامت تعيش في هذه النشأة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تقف الحركة و يبطل التّحوّل عند موافاة الموت، فعند ذلك تثبت لها الصور بلا تغيير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بهذا الوجه، كان الإحباط على وفق القاعدة، لأنّ الجزاء في الآخرة، إِذا كان فعل النفس و إِيجادها، فهو يتبع الصورة الأخيرة للنفس، الّتي اكتسبتها قبل الموت، فإن كانت صورة معنويّة مناسبة للثواب فالنفس منعّمة في الثواب من دون مقابلة بالعقاب، لأنّ الصورة المناسبة للعقاب قد بطلت بصورة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انعكست الصورة انعكس الحُكم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قلنا بالوجه الثالث، و هو تَجَسّم الأعمال و تمثّلها في الآخرة </w:t>
      </w:r>
      <w:bookmarkStart w:id="806" w:name="pg11536_164385"/>
    </w:p>
    <w:p>
      <w:pPr>
        <w:pStyle w:val="BookText"/>
        <w:rPr/>
      </w:pPr>
      <w:bookmarkEnd w:id="806"/>
      <w:r>
        <w:rPr>
          <w:rFonts w:ascii="Amiri" w:hAnsi="Amiri" w:eastAsia="Amiri" w:cs="Amiri"/>
          <w:color w:val="111111"/>
          <w:sz w:val="28"/>
          <w:sz w:val="28"/>
          <w:szCs w:val="28"/>
          <w:rtl w:val="true"/>
          <w:lang w:bidi="ar-SA"/>
        </w:rPr>
        <w:t>بالوجود المماثل لها، فالقول بعدم الإحباط هو الموافق للقاعدة، إذ لا معنى للإِبطال في النشأة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الكلام كلّه في انحصار الثواب و العقاب بهذين الوجهين الأخيرين</w:t>
      </w:r>
      <w:r>
        <w:rPr>
          <w:rFonts w:eastAsia="Amiri" w:cs="Amiri" w:ascii="Amiri" w:hAnsi="Amiri"/>
          <w:color w:val="111111"/>
          <w:sz w:val="28"/>
          <w:szCs w:val="28"/>
          <w:rtl w:val="true"/>
          <w:lang w:bidi="ar-SA"/>
        </w:rPr>
        <w:t>.</w:t>
      </w:r>
      <w:r>
        <w:rPr>
          <w:rStyle w:val="FootnoteAnchor"/>
          <w:rtl w:val="true"/>
        </w:rPr>
        <w:footnoteReference w:id="948"/>
      </w:r>
    </w:p>
    <w:p>
      <w:pPr>
        <w:pStyle w:val="Heading6"/>
        <w:numPr>
          <w:ilvl w:val="5"/>
          <w:numId w:val="1"/>
        </w:numPr>
        <w:rPr/>
      </w:pPr>
      <w:bookmarkStart w:id="807" w:name="__RefHeading___Toc3907853_73709187"/>
      <w:bookmarkStart w:id="808" w:name="_Toc294"/>
      <w:bookmarkEnd w:id="807"/>
      <w:r>
        <w:rPr>
          <w:rtl w:val="true"/>
        </w:rPr>
        <w:t>عوامل الإحباط و أَسبابه</w:t>
      </w:r>
      <w:bookmarkEnd w:id="808"/>
    </w:p>
    <w:p>
      <w:pPr>
        <w:pStyle w:val="BookText"/>
        <w:rPr/>
      </w:pPr>
      <w:r>
        <w:rPr>
          <w:rFonts w:ascii="Amiri" w:hAnsi="Amiri" w:eastAsia="Amiri" w:cs="Amiri"/>
          <w:color w:val="111111"/>
          <w:sz w:val="28"/>
          <w:sz w:val="28"/>
          <w:szCs w:val="28"/>
          <w:rtl w:val="true"/>
          <w:lang w:bidi="ar-SA"/>
        </w:rPr>
        <w:t>البحث عن عوامل الإِحباط و أَسبابه، بحث نقليّ يتوقّف على السبر و الفحص في الكتاب و السنّة، و نكتفي في المقام بما جاء في الكتاب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الارتداد بعد الإِسلام</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المقارن بالعمل</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 شٰاهِدِينَ عَلىٰ أَنْفُسِهِمْ بِالْكُفْرِ أُولٰئِكَ حَبِطَتْ أَعْمٰالُهُمْ وَ فِي اَلنّٰارِ هُمْ خٰالِدُونَ</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كان المشركون يزعمون أَنّ العمل الصالح بنفسه موجب للثواب، غير أنّ القرآن شطب على هذه العقيدة، و صرّح بأنّ الثواب يترتّب على العمل الصالح، إذا صدر من فاعل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اتبع سبحانه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 اَلْيَوْمِ اَلْآخِرِ</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كراهة ما أنزل اللّٰه</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كَفَرُوا فَتَعْساً لَهُمْ وَ أَضَلَّ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 عن سبيل اللّٰه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مجادلة الرسول و مشاقّته</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هذه العوامل الثلاثة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 صَدُّوا عَنْ سَبِيلِ اَللّٰهِ وَ شَاقُّوا اَلرَّسُولَ مِنْ بَعْدِ مٰا تَبَيَّنَ لَهُمُ اَلْهُدىٰ لَنْ يَضُرُّوا اَللّٰهَ شَيْئاً وَ سَيُحْبِطُ أَعْمٰالَهُمْ</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هل كلٌّ منها عاملٌ مستقلٌّ، أَو أَنّ هنا عاملاً واحداً هو الكفر، و يكون حينئذ الصدُّ عن سبيل اللّٰه و مشاقّة الرّسول من آثار الكفر، فهم كفروا، فصدوا و شاقّوا؟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فيما لو صَدّ إنسانٌ عن سبيل اللّٰه لأغراض دنيويّة، أَو شاقّ الرسولَ لحالة نفسانيّة مع اعتقاده التام بنبوّة ذاك الرسول و قبح عمل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باستقلال كلّ منها في الحبط، يحبط عمله، و إلّا فلا، و بما أَنّ الآية ليست في مقام البيان، بل تحكي عمل قوم كانت لهم هذه الشئون فلا يمكن استظهار استقلال كلّ منها في الحبط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القول بالاستقلال من باب الأولويّة، و ذلك أنّه إذا كان رفع الصوت فوق صوت النبي من عوامل الإحباط كما سيأتي فكيف لا يكون الصدّ و المشاوقة من عوامله؟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الأنبياء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الآمرين بالقِسط من الناس</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حَبِطَتْ أَعْمٰالُهُمْ فِي اَلدُّنْيٰا وَ اَلْآخِرَةِ وَ مٰا لَهُمْ مِنْ نٰاصِرِينَ</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إساءة الأدب مع النبي صلى الله عليه و آله و سلم</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 وَ لاٰ تَجْهَرُوا لَهُ بِالْقَوْلِ كَجَهْرِ بَعْضِكُمْ لِبَعْضٍ أَنْ تَحْبَطَ أَعْمٰالُكُمْ وَ أَنْتُمْ لاٰ تَشْعُرُونَ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يُتصوّر أَنّ رفع الصوت ليس عاملاً مستقلّاً في الإحباط، بل هو كاشف عن كفر الرافع، و لكنّه احتمال ضعيف، لأنّ الآية تخاطب المؤمنين به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الالتزام بأنّ كلّ إساءة بالنسبة إلى النبي تُحبط الأعمال الصالحة</w:t>
      </w:r>
      <w:r>
        <w:rPr>
          <w:rStyle w:val="FootnoteAnchor"/>
          <w:rtl w:val="true"/>
        </w:rPr>
        <w:footnoteReference w:id="956"/>
      </w:r>
      <w:r>
        <w:rPr>
          <w:rFonts w:ascii="Amiri" w:hAnsi="Amiri" w:eastAsia="Amiri" w:cs="Amiri"/>
          <w:color w:val="111111"/>
          <w:sz w:val="28"/>
          <w:sz w:val="28"/>
          <w:szCs w:val="28"/>
          <w:rtl w:val="true"/>
          <w:lang w:bidi="ar-SA"/>
        </w:rPr>
        <w:t>، إِلّا إِذا كانت هتكاً في نظر العامّة، و تحقيراً له في أَوساط المسلمين، كما هو الظاهر من أَسباب نزول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الإقبال على الدُّنيا و الإعراض عن الآخرة</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يمكن أَن يقال إنّ الإقبال على الدنيا بهذا النحو الّذي جاء في الآية يساوق الكفر، أَو يساوق ترك الفرائض، و التوغّل في الموبقات، فتكون إِرادة الحياة الدنيا و زينتها إشارة إلى العامل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الآخرة</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كَذَّبُوا بِآيٰاتِنٰا وَ لِقٰاءِ اَلْآخِرَةِ حَبِطَتْ أَعْمٰالُهُمْ</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فرع من فروع الكفر و ليس عاملاً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النِّفاق</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يَعْلَمُ اَللّٰهُ اَلْمُعَوِّقِينَ مِنْكُمْ وَ اَلْقٰائِلِينَ لِإِخْوٰانِهِمْ هَلُمَّ إِلَيْنٰا وَ لاٰ يَأْتُونَ اَلْبَأْسَ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لَمْ يُؤْمِنُوا فَأَحْبَطَ اَللّٰهُ أَعْمٰالَهُمْ وَ كٰانَ ذٰلِكَ عَلَى اَللّٰهِ يَسِيراً</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لِإِخْوٰانِهِمْ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أَنّهم لم يكونوا مؤمنين، بل كانوا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يصرّح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فيَرجع النفاق إلى عامل الكفر و عدم الإِيمان، و ليس سبباً مستقلاً</w:t>
      </w:r>
      <w:r>
        <w:rPr>
          <w:rFonts w:eastAsia="Amiri" w:cs="Amiri" w:ascii="Amiri" w:hAnsi="Amiri"/>
          <w:color w:val="111111"/>
          <w:sz w:val="28"/>
          <w:szCs w:val="28"/>
          <w:rtl w:val="true"/>
          <w:lang w:bidi="ar-SA"/>
        </w:rPr>
        <w:t xml:space="preserve">. </w:t>
      </w:r>
      <w:bookmarkStart w:id="809" w:name="pg11536_164390"/>
    </w:p>
    <w:p>
      <w:pPr>
        <w:pStyle w:val="BookText"/>
        <w:rPr/>
      </w:pPr>
      <w:bookmarkEnd w:id="809"/>
      <w:r>
        <w:rPr>
          <w:rFonts w:ascii="Amiri" w:hAnsi="Amiri" w:eastAsia="Amiri" w:cs="Amiri"/>
          <w:color w:val="111111"/>
          <w:sz w:val="28"/>
          <w:sz w:val="28"/>
          <w:szCs w:val="28"/>
          <w:rtl w:val="true"/>
          <w:lang w:bidi="ar-SA"/>
        </w:rPr>
        <w:t>هذه هي أبرز أسباب الإِحباط في الذكر الحكيم، و قد عرفت إمكان إدغام البعض في البعض، و على كلِّ تقدير، فالإحباط هنا هو بطلان أَثر المقتضي، لا إبطال أَثر ثابت بالفعل، كما تقدّم</w:t>
      </w:r>
      <w:r>
        <w:rPr>
          <w:rFonts w:eastAsia="Amiri" w:cs="Amiri" w:ascii="Amiri" w:hAnsi="Amiri"/>
          <w:color w:val="111111"/>
          <w:sz w:val="28"/>
          <w:szCs w:val="28"/>
          <w:rtl w:val="true"/>
          <w:lang w:bidi="ar-SA"/>
        </w:rPr>
        <w:t>.</w:t>
      </w:r>
      <w:r>
        <w:rPr>
          <w:rStyle w:val="FootnoteAnchor"/>
          <w:rtl w:val="true"/>
        </w:rPr>
        <w:footnoteReference w:id="960"/>
      </w:r>
    </w:p>
    <w:p>
      <w:pPr>
        <w:pStyle w:val="Heading6"/>
        <w:numPr>
          <w:ilvl w:val="5"/>
          <w:numId w:val="1"/>
        </w:numPr>
        <w:rPr/>
      </w:pPr>
      <w:bookmarkStart w:id="810" w:name="__RefHeading___Toc3907855_73709187"/>
      <w:bookmarkStart w:id="811" w:name="_Toc295"/>
      <w:bookmarkEnd w:id="810"/>
      <w:r>
        <w:rPr/>
        <w:t>2</w:t>
      </w:r>
      <w:r>
        <w:rPr>
          <w:rtl w:val="true"/>
        </w:rPr>
        <w:t xml:space="preserve"> - </w:t>
      </w:r>
      <w:r>
        <w:rPr>
          <w:rtl w:val="true"/>
        </w:rPr>
        <w:t>التكفير</w:t>
      </w:r>
      <w:bookmarkEnd w:id="811"/>
    </w:p>
    <w:p>
      <w:pPr>
        <w:pStyle w:val="BookText"/>
        <w:rPr/>
      </w:pPr>
      <w:r>
        <w:rPr>
          <w:rFonts w:ascii="Amiri" w:hAnsi="Amiri" w:eastAsia="Amiri" w:cs="Amiri"/>
          <w:color w:val="111111"/>
          <w:sz w:val="28"/>
          <w:sz w:val="28"/>
          <w:szCs w:val="28"/>
          <w:rtl w:val="true"/>
          <w:lang w:bidi="ar-SA"/>
        </w:rPr>
        <w:t>التكفير هو إسقاط ذنوب الأفعال المتقدّمة بثواب الطاعات المتأَخِّرة، و هو لا يعدّ ظلماً، لأنّ العقاب حقّ للمولى، و إسقاط الحقّ ليس ظلماً بل إحسان، و قد عرفت أَنّ خلف الوعيد ليس بقبيح و إنّما القبيح خلف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لا حاجة إلى تقييد استحقاق العقاب أو استمرار استحقاقه بعدم تعقّب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الاستحقاق و استمراره ثابتان، غير أَنّ المولى سبحانه، تَفَضّلاً منه، عفا عن عبده لفعله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تَتَّقُوا اَللّٰهَ يَجْعَلْ لَكُمْ فُرْقٰاناً وَ يُكَفِّرْ عَنْكُمْ سَيِّئٰاتِكُمْ وَ يَغْفِرْ لَكُمْ وَ اَللّٰهُ ذُو اَلْفَضْلِ اَلْعَظِيمِ</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آمَنُوا وَ عَمِلُوا اَلصّٰالِحٰاتِ وَ آمَنُوا بِمٰا نُزِّلَ </w:t>
      </w:r>
    </w:p>
    <w:p>
      <w:pPr>
        <w:pStyle w:val="BookText"/>
        <w:rPr/>
      </w:pPr>
      <w:r>
        <w:rPr>
          <w:rFonts w:ascii="Amiri" w:hAnsi="Amiri" w:eastAsia="Amiri" w:cs="Amiri"/>
          <w:color w:val="111111"/>
          <w:sz w:val="28"/>
          <w:sz w:val="28"/>
          <w:szCs w:val="28"/>
          <w:rtl w:val="true"/>
          <w:lang w:bidi="ar-SA"/>
        </w:rPr>
        <w:t>عَلىٰ مُحَمَّدٍ وَ هُوَ اَلْحَقُّ مِنْ رَبِّهِمْ كَفَّرَ عَنْهُمْ سَيِّئٰاتِهِمْ وَ أَصْلَحَ بٰالَهُمْ</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يمكن استفادة الإطلاق من هذه الآيات، و أَنّ كلّ معصية تكفَّر، لأنّها بصدد بيان تشريع التكفير، و أمّا شروطه و بيان المعاصي الّتي تكفّر دون غيرها، فلا يستفاد منها، و إنّما الظاهر من الآية الأُولى هو اشتراط تكفير الذنوب الصغيرة باجتناب الكبيرة منها، و من الآية الثانية اشتراط تكفير السيئات بالتّقوى، و من الثالثة تكفير السيّئات للّذين آمنوا و عملوا الصالحات و آمنوا بما نُزِّل على الرسول الأكرم صلى الله عليه و آله و سلم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الكراجكي بسنده عن الإمام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عليه فضل، و هو من أَهل التقوى، و لم يشرك باللّٰه تعالى، و اتّقى الشرك به، فهو من أَهل المغفرة، يغفر اللّٰه له برحمته إن شاء و يتفضّل عليه بعفوه</w:t>
      </w:r>
      <w:r>
        <w:rPr>
          <w:rFonts w:eastAsia="Amiri" w:cs="Amiri" w:ascii="Amiri" w:hAnsi="Amiri"/>
          <w:color w:val="111111"/>
          <w:sz w:val="28"/>
          <w:szCs w:val="28"/>
          <w:rtl w:val="true"/>
          <w:lang w:bidi="ar-SA"/>
        </w:rPr>
        <w:t>».</w:t>
      </w:r>
      <w:r>
        <w:rPr>
          <w:rStyle w:val="FootnoteAnchor"/>
          <w:rtl w:val="true"/>
        </w:rPr>
        <w:footnoteReference w:id="964"/>
      </w:r>
      <w:bookmarkStart w:id="812" w:name="pg11536_164392"/>
    </w:p>
    <w:p>
      <w:pPr>
        <w:pStyle w:val="Heading4"/>
        <w:numPr>
          <w:ilvl w:val="3"/>
          <w:numId w:val="1"/>
        </w:numPr>
        <w:rPr/>
      </w:pPr>
      <w:bookmarkStart w:id="813" w:name="__RefHeading___Toc3907857_73709187"/>
      <w:bookmarkStart w:id="814" w:name="_Toc296"/>
      <w:bookmarkEnd w:id="812"/>
      <w:bookmarkEnd w:id="813"/>
      <w:r>
        <w:rPr>
          <w:rtl w:val="true"/>
        </w:rPr>
        <w:t>الأصل الرابع</w:t>
      </w:r>
      <w:r>
        <w:rPr>
          <w:rtl w:val="true"/>
        </w:rPr>
        <w:t xml:space="preserve">: </w:t>
      </w:r>
      <w:r>
        <w:rPr>
          <w:rtl w:val="true"/>
        </w:rPr>
        <w:t>المنزلة بين المنزلتين</w:t>
      </w:r>
      <w:bookmarkEnd w:id="814"/>
    </w:p>
    <w:p>
      <w:pPr>
        <w:pStyle w:val="BookText"/>
        <w:rPr/>
      </w:pPr>
      <w:r>
        <w:rPr>
          <w:rFonts w:ascii="Amiri" w:hAnsi="Amiri" w:eastAsia="Amiri" w:cs="Amiri"/>
          <w:color w:val="111111"/>
          <w:sz w:val="28"/>
          <w:sz w:val="28"/>
          <w:szCs w:val="28"/>
          <w:rtl w:val="true"/>
          <w:lang w:bidi="ar-SA"/>
        </w:rPr>
        <w:t>إنّ هذا الأصل يهدف إلى أنّ صاحب الكبيرة لا يسمّى مؤمناً، كما عليه جمهور المسلمين، و لا كافراً كما عليه الخوارج، و إنّما يسمّى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حيث الإيمان و الكفر في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اسمه اسم الكافر و لا اسمه اسم المؤمن، و إنّما يسمّى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فلا يكون حكمه حكم الكافر و لا حكم المؤمن، بل يفرد له حكم ثالث و هذا الحكم الّذي ذكرناه هو سبب تلقيب المسألة بالمنزلة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صاحب الكبيرة له منزلة تتجاذبها هاتان المنزلتان، فليست منزلته منزلة الكافر، و لا منزلة المؤمن، بل له منزلة بينهما</w:t>
      </w:r>
      <w:r>
        <w:rPr>
          <w:rFonts w:eastAsia="Amiri" w:cs="Amiri" w:ascii="Amiri" w:hAnsi="Amiri"/>
          <w:color w:val="111111"/>
          <w:sz w:val="28"/>
          <w:szCs w:val="28"/>
          <w:rtl w:val="true"/>
          <w:lang w:bidi="ar-SA"/>
        </w:rPr>
        <w:t>».</w:t>
      </w:r>
      <w:r>
        <w:rPr>
          <w:rStyle w:val="FootnoteAnchor"/>
          <w:rtl w:val="true"/>
        </w:rPr>
        <w:footnoteReference w:id="965"/>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قسّم المكلّف من حيث استحقاق الثواب و العقاب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مستحقّاً للثواب فهو من أولياء اللّٰه، و إمّا أن يكون مستحقّاً للعقاب فهو من أعداء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الثاني إمّا أن يكون مستحقّاً للعقاب العظيم فهو الكافر و المنافق و المرتدّ، و إمّا أن يكون مستحقّاً لعقاب دون ذلك سمّي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المرتكب للكبيرة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الأساس لإخراج الفاسق عن المؤمن هو جعل العمل جزءاً من الإيمان، و على هذا فإذا ترك فريضة أو ارتكب حراماً يخرج من عداد المؤمنين و فيه تشترك المعتزلة و الخوارج، و لكن تنشعب المعتزلة عن الخوارج بقولهم إنّه لا مؤمن و لا كافر، بل في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المنزلتين، و لكنّه عند الخوارج ليس بمؤمن بل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استدلّوا على كونه ليس بمؤمن بوجوه نأتي بها مع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مناظرة واصل بن عطاء مع عمرو بن عبيد من اختلاف المسلمين في سائر الأسماء و اتّفاقهم على كونه فاسقاً، فنأخذ بالمجمع عليه و نطرح ما اختلفوا فيه، حيث إنّهم اختلفوا في كونه مؤمناً أو كافراً أو منافقاً، و لكن اتّفقوا في كونه فاسقاً، فنأخذ بالمتيقّن و نطرح المختلف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ضعف هذا الدّليل فلا نعيده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القاضي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معناه اللّغوي إلى معنى آخر و صار بالشرع اسماً لمن يستحقّ المدح و التعظيم، و الدليل على ذلك أنّه تعالى لم يذكر اسم المؤمن إلّا و قد قرن إليه المدح و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p>
    <w:p>
      <w:pPr>
        <w:pStyle w:val="BookText"/>
        <w:rPr/>
      </w:pPr>
      <w:r>
        <w:rPr>
          <w:rFonts w:ascii="Amiri" w:hAnsi="Amiri" w:eastAsia="Amiri" w:cs="Amiri"/>
          <w:color w:val="111111"/>
          <w:sz w:val="28"/>
          <w:sz w:val="28"/>
          <w:szCs w:val="28"/>
          <w:rtl w:val="true"/>
          <w:lang w:bidi="ar-SA"/>
        </w:rPr>
        <w:t>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96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 رَسُولِهِ وَ إِذٰا كٰانُوا مَعَهُ عَلىٰ أَمْرٍ جٰامِعٍ لَمْ يَذْهَبُوا حَتّٰى يَسْتَأْذِنُوهُ</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لفظ المسلم فهو منقول إلى من يستحقّ المدح 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ادّعاء محض غير مقترن بالدليل ناش من خلط الأثر بذي الأثر، و لو صحّ لوجب أن يقول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موضوع لمعراج المؤمن، و الصوم للجُنّة من النار، و الزكاة لتنمية المال،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تنمية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فساد ما ذكره أنّه لو صحّ لوجب أن يصحّ وضع الممدوح مكان المؤمن في الآيات التالية، مع أنّه لا يقبله أيّ ذوق سليم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لَعَبْدٌ مُؤْمِنٌ خَيْرٌ مِنْ مُشْرِكٍ</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من القاضي كيف غفل عن الآيات الّتي ذكر فيها متعلّق الإيمان، و معه لا يمكن حمله إلّا على أنّه بمعنى الإذعان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ذٰا عَلَيْهِمْ لَوْ آمَنُوا بِاللّٰهِ وَ اَلْيَوْمِ اَلْآخِرِ</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بِاللّٰهِ وَ رُسُلِهِ وَ لَمْ يُفَرِّقُوا بَيْنَ أَحَدٍ مِنْهُمْ</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بِاللّٰهِ وَ اِعْتَصَمُوا بِهِ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الّتي لا تبقي شكّاً في أنّ الإيمان بمعنى الإذعان مطلقاً، و في المقام بمعنى الإيمان باللّٰه و اليوم الآخر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أنّه سبحانه لم يذكر اسم المؤمن إلّا و قد قرن إليه المدح و التّعظيم منقوض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يُؤْمِنْ بِاللّٰهِ وَ يَعْمَلْ صٰالِحاً يُكَفِّرْ عَنْهُ سَيِّئٰاتِهِ</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 لَمْ يَلْبِسُوا إِيمٰانَهُمْ بِظُلْمٍ أُولٰئِكَ لَهُمُ اَلْأَمْنُ</w:t>
      </w:r>
      <w:r>
        <w:rPr>
          <w:rFonts w:eastAsia="Amiri" w:cs="Amiri" w:ascii="Amiri" w:hAnsi="Amiri"/>
          <w:color w:val="111111"/>
          <w:sz w:val="28"/>
          <w:szCs w:val="28"/>
          <w:rtl w:val="true"/>
          <w:lang w:bidi="ar-SA"/>
        </w:rPr>
        <w:t>»</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يلبسوا إيمانهم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احترازيّ لا توضيحيّ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إليه أنّ الإيمان ذو درجات و مراتب، فالمدح المطلق للدرجة العليا و المدح النسبي للدرجات التالية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تقسيم الناس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يستحقّ الثّواب، و من يستحقّ العقاب، لا يصدقه القرآن، بل هناك قسم ثالث و هو عبارة عمّن يستحقّ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اِعْتَرَفُوا بِذُنُوبِهِمْ خَلَطُوا عَمَلاً صٰالِحاً وَ آخَرَ سَيِّئاً عَسَى اَللّٰهُ أَنْ يَتُوبَ عَلَيْهِمْ إِنَّ اَللّٰهَ غَفُورٌ رَحِيمٌ</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فلأجل كونه ذا عمل صالح يستحقّ الثواب قطعاً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و يستحقّ العقاب لكونه ذا عمل 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القاضي عطف على دليله السابق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لفظ المؤمن باقياً على ما كان عليه في اللّغة لكان يجب إذا صدّق المرء غيره أو آمنه من الخوف أن يسمّى مؤمناً و إن 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يجب أن لا يسمّى الأخرس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لكان أن لا يجري على النائِم و الساهي، لأنّ الانقياد غير مقصود منهما</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لكان يجب أن لا يسمّى الآن بهذا الاسم إلّا المشتغل به دون من </w:t>
      </w:r>
    </w:p>
    <w:p>
      <w:pPr>
        <w:pStyle w:val="BookText"/>
        <w:rPr/>
      </w:pPr>
      <w:r>
        <w:rPr>
          <w:rFonts w:ascii="Amiri" w:hAnsi="Amiri" w:eastAsia="Amiri" w:cs="Amiri"/>
          <w:color w:val="111111"/>
          <w:sz w:val="28"/>
          <w:sz w:val="28"/>
          <w:szCs w:val="28"/>
          <w:rtl w:val="true"/>
          <w:lang w:bidi="ar-SA"/>
        </w:rPr>
        <w:t>سبق منه الإسلام، و لازمه أن لا نسمّي أصحاب رسول اللّٰه صلى الله عليه و آله و سلم مؤمنين</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عليلة جدّاً لا تليق بمقام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فالمؤمن هو المذعن المصدّق، و يختلف متعلّقه بحسب اختلاف الموارد، فإذا أُطلق في عرف اللّغة يراد منه نفس المذعن، سواء كان متعلّقه هو اللّٰه سبحانه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في عرف الشرع و المتشرّعة و مصطلح القرآن و الحديث، فالمراد هو الإذعان باللّٰه و اليوم الآخر و رسالة الرسول الخاتم، فالّذي يصدق شخصاً في قضية من القضايا مؤمن حسب اللّغة، و ليس كذلك حسب مصطلح الشرع و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الأخرس فهو مؤمن لكشف إشاراته عن إذعانه، و النائم و الساهي مؤمنان لوجود الإذعان في روحهما، غاية الأمر يكون النوم و السهو مانعين عن بروزهما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مات مؤمناً فهو أيضاً مؤمن بلحاظ حال النسبة، لا حال التكلّم، فالضارب و القاتل في اليوم الماضي يطلق عليهما المشتقّ باعتبار زمان النسبة لا باعتبار زمان التكلّم، و الشجرة المثمرة في الشتاء مثمرة بلحاظ حال النسبة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القاضي استدلّ بآيات ربّما يستظهر منها دخول الأعمال في الإيمان، فقد أوضحنا مداليلها عند البحث عن عقائد المرجئة، فلا نطيل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هناك اختلافاً بين نفس المعتزلة، فذهب أبو الهذيل إلى أنّ الإيمان عبارة عن أداء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و النوافل، و اجتناب المقبّحات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خيرة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الجبّائيان أنّه عبارة عن أداء الطّاعات، الفرائض دون النوافل، و اجتناب المقبّحات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ضعف الكلّ عند البحث عن المرجئة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بحث و هو الإجابة عن الاستدلالات الّتي تمسّك بها الخوارج على أنّ مرتكب الكبائر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نبحث عنها في الجزء</w:t>
      </w:r>
      <w:r>
        <w:rPr>
          <w:rStyle w:val="FootnoteAnchor"/>
          <w:rtl w:val="true"/>
        </w:rPr>
        <w:footnoteReference w:id="981"/>
      </w:r>
      <w:r>
        <w:rPr>
          <w:rFonts w:ascii="IRNazanin" w:hAnsi="IRNazanin" w:eastAsia="IRNazanin"/>
          <w:color w:val="111111"/>
          <w:sz w:val="28"/>
          <w:sz w:val="28"/>
          <w:szCs w:val="28"/>
          <w:rtl w:val="true"/>
          <w:lang w:bidi="fa-IR"/>
        </w:rPr>
        <w:t>المختصّ بعقائدهم، فانتظر</w:t>
      </w:r>
      <w:r>
        <w:rPr>
          <w:rFonts w:eastAsia="IRNazanin" w:cs="IRNazanin"/>
          <w:color w:val="111111"/>
          <w:sz w:val="28"/>
          <w:szCs w:val="28"/>
          <w:rtl w:val="true"/>
          <w:lang w:bidi="fa-IR"/>
        </w:rPr>
        <w:t xml:space="preserve">. </w:t>
      </w:r>
      <w:bookmarkStart w:id="815" w:name="pg11536_164399"/>
    </w:p>
    <w:p>
      <w:pPr>
        <w:pStyle w:val="Heading4"/>
        <w:numPr>
          <w:ilvl w:val="3"/>
          <w:numId w:val="1"/>
        </w:numPr>
        <w:rPr/>
      </w:pPr>
      <w:bookmarkStart w:id="816" w:name="__RefHeading___Toc3907859_73709187"/>
      <w:bookmarkStart w:id="817" w:name="_Toc297"/>
      <w:bookmarkEnd w:id="815"/>
      <w:bookmarkEnd w:id="816"/>
      <w:r>
        <w:rPr>
          <w:rtl w:val="true"/>
        </w:rPr>
        <w:t>الأصل الخامس</w:t>
      </w:r>
      <w:r>
        <w:rPr>
          <w:rtl w:val="true"/>
        </w:rPr>
        <w:t xml:space="preserve">: </w:t>
      </w:r>
      <w:r>
        <w:rPr>
          <w:rtl w:val="true"/>
        </w:rPr>
        <w:t>الأمر بالمعروف و النّهي عن المنكر</w:t>
      </w:r>
      <w:bookmarkEnd w:id="817"/>
    </w:p>
    <w:p>
      <w:pPr>
        <w:pStyle w:val="BookText"/>
        <w:rPr/>
      </w:pPr>
      <w:r>
        <w:rPr>
          <w:rFonts w:ascii="Amiri" w:hAnsi="Amiri" w:eastAsia="Amiri" w:cs="Amiri"/>
          <w:color w:val="111111"/>
          <w:sz w:val="28"/>
          <w:sz w:val="28"/>
          <w:szCs w:val="28"/>
          <w:rtl w:val="true"/>
          <w:lang w:bidi="ar-SA"/>
        </w:rPr>
        <w:t>هذا هو الأصل الخامس من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الأُصول المتقدّمة تتعلّق بالنظر و الاعتقاد بخلافه، فهو بالعمل ألصق و على هذا الأصل بعث واصل بن عطاء و غيره دعاته إلى الأقطار المختلفة كما عرفته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يبحث فيه عن المسائل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الأمر بالمعروف و النهي عن المنكر واجب أو 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وجوبهما سمعيّ أو عقلي؟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شرائط وجوبهما؟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وجوبهما عيني أو كفائي؟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مراتب الأمر بالمعروف و النهي عن المنكر</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فقد ذكر القاضي أنّه لا خلاف بين الأُمّة في وجوب الأمر بالمعروف و النهي عن المنكر إلّا ما يحكى عن شرذمة من الإماميّة لا يقع بهم و بكلامهم اعتداد</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ذا يريد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كلمة من تبعيضيّة أو بيانيّة؟ فإن كان الأوّل كما هو الظاهر، فلا نعرف تلك الشرذمة من الإماميّة، فإنّهم عن بكرة أبيهم مقتفون للكتاب و السنّة، و صريح الكتاب و أحاديث العترة الطاهرة على وجوبهما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فليرجع إلى جوامعهم الحديثيّة</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و نكتفي برواية واحدة من عشرات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جابر بن عبد اللّه الأنصاري عن أبي جعفر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تؤمن المذاهب، و تحلّ المكاسب، و تردّ المظالم، و تعمّر الأرض، و ينتصف من الأعداء، و يستقيم الأمر</w:t>
      </w:r>
      <w:r>
        <w:rPr>
          <w:rFonts w:eastAsia="Amiri" w:cs="Amiri" w:ascii="Amiri" w:hAnsi="Amiri"/>
          <w:color w:val="111111"/>
          <w:sz w:val="28"/>
          <w:szCs w:val="28"/>
          <w:rtl w:val="true"/>
          <w:lang w:bidi="ar-SA"/>
        </w:rPr>
        <w:t>».</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و إن كان الثاني، فهو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كتب الإماميّة في الكلام و التفسير و الفقه مشحونة بالبحث عن فروع المسألة بعد تسليم وجوبهما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باللّسان فرض على الكفاية بشرط الحاجة إليه، لقيام الحجّة على من لا علم لديه إلّا بذكره أو حصول العلم بالمصلحة به أو غلبة الظنّ بذلك</w:t>
      </w:r>
      <w:r>
        <w:rPr>
          <w:rFonts w:eastAsia="Amiri" w:cs="Amiri" w:ascii="Amiri" w:hAnsi="Amiri"/>
          <w:color w:val="111111"/>
          <w:sz w:val="28"/>
          <w:szCs w:val="28"/>
          <w:rtl w:val="true"/>
          <w:lang w:bidi="ar-SA"/>
        </w:rPr>
        <w:t>».</w:t>
      </w:r>
      <w:r>
        <w:rPr>
          <w:rStyle w:val="FootnoteAnchor"/>
          <w:rtl w:val="true"/>
        </w:rPr>
        <w:footnoteReference w:id="985"/>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المحقّق الطّوسي نصير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بالمعروف واجب، و كذا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بالمندوب مندوب</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بعض مراتب الأمر بالمعروف كالجهاد الابتدائي مع العدوّ الكافر مشروط بوجود الإمام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 بن موسى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الجهاد واجب مع إمام عادل، و من قاتل فقتل دون ماله و رحله و نفسه فهو شهيد</w:t>
      </w:r>
      <w:r>
        <w:rPr>
          <w:rFonts w:eastAsia="Amiri" w:cs="Amiri" w:ascii="Amiri" w:hAnsi="Amiri"/>
          <w:color w:val="111111"/>
          <w:sz w:val="28"/>
          <w:szCs w:val="28"/>
          <w:rtl w:val="true"/>
          <w:lang w:bidi="ar-SA"/>
        </w:rPr>
        <w:t>».</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قد استظهر بعض الفقهاء من هذا الحديث و غيره أنّ المراد هو الإمام المعصوم المنصوص على ولايته من جانب اللّٰه سبحانه بواسطة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في دلالة الروايات على هذا الشرط نوع خفاء، بل عموم ولاية الفقيه في زمان الغيبة كاف في تسويغ ذلك للفقيه الجامع للشرائط</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أمّا سائر مراتب الأمر بالمعروف من الإنكار بالقلب و التذكير باللّفظ و العمل باليد فسيأتي البحث عنه في 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على القاضي أن يذكر خلاف الحنابلة و الأشاعرة في مجابهة الظالم و مكافحته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إمام الحنابلة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 و الطاعة للأئمّة و أمير المؤمنين البرّ و الفاجر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أبو جعفر الطحاوي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نرى الخروج على أئمّتنا </w:t>
      </w:r>
    </w:p>
    <w:p>
      <w:pPr>
        <w:pStyle w:val="BookText"/>
        <w:rPr/>
      </w:pPr>
      <w:r>
        <w:rPr>
          <w:rFonts w:ascii="Amiri" w:hAnsi="Amiri" w:eastAsia="Amiri" w:cs="Amiri"/>
          <w:color w:val="111111"/>
          <w:sz w:val="28"/>
          <w:sz w:val="28"/>
          <w:szCs w:val="28"/>
          <w:rtl w:val="true"/>
          <w:lang w:bidi="ar-SA"/>
        </w:rPr>
        <w:t>ولاة أمرنا، و إن جاروا، و لا ندعو على أحد منهم، و لا ننزع يداً من طاعتهم، و نرى طاعتهم من طاعات اللّٰه فريضة علينا ما لم يأمروا بمعصية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هؤلاء يرون إطاعة السلطان الجائر، مع أنّ النبي الأكرم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أعظم الجهاد كلمة عدل عند سلطان جائر</w:t>
      </w:r>
      <w:r>
        <w:rPr>
          <w:rFonts w:eastAsia="Amiri" w:cs="Amiri" w:ascii="Amiri" w:hAnsi="Amiri"/>
          <w:color w:val="111111"/>
          <w:sz w:val="28"/>
          <w:szCs w:val="28"/>
          <w:rtl w:val="true"/>
          <w:lang w:bidi="ar-SA"/>
        </w:rPr>
        <w:t>».</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و روى أبو بكر أنّه سمع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إذا رأوا الظالم فلم يأخذوا على يديه أوشك أن يعمّهم اللّٰه بعقاب منه</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مع ذلك كلّه فقد نسي القاضي أن ينسب عدم وجوب الأمر بالمعروف و النهي عن المنكر إلى هذه الجماهير، و نسبه إلى الإماميّة و قد عرفت كيفيّة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من الوضوح بمكان لا تحتاج معه إلى تكثير المصادر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فقد ذهب أبو عليّ الجبّائي إلى أنّ ذلك يعلم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ابنه أبو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لا يعلم عقلا إلّا في موضع واحد، و هو أن يرى أحدنا غيره يظلم أحداً فيلحقه بذلك غمّ، فإنّه يجب عليه النهي و دفعه، دفعاً لذلك الضرر الّذي لحقه من الغمّ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فيما عدا هذا الموضع فلا يجب إلّا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الصحيح من المذهب</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هاشم يصوّر حياة الفرد منقطعة عن سائر الناس، فلأجل ذلك أخذ يستثني صورة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وقف على كيفيّة حياة الفرد في المجتمع لحكم على الكلّ بحكم واحد، و ذلك أنّ أعضاء المجتمع الواحد الّذين يعيشون في بيئة واحدة مشتركون في المصير، فلو كان هناك خير لعمّ الجميع و لم يقتصر على فاعله، و لو كان هناك شرّ يشمل الجميع أيضاً و لم يختصّ بمرتكبه، و من هنا يجب أن تحدّد تصرّفات الأفراد في المجتمع و تحدّد حرّياتهم بمصالح الأُمّة و لا تتخطّاها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يشبّه النبيُّ صلى الله عليه و آله و سلم وحدة المجتمع بركّاب سفينة في عرض البحر إذا تهدّدها خطر تهدّد الجميع و لم يختصّ بأحد دون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لا يجوز لأحد ركّابها أن يثقب موضع قدمه، بحجّة أنّه مكان يختصّ به و لا يرتبط بالآخرين، لأنّ ضرر هذا العمل يعود إلى الجميع و لا يعود إليه خاصّة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النعمان بن بشير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القائم على حدود اللّٰه، و الواقع فيها، كمثل قوم استهمّوا على سفينة فأصاب بعضهم أعلاها و بعضهم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الّذين في أسفلها إذا استقوا من الماء مرّوا على من فوقهم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خرقنا في نصيبنا خرقاً و لم نؤذ من فوقنا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يتركوهم و ما أرادوا، هلكوا جميعاً، و إن أخذوا على أيديهم نجوا و نجوا جميعاً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الترمذي نظيره في سننه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جعفر بن محمّد عن آبائه،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المعصية إذا عمل بها العبد سرّاً لم تضرّ إلّا عاملها، فإذا عمل علانية و لم يغيّر عليه أضرّت بالعامّة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أنّه يذلُّ بعمله دين اللّٰه و يقتدي به أهل عداوة اللّٰه</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و بهذا يعرف قيمة كلام أبي هاشم حيث إنّه نظر إلى حقيقة المجتمع بنظرة فرديّة، و لأجل ذلك لم يقل بوجوب الأمر بالمعروف عقلاً إلّا في مورد واحد و هو ما إذا عرضه الغمّ من ظلم أحد أحداً، مع أنّه لو كان هذا هو الملاك لوجب في كثير من الموارد بنفس الملاك، غاية الأمر ربّما يكون الضرر مشهوداً و ربّما يكون مستوراً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وجوبه سمعيّاً أو عقليّاً بحث كلامي لا صلة له بكتاب تاريخ العقائد، غير أنّا إكمالاً للفائدة نأتي بنكتة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القول بوجوب اللّطف هو أنّ وجوب الأمر بالمعروف و النهي عن المنكر عقليّ، و ذلك لأنّ اللُّطف ليس إلّا تقريب العباد إلى الطاعة و إبعادهم عن المعصية، و من أوضح ما يحقّق تلك الغاية هو الأمر بالمعروف بعامّة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المحقّق الطوسي استشكل على وجوبهما عقلاً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كانا واجبين عقلاً، لزم ما هو خلاف الواقع أو الإخلال بحكمته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أوضحه شارح كلامه العلّامة الحلّي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لو وجبا عقلاً لوجبا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واجب عقليّ يجب على كلّ من حصل في حقّه وجه </w:t>
      </w:r>
    </w:p>
    <w:p>
      <w:pPr>
        <w:pStyle w:val="BookText"/>
        <w:rPr/>
      </w:pPr>
      <w:r>
        <w:rPr>
          <w:rFonts w:ascii="Amiri" w:hAnsi="Amiri" w:eastAsia="Amiri" w:cs="Amiri"/>
          <w:color w:val="111111"/>
          <w:sz w:val="28"/>
          <w:sz w:val="28"/>
          <w:szCs w:val="28"/>
          <w:rtl w:val="true"/>
          <w:lang w:bidi="ar-SA"/>
        </w:rPr>
        <w:t>الوجوب، و لو وجبا عليه تعالى لكان إمّا فاعلاً لهما، فكان يلزم وقوع المعروف قطعاً، لأنّه تعالى يحمل المكلّفين عليه، و انتفاء المنكر قطعاً، لأنّه تعالى يمنع المكلّفين منه، و هذا خلاف ما هو الواقع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غير فاعل لهما فيكون مخلّاً بالواجب، و ذلك محال لما ثبت من حكمته تعالى</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وجوبهما عقلاً لا يلازم وجوبهما على اللّٰه سبحانه بعامّة مراتبه، لأنّه لو وجب عليه بعامّة مراتبه يلزم إخلال الغرض و إبطال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يصدّ العقل عن إيجابهما على اللّٰه سبحانه فيما لو استلزم الإلجاء و الإخلال بالغرض، فيكتفي فيه بالتبليغ و الإنذار و غيرهما ممّا لا ينافي حريّة المكلّف في مجال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يشير شيخنا الشهيد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لاستلزام القيام به على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وجوبه قولاً و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الإلجاء الممتنع في التكليف، و يجوز اختلاف الواجب باختلاف محالّه، خصوصاً مع ظهور المانع، فيكون الواجب في حقّه تعالى الانذار و التخويف بالمخالفة لئلّا يبطل التكليف، و المفروض أنّه قد فعل</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و أمّا الثالثة، و هي شرائط وجوبهما، فقد فصِّل فيه الكلام المتكلّمون و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الأمر بالمعروف و النَّهي عن المنكر ثلاثة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فاعلهما بالمعروف و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التأثير، فلو عرف أنّ أمره و نهيه لا يؤثّران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فلو عرف أو غلب على ظنّه حصول مفسدة له أو لبعض إخوانه في أمره و نهيه سقط وجوبهما دفعاً للضرر</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و هناك شروط أُخر لم يذكرها العلّامة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التكليف في حقّ المأمور و المنهيّ، فلو كان مضطرّاً إلى أكل الميتة لا تكون الحرمة في حقّه منجّزة، فلا يكون فعله حراماً و لا منكراً، و إن كان في حقّ الآمر و الناهي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في موارد خاصّة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يجب على الآمر و الناهي تحمّل المضرّة و عدم ترك الأمر بالمعروف و النهي عن المنكر، كما إذا كان تركه لهما لغاية دفع المفسدة موجباً لخروج الناس عن الدين و تزلزلهم و غير ذلك ممّا أوضحنا حاله في أبحاثنا الفقهيّة</w:t>
      </w:r>
      <w:r>
        <w:rPr>
          <w:rFonts w:eastAsia="Amiri" w:cs="Amiri" w:ascii="Amiri" w:hAnsi="Amiri"/>
          <w:color w:val="111111"/>
          <w:sz w:val="28"/>
          <w:szCs w:val="28"/>
          <w:rtl w:val="true"/>
          <w:lang w:bidi="ar-SA"/>
        </w:rPr>
        <w:t>.</w:t>
      </w:r>
      <w:r>
        <w:rPr>
          <w:rStyle w:val="FootnoteAnchor"/>
          <w:rtl w:val="true"/>
        </w:rPr>
        <w:footnoteReference w:id="998"/>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الرّابعة، و هي كون وجوبهما عينيّاً أو كفائياً، فالأكثر على أنّه كفائيّ، لأنّ الغرض شرعاً وقوع المعروف و ارتفاع المنكر، من غير اعتبار مباشر معيّن، فإذا حصلا ارتفع الوجوب و هو معنى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الاستدلال على كونه عينيّاً بالعمومات غير كاف كما حقّق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الخامسة، أعني مراتبهما، فتبتدئ من القلب، ثمّ اللّسان، ثمّ اليد و تنتهي بإجراء الحدود و التعزيرات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فأنكروا بقلوبكم، و الفظوا بألسنتكم، و صكّوا بها جباههم، و لا تخافوا في اللّٰه لومة لائم</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على هذا يصبح الأمر بالمعروف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يحتاج إلى جهاز و قدرة، و هذا ما يرجع إلى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يحتاج إلى الجهاز و القوّة و يتوقّف على صدور الحكم، و هذا يرجع إلى السلطة التنفيذيّة القائمة بالدولة الإسلاميّة بأركانها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بسط الفقهاء الكلام في بيان مراتبهما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لاحظ الروايات و كلمات الفقهاء يقف على أنّ بعض المراتب واجب على الكلّ و البعض الآخر يجب على أصحاب القوّة و السلطة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البحث عن الأُصول الخمسة للمعتزلة، و بقي هنا بحوث نجعلها خاتمة المطاف</w:t>
      </w:r>
      <w:r>
        <w:rPr>
          <w:rFonts w:eastAsia="Amiri" w:cs="Amiri" w:ascii="Amiri" w:hAnsi="Amiri"/>
          <w:color w:val="111111"/>
          <w:sz w:val="28"/>
          <w:szCs w:val="28"/>
          <w:rtl w:val="true"/>
          <w:lang w:bidi="ar-SA"/>
        </w:rPr>
        <w:t xml:space="preserve">. </w:t>
      </w:r>
      <w:bookmarkStart w:id="818" w:name="pg11536_164408"/>
    </w:p>
    <w:p>
      <w:pPr>
        <w:pStyle w:val="Heading3"/>
        <w:numPr>
          <w:ilvl w:val="2"/>
          <w:numId w:val="1"/>
        </w:numPr>
        <w:rPr/>
      </w:pPr>
      <w:bookmarkStart w:id="819" w:name="__RefHeading___Toc3907861_73709187"/>
      <w:bookmarkStart w:id="820" w:name="_Toc298"/>
      <w:bookmarkEnd w:id="818"/>
      <w:bookmarkEnd w:id="819"/>
      <w:r>
        <w:rPr>
          <w:rtl w:val="true"/>
        </w:rPr>
        <w:t>خاتمة المطاف</w:t>
      </w:r>
      <w:bookmarkEnd w:id="820"/>
    </w:p>
    <w:p>
      <w:pPr>
        <w:pStyle w:val="Heading4"/>
        <w:numPr>
          <w:ilvl w:val="3"/>
          <w:numId w:val="1"/>
        </w:numPr>
        <w:rPr/>
      </w:pPr>
      <w:bookmarkStart w:id="821" w:name="__RefHeading___Toc3907863_73709187"/>
      <w:bookmarkStart w:id="822" w:name="_Toc299"/>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و فيها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بعض ما رمي به مشايخ المعتزلة من الانحلال الأخلاقي، فإنّ في ذلك توضيحاً للحقّ، بل دفاعاً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تاريخ المعتزلة من حيث تدرّجهم من القدرة إلى الضعف، و ذلك بحث تاريخيّ يهمّنا من بعض الجهات، و سيظهر في طيّات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العلميّة الباقية من المعتزلة</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3907865_73709187"/>
      <w:bookmarkStart w:id="824" w:name="_Toc300"/>
      <w:bookmarkEnd w:id="823"/>
      <w:r>
        <w:rPr/>
        <w:t>1</w:t>
      </w:r>
      <w:r>
        <w:rPr>
          <w:rtl w:val="true"/>
        </w:rPr>
        <w:t xml:space="preserve"> - </w:t>
      </w:r>
      <w:r>
        <w:rPr>
          <w:rtl w:val="true"/>
        </w:rPr>
        <w:t>دفاع عن الحقّ‌</w:t>
      </w:r>
      <w:bookmarkEnd w:id="824"/>
    </w:p>
    <w:p>
      <w:pPr>
        <w:pStyle w:val="BookText"/>
        <w:rPr/>
      </w:pPr>
      <w:r>
        <w:rPr>
          <w:rFonts w:ascii="Amiri" w:hAnsi="Amiri" w:eastAsia="Amiri" w:cs="Amiri"/>
          <w:color w:val="111111"/>
          <w:sz w:val="28"/>
          <w:sz w:val="28"/>
          <w:szCs w:val="28"/>
          <w:rtl w:val="true"/>
          <w:lang w:bidi="ar-SA"/>
        </w:rPr>
        <w:t>الاعتزال ظهر في أوساط المسلمين بطابعه العقلي لتحقيق العقائد الإسلاميّة، و دعمها على ضوء الدليل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يدافعون عنها حسب طاقاتهم الفكريّة، يشهد بذلك حياة مشايخهم و أئمّتهم و تلاميذهم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تصلّبهم في المناظرة، و عدم السكوت في مقابل الملاحدة و أهل الكتاب من اليهود و النصارى، لأجل عنايتهم بالأمر بالمعروف و النهي </w:t>
      </w:r>
    </w:p>
    <w:p>
      <w:pPr>
        <w:pStyle w:val="BookText"/>
        <w:rPr/>
      </w:pPr>
      <w:r>
        <w:rPr>
          <w:rFonts w:ascii="Amiri" w:hAnsi="Amiri" w:eastAsia="Amiri" w:cs="Amiri"/>
          <w:color w:val="111111"/>
          <w:sz w:val="28"/>
          <w:sz w:val="28"/>
          <w:szCs w:val="28"/>
          <w:rtl w:val="true"/>
          <w:lang w:bidi="ar-SA"/>
        </w:rPr>
        <w:t>عن المنكر، حتّى صار ذلك أحد أُصولهم الّتي بها يتميّزون عن غيرهم، و قد عرفت نماذج من مناظراتهم مع المخالفين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دفاعهم عن الإسلام منحصراً بالمناقشات اللّفظية، بل كانوا يستعملون القوّة إذا أُتيح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بشّار بن برد كان متّهماً بالالحاد، فهدّده واصل بالقتل، و لم يكتف بذلك حتّى نفاه من البصرة، فذهب إلى حرّان و بقي فيها إلى أن توفّي واصل ثمّ عاد إلى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صفوان الأنصاري مخاطباً لبشّار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كأنّك غضبان على الدّين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طالب دخل لا يبيت على حقد</w:t>
      </w:r>
    </w:p>
    <w:p>
      <w:pPr>
        <w:pStyle w:val="BookText"/>
        <w:rPr/>
      </w:pPr>
      <w:r>
        <w:rPr>
          <w:rFonts w:ascii="Amiri" w:hAnsi="Amiri" w:eastAsia="Amiri" w:cs="Amiri"/>
          <w:color w:val="111111"/>
          <w:sz w:val="28"/>
          <w:sz w:val="28"/>
          <w:szCs w:val="28"/>
          <w:rtl w:val="true"/>
          <w:lang w:bidi="ar-SA"/>
        </w:rPr>
        <w:t xml:space="preserve">رجعت إلى الأمصار من بعد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شريراً في التهائم و النّجد</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و من مظاهر دعمهم لأُصول العقائد الإسلاميّة و مكافحة التجسيم و التشبيه هو أنّ واصل بن عطاء بعث تلاميذه إلى الأطراف و الأكناف لتبليغ رسالة التنزيه و رفض التشبيه، و قد أتينا بأسماء المبعوثين في ترجمته</w:t>
      </w:r>
      <w:r>
        <w:rPr>
          <w:rFonts w:eastAsia="Amiri" w:cs="Amiri" w:ascii="Amiri" w:hAnsi="Amiri"/>
          <w:color w:val="111111"/>
          <w:sz w:val="28"/>
          <w:szCs w:val="28"/>
          <w:rtl w:val="true"/>
          <w:lang w:bidi="ar-SA"/>
        </w:rPr>
        <w:t>.</w:t>
      </w:r>
      <w:r>
        <w:rPr>
          <w:rStyle w:val="FootnoteAnchor"/>
          <w:rtl w:val="true"/>
        </w:rPr>
        <w:footnoteReference w:id="1001"/>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عمر الباهلي أنّه قرأ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 مسألة في الردّ على المانويّة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لواصل، كان فيها نيّف و ثلاثون مسألة، و هو الّذي أوفد حفص بن سالم إلى خراسان، فناظر جهم بن صفوان و قطعه و جعله يرجع إلى القول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درج أصحاب واصل و تلاميذه من بعده</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تبع واصلاً و عمرو بن عبيد، أبو الهذيل العلّاف و قد قرأت في ترجمته بعض مناظراته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تنس ما ذكرناه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بعثه الرشيد إلى مناظرة السمني، و هو يدلّ على أنّ المعتزلة كانوا هم المتحمّسين للمناظرة بين أهل السنّة، و أمّا غيرهم فلا يملكون في مقام المناظرة سوى القول بأنّ البحث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القاضي عبد الجبّار قد قام في وجوه الملحدين و الشاكّين في إعجاز القرآن،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كتاباً آخر في نبوّة النبيّ الأكرم صلى الله عليه و آله و سلم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دلائل نبوّة سيّدنا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أعدّه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إذا قرأنا في حياتهم هذه البطولات الفكريّة و العمليّة، يشكل علينا قبول ما نسبه إليهم أعداؤهم من المجون و الانحلال الأخلاقي</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أقول إنّ كلّ عالم معتزلي، عادل لا يعصي و لا يخطأ، غير أنّ الكلام في أنّ تنزيه طائفة خاصّة كالحنابلة و الأشاعرة، و رمي طائفة أُخرى بضدّه، ممّا لا يؤيّده الإنصاف، فلو قلنا إنّما حكمهم حكم سائر الطوائف الإسلاميّة حيث في كلّ طائفة ظالم لنفسه، و مقتصد، و سابق بالخير</w:t>
      </w:r>
      <w:r>
        <w:rPr>
          <w:rStyle w:val="FootnoteAnchor"/>
          <w:rtl w:val="true"/>
        </w:rPr>
        <w:footnoteReference w:id="1003"/>
      </w:r>
      <w:r>
        <w:rPr>
          <w:rFonts w:ascii="Amiri" w:hAnsi="Amiri" w:eastAsia="Amiri" w:cs="Amiri"/>
          <w:color w:val="111111"/>
          <w:sz w:val="28"/>
          <w:sz w:val="28"/>
          <w:szCs w:val="28"/>
          <w:rtl w:val="true"/>
          <w:lang w:bidi="ar-SA"/>
        </w:rPr>
        <w:t>لكان أقرب إلى الواقع و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لأجل إيقاف القارئ على بعض ما رميت به تلك الطائفة نذكر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زلت آخذ روح الزقّ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أستبيح دماً من غير مجروح</w:t>
      </w:r>
    </w:p>
    <w:p>
      <w:pPr>
        <w:pStyle w:val="BookText"/>
        <w:rPr/>
      </w:pPr>
      <w:r>
        <w:rPr>
          <w:rFonts w:ascii="Amiri" w:hAnsi="Amiri" w:eastAsia="Amiri" w:cs="Amiri"/>
          <w:color w:val="111111"/>
          <w:sz w:val="28"/>
          <w:sz w:val="28"/>
          <w:szCs w:val="28"/>
          <w:rtl w:val="true"/>
          <w:lang w:bidi="ar-SA"/>
        </w:rPr>
        <w:t xml:space="preserve">حتّى انثنيت ولي روحان في 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الزق منطرح جسم بلا روح</w:t>
      </w:r>
      <w:r>
        <w:rPr>
          <w:rStyle w:val="FootnoteAnchor"/>
          <w:rtl w:val="true"/>
        </w:rPr>
        <w:footnoteReference w:id="100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قتيبة أنّ النّظام كان يغدو على سكر و يروح على سكر و يبيت على حرائرها، و يدخل في الأدناس و يرتكب الفواحش و الشائنات، و له في الشراب 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البغدادي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أنّ المأمون ركب يوماً فرأى ثمامة سكران قد وقع على الطين، فقال المأمون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تستحيي؟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ثمّ تترى</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أيضاً أنّ أبا هاشم الجبّائي كان أفسق أهل زمانه، و كان مصرّاً على شرب الخمر،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سكره حتّى قال فيه بعض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القول بالإرجاء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الرجاء من الجرائر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أعظم من ذوي الإرجاء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وعيديّ أصرّ على الكبائر</w:t>
      </w:r>
      <w:r>
        <w:rPr>
          <w:rStyle w:val="FootnoteAnchor"/>
          <w:rtl w:val="true"/>
        </w:rPr>
        <w:footnoteReference w:id="1006"/>
      </w:r>
      <w:bookmarkStart w:id="825" w:name="pg11536_164412"/>
    </w:p>
    <w:p>
      <w:pPr>
        <w:pStyle w:val="BookText"/>
        <w:rPr/>
      </w:pPr>
      <w:bookmarkEnd w:id="825"/>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قتيبة و البغدادي تفرّدا في نقل هذه النقول و النسب، و أمّا غيرهما من الأشاعرة فنزّهوا أقلامهم عن ذكرها، و لو كانت لهذه النسب مسحة من الحقّ أو لمسة من الصدق لما تورّعوا عن ذكرها، على أنّ من سبر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للبغدادي يرى فيه قسوة عجيبة في حقّ الطوائف الإسلاميّة لا سيّما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فما أحسن قول القائل إذا تمثّل به في حقّ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حسدوا الفتى إذ لم ينالوا سعيه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 أعداء له و خصوم</w:t>
      </w:r>
    </w:p>
    <w:p>
      <w:pPr>
        <w:pStyle w:val="BookText"/>
        <w:rPr/>
      </w:pPr>
      <w:r>
        <w:rPr>
          <w:rFonts w:ascii="Amiri" w:hAnsi="Amiri" w:eastAsia="Amiri" w:cs="Amiri"/>
          <w:color w:val="111111"/>
          <w:sz w:val="28"/>
          <w:sz w:val="28"/>
          <w:szCs w:val="28"/>
          <w:rtl w:val="true"/>
          <w:lang w:bidi="ar-SA"/>
        </w:rPr>
        <w:t xml:space="preserve">كضرائر الحسناء قلن لوجهها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و بغياً إنّه لدميم</w:t>
      </w:r>
      <w:r>
        <w:rPr>
          <w:rStyle w:val="FootnoteAnchor"/>
          <w:rtl w:val="true"/>
        </w:rPr>
        <w:footnoteReference w:id="10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اَلَّذِينَ سَبَقُونٰا بِالْإِيمٰانِ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3907867_73709187"/>
      <w:bookmarkStart w:id="827" w:name="_Toc301"/>
      <w:bookmarkEnd w:id="826"/>
      <w:r>
        <w:rPr/>
        <w:t>2</w:t>
      </w:r>
      <w:r>
        <w:rPr>
          <w:rtl w:val="true"/>
        </w:rPr>
        <w:t xml:space="preserve"> - </w:t>
      </w:r>
      <w:r>
        <w:rPr>
          <w:rtl w:val="true"/>
        </w:rPr>
        <w:t>المعتزلة من القوّة إلى الضعف</w:t>
      </w:r>
      <w:bookmarkEnd w:id="827"/>
    </w:p>
    <w:p>
      <w:pPr>
        <w:pStyle w:val="Heading5"/>
        <w:numPr>
          <w:ilvl w:val="4"/>
          <w:numId w:val="1"/>
        </w:numPr>
        <w:rPr/>
      </w:pPr>
      <w:bookmarkStart w:id="828" w:name="__RefHeading___Toc3907869_73709187"/>
      <w:bookmarkStart w:id="829" w:name="_Toc302"/>
      <w:bookmarkEnd w:id="828"/>
      <w:r>
        <w:rPr>
          <w:rtl w:val="true"/>
        </w:rPr>
        <w:t>اشارة</w:t>
      </w:r>
      <w:bookmarkEnd w:id="829"/>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فكرة الاعتزال كانت فكرة بدائية، و نبتة غرسها واصل بن عطاء في أوائل القرن الثاني، و أخذت تتكامل عن طريق تلاميذه و بعض زملائه كعمرو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له تأثير في بدء ظهورها إلى أن استطاع أن يستجلب إليه بعض الخلفاء الأمويين المتأخّرين، كيزيد بن وليد بن </w:t>
      </w:r>
    </w:p>
    <w:p>
      <w:pPr>
        <w:pStyle w:val="BookText"/>
        <w:rPr/>
      </w:pPr>
      <w:r>
        <w:rPr>
          <w:rFonts w:ascii="Amiri" w:hAnsi="Amiri" w:eastAsia="Amiri" w:cs="Amiri"/>
          <w:color w:val="111111"/>
          <w:sz w:val="28"/>
          <w:sz w:val="28"/>
          <w:szCs w:val="28"/>
          <w:rtl w:val="true"/>
          <w:lang w:bidi="ar-SA"/>
        </w:rPr>
        <w:t xml:space="preserve">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مروان بن محمّد بن مروان آخر خلفائهم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اشتهر أنّ الأخير كان يقول بخلق القرآن و نفي القدر</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و لمّا اندلعت نيران الثورات ضدّ الأمويين، و قضت على خلافة تلك الطغمة الأثيمة، لمع نجم المعتزلة في عصر أبي جعفر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ترجمة عمرو بن عبيد وجود الصلة الوثيقة بينه و بين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هلك المنصور، أخذ المهدي ابنه زمام الحكم، و لم ير للمعتزلة في زمنه أيّ نشاط يذكر، خصوصاً أنّ المهدي كان شديداً على أصحاب الأهواء، حسب ما يقولون</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الكشّي عن محمّد بن عيسى بن عبيد، عن يونس، 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أيّام المهدي، شدّد على أصحاب الأهواء، و كتب له ابن المفضّل صنوف الفرق، صنفاً صنفاً، ثمّ قرأ الكتاب على الناس، فقال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الكتاب يقرأ على النّاس على باب الذّهب بالمدينة، مرّة أُخرى بمدينة الوضّاح</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أنّ أهل الحديث كانوا يشكّلون الأكثريّة الساحقة، فيكون المراد من أصحاب الأهواء الّذين شدّد عليهم المهدي، غيرهم من سائر الفرق فيعمّ المعتزلة و المرجئة و المحكّمة و الشيعة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ذلك لم ير أيّ نشاط للمعتزلة أيّامه، حتّى مضى المهديُّ لسبيله، و جاء عصر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فيحكي التاريخ عن وجود نشاط لهم في أيّامه، حتّى أنّه لم يوجد في عصره من يجادل السمنية غيرهم</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مع ذلك لم يكن الرشيد يفسح المجال للمتكلّمين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الرّشيد نهى عن الكلام، و أمر بحبس المتكلّمين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ابتسم الدّهر للمعتزلة أيّام المأمون، لأنّه كان متعطّشاً إلى العلم و التعقّل، و البحث و الجدال، فنرى في عصره أنّ رجال المعتزلة يتّصلون ببلاطه، و كان لهم تأثير كبير في نفسيّته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المأمون القول بخلق القرآن و تفضيل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أفضل الناس بعد رسول اللّٰه صلى الله عليه و آله و سلم و ذلك في شهر ربيع الأوّل</w:t>
      </w:r>
      <w:r>
        <w:rPr>
          <w:rFonts w:eastAsia="Amiri" w:cs="Amiri" w:ascii="Amiri" w:hAnsi="Amiri"/>
          <w:color w:val="111111"/>
          <w:sz w:val="28"/>
          <w:szCs w:val="28"/>
          <w:rtl w:val="true"/>
          <w:lang w:bidi="ar-SA"/>
        </w:rPr>
        <w:t>.</w:t>
      </w:r>
      <w:r>
        <w:rPr>
          <w:rStyle w:val="FootnoteAnchor"/>
          <w:rtl w:val="true"/>
        </w:rPr>
        <w:footnoteReference w:id="1013"/>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استفحلت دعوة المحدّثين إلى قدم القرآن و اشتدّ أمرهم كتب </w:t>
      </w:r>
      <w:bookmarkStart w:id="830" w:name="pg11536_164415"/>
    </w:p>
    <w:p>
      <w:pPr>
        <w:pStyle w:val="BookText"/>
        <w:rPr/>
      </w:pPr>
      <w:bookmarkEnd w:id="830"/>
      <w:r>
        <w:rPr>
          <w:rFonts w:ascii="Amiri" w:hAnsi="Amiri" w:eastAsia="Amiri" w:cs="Amiri"/>
          <w:color w:val="111111"/>
          <w:sz w:val="28"/>
          <w:sz w:val="28"/>
          <w:szCs w:val="28"/>
          <w:rtl w:val="true"/>
          <w:lang w:bidi="ar-SA"/>
        </w:rPr>
        <w:t xml:space="preserve">المأمون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إبراهيم في امتحان القضاة و المحدّثين، و ممّا جاء في تلك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فاجمع من بحضرتك من القضاة، و اقرأ عليهم كتاب أمير المؤمنين هذا إليك، فابدأ بامتحانهم فيما يقولون، و تكشيفهم عمّا يعتقدون في خلق اللّٰه القرآن و إحداثه، و أعلمهم أنّ أمير المؤمنين غير مستعين في عمله، و لا واثق فيما قلّده اللّٰه و استحفظه من أُمور رعيّته، بمن لا يوثق بدينه و خلوص توحيده و يقينه، فإذا أقرّوا بذلك و وافقوا أمير المؤمنين فيه، و كانوا على سبيل الهدى و النجاة، فمرهم بنصّ من يحضرهم من الشهود على الناس، و مسألتهم عن علمهم في القرآن، و ترك إثبات شهادة من لم يقرّ أنّه مخلوق محدث و لم يره، و الامتناع من توقيعها عنده، و اكتب إلى أمير المؤمنين بما يأتيك عن قضاة أهل عملك في مسألتهم و الأمر لهم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أشرف عليهم و تفقّد آثارهم حتّى لا تنفذ أحكام اللّٰه إلّا بشهادة أهل البصائر في الدين و الإخلاص للتوحيد و اكتب إلى أمير المؤمنين بما يكون في ذلك إن شاء اللّٰه، و كتب في شهر 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14"/>
      </w:r>
    </w:p>
    <w:p>
      <w:pPr>
        <w:pStyle w:val="Heading5"/>
        <w:numPr>
          <w:ilvl w:val="4"/>
          <w:numId w:val="1"/>
        </w:numPr>
        <w:rPr/>
      </w:pPr>
      <w:bookmarkStart w:id="831" w:name="__RefHeading___Toc3907871_73709187"/>
      <w:bookmarkStart w:id="832" w:name="_Toc303"/>
      <w:bookmarkEnd w:id="831"/>
      <w:r>
        <w:rPr>
          <w:rtl w:val="true"/>
        </w:rPr>
        <w:t>رسالة ثانية من المأمون في إشخاص سبعة نفر إليه</w:t>
      </w:r>
      <w:bookmarkEnd w:id="832"/>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المأمون كتب إلى إسحاق بن إبراهيم رئيس الشرطة في بغداد أن يشخص إليه سبعة نفر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bookmarkStart w:id="833" w:name="pg11536_164416"/>
    </w:p>
    <w:p>
      <w:pPr>
        <w:pStyle w:val="BookText"/>
        <w:rPr/>
      </w:pPr>
      <w:bookmarkEnd w:id="8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كاتب الواقدي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مستملي يزيد بن هارون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 بن معين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حرب أبو خثيمة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داود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أبي مسعود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الدورقي، فامتحنهم المأمون و سألهم عن خلق القرآن، فأجابوا جميعاً أنّ القرآن مخلوق فأشخصهم إلى مدينة السلام و أحضرهم إسحاق بن إبراهيم دارَه فشهّر أمرهم و قولهم بحضرة الفقهاء و المشايخ من أهل الحديث، فأقرّوا بمثل ما أجابوا به المأمون، فخلّى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فعل ذلك إسحاق بن إبراهيم بأمر المأمون</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3907873_73709187"/>
      <w:bookmarkStart w:id="835" w:name="_Toc304"/>
      <w:bookmarkEnd w:id="834"/>
      <w:r>
        <w:rPr>
          <w:rtl w:val="true"/>
        </w:rPr>
        <w:t>رسالة ثالثة للمأمون إلى إسحاق بن إبراهيم</w:t>
      </w:r>
      <w:bookmarkEnd w:id="835"/>
    </w:p>
    <w:p>
      <w:pPr>
        <w:pStyle w:val="Heading6"/>
        <w:numPr>
          <w:ilvl w:val="5"/>
          <w:numId w:val="1"/>
        </w:numPr>
        <w:rPr/>
      </w:pPr>
      <w:bookmarkStart w:id="836" w:name="__RefHeading___Toc3907875_73709187"/>
      <w:bookmarkStart w:id="837" w:name="_Toc305"/>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ثمّ إنّ المأمون كتب بعد ذلك إلى إسحاق بن إبراهيم رسالة مفصّلة و ممّا جاء فيها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بيّنه أمير المؤمنين برويّته و طالعه بفكره، فتبيّن عظيم خطره و جليل ما يرجع في الدّين من وكفه و ضرره، ما ينال المسلمون بينهم من القول في القرآن الّذي جعله اللّٰه إماماً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أثراً من رسول اللّٰه و صفيّه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باقياً لهم و اشتباهه على كثير منهم حتّى حسن عندهم و تزيّن في عقولهم أن لا يكون مخلوقاً، فتعرّضوا لذلك لدفع خلق اللّٰه الّذي بان به عن خلقه، و تفرّد بجلالته من ابتداع الأشياء كلّها بحكمته، و أنشأها بقدرته، و التقدّم عليها بأوّليّته الّتي لا يبلغ أولاها و لا يدرك مداها، و كان كلّ شيء دونه خلقاً من خلقه و حدثاً هو المحدِث له، و إن كان القرآن </w:t>
      </w:r>
    </w:p>
    <w:p>
      <w:pPr>
        <w:pStyle w:val="BookText"/>
        <w:rPr/>
      </w:pPr>
      <w:r>
        <w:rPr>
          <w:rFonts w:ascii="Amiri" w:hAnsi="Amiri" w:eastAsia="Amiri" w:cs="Amiri"/>
          <w:color w:val="111111"/>
          <w:sz w:val="28"/>
          <w:sz w:val="28"/>
          <w:szCs w:val="28"/>
          <w:rtl w:val="true"/>
          <w:lang w:bidi="ar-SA"/>
        </w:rPr>
        <w:t>ناطقاً به و دالاً عليه و قاطعاً للاختلاف فيه، و ضاهوا به قول النصارى في ادّعائهم في عيسى بن مريم أنّه ليس بمخلوق إذ كان كلمة اللّٰه</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Style w:val="FootnoteAnchor"/>
          <w:rtl w:val="true"/>
        </w:rPr>
        <w:footnoteReference w:id="1015"/>
      </w:r>
      <w:r>
        <w:rPr>
          <w:rFonts w:ascii="Amiri" w:hAnsi="Amiri" w:eastAsia="Amiri" w:cs="Amiri"/>
          <w:color w:val="111111"/>
          <w:sz w:val="28"/>
          <w:sz w:val="28"/>
          <w:szCs w:val="28"/>
          <w:rtl w:val="true"/>
          <w:lang w:bidi="ar-SA"/>
        </w:rPr>
        <w:t>، و تأويل ذلك أنّا خلقناه كما قال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مِنْهٰا زَوْجَهٰا لِيَسْكُنَ إِلَيْهٰا</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مِنَ اَلْمٰاءِ كُلَّ شَيْ‌ءٍ حَيٍّ</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فسوّى عزّ و جلّ بين القرآن و بين هذه الخلائق الّتي ذكرها في شية الصنعة، أخبر أنّه جاعله وحده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w:t>
      </w:r>
      <w:r>
        <w:rPr>
          <w:rStyle w:val="FootnoteAnchor"/>
          <w:rtl w:val="true"/>
        </w:rPr>
        <w:footnoteReference w:id="1019"/>
      </w:r>
      <w:r>
        <w:rPr>
          <w:rFonts w:ascii="Amiri" w:hAnsi="Amiri" w:eastAsia="Amiri" w:cs="Amiri"/>
          <w:color w:val="111111"/>
          <w:sz w:val="28"/>
          <w:sz w:val="28"/>
          <w:szCs w:val="28"/>
          <w:rtl w:val="true"/>
          <w:lang w:bidi="ar-SA"/>
        </w:rPr>
        <w:t>فقال ذلك على إحاطة اللّوح بالقرآن و لا يحاط إلّا بمخلوق، و قال لنبيّه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 أخبر عن قوم ذمّهم بكذبهم أنّهم قالوا ما أنزل اللّٰه على بشر من شيء، ثمّ أكذبهم على لسان رسوله فقال لرسوله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أَنْزَلَ اَلْكِتٰابَ اَلَّذِي جٰاءَ بِهِ مُوسىٰ</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فسمّى اللّٰه تعالى القرآن قرآناً و ذكراً و إيماناً و نوراً و هدى و مباركاً و عربياً و قصصاً،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عَلَيْكَ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فَأْتُوا بِعَشْرِ سُوَرٍ مِثْلِهِ مُفْتَرَيٰاتٍ</w:t>
      </w:r>
      <w:r>
        <w:rPr>
          <w:rFonts w:eastAsia="Amiri" w:cs="Amiri" w:ascii="Amiri" w:hAnsi="Amiri"/>
          <w:color w:val="111111"/>
          <w:sz w:val="28"/>
          <w:szCs w:val="28"/>
          <w:rtl w:val="true"/>
          <w:lang w:bidi="ar-SA"/>
        </w:rPr>
        <w:t>»</w:t>
      </w:r>
      <w:r>
        <w:rPr>
          <w:rStyle w:val="FootnoteAnchor"/>
          <w:rtl w:val="true"/>
        </w:rPr>
        <w:footnoteReference w:id="102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 فجعل له أوّلاً و آخراً، و دلّ عليه أنّه محدود مخلوق، و قد عظّم هؤلاء الجهلة بقولهم في القرآن الثلم في دينهم و الحرج في أمانتهم، و سهّلوا السبيل لعدوّ الإسلام، و اعترفوا بالتبديل و الالحاد على قلوبهم حتّى عرّفوا و وصفوا خلق اللّٰه و فعله بالصفة الّتي هي للّٰه وحده و شبّهوه به، و الأشباه أولى بخلقه، و ليس يرى أمير المؤمنين لمن قال بهذه المقالة حظّاً في الدين و لا نصيباً من الإيمان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على جعفر بن عيسى و عبد الرحمن بن إسحاق القاضي كتابَ أمير المؤمنين بما كتب به إليك و انصصهما عن علمهما في القرآن و أعلمهما أنّ أمير المؤمنين لا يستعين على شيء من أُمور المسلمين إلّا بمن وثق بإخلاصه و توحيده، و أنّه لا توحيد لمن لم يقرّ بأنّ 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أمير المؤمنين في ذلك فتقدّم إليهما في امتحان من يحضر مجالسهما في الشهادات على الحقوق و نصّهم عن قولهم في القرآن، فمن لمن يقل منهم إنّه مخلوق أبطلا شهادته و لم يقطعا حكماً بقوله و إن ثبت عفافه بالقصد و السداد في أمره، و افعل ذلك بمن في سائر عملك من القضاة، و أشرف عليهم إشرافاً يزيد اللّٰه </w:t>
      </w:r>
      <w:bookmarkStart w:id="838" w:name="pg11536_164419"/>
    </w:p>
    <w:p>
      <w:pPr>
        <w:pStyle w:val="BookText"/>
        <w:rPr/>
      </w:pPr>
      <w:bookmarkEnd w:id="838"/>
      <w:r>
        <w:rPr>
          <w:rFonts w:ascii="Amiri" w:hAnsi="Amiri" w:eastAsia="Amiri" w:cs="Amiri"/>
          <w:color w:val="111111"/>
          <w:sz w:val="28"/>
          <w:sz w:val="28"/>
          <w:szCs w:val="28"/>
          <w:rtl w:val="true"/>
          <w:lang w:bidi="ar-SA"/>
        </w:rPr>
        <w:t>به ذا البصيرة في بصيرته و يمنع المرتاب من إغفال دينه، و اكتب إلى أمير المؤمنين بما يكون منك في ذلك إن شاء اللّٰه</w:t>
      </w:r>
      <w:r>
        <w:rPr>
          <w:rFonts w:eastAsia="Amiri" w:cs="Amiri" w:ascii="Amiri" w:hAnsi="Amiri"/>
          <w:color w:val="111111"/>
          <w:sz w:val="28"/>
          <w:szCs w:val="28"/>
          <w:rtl w:val="true"/>
          <w:lang w:bidi="ar-SA"/>
        </w:rPr>
        <w:t>».</w:t>
      </w:r>
      <w:r>
        <w:rPr>
          <w:rStyle w:val="FootnoteAnchor"/>
          <w:rtl w:val="true"/>
        </w:rPr>
        <w:footnoteReference w:id="1028"/>
      </w:r>
    </w:p>
    <w:p>
      <w:pPr>
        <w:pStyle w:val="Heading6"/>
        <w:numPr>
          <w:ilvl w:val="5"/>
          <w:numId w:val="1"/>
        </w:numPr>
        <w:rPr/>
      </w:pPr>
      <w:bookmarkStart w:id="839" w:name="__RefHeading___Toc3907877_73709187"/>
      <w:bookmarkStart w:id="840" w:name="_Toc306"/>
      <w:bookmarkEnd w:id="839"/>
      <w:r>
        <w:rPr>
          <w:rtl w:val="true"/>
        </w:rPr>
        <w:t>دعوة المحدّثين و القضاة لسماع كتاب الخليفة</w:t>
      </w:r>
      <w:bookmarkEnd w:id="840"/>
    </w:p>
    <w:p>
      <w:pPr>
        <w:pStyle w:val="BookText"/>
        <w:rPr/>
      </w:pPr>
      <w:r>
        <w:rPr>
          <w:rFonts w:ascii="Amiri" w:hAnsi="Amiri" w:eastAsia="Amiri" w:cs="Amiri"/>
          <w:color w:val="111111"/>
          <w:sz w:val="28"/>
          <w:sz w:val="28"/>
          <w:szCs w:val="28"/>
          <w:rtl w:val="true"/>
          <w:lang w:bidi="ar-SA"/>
        </w:rPr>
        <w:t xml:space="preserve">و لما جاءت الرسالة الثالثة إلى إسحاق بن إبراهيم، أحضر لفيفاً من المحدّثين منهم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حسّان الزيادي،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بشر بن وليد الكندي،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 بن أبي مقاتل،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الفضل بن غانم،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الذيال بن الهيثم،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سجّادة،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القواريري،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أحمد بن حنبل،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قتيبة،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سعدويه الواسطي،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عليّ بن الجعد،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إسحاق بن أبي إسرائيل،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الهرش،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عليّة الأكبر،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يحيى بن عبد الرحمن العمري،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شيخاً آخر من ولد عمر بن الخطّاب، كان قاضي الرقّة،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أبو نصر التمّار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أبو معمر القطيعي،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محمّد بن حاتم بن ميمون،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محمّد بن نوح المضروب،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الفرخان،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النّضر بن شميل،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عليّ بن عاصم،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أبو العوام البزاز،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ابن شجاع،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الرّحمان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عليهم رسالة المأمون مرّتين حتّى فهموه، ثمّ سأل كلّ واحد عن رأيه في خلق القرآن</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فنجد في الأجوبة عيّاً و غباوة، لا يتطلّبون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 محاورة إسحاق مع بعض هؤلاء</w:t>
      </w:r>
      <w:r>
        <w:rPr>
          <w:rFonts w:eastAsia="Amiri" w:cs="Amiri" w:ascii="Amiri" w:hAnsi="Amiri"/>
          <w:color w:val="111111"/>
          <w:sz w:val="28"/>
          <w:szCs w:val="28"/>
          <w:rtl w:val="true"/>
          <w:lang w:bidi="ar-SA"/>
        </w:rPr>
        <w:t xml:space="preserve">. </w:t>
      </w:r>
      <w:bookmarkStart w:id="841" w:name="pg11536_164420"/>
    </w:p>
    <w:p>
      <w:pPr>
        <w:pStyle w:val="BookText"/>
        <w:rPr/>
      </w:pPr>
      <w:bookmarkEnd w:id="84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إسحاق بن إبراهيم، مخاطباً بشر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 أ مخلوق هو،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القرآن شيء؟</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فمخلوق؟</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أسألك عن هذا، أ مخلوق هو؟</w:t>
      </w:r>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غير ما قلتُ لك، و قد استعهدت أمير المؤمنين أن لا أتكلّم فيه، و ليس عندي غير ما قلت لك</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3907879_73709187"/>
      <w:bookmarkStart w:id="843" w:name="_Toc307"/>
      <w:bookmarkEnd w:id="842"/>
      <w:r>
        <w:rPr>
          <w:rtl w:val="true"/>
        </w:rPr>
        <w:t>محاورته مع عليّ بن أبي مقاتل</w:t>
      </w:r>
      <w:bookmarkEnd w:id="843"/>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w:t>
      </w:r>
    </w:p>
    <w:p>
      <w:pPr>
        <w:pStyle w:val="BookText"/>
        <w:rPr/>
      </w:pPr>
      <w:r>
        <w:rPr>
          <w:rFonts w:ascii="Amiri" w:hAnsi="Amiri" w:eastAsia="Amiri" w:cs="Amiri"/>
          <w:color w:val="111111"/>
          <w:sz w:val="28"/>
          <w:sz w:val="28"/>
          <w:szCs w:val="28"/>
          <w:rtl w:val="true"/>
          <w:lang w:bidi="ar-SA"/>
        </w:rPr>
        <w:t>عليّ بن أبي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w:t>
      </w:r>
      <w:r>
        <w:rPr>
          <w:rFonts w:eastAsia="Amiri" w:cs="Amiri" w:ascii="Amiri" w:hAnsi="Amiri"/>
          <w:color w:val="111111"/>
          <w:sz w:val="28"/>
          <w:szCs w:val="28"/>
          <w:rtl w:val="true"/>
          <w:lang w:bidi="ar-SA"/>
        </w:rPr>
        <w:t xml:space="preserve">. </w:t>
      </w:r>
      <w:bookmarkStart w:id="844" w:name="pg11536_164421"/>
    </w:p>
    <w:p>
      <w:pPr>
        <w:pStyle w:val="Heading6"/>
        <w:numPr>
          <w:ilvl w:val="5"/>
          <w:numId w:val="1"/>
        </w:numPr>
        <w:rPr/>
      </w:pPr>
      <w:bookmarkStart w:id="845" w:name="__RefHeading___Toc3907881_73709187"/>
      <w:bookmarkStart w:id="846" w:name="_Toc308"/>
      <w:bookmarkEnd w:id="844"/>
      <w:bookmarkEnd w:id="845"/>
      <w:r>
        <w:rPr>
          <w:rtl w:val="true"/>
        </w:rPr>
        <w:t>محاورته مع أبي حسّان الزيادي</w:t>
      </w:r>
      <w:bookmarkEnd w:id="846"/>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هو؟</w:t>
      </w:r>
    </w:p>
    <w:p>
      <w:pPr>
        <w:pStyle w:val="BookText"/>
        <w:rPr/>
      </w:pPr>
      <w:r>
        <w:rPr>
          <w:rFonts w:ascii="Amiri" w:hAnsi="Amiri" w:eastAsia="Amiri" w:cs="Amiri"/>
          <w:color w:val="111111"/>
          <w:sz w:val="28"/>
          <w:sz w:val="28"/>
          <w:szCs w:val="28"/>
          <w:rtl w:val="true"/>
          <w:lang w:bidi="ar-SA"/>
        </w:rPr>
        <w:t>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و اللّٰه خالق كلّ شيء، و ما دون اللّٰه مخلوق، و أمير المؤمنين إمامنا و بسببه سمعنا عامّة العلم، و قد سمع ما لم نسمع، و علم ما لم نعلم، و قد قلّده اللّٰه أمرنا، فصار يقيم حجّنا و صلاتنا و نؤدّي إليه زكاة أموالنا، و نجاهد معه، و نرى إمامته إمامة، و إن أمرنا ائتمرنا، و إن نهانا انتهينا، و إن دعانا أجبنا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هو؟</w:t>
      </w:r>
    </w:p>
    <w:p>
      <w:pPr>
        <w:pStyle w:val="BookText"/>
        <w:rPr/>
      </w:pPr>
      <w:r>
        <w:rPr>
          <w:rFonts w:ascii="Amiri" w:hAnsi="Amiri" w:eastAsia="Amiri" w:cs="Amiri"/>
          <w:color w:val="111111"/>
          <w:sz w:val="28"/>
          <w:sz w:val="28"/>
          <w:szCs w:val="28"/>
          <w:rtl w:val="true"/>
          <w:lang w:bidi="ar-SA"/>
        </w:rPr>
        <w:t>أبو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كلامه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مقالة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مقالة أمير المؤمنين و لا يأمر بها الناس و لا يدعوهم إليها، و إن أخبرتني أنّ أمير المؤمنين أمرك أن أقول، قلت ما أمرتني به، فإنّك الثقة المأمون عليه فيما أبلغتني عنه من شيء، فإن أبلغتني عنه بشيء صرت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أن أبلغك شيئاً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قوله كاختلاف أصحاب رسول اللّٰه صلى الله عليه و آله و سلم في الفرائض و المواريث، و لم يحملوا الناس عليها</w:t>
      </w:r>
      <w:r>
        <w:rPr>
          <w:rFonts w:eastAsia="Amiri" w:cs="Amiri" w:ascii="Amiri" w:hAnsi="Amiri"/>
          <w:color w:val="111111"/>
          <w:sz w:val="28"/>
          <w:szCs w:val="28"/>
          <w:rtl w:val="true"/>
          <w:lang w:bidi="ar-SA"/>
        </w:rPr>
        <w:t xml:space="preserve">». </w:t>
      </w:r>
      <w:bookmarkStart w:id="847" w:name="pg11536_164422"/>
    </w:p>
    <w:p>
      <w:pPr>
        <w:pStyle w:val="BookText"/>
        <w:rPr/>
      </w:pPr>
      <w:bookmarkEnd w:id="847"/>
      <w:r>
        <w:rPr>
          <w:rFonts w:ascii="Amiri" w:hAnsi="Amiri" w:eastAsia="Amiri" w:cs="Amiri"/>
          <w:color w:val="111111"/>
          <w:sz w:val="28"/>
          <w:sz w:val="28"/>
          <w:szCs w:val="28"/>
          <w:rtl w:val="true"/>
          <w:lang w:bidi="ar-SA"/>
        </w:rPr>
        <w:t>أبو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إلّا السمع و الطاعة، فمرني أئتمر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أمرني أن آمرك و إنّما أمرني أن أمتحنك</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3907883_73709187"/>
      <w:bookmarkStart w:id="849" w:name="_Toc309"/>
      <w:bookmarkEnd w:id="848"/>
      <w:r>
        <w:rPr>
          <w:rtl w:val="true"/>
        </w:rPr>
        <w:t>محاورته مع أحمد بن حنبل</w:t>
      </w:r>
      <w:bookmarkEnd w:id="849"/>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مخلوق هو؟</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لا أزيد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عليه رقعة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أحداً فرداً لم يكن قبله شيء و لا بعده شيء، و لا يشبهه شيء من خلقه في معنى من المعاني و لا 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إسحاق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 أمسك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يشبهه شيء، من خلقه في معنى من المعاني و لا 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فاعترض عليه ابن البكاء الأصغر</w:t>
      </w:r>
      <w:r>
        <w:rPr>
          <w:rStyle w:val="FootnoteAnchor"/>
          <w:rtl w:val="true"/>
        </w:rPr>
        <w:footnoteReference w:id="10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من اذن، بصير من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سميع بصير؟</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وصف نفسه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معناه؟</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هو كما وصف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إسحاق دعا بهم رجلاً رجلاً،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إلّا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 عبيد اللّٰه بن محمّد بن الحسن، و ابن علية الأكبر، و ابن البكاء، و عبد المنعم بن إدريس، و المظفّر بن مرجا، و رجلاً ضريراً ليس من أهل الفقه و لا يعرف بشيء منه إلّا أنّه دسّ في ذلك الموضع، و رجلاً من ولد عمر بن الخطّاب قاضي الرقة، و ابن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البكاء الأكبر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مجعول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القرآن محدث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يَأْتِيهِمْ مِنْ ذِكْرٍ مِنْ رَبِّهِمْ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فالمجعول مخلوق؟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مخلوق؟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مخلوق، و لكنّه مجعول، فكتب مقالته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فرغ من امتحان القوم و كتبت مقالاتهم رجلاً رجلاً و وجّهت إلى المأمون، فمكث القوم تسعة أيّام ثمّ دعا بهم، و قد ورد كتاب المأمون جواب كتاب إسحاق بن إبراهيم في أمر هؤلاء</w:t>
      </w:r>
      <w:r>
        <w:rPr>
          <w:rFonts w:eastAsia="Amiri" w:cs="Amiri" w:ascii="Amiri" w:hAnsi="Amiri"/>
          <w:color w:val="111111"/>
          <w:sz w:val="28"/>
          <w:szCs w:val="28"/>
          <w:rtl w:val="true"/>
          <w:lang w:bidi="ar-SA"/>
        </w:rPr>
        <w:t xml:space="preserve">. </w:t>
      </w:r>
      <w:bookmarkStart w:id="850" w:name="pg11536_164424"/>
    </w:p>
    <w:p>
      <w:pPr>
        <w:pStyle w:val="Heading5"/>
        <w:numPr>
          <w:ilvl w:val="4"/>
          <w:numId w:val="1"/>
        </w:numPr>
        <w:rPr/>
      </w:pPr>
      <w:bookmarkStart w:id="851" w:name="__RefHeading___Toc3907885_73709187"/>
      <w:bookmarkStart w:id="852" w:name="_Toc310"/>
      <w:bookmarkEnd w:id="850"/>
      <w:bookmarkEnd w:id="851"/>
      <w:r>
        <w:rPr>
          <w:rtl w:val="true"/>
        </w:rPr>
        <w:t>الرسالة الرابعة للمأمون إلى إسحاق</w:t>
      </w:r>
      <w:bookmarkEnd w:id="852"/>
    </w:p>
    <w:p>
      <w:pPr>
        <w:pStyle w:val="Heading6"/>
        <w:numPr>
          <w:ilvl w:val="5"/>
          <w:numId w:val="1"/>
        </w:numPr>
        <w:rPr/>
      </w:pPr>
      <w:bookmarkStart w:id="853" w:name="__RefHeading___Toc3907887_73709187"/>
      <w:bookmarkStart w:id="854" w:name="_Toc311"/>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كتب المأمون في جواب رسالته كتاباً مفصّلاً نأخذ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 أمير المؤمنين كتابك، جوابَ كتابه كان إليك فيما ذهب إليه متصنّعة أهل القبلة و ملتمسو الرِّئاسة فيما ليسوا له بأهل من أهل الملّة من القول في القرآن و أمرك به أمير المؤمنين من امتحانهم و تكشيف أحوالهم و إحلالهم محالّهم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المأمون في حقِّ الممتنعين عن الاعتراف بكون القرآن مخلوقاً و الرِّسالة مفصّلة</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و الملفَت للنّظر فيها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المأمون رئيس الشرطة بضرب عنق بشر بن الوليد، و إبراهيم المهدي إذا لم يتوبا بعد الاستتابة، و حمل الباقين موثّقين إلى عسكر أمير المؤمنين و تسليمهم إلى من يؤمن بتسليمهم إليه لينصّهم أمير المؤمنين، فإن لم يرجعوا و يتوبوا حملهم جميعاً على السيف</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بعض أفعال الممتنعين بالاعتراف بخلق القرآن، بوجه يعرب أنّهم لم يكونوا أهل صلاح و فلاح، بل كانوا من مقترفي المعاصي نقتطف منها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الذيّال بن الهيثم فأعلمه أنّه كان في الطعام الّذي كان يسرقه في الأنبار، و فيما يستوي عليه من أمر مدينة أمير المؤمنين أبي العبّاس ما يشغله و أنّه لو كان مقتفياً آثار سلفه و سالكاً مناهجهم و مهتدياً سبيلهم لما خرج إلى الشرك بعد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و ما تكتب عنه فاعلمه أنّ أمير المؤمنين قد عرف فحوى تلك المقالة و سبيله فيها و استدلّ على جهله و آفته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بن غانم فأعلمه أنّه لم يخف على أمير المؤمنين ما كان منه بمصر، و ما اكتسب من الأموال في أقلّ من سنة، و ما شجر بينه و بين المطّلب بن عبد اللّه في ذلك، فإنّه من كان شأنُه شأنَه، و كانت رغبته في الدنيا و الدِّرهم رغبته فليس بمستنكر أن يبيع إيمانه طمعاً فيهما و إيثاراً لعاجل نفعهما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الزّيادي فأعلمه أنّه كان منتحلاً، و لا أوّل دعيّ كان في الإسلام خولف فيه حكم رسول اللّٰه و كان جديراً أن يسلك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بن الفرخان فأعلمه أنّه حاول بالقول الّذي قاله في القرآن أخذ الودائع الّتي أودعها إيّاه عبد الرحمن بن إسحاق و غيره، تربّصاً بمن استودعه و طمعاً في الاستكثار لما صار في يده و لا سبيل عليه عن تقادم عهده و تطاول الأيّام به</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محمد بن حاتم و ابن نوح و المعروف بأبي معمر فأعلمهم أنّهم مشاغيل بأكل الربا عن الوقوف على التوحيد، و إنّ أمير المؤمنين لو لم يستحلّ محاربتهم في اللّٰه و مجاهدتهم إلا لإربائهم و ما نزل به كتاب اللّٰه في </w:t>
      </w:r>
    </w:p>
    <w:p>
      <w:pPr>
        <w:pStyle w:val="BookText"/>
        <w:rPr/>
      </w:pPr>
      <w:r>
        <w:rPr>
          <w:rFonts w:ascii="Amiri" w:hAnsi="Amiri" w:eastAsia="Amiri" w:cs="Amiri"/>
          <w:color w:val="111111"/>
          <w:sz w:val="28"/>
          <w:sz w:val="28"/>
          <w:szCs w:val="28"/>
          <w:rtl w:val="true"/>
          <w:lang w:bidi="ar-SA"/>
        </w:rPr>
        <w:t>أمثالهم لاستحلّ ذلك، فكيف بهم و قد جمعوا مع الأرباء شركاً و صاروا للنصارى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في الوقيعة في كلّ واحد من الممتنعين ما يشمئزّ القلم من نقله، فلو كانت تلك النّسب على وجهها فويل لهم مما كسبت أيديهم من عظائم المحرّمات و ما كسبت قلوبهم من الشِّرك</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فلمّا وصل كتاب المأمون إلى إسحاق بن إبراهيم دعا القوم و قرأ عليهم كتاب المأمون، فأجاب القوم الممتنعون كلّهم، و اعترفوا بأنّ القرآن مخلوق إلّا أربعة نفر منهم أحمد بن حنبل، و سجادة، و القواريري، و محمّد بن نوح المضروب، فأمر بهم إسحاق بن إبراهيم فشدّوا 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دعا بهم جميعاً يساقون في الحديد فأعاد عليهم المحنة، فأجابه سجادة إلى أنّ القرآن مخلوق، فأمر بإطلاق قيده و خلّى سبيله، و أصرّ الآخرون على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بعد الغد عاودهم أيضاً فأعاد عليهم القول، فأجاب القواريري إلى أنّ القرآن مخلوق، فأمر بإطلاق قيده و خلّى سبيله، و أصرّ أحمد بن حنبل و محمّد بن نوح على قولهما و لم يرجعا، فشدّا جميعاً في الحديد و وجِّها إلى طرسوس و كتب معهما كتاباً بإشخاصهما</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اعترض على الراجعين من عقيدتهم برّروا عملهم بعمل عمّار بن ياسر حيث أُكره على الشِّرك و قلبه مطمئنّ بالإيمان</w:t>
      </w:r>
      <w:r>
        <w:rPr>
          <w:rStyle w:val="FootnoteAnchor"/>
          <w:rtl w:val="true"/>
        </w:rPr>
        <w:footnoteReference w:id="1033"/>
      </w:r>
      <w:r>
        <w:rPr>
          <w:rFonts w:ascii="Amiri" w:hAnsi="Amiri" w:eastAsia="Amiri" w:cs="Amiri"/>
          <w:color w:val="111111"/>
          <w:sz w:val="28"/>
          <w:sz w:val="28"/>
          <w:szCs w:val="28"/>
          <w:rtl w:val="true"/>
          <w:lang w:bidi="ar-SA"/>
        </w:rPr>
        <w:t xml:space="preserve">، و قد كُتب </w:t>
      </w:r>
    </w:p>
    <w:p>
      <w:pPr>
        <w:pStyle w:val="BookText"/>
        <w:rPr/>
      </w:pPr>
      <w:r>
        <w:rPr>
          <w:rFonts w:ascii="Amiri" w:hAnsi="Amiri" w:eastAsia="Amiri" w:cs="Amiri"/>
          <w:color w:val="111111"/>
          <w:sz w:val="28"/>
          <w:sz w:val="28"/>
          <w:szCs w:val="28"/>
          <w:rtl w:val="true"/>
          <w:lang w:bidi="ar-SA"/>
        </w:rPr>
        <w:t>تأويلهم إلى المأمون، فلأجل ذلك ورد كتاب المأمون بأنّه قد فهم أمير المؤمنين ما أجاب القوم إليه، و أنّ بشر بن الوليد تأوّل الآية الّتي أنزل اللّٰه تعالى في عمّار بن ياسر و قد أخطأ التأويل إنّما عني اللّٰه عزّ و جلّ بهذه الآية من كان معتقد الإيمان مظهر الشرك، فأمّا من كان معتقد الشِّرك مظهر الإيمان فليس هذه له، فأشخصهم جميعاً إلى طرسوس ليقيموا بها إلى خروج أمير المؤمنين من بلاد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إسحاق بن إبراهيم من القوم الكفلاء ليوافوا بالعسكر بطرسوس، فأشخص كلّ من ذكرنا أسماءهم، فلمّا صاروا إلى الرقة بلغتهم وفاة المأمون، فأمر بهم عنبسة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والي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يصيروا إلى الرقة، ثمّ أشخصهم إلى إسحاق بن إبراهيم بمدينة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 المتوجّه بهم إلى أمير المؤمنين، فسلّمهم إليه فأمرهم إسحاق بلزوم منازلهم ثمّ رخّص لهم ذلك في الخروج</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و ما ذكرناه هو خلاصة محنة أحمد و من كان على فكرته في زمن المأمون، و ليس فيه إلّا إشخاص أحمد و محمّد بن نوح موثّقين في الحديد إلى طرسوس و إشخاص غيرهما مطلقين، و لمّا بلغهم وفاة المأمون رجعوا من الرقّة و لم يسيروا إلى طرسوس</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ذكر القصّة اليعقوبي بصورة مختصرة و قال</w:t>
      </w:r>
      <w:r>
        <w:rPr>
          <w:rFonts w:eastAsia="Amiri" w:cs="Amiri" w:ascii="Amiri" w:hAnsi="Amiri"/>
          <w:color w:val="111111"/>
          <w:sz w:val="28"/>
          <w:szCs w:val="28"/>
          <w:rtl w:val="true"/>
          <w:lang w:bidi="ar-SA"/>
        </w:rPr>
        <w:t xml:space="preserve">: </w:t>
      </w:r>
      <w:bookmarkStart w:id="855" w:name="pg11536_164428"/>
    </w:p>
    <w:p>
      <w:pPr>
        <w:pStyle w:val="BookText"/>
        <w:rPr/>
      </w:pPr>
      <w:bookmarkEnd w:id="8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المأمون إلى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امتحن الناس في العدل و التوحيد و كتب في إشخاص الفقهاء من العراق و غيرها فامتحنهم في خلق القرآن و أكفر من امتنع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غير مخلوق، و كتب أن لا تقبل شهادته، فقال كلّ بذلك إلّا نفراً يسيراً</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هذا تفصيل المحنة أيّام المأمون، و أمّا ما وقع في أيّام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المعتصم و الواثق، فسيوافيك بيانه بعد تعليقتنا</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3907889_73709187"/>
      <w:bookmarkStart w:id="857" w:name="_Toc312"/>
      <w:bookmarkEnd w:id="856"/>
      <w:r>
        <w:rPr>
          <w:rtl w:val="true"/>
        </w:rPr>
        <w:t>تعليق على محنة خلق القرآن</w:t>
      </w:r>
      <w:bookmarkEnd w:id="857"/>
    </w:p>
    <w:p>
      <w:pPr>
        <w:pStyle w:val="BookText"/>
        <w:rPr/>
      </w:pPr>
      <w:r>
        <w:rPr>
          <w:rFonts w:ascii="Amiri" w:hAnsi="Amiri" w:eastAsia="Amiri" w:cs="Amiri"/>
          <w:color w:val="111111"/>
          <w:sz w:val="28"/>
          <w:sz w:val="28"/>
          <w:szCs w:val="28"/>
          <w:rtl w:val="true"/>
          <w:lang w:bidi="ar-SA"/>
        </w:rPr>
        <w:t>إنّ هنا أُموراً لا بدّ من الإلفات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يظهر من كتب الخليفة إلى صاحب الشرطة وجه إصراره على أخذ الاعتراف من المحدِّثين بخلق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الحافز إخلاصه للتوحيد، و صموده أمام الشِّرك؟ أو كان هناك مرمى آخر لإثارة هذه المباحث، حتّى ينصرف المفكِّرون بسبب الاشتغال بهذه المباحث عن نقد أفعالهم و انحرافاتهم، و بالتالي إيقاف الثورة أو إضمارها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القلوب إذا اشتغلت بشيء، منعت عن الاشتغال بشيء آخر؟</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كانت الرِّسالة مكتوبة بيد الخليفة أو بإملائه، فهي تحكي عن عمق تفكيره في المباحث الكلاميّة، و إحاطته بأكثر الآيات و قد جاء في </w:t>
      </w:r>
    </w:p>
    <w:p>
      <w:pPr>
        <w:pStyle w:val="BookText"/>
        <w:rPr/>
      </w:pPr>
      <w:r>
        <w:rPr>
          <w:rFonts w:ascii="Amiri" w:hAnsi="Amiri" w:eastAsia="Amiri" w:cs="Amiri"/>
          <w:color w:val="111111"/>
          <w:sz w:val="28"/>
          <w:sz w:val="28"/>
          <w:szCs w:val="28"/>
          <w:rtl w:val="true"/>
          <w:lang w:bidi="ar-SA"/>
        </w:rPr>
        <w:t xml:space="preserve">المقام بأسدِّ الدلائل و أتقنها، حيث استدلّ تارة بتعلّق الجعل بالقرآن، و أُخرى بإحاطة اللّوح المحفوظ به، و لا يحاط إلّا بمخلوق، و ثالثة بتوصيفه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رابعة بتوصيفه بصفات كلّها صفات المخلوق من تعلّق النزول به و نهي النبي عن العجلة بقراءته، و الدعوة إلى الإتيان بمثله، و أنّ له أماماً و خلفاً،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الرِّسالة كشفت القناع عن السبب الّذي أدخل هذه المسألة في أوساط المسلمين،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القائلين بقدم القرآن يضاهئون قول النصارى في أنّ المسيح كلمة و ليس بمخلوق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يعرب عن أنّ الفكرة دخلت إلى أوساط المسلمين بسبب احتكاك المسلمين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 من أنّ اليهود هم المصدر لدخول هذه الفكرة بينهم غير تامّ، و المأمون أعرف بمصدر هذه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ما ذكره الطبري من صورة المحاورة الّتي دارت بين رئيس الشرطة و المحدِّثين، فإنّه يكشف عن جمود المجيبين و عيّهم في الجواب، فإنّهم اتّفقوا على أنّ القرآن ليس بخالق، و لكنّهم امتنعوا عن الاعتراف بأنّه مخلوق، و بالتالي جعلوا واسطة بين الخالق و المخلوق أو بين النفي و الإثبات، و هو كما ترى</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عذرهم في عدم الاعتراف بأنّ القرآن مخلوق، هو الخوف من أن يكون هذا الاعتراف ذريعة للملاحدة حتّى ينسبوا إلى المسلمين بأنّهم يقولون إنّ القرآن مخلوق أي مختلق و مزوّر أو مخلوق للبشر، فيمكن </w:t>
      </w:r>
    </w:p>
    <w:p>
      <w:pPr>
        <w:pStyle w:val="BookText"/>
        <w:rPr/>
      </w:pPr>
      <w:r>
        <w:rPr>
          <w:rFonts w:ascii="Amiri" w:hAnsi="Amiri" w:eastAsia="Amiri" w:cs="Amiri"/>
          <w:color w:val="111111"/>
          <w:sz w:val="28"/>
          <w:sz w:val="28"/>
          <w:szCs w:val="28"/>
          <w:rtl w:val="true"/>
          <w:lang w:bidi="ar-SA"/>
        </w:rPr>
        <w:t>التخلّص منه بالتّصريح بأنّه مخلوق للّٰه سبحانه لا غير، و اللّٰه هو خالقه و جاعله ليس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أنّ عمل الخليفة كان أشبه بعمل محاكم التفتيش في القرون الوسطى حيث كان البابا و البطارقة و القساوسة، يتحرّون عقائد الناس لا سيّما المكتشفين أمثال غاليليو، و كان ذلك و صمة عار على حياة الخليفة و بالتّالي على المعتزلة الّذين كان الخليفة يلعب بحبالهم، و يلحقهم وزر أعماله، و ما يترك في المجتمع من ردّ فعل 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أخذ الاعتراف بكون القرآن مخلوقاً في جوّ رهيب، لا يوافق تعاليم المعتزلة، كما لا يوافق تعاليم الإسلام، على أنّه لا قيمة لهذا الاعتراف عند العقل و النقل فكيف رضي القوم بهذا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العجب من تلوّن الخليفة في قضائه في حقّ الممتنعين عن الاعتراف بخلق القرآن، فيرى أنّ بشر بن الوليد، و إبراهيم المهدي مستحقّان لضرب العنق إذا استتيبا و لم يتوبا، و الباقين مستحقّون للإشخاص إلى عسكره، مع أنّ الجرم واحد، و الكلّ كانوا محدِّثين فهماء، و لم يكن الأوّلان قائدي الشرك، و الباقون مقتفين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القول بعدم خلق القرآن أو قدمه موجباً للردّة و الرجوع إلى الشرك فالحكم الإلهي هو القتل و إلّا فلا، و هذا يعرب عن أنّ جهاز القضاء كان أداة طيّعة بأيدي الخلفاء، يستغلّونه حسب أهوائهم</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محنة القائلين بعدم خلق القرآن، تمّت في زمن الخليفة </w:t>
      </w:r>
    </w:p>
    <w:p>
      <w:pPr>
        <w:pStyle w:val="BookText"/>
        <w:rPr/>
      </w:pPr>
      <w:r>
        <w:rPr>
          <w:rFonts w:ascii="Amiri" w:hAnsi="Amiri" w:eastAsia="Amiri" w:cs="Amiri"/>
          <w:color w:val="111111"/>
          <w:sz w:val="28"/>
          <w:sz w:val="28"/>
          <w:szCs w:val="28"/>
          <w:rtl w:val="true"/>
          <w:lang w:bidi="ar-SA"/>
        </w:rPr>
        <w:t>المأمون بالإشخاص و الإبعاد من دار السلام إلى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التأريخ يذكر إشخاص اثنين موثّقين إلى عسكر الخليفة، و إشخاص الباقين بلا قيود و لا ضرب و لا قتل إلى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يحدّث التاريخ هنا عن ضرب 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المحنة لم تنته بموت المأمون، بل استمرّت في خلافة أخيه المعتصم، فالواثق ابنه و لكن بصورة سيّئة، حدث عنها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المأمون نحبه و جاء بعده أخوه المعتصم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فضيّق الأمر على القائلين بعدم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امتحن المعتصم أحمد بن حنبل في خلق القرآن،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علمت علماً و لم أعلم فيه بهذا، فأحضر له الفقهاء و ناظره عبد الرحمن بن إسحاق و غيره، فامتنع أن يقول إنّ القرآن مخلوق، فضرب عدّة 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يا أمير المؤمنين مناظرته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الّذي علمته نزل به عليك ملك أو علمته من الرجال؟</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علمته من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شيئاً بعد شيء أو جملة؟</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علمته شيئاً بعد شيء</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عليك شيء لم تعلمه؟ </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لم تعلمه و قد علّمكه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بقول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القرآن؟</w:t>
      </w:r>
    </w:p>
    <w:p>
      <w:pPr>
        <w:pStyle w:val="BookText"/>
        <w:rPr/>
      </w:pPr>
      <w:r>
        <w:rPr>
          <w:rFonts w:ascii="Amiri" w:hAnsi="Amiri" w:eastAsia="Amiri" w:cs="Amiri"/>
          <w:color w:val="111111"/>
          <w:sz w:val="28"/>
          <w:sz w:val="28"/>
          <w:szCs w:val="28"/>
          <w:rtl w:val="true"/>
          <w:lang w:bidi="ar-SA"/>
        </w:rPr>
        <w:t>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عليه و خلع عليه و أطلقه إلى منزله</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هذا ما كتبه ذلك المؤرخ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الطبري فلم يذكر في حياة المعتصم ما يرجع إلى مسألة خلق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المعتصم أحمد بن حنبل ثمانية و ثلاثين سوطاً ليقول بخلق القرآن</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نعم ذكر الجزري في كامله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أحضر المعتصم أحمد بن حنبل و امتحنه بالقرآن، فلم يجب إلى القول بخلقه، فأمر به فجلد جلداً عظيماً حتّى غاب عقله و تقطّع جلده و حبس مقيّداً</w:t>
      </w:r>
      <w:r>
        <w:rPr>
          <w:rFonts w:eastAsia="Amiri" w:cs="Amiri" w:ascii="Amiri" w:hAnsi="Amiri"/>
          <w:color w:val="111111"/>
          <w:sz w:val="28"/>
          <w:szCs w:val="28"/>
          <w:rtl w:val="true"/>
          <w:lang w:bidi="ar-SA"/>
        </w:rPr>
        <w:t>».</w:t>
      </w:r>
      <w:r>
        <w:rPr>
          <w:rStyle w:val="FootnoteAnchor"/>
          <w:rtl w:val="true"/>
        </w:rPr>
        <w:footnoteReference w:id="1038"/>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الجاحظ أنّه لم يكن في مجلس الامتحان ضيق، و لا كانت حاله </w:t>
      </w:r>
    </w:p>
    <w:p>
      <w:pPr>
        <w:pStyle w:val="BookText"/>
        <w:rPr/>
      </w:pPr>
      <w:r>
        <w:rPr>
          <w:rFonts w:ascii="Amiri" w:hAnsi="Amiri" w:eastAsia="Amiri" w:cs="Amiri"/>
          <w:color w:val="111111"/>
          <w:sz w:val="28"/>
          <w:sz w:val="28"/>
          <w:szCs w:val="28"/>
          <w:rtl w:val="true"/>
          <w:lang w:bidi="ar-SA"/>
        </w:rPr>
        <w:t>حالاً مؤيساً، و لا كان مثقّلاً بالحديد، و لا خلع قلبه بشدّة الوعيد، و لقد كان ينازع بألين الكلام و يجيب بأغلظ الجواب و يرزنون و يخفّ و يحلمون و يطيش</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هذا و لكن المتحيّزين إلى الحنابلة يذكرون المحنة بشكل 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زهرة قد لخّص مقالهم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تبيّن أنّ أحمد بن حنبل كان مقيّداً مسوقاً عند ما مات المأمون، فأُعيد إلى السجن ببغداد حتّى يصدر في شأنه أمر، ثمّ سيق إلى المعتصم و اتّخذت معه ذرائع الإغراء و الإرهاب، فما أجدى في حمله ترغيب و لا ترهيب، فلمّا لم يجد القول رغباً و رهباً، نفّذوا الوعيد فأخذوا يضربونه بالسياط، المرّة بعد الأُخرى، و لم يترك في كلِّ مرّة حتّى يغمى عليه و ينخس بالسيف فلا 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فتكرّر ذلك مع حبسه نحواً من ثمانية و عشرين شهراً فلمّا استيأسوا منه و ثارت في نفوسهم بعض نوازع الرحمة أطلقوا سراحه و أعادوه إلى بيته و قد أثخنه الجراح و أثقله الضرب المبرح المتوالي و الإلقاء في غيابات السِّجن</w:t>
      </w:r>
      <w:r>
        <w:rPr>
          <w:rFonts w:eastAsia="Amiri" w:cs="Amiri" w:ascii="Amiri" w:hAnsi="Amiri"/>
          <w:color w:val="111111"/>
          <w:sz w:val="28"/>
          <w:szCs w:val="28"/>
          <w:rtl w:val="true"/>
          <w:lang w:bidi="ar-SA"/>
        </w:rPr>
        <w:t>».</w:t>
      </w:r>
      <w:r>
        <w:rPr>
          <w:rStyle w:val="FootnoteAnchor"/>
          <w:rtl w:val="true"/>
        </w:rPr>
        <w:footnoteReference w:id="1040"/>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لما ذكره أبو زهرة مصدر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الإمام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الفرج عبد الرحمن بن الجوزي، و من تبعه مثل الحافظ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w:t>
      </w:r>
      <w:r>
        <w:rPr>
          <w:rStyle w:val="FootnoteAnchor"/>
          <w:rtl w:val="true"/>
        </w:rPr>
        <w:footnoteReference w:id="1041"/>
      </w:r>
      <w:bookmarkStart w:id="858" w:name="pg11536_164434"/>
    </w:p>
    <w:p>
      <w:pPr>
        <w:pStyle w:val="BookText"/>
        <w:rPr/>
      </w:pPr>
      <w:bookmarkEnd w:id="858"/>
      <w:r>
        <w:rPr>
          <w:rFonts w:ascii="Amiri" w:hAnsi="Amiri" w:eastAsia="Amiri" w:cs="Amiri"/>
          <w:color w:val="111111"/>
          <w:sz w:val="28"/>
          <w:sz w:val="28"/>
          <w:szCs w:val="28"/>
          <w:rtl w:val="true"/>
          <w:lang w:bidi="ar-SA"/>
        </w:rPr>
        <w:t>و الناظر في هذين الكتابين يرى تحيّزهما لأحمد بن حنبل و أنّهما يريدان نحت الفضائل له و عند ما قصرت أيديهما عنها لجئوا إلى المنامات، فلا يمكن الاعتماد عليهما فيما يرويان من التفاصيل في هذه 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التضارب في التاريخ بين قائل بأنّ أحمد رجع عن رأيه أثناء الضرب كاليعقوبي، و قائل بأنّه بقي على إنكاره</w:t>
      </w:r>
      <w:r>
        <w:rPr>
          <w:rFonts w:eastAsia="Amiri" w:cs="Amiri" w:ascii="Amiri" w:hAnsi="Amiri"/>
          <w:color w:val="111111"/>
          <w:sz w:val="28"/>
          <w:szCs w:val="28"/>
          <w:rtl w:val="true"/>
          <w:lang w:bidi="ar-SA"/>
        </w:rPr>
        <w:t>.</w:t>
      </w:r>
    </w:p>
    <w:p>
      <w:pPr>
        <w:pStyle w:val="Heading6"/>
        <w:numPr>
          <w:ilvl w:val="5"/>
          <w:numId w:val="1"/>
        </w:numPr>
        <w:rPr/>
      </w:pPr>
      <w:bookmarkStart w:id="859" w:name="__RefHeading___Toc3907891_73709187"/>
      <w:bookmarkStart w:id="860" w:name="_Toc313"/>
      <w:bookmarkEnd w:id="859"/>
      <w:r>
        <w:rPr>
          <w:rtl w:val="true"/>
        </w:rPr>
        <w:t>محنة خلق القرآن و الواثق</w:t>
      </w:r>
      <w:bookmarkEnd w:id="860"/>
    </w:p>
    <w:p>
      <w:pPr>
        <w:pStyle w:val="BookText"/>
        <w:rPr/>
      </w:pPr>
      <w:r>
        <w:rPr>
          <w:rFonts w:ascii="IRNazanin" w:hAnsi="IRNazanin" w:eastAsia="IRNazanin"/>
          <w:color w:val="111111"/>
          <w:sz w:val="28"/>
          <w:sz w:val="28"/>
          <w:szCs w:val="28"/>
          <w:rtl w:val="true"/>
          <w:lang w:bidi="fa-IR"/>
        </w:rPr>
        <w:t xml:space="preserve">قضى المعتصم نحبه و خلفه ابنه الواثق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1042"/>
      </w:r>
      <w:r>
        <w:rPr>
          <w:rFonts w:ascii="Amiri" w:hAnsi="Amiri" w:eastAsia="Amiri" w:cs="Amiri"/>
          <w:color w:val="111111"/>
          <w:sz w:val="28"/>
          <w:sz w:val="28"/>
          <w:szCs w:val="28"/>
          <w:rtl w:val="true"/>
          <w:lang w:bidi="ar-SA"/>
        </w:rPr>
        <w:t>، و كان للمعتزلة في عصره قوّة و قدرة و نشاط و سيطرة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امتحن الواثق الناس في خلق القرآن، فكتب إلى القضاة أن يفعلوا ذلك في سائر البلدان، و أن لا يجيزوا إلّا شهادة من قال بالتوحيد، فحبس بهذا السبب عالماً كثيراً</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يقول الحافظ ابن كثير</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الواثق بامتحان الأسارى الّذين فودوا من أسر الفرنج، بالقول بخلق القرآن و أنّ اللّٰه لا يرى في الآخرة، فمن أجاب إلى القول بخلق القرآن و أنّ اللّٰه لا يرى في الآخرة فودي و إلّا ترك في أيدي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بدعة </w:t>
      </w:r>
    </w:p>
    <w:p>
      <w:pPr>
        <w:pStyle w:val="BookText"/>
        <w:rPr/>
      </w:pPr>
      <w:r>
        <w:rPr>
          <w:rFonts w:ascii="Amiri" w:hAnsi="Amiri" w:eastAsia="Amiri" w:cs="Amiri"/>
          <w:color w:val="111111"/>
          <w:sz w:val="28"/>
          <w:sz w:val="28"/>
          <w:szCs w:val="28"/>
          <w:rtl w:val="true"/>
          <w:lang w:bidi="ar-SA"/>
        </w:rPr>
        <w:t>صلعاء، شنعاء، عمياء، صمّاء لا مستند لها من كتاب و لا سنّة و لا عقل صحيح</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لكن تحيّز ابن كثير للحنابلة و أصحاب القول بعدم خلق القرآن واضح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ما ينقل من المحنة في حقِّ الحنابلة إن لم تؤيّده سائر الآثار مشكل، و بما أنّ في الكتاب مغالاة في الفضائل، و محاولة لجعله اسطورة في التأريخ بنقول مختلفة، نكتفي بما يذكره الطبري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مالك بن هيثم الخزاعي كان أحد نقباء بني العبّاس، و كان حفيده أحمد بن نصر بن مالك، يغشاه أصحاب الحديث كيحيى بن معين و ابن الدورقي و ابن خيثمة، و كان يظهر المباينة لمن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مع منزلة أبيه من السلطان في دولة بني العبّاس، و يبسط لسانه فيمن يقول ذلك مع غلظة الواثق على من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أصحاب الحديث و كلّ من ينكر القول بخلق القرآن أحمد بن نصر و حملوه على الحركة لإنكار القول بخلق القرآن، و الغاية من هذه الحركة، الثورة في بغداد على الخليفة الواثق، و خلعه من الخلافة، غير أنّ هذه المحاولة فشلت فأخذوا و حملوا إلى سامراء، الّتي كانت مقرّاً للواثق، فحضر القوم و اجتمعوا عنده، فلمّا أُتي بأحمد بن نصر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تقول في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قال أ فمخلوق هو؟ قال</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ربِّك أ تراه يوم القيامة؟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جاءت الآثار عن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ربّكم يوم القيامة كما ترون القمر لا تضامون في رؤيته، فنحن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الواثق لمن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فيه؟ فقال عبد الرحمن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هو حلال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كافر يستتاب لعلّ به عاهة، أو تغيّر عقليّ، فقال الواثق، إذا رأيتموني قد قمت إليه فلا يقومنّ أحد معي، فإنّي أحتسب خطاي إليه، و دعا بالصمصامة، سيف عمرو بن معديكرب، فمشى إليه و هو في وسط الدّار، و دعا بنطع فصير في وسطه حبل فشدّ رأسه، و مدّ الحبل، فضربه الواثق ضربة، فوقعت على حبل العاتق، ثمّ ضربه أُخرى على رأسه، ثمّ انتضى سيما الدمشقي سيفه، فضرب عنقه و حزّ رأسه</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هذه 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هذه القسوة من الخليفة كانت مبرّرة عنده، لا لأجل قوله بخلق القرآن و رؤية اللّٰه، بل لما قام به من الثورة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الواثق بامتحان أهل الثغور في القرآن، فقالوا بخلقه جميعاً إلّا أربعة نفر، فأمر الواثق بضرب أعناقهم إن لم يقولوه</w:t>
      </w:r>
      <w:r>
        <w:rPr>
          <w:rFonts w:eastAsia="Amiri" w:cs="Amiri" w:ascii="Amiri" w:hAnsi="Amiri"/>
          <w:color w:val="111111"/>
          <w:sz w:val="28"/>
          <w:szCs w:val="28"/>
          <w:rtl w:val="true"/>
          <w:lang w:bidi="ar-SA"/>
        </w:rPr>
        <w:t>».</w:t>
      </w:r>
      <w:r>
        <w:rPr>
          <w:rStyle w:val="FootnoteAnchor"/>
          <w:rtl w:val="true"/>
        </w:rPr>
        <w:footnoteReference w:id="1046"/>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قام الواثق بنفس العمل الّذي قام به أبوه في امتحان أسرى المسلمين، فمن قال إنّ القرآن مخلوق فودي به، و من أبى ذلك ترك في </w:t>
      </w:r>
      <w:bookmarkStart w:id="861" w:name="pg11536_164437"/>
    </w:p>
    <w:p>
      <w:pPr>
        <w:pStyle w:val="BookText"/>
        <w:rPr/>
      </w:pPr>
      <w:bookmarkEnd w:id="861"/>
      <w:r>
        <w:rPr>
          <w:rFonts w:ascii="Amiri" w:hAnsi="Amiri" w:eastAsia="Amiri" w:cs="Amiri"/>
          <w:color w:val="111111"/>
          <w:sz w:val="28"/>
          <w:sz w:val="28"/>
          <w:szCs w:val="28"/>
          <w:rtl w:val="true"/>
          <w:lang w:bidi="ar-SA"/>
        </w:rPr>
        <w:t>أيدي الروم و أمر لطالب بخمسة آلاف درهم، و أمر أن يعطوا جميع من قال إنّ القرآن مخلوق ممن فودي به ديناراً لكلِّ إنسان من مال حمل معهم</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 كانت المحنة مستمرّة، و الضيق على أصحاب القول بعدم خلق القرآن متواصلاً إلى أن وافاه الأجل، و مات الواثق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اتّفقت كلمة أهل السير على أنّ الخلفاء كانوا يلعبون بحبال عدّة من المعتزلة الّذين كسبوا منزلة عظيمة لدى الخلفاء، و هم ثمامة بن أشرس و أحمد بن أبي دؤاد الزيّات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بموت الخليفة و تسنّم ابنه المتوكّل الخلافة، غاب نجم المعتزلة و انحدروا من الأوج إلى الحضيض و من العزِّ إلى الذلّة، و إليك هذا القسم من التاريخ</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3907893_73709187"/>
      <w:bookmarkStart w:id="863" w:name="_Toc314"/>
      <w:bookmarkEnd w:id="862"/>
      <w:r>
        <w:rPr>
          <w:rtl w:val="true"/>
        </w:rPr>
        <w:t>قصّة المحنة و خلافة المتوكّل</w:t>
      </w:r>
      <w:bookmarkEnd w:id="863"/>
    </w:p>
    <w:p>
      <w:pPr>
        <w:pStyle w:val="BookText"/>
        <w:rPr/>
      </w:pPr>
      <w:r>
        <w:rPr>
          <w:rFonts w:ascii="Amiri" w:hAnsi="Amiri" w:eastAsia="Amiri" w:cs="Amiri"/>
          <w:color w:val="111111"/>
          <w:sz w:val="28"/>
          <w:sz w:val="28"/>
          <w:szCs w:val="28"/>
          <w:rtl w:val="true"/>
          <w:lang w:bidi="ar-SA"/>
        </w:rPr>
        <w:t>قضى الواثق نحبه و قام مقامه المتوكّل و أمر الناس بترك النظر و البحث و الجدال و ترك ما كانوا عليه في أيّام الخلفاء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و المعتصم و الواثق، و أمر شيخ المحدِّثين بالتحديث و إظهار السنّة</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المتوكِّل النّاس عن الكلام في القرآن و أطلق </w:t>
      </w:r>
    </w:p>
    <w:p>
      <w:pPr>
        <w:pStyle w:val="BookText"/>
        <w:rPr/>
      </w:pPr>
      <w:r>
        <w:rPr>
          <w:rFonts w:ascii="Amiri" w:hAnsi="Amiri" w:eastAsia="Amiri" w:cs="Amiri"/>
          <w:color w:val="111111"/>
          <w:sz w:val="28"/>
          <w:sz w:val="28"/>
          <w:szCs w:val="28"/>
          <w:rtl w:val="true"/>
          <w:lang w:bidi="ar-SA"/>
        </w:rPr>
        <w:t>من كان في السجون من أهل البلدان، و من أخذ في خلافة الواثق، فخلّاهم جميعاً و كساهم، و كتب إلى الآفاق كتباً ينهي عن المناظرة و الجدل</w:t>
      </w:r>
      <w:r>
        <w:rPr>
          <w:rFonts w:eastAsia="Amiri" w:cs="Amiri" w:ascii="Amiri" w:hAnsi="Amiri"/>
          <w:color w:val="111111"/>
          <w:sz w:val="28"/>
          <w:szCs w:val="28"/>
          <w:rtl w:val="true"/>
          <w:lang w:bidi="ar-SA"/>
        </w:rPr>
        <w:t>».</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هذه هي الضربة الأُولى الّتي وجّهها المتوكِّل إلى المعتزلة، و أقفل باب البحث و المناظرة الّذي كان لصالح المعتزلة ضدِّ أهل الحديث، حيث كان المعتزلة يتفوّقون على خصمائهم في مجال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كلّه لم يكن ذلك ضربة قاضية لنظام الاعتزال، و لأجل ذلك لم يعزل أحمد بن دؤاد عن قضاء القضاة و لا عن مظالم العسكر، بل أبقاه على منصبه إلى أن عجز عن القيام بالعمل لإصابته بالفالج عام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اختار بعده ولده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فلج أحمد بن أبي دؤاد في جمادي الآخرة سنة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المتوكِّل ابنه محمّد بن أحمد أبا الوليد القضاء و مظالم العسكر مكان أبيه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أحمد بن أبي دؤاد هو العامل المؤثِّر في دعوة الخلفاء على ضدِّ أهل الحديث القائلين بقدم القرآن أو كونه غير مخلوق</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ابن الجوزي في كتاب مناقب الإمام أحمد أنّ المتوكِّل وجّه إلى المعتزلة ضربة ثانية مؤثِّرة في إبعادهم عن ساحة المساجد و المدارس </w:t>
      </w:r>
    </w:p>
    <w:p>
      <w:pPr>
        <w:pStyle w:val="BookText"/>
        <w:rPr/>
      </w:pPr>
      <w:r>
        <w:rPr>
          <w:rFonts w:ascii="Amiri" w:hAnsi="Amiri" w:eastAsia="Amiri" w:cs="Amiri"/>
          <w:color w:val="111111"/>
          <w:sz w:val="28"/>
          <w:sz w:val="28"/>
          <w:szCs w:val="28"/>
          <w:rtl w:val="true"/>
          <w:lang w:bidi="ar-SA"/>
        </w:rPr>
        <w:t>و إشخاص أهل الحديث و دعوتهم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المتوكِّل الفقهاء و المحدِّثين، و أمرهم أن يجلسوا للناس و أن يحدِّثوا بالأحاديث فيها الردّ على المعتزلة و الجهميّة، و أن يحدِّثوا في الرؤية، فجلس عثمان بن أبي شيبة في مدينة المنصور، و وضع له منبر و اجتمع عليه نحو من ثلاثين ألفاً من الناس، و جلس أبو بكر بن أبي شيبة في مسجد الرصافة و اجتمع عليه نحو من ثلاثين ألفاً</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 التاريخ يعرب عن شدّة تفاقم أمر المعتزلة سنة بعد سنة و انجذاب المتوكِّل إلى أهل الحديث، و تخطئة عمل أبيه الواثق، حيث إنّ أباه قتل بسيفه أحمد بن نصر لأجل قوله بعدم خلق القرآن و صلبه و كانت جثّته باقية على الصليب إلى عام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و لكنّ المتوكِّل أمر بإنزال جثّته و هو نوع تخطئة لعمل أبيه أوّلاً، و إمضاء لمنهج أهل الحديث ثانياً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المتوكِّل لمّا أفضت إليه الخلافة، نهى عن الجدال في القرآن و غيره، و نفذت كتبه بذلك إلى الآفاق، و همّ بإنزال أحمد بن نصر عن خشبته، فاجتمع الغوغاء و الرعاع إلى موضع تلك الخشبة و كثروا و تكلّموا، فبلغ ذلك المتوكّل، فوجّه إليهم نصر بن اللّيث، فأخذ منهم نحواً من عشرين رجلاً فضربهم و حبسهم، و ترك إنزال جثّة أحمد بن نصر من خشبته لما بلغه من تكثير العامّة في أمره، و بقي الّذين أُخِذوا بسببه في الحبس 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دفع بدنه إلى أوليائه في الوقت الّذي ذكرت، حمله ابن </w:t>
      </w:r>
    </w:p>
    <w:p>
      <w:pPr>
        <w:pStyle w:val="BookText"/>
        <w:rPr/>
      </w:pPr>
      <w:r>
        <w:rPr>
          <w:rFonts w:ascii="Amiri" w:hAnsi="Amiri" w:eastAsia="Amiri" w:cs="Amiri"/>
          <w:color w:val="111111"/>
          <w:sz w:val="28"/>
          <w:sz w:val="28"/>
          <w:szCs w:val="28"/>
          <w:rtl w:val="true"/>
          <w:lang w:bidi="ar-SA"/>
        </w:rPr>
        <w:t xml:space="preserve">أخيه موسى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 و دفن و ضمّ رأسه إلى بدنه</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و مع ذلك لم يكتف في قطع جذور المعتزلة عن بلاطه و صار بصدد الانتقام من آل ابن أبي دؤاد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المتوكِّل على ابن أبي دؤاد و أمر بالتّوكيل على ضياع أحمد بن أبي دؤاد لخمس بقين من صفر، و حبس يوم السبت لثلاث خلون من شهر ربيع الأوّل ابنه أبا الوليد محمّد بن أحمد بن أبي دؤاد في ديوان الخراج و حبس إخوته عند عبيد اللّٰه بن السريّ خليفة صاحب الشرطة</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 الظاهر من الخطيب في تاريخه أنّ عزل محمّد بن أحمد كان يوم الأربعاء لعشر بقين من صفر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صودرت أمواله، و مات أبو الوليد محمّد بن أحمد ببغداد في ذي القعدة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و مات أبوه أحمد بعده بعشرين يوماً</w:t>
      </w:r>
      <w:r>
        <w:rPr>
          <w:rFonts w:eastAsia="Amiri" w:cs="Amiri" w:ascii="Amiri" w:hAnsi="Amiri"/>
          <w:color w:val="111111"/>
          <w:sz w:val="28"/>
          <w:szCs w:val="28"/>
          <w:rtl w:val="true"/>
          <w:lang w:bidi="ar-SA"/>
        </w:rPr>
        <w:t>.</w:t>
      </w:r>
      <w:r>
        <w:rPr>
          <w:rStyle w:val="FootnoteAnchor"/>
          <w:rtl w:val="true"/>
        </w:rPr>
        <w:footnoteReference w:id="1054"/>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إبعاد المعتزلة عن ساحة القدرة فسح للشعب إظهار حقده و إبداء كامل غيظه في مناسبات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عرفت عند إنزال جثّة أحمد بن نصر، و منها ما فعلوه في تشييع جنازة أحمد بن حنبل، فقد شيّعه جماعة كثيرة و إن غالى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إمامه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بعض الشهود أنّه مكث طول الأسبوع رجاء أن يصل إلى القبر فلم يتمكّن إلّا </w:t>
      </w:r>
    </w:p>
    <w:p>
      <w:pPr>
        <w:pStyle w:val="BookText"/>
        <w:rPr/>
      </w:pPr>
      <w:r>
        <w:rPr>
          <w:rFonts w:ascii="Amiri" w:hAnsi="Amiri" w:eastAsia="Amiri" w:cs="Amiri"/>
          <w:color w:val="111111"/>
          <w:sz w:val="28"/>
          <w:sz w:val="28"/>
          <w:szCs w:val="28"/>
          <w:rtl w:val="true"/>
          <w:lang w:bidi="ar-SA"/>
        </w:rPr>
        <w:t>بشقِّ النفس لكثرة ازدحام الناس عليه</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الشعراء يهجون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أفلت سعود نجومك ابن دؤاد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بدتْ نحوسك في جميع إياد</w:t>
      </w:r>
    </w:p>
    <w:p>
      <w:pPr>
        <w:pStyle w:val="BookText"/>
        <w:rPr/>
      </w:pPr>
      <w:r>
        <w:rPr>
          <w:rFonts w:ascii="Amiri" w:hAnsi="Amiri" w:eastAsia="Amiri" w:cs="Amiri"/>
          <w:color w:val="111111"/>
          <w:sz w:val="28"/>
          <w:sz w:val="28"/>
          <w:szCs w:val="28"/>
          <w:rtl w:val="true"/>
          <w:lang w:bidi="ar-SA"/>
        </w:rPr>
        <w:t xml:space="preserve">فرحت بمصرعك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منها موقناً بمعاد</w:t>
      </w:r>
    </w:p>
    <w:p>
      <w:pPr>
        <w:pStyle w:val="BookText"/>
        <w:rPr/>
      </w:pPr>
      <w:r>
        <w:rPr>
          <w:rFonts w:ascii="Amiri" w:hAnsi="Amiri" w:eastAsia="Amiri" w:cs="Amiri"/>
          <w:color w:val="111111"/>
          <w:sz w:val="28"/>
          <w:sz w:val="28"/>
          <w:szCs w:val="28"/>
          <w:rtl w:val="true"/>
          <w:lang w:bidi="ar-SA"/>
        </w:rPr>
        <w:t xml:space="preserve">كم من كريمة معشر أرملتَها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محدِّث أوثقتَ بالأقيادِ</w:t>
      </w:r>
    </w:p>
    <w:p>
      <w:pPr>
        <w:pStyle w:val="BookText"/>
        <w:rPr/>
      </w:pPr>
      <w:r>
        <w:rPr>
          <w:rFonts w:ascii="Amiri" w:hAnsi="Amiri" w:eastAsia="Amiri" w:cs="Amiri"/>
          <w:color w:val="111111"/>
          <w:sz w:val="28"/>
          <w:sz w:val="28"/>
          <w:szCs w:val="28"/>
          <w:rtl w:val="true"/>
          <w:lang w:bidi="ar-SA"/>
        </w:rPr>
        <w:t xml:space="preserve">كم مجلس للّٰه قد عطّلتَه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يحدّث فيه بالاسناد</w:t>
      </w:r>
    </w:p>
    <w:p>
      <w:pPr>
        <w:pStyle w:val="BookText"/>
        <w:rPr/>
      </w:pPr>
      <w:r>
        <w:rPr>
          <w:rFonts w:ascii="Amiri" w:hAnsi="Amiri" w:eastAsia="Amiri" w:cs="Amiri"/>
          <w:color w:val="111111"/>
          <w:sz w:val="28"/>
          <w:sz w:val="28"/>
          <w:szCs w:val="28"/>
          <w:rtl w:val="true"/>
          <w:lang w:bidi="ar-SA"/>
        </w:rPr>
        <w:t xml:space="preserve">كم من مساجد قد منعتَ قضاتها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يعدّل شاهد برشاد</w:t>
      </w:r>
    </w:p>
    <w:p>
      <w:pPr>
        <w:pStyle w:val="BookText"/>
        <w:rPr/>
      </w:pPr>
      <w:r>
        <w:rPr>
          <w:rFonts w:ascii="Amiri" w:hAnsi="Amiri" w:eastAsia="Amiri" w:cs="Amiri"/>
          <w:color w:val="111111"/>
          <w:sz w:val="28"/>
          <w:sz w:val="28"/>
          <w:szCs w:val="28"/>
          <w:rtl w:val="true"/>
          <w:lang w:bidi="ar-SA"/>
        </w:rPr>
        <w:t xml:space="preserve">كم من مصابيح لها أطفأتها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تزلّ عن الطريق الهادي</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و أخذ أهل الحديث يجلسون في المساجد و يروون الأحاديث ضدّ الاعتزال و يكفّرون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أحدهم أحمد بن حنبل عمّن يقول إنّ القرآن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دؤاد؟ قال كافر باللّٰه العظيم</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شعرت المعتزلة بأنّ الظروف قاسية و أنّ السلطة و الأكثريّة الساحقة من أهل السنّة يريدون أن يقضوا عليهم و يشفوا غيظ صدورهم منهم، و مع ذلك كلّه كانت عندهم طاقة يردّون بها عن أنفسهم الّتي رشقوا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الجاحظ أحد أُدباء المعتزلة فألّف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فأثنى </w:t>
      </w:r>
    </w:p>
    <w:p>
      <w:pPr>
        <w:pStyle w:val="BookText"/>
        <w:rPr/>
      </w:pPr>
      <w:r>
        <w:rPr>
          <w:rFonts w:ascii="Amiri" w:hAnsi="Amiri" w:eastAsia="Amiri" w:cs="Amiri"/>
          <w:color w:val="111111"/>
          <w:sz w:val="28"/>
          <w:sz w:val="28"/>
          <w:szCs w:val="28"/>
          <w:rtl w:val="true"/>
          <w:lang w:bidi="ar-SA"/>
        </w:rPr>
        <w:t xml:space="preserve">عليهم و عدّ فضائلهم و كان الكتاب من حيث الصياغة و التعبير بمكان توجّهت إليه أبصار الخاصة و العامّة، و بالتّالي ظهر عليه ردّ أو ردود، أشهرها ما كتبه أحمد بن يحيى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المعتزلة، ثمّ رجع عنهم فألّف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فضيحة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يبرح زمان حتّى جاء أبو الحسين عبد الرحمن بن محمّد بن عثمان الخيّاط فألّف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فيه للجاحظ على ابن الراوندي، و الموجود من هذه الكتب الثلاثة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أعان على انقراضهم هو تشتّت مذاهبهم و فرقهم، فإنّ القوم تفرّقوا إلى مدرستين، مدرسة معتزلة بغداد و مدرسة معتزلة البصرة، و لم تكن حتّى في نفس المدرستين وحدة في التفكير، فصاروا فرقاً تنوف على العشرين، و عند ذلك بلغوا إلى درجة من الضعف و الانحلال ساعد على زوالهم و انقراضهم</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الضربة الأخيرة من جانب أبي الحسن الأشعريّ الّذي كان ربيب أبي عليّ الجبّائي و تلميذه، و رجوعه عن الاعتزال بالتحاقه بأهل الحديث، فقد رقى في البصرة يوم الجمعة كرسيّاً و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عرفني فقد عرفني، و من لم يعرفني فأنا أعرّفه بنفسي أنا فلان بن فلان، كنت أقول بخلق القرآن، و أنّ اللّٰه لا تراه الأبصار، و أنّ أفعال الشرّ أنا أفعلها و أنا تائب مقلع، معتقد للردّ على المعتزلة، مخرج لفضائحهم و معايبهم</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فقد كان لرجوع من كان من أكابر تلاميذ أبي عليّ الجبّائي أثر بارز في النفوس، و بذلك أخذ الدهر يقلب عليهم ظهر المجنّ، تقلّب لجّة البحر بالسفن المشحونة و الفلك المصنوعة، بين بالغ إلى ساحل النجاة و هالك في أمواج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القادر باللّٰه أحد خلفاء العبّاسيين قام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العمل الّذي قامت به المعتزلة في عصر المعتصم و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الحافظ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استتاب القادر باللّٰه الخليفة فقهاء المعتزلة فأظهروا الرجوع و تبرّءوا من الاعتزال و الرفض و المقالات المخالفة للإسلام، و أخذت خطوطهم بذلك و أنّهم متى خالفوا أحلّ فيهم من النكال و العقوبة ما يتّعظ به أمثالهم، و امتثل محمود بن سبكتكين أمر أمير المؤمنين في ذلك و استنّ بسنّته في أعماله الّتي استخلفه عليها من بلاد خراسان و غيرها في قتل المعتزلة و الرافضة و الإسماعيليّة و القرامطة و الجهميّة و المشبّهة، و صلبهم و حبسهم و نفاهم و أمر بلعنهم على المنابر، و أبعد جميع طوائف أهل البدع و نفاهم عن ديارهم، و صار ذلك سنّة في الإسلام</w:t>
      </w:r>
      <w:r>
        <w:rPr>
          <w:rFonts w:eastAsia="Amiri" w:cs="Amiri" w:ascii="Amiri" w:hAnsi="Amiri"/>
          <w:color w:val="111111"/>
          <w:sz w:val="28"/>
          <w:szCs w:val="28"/>
          <w:rtl w:val="true"/>
          <w:lang w:bidi="ar-SA"/>
        </w:rPr>
        <w:t>».</w:t>
      </w:r>
      <w:r>
        <w:rPr>
          <w:rStyle w:val="FootnoteAnchor"/>
          <w:rtl w:val="true"/>
        </w:rPr>
        <w:footnoteReference w:id="1059"/>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صنّف القادر باللّٰه كتاباً في الأُصول ذكر فيه فضائل الصحابة على ترتيب مذهب أصحاب الحديث، و أورد في كتابه فضائل عمر بن عبد العزيز و إكفار المعتزلة و القائلين بخلق القرآن، و كان الكتاب يقرأ كلّ جمعة في حلقة أصحاب الحديث بجامع المهدي، و يحضر الناس سماعه</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الكتاب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بالبيان القادري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صار هذا الكتاب محوراً لتمييز الحقِّ عن الباطل، و الصحيح عن الزائف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الجزري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ملك محمود بن سبكتكين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المعتزلة إلى خراسان و أحرق كتب الفلسفة و مذاهب الاعتزال و النّجوم و أخذ من الكتب ما سوى ذلك مائة حمل</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 قال ابن كثير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ناقلاً عن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يوم الجمعة ثاني عشر شعبان هجم قوم من أصحاب عبد الصمد على أبي عليّ بن الوليد المدرس للمعتزلة فسبّوه و شتموه، لامتناعه من الصلاة في الجامع و تدريسه للناس بهذا المذهب، و أهانوه و جرّوه، و لعنت المعتزلة في جامع المنصور، و جلس أبو سعيد بن أبي عمامة و جعل يلعن المعتزلة</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 قال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عليّ بن الوليد شيخ المعتزلة كان مدرّساً لهم فأنكر أهل السنّة عليه، فلزم بيته خمسين سنة إلى أن توفّي في ذي الحجّة منها</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يقول أيضاً في حوادث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فيها نقمت الحنابلة على الشيخ أبي الوفاء عليّ بن عقيل و هو من كبرائهم بتردّده إلى أبي عليّ بن الوليد المتكلّم المعتزلي و اتّهموه بالاعتزال</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و يقول 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يوم الخميس حادي عشر المحرّم حضر إلى الديوان أبو الوفاء عليّ بن محمّد بن عقيل العقيلي الحنبلي و قد كتب على نفسه كتاباً يتضمّن توبته من الاعتزال</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بذلك حقّق التّاريخ السنّة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تدين تدان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 الطائفتان، الحنابلة و المعتزلة يتصارعان و يقتتلان قتال موت أو حياة، فصار الانتصار لأصحاب الحديث، و الهلاك و الاضطهاد للمعتزلة، فلم يظهر بعد هذه القرون إلّا آحاد ينجمون في الفينة بعد الفينة و الفترة بعد الفترة لا تجد لهم ذكراً بارزاً في ثنايا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تكامل الأُمم و بلوغها الذّروة من العظمة، ثمّ انحدارها إلى هاوية الضعف و الانحلال سنّة إلٰهيّة قضى بها على جميع الأُمم، فلم يكن ارتقاء المعتزلة بلا سبب، كما أنّه لم يكن ضعفهم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الباحث المتأمِّل في ثنايا القضايا التّاريخية تحليل هذه الظاهرة تحليلاً علميّاً يوافق الأُصول المسلّمة في تحليل هذه المباحث</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المعتزلة لم يسقطوا سياسيّاً فحسب، بل سقطوا فكريّاً، فلا تسمع بعد أبي هاشم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الرابع، و بعد 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الخامس، مفكّراً قويّاً في المسائل الكلاميّة، يوازي المتقدّمين منهم مثل أبي هذيل العلّاف، و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 ما قام به المتأخّرون بعد القاضي لا يتجاوز عن تبيين المذهب </w:t>
      </w:r>
    </w:p>
    <w:p>
      <w:pPr>
        <w:pStyle w:val="BookText"/>
        <w:rPr/>
      </w:pPr>
      <w:r>
        <w:rPr>
          <w:rFonts w:ascii="Amiri" w:hAnsi="Amiri" w:eastAsia="Amiri" w:cs="Amiri"/>
          <w:color w:val="111111"/>
          <w:sz w:val="28"/>
          <w:sz w:val="28"/>
          <w:szCs w:val="28"/>
          <w:rtl w:val="true"/>
          <w:lang w:bidi="ar-SA"/>
        </w:rPr>
        <w:t>و توضيح صياغته من دون تأسيس قاعدة أو أصل في المجالات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لم يكن لسقوطهم سبب واحد، بل يستند انحلالهم إلى أسباب متعدّدة أدّت بهم إلى الهلاك و الدمار و الانقراض إلّا في نقاط خاصّة كاليمن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إليك بيان الأُمور الّتي سبّبت سقوطهم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مذهب السنّة بمفهومه الحقيقي، يبتني على عدالة الصحابة أجمعين و إجلالهم، بل على تعديل السلف من التابعين و تابعي التّابعين في الأقوال و الأفعال، كيف و هؤلاء عند أهل السنّة عمد المذهب، الّتي قام عليها صرحه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جرح واحد من الصحابة أو ترك قوله، إخلال في الأساس، و هو ما لا يقبله المذهب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ترى أنّ أهل السنّة، يقدِّسون السلف و يكسونهم حلية العدالة الّتي لا تقلُّ عن العصمة في حقِّ النبي الأكرم و العترة الطاهرة عليهم السلام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المذهب مبنيّ على تلك الأُسس من أوّل يوم اجتمعوا فيه لاختيار خليفة للرسول إلى يومنا هذا</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أنّ كثيراً من المفكِّرين منهم يتلون كتاب اللّٰه الصريح في التنديد ببعض الصحابة، و يقرءون الصحاح و المسانيد الصريحة في ارتداد الكثير منهم بعد رحلة النبي صلى الله عليه و آله و سلم و يقلبون التاريخ ظهر المِجنّ، فيشاهدون فيه موبقات بعض الصحابة و خداعهم و ضلالهم، مع ذلك كلِّه لا ينبسون فيهم ببنت شفة و يحكِّمون الأصل على هذه المعارف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قاصمة للمذهب السنّي بالمعنى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جانب آخر، إنّ المعتزلة كانوا منتمين لأهل السنّة، و في الوقت نفسه كانوا يعطون للعقل قسطاً أوفر و يقدِّمونه على النصوص الواردة في الصِّحاح و المسانيد عن الصحابة و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 النصوص النبويّة الّتي يرويها المحدِّثون من أهل السنّة تركِّز على التجسيم و الرؤية و التشبيه و الجبر و سلب الاختيار عن الإنسان، فمعنى كون الفرقة فرقة سنّية، تكريم هذه الأُصول و الأحاديث و عدم الخروج عن خطوطها، و لكنّهم مع الانتماء واجهوا هذه النصوص بشدّة و قسوة، فأخذوا يردّونها و يضربونها عرض الجدار، و هذان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الإنسان مقتفياً لمذهب أهل السنّة لا ينفكّ عن اقتفاء هذه الآثار و عدم التخطّي عنها، و الثورة على هذه النصوص، إمحاء لمذهب السنّة و هدم لأُسسه،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ذلك أنّهم صاروا يتبنّون مبدأين متناقضين يضربون بواحد منهما المبدأ الآخر</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التسنّن بالمعنى الصحيح هو ما كان عليه أحمد بن حنبل و نظراؤه من الجمود على الظواهر، و الأخذ في الصفات الخبريّة بالمعنى الحرفي، و رفض العقل و البرهان في مجالي العقائد و الأحكام، و ترك التفكير و التعقّل في المعارف، و هذا هو الخطّ السنّي الحقيقيّ الّذي عليه وهّابية اليوم في نجد و الحجاز، فمن أراد الانتماء إلى هذا المذهب، يجب أن يسلك هذا الطريق و يترك التفكّر و البرهنة في جميع المجالات، و من جمع بينهما فقد جمع بين الضدّين و النقيضين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نرى أنّ الشيخ أبا الحسن الأشعريّ بعد ما تاب و التحق بالحنابلة، و حاول إثبات عقائد أهل الحديث بالبرهنة و الدليل، قابله إنكار شديد من قبل الحنابلة، و لأجل ذلك لم يترجموه في طبقاتهم و لا عدّوه من أنفسهم، بل استنكر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بهاري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حنابلة بغداد طريقته بأنّه يتجاوز في طرح الأُصول و العقائد عن النصوص و يدخل في باب الدليل و البرهان، و قد صار ذلك سبباً لحدوث مخاصمة شديدة بين الحنابلة و الأشاعرة على مدى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في الجزء الثاني شكوى الأشاعرة من المتوسّمين بالحنبليّة، و ما هذا إلّا لأنّ خطّ الحنابلة خطّ الرواية عن التابعين و الصحابة و الاقتفاء بهم من دون أن يقيموا للعقل وزناً، و هذا على طرف النقيض من كتب الإمام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أئمّة الأشاعرة، فإنّها مشحونة بالاستدلال العقليّ على العقائد و إن كان لصالح آراء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ضوء ذلك تقف على أنّ موضع المعتزلة من المجتمع السنّي موضع الرقعة من اللّباس، فكانوا من أهل السنّة و يدّعون الانتماء إليهم، غير أنّ أهل السنّة لا يقبلونهم، و هذا وحده يكفي في سقوطهم من أعين العامّة و أوساط الناس</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لأصحاب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أنّهم حفظة السنّة و علماء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نفاذ عجيب في نفوس العامّة، و كان ذلك كافياً في إثارة سخطهم على المعتزلة، لأنّهم ما زالوا يذكرونهم على صهوات المنابر و أندية الوعظ </w:t>
      </w:r>
    </w:p>
    <w:p>
      <w:pPr>
        <w:pStyle w:val="BookText"/>
        <w:rPr/>
      </w:pPr>
      <w:r>
        <w:rPr>
          <w:rFonts w:ascii="Amiri" w:hAnsi="Amiri" w:eastAsia="Amiri" w:cs="Amiri"/>
          <w:color w:val="111111"/>
          <w:sz w:val="28"/>
          <w:sz w:val="28"/>
          <w:szCs w:val="28"/>
          <w:rtl w:val="true"/>
          <w:lang w:bidi="ar-SA"/>
        </w:rPr>
        <w:t>و الإرشاد بالإلحاد و رفض السنّة و مخالفة الدين، و لم تكن الوقيعة فيهم منحصرة بيوم أو شهر أو سنة، بل امتدّت طوال قرون في العواصم الإسلاميّة حتّى أيقن بسطاء الأُمّة، بل علماؤهم بأنّ الاعتزال خروج على الدين باسم الدين و محو للسنّة باسم البرهنة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هذا في إبعاد المعتزلة عن ساحة المجتمع و إسقاطهم عن أعين الناس و الهجوم عليهم و على أموالهم إذا أتيحت للناس الفرصة و وافقت عليه السلطة الحاكمة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المعتزلة كانوا يتبنّون عقائد تخدش عواطف العامّة، بخلاف أهل الحديث فقد كانوا يتبنّون ما يوافق أفكارهم و مصالحهم في الدنيا و الآخرة، فأهل الحديث كانوا يدّعون بأنّ شفاعة الشافعين تعمّ العادل و الفاسق و أنّ رسول اللّٰه ادّخرها للمذنبين من أُمّته، و مثل هذا يوجب التفاف عامّة الناس حول رايتهم، و هذا بخلاف ما يتبنّاه المعتزلة، فإنّهم يقولون بأنّها لا تشمل إلّا صلحاء الأُمّة، و الغرض منها رفع الدرجة لا إمحاء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العقيدتين أولى بأن تتّبع عند عامّة النّاس؟</w:t>
      </w:r>
    </w:p>
    <w:p>
      <w:pPr>
        <w:pStyle w:val="BookText"/>
        <w:rPr/>
      </w:pPr>
      <w:r>
        <w:rPr>
          <w:rFonts w:ascii="Amiri" w:hAnsi="Amiri" w:eastAsia="Amiri" w:cs="Amiri"/>
          <w:color w:val="111111"/>
          <w:sz w:val="28"/>
          <w:sz w:val="28"/>
          <w:szCs w:val="28"/>
          <w:rtl w:val="true"/>
          <w:lang w:bidi="ar-SA"/>
        </w:rPr>
        <w:t>إنّ أهل الحديث يقولون بأنّ الخلود في النّار يختصّ بالكافر، و المؤمن و إن كان فاسقاً لا يخلّد و إن مات بلا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يقوله المعتزلة من خلود مرتكبي الكبائر في النار إذا ماتوا بلا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لفكرة أهل الحديث جاذبيّة تضمّ العامّة إليهم، و هذا بخلاف ما تقوله المعتزلة</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نجم المعتزلة أفل بعد الواثق عند ما تسنّم المتوكِّل منصّة </w:t>
      </w:r>
    </w:p>
    <w:p>
      <w:pPr>
        <w:pStyle w:val="BookText"/>
        <w:rPr/>
      </w:pPr>
      <w:r>
        <w:rPr>
          <w:rFonts w:ascii="Amiri" w:hAnsi="Amiri" w:eastAsia="Amiri" w:cs="Amiri"/>
          <w:color w:val="111111"/>
          <w:sz w:val="28"/>
          <w:sz w:val="28"/>
          <w:szCs w:val="28"/>
          <w:rtl w:val="true"/>
          <w:lang w:bidi="ar-SA"/>
        </w:rPr>
        <w:t>الخلافة، فعند ذلك صارت السلطة الحكوميّة سيفاً مصلتاً فوق رقابهم و شبحاً مرعباً يلاحقهم بعد ما كانت أداة طيّعة لهم، و الناس على دين ملوكهم و سلاطينهم، ثمّ اشتدّ غضب الخلفاء عليهم على مرِّ الزمن، فصار ذلك سبباً لذبح المعتزلة تحت كلّ حجر و مدر، و قد استغلّ أهل الحديث و الحنابلة غضب السلطة على المعتزلة و قادوهم إلى الحدّ الّذي عرفت من النكاية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المعتزلة قد اشتهروا بالقول بحريّة الفرد في أعماله و كانوا يدافعون عن حريّة الإنسان و احترام العقل، و هذا لا يجتمع مع ما ارتكبوه في أيّام الخلفاء الثلاث، فناقضوا بذلك أنفسهم و عارضوا تعاليمهم و أظهروا أنّهم لا يقدّرون العقل حقّ قدره، فإذا كانت الحريّة تفرض على المعتزلة أن يدينوا بخلق القرآن، فهذا بنفسه يفرض عليهم أن لا يسوقوا الناس بالجبر و الحبس و الضرب على الاعتراف بخلق القرآن، و غاية ما كان على المعتزلة تشكيل أندية الوعظ و الإرشاد و الجدال الصحيح حتّى يتمّوا الحجّة على متحرّي الحقيقة أخذاً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هذا من الإصرار على تبديل السرائر و الحكومة على الضمائر و فرض العقيدة بالجبر و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الحركة الفلسفيّة العلميّة الّتي بدأت </w:t>
      </w:r>
    </w:p>
    <w:p>
      <w:pPr>
        <w:pStyle w:val="BookText"/>
        <w:rPr/>
      </w:pPr>
      <w:r>
        <w:rPr>
          <w:rFonts w:ascii="Amiri" w:hAnsi="Amiri" w:eastAsia="Amiri" w:cs="Amiri"/>
          <w:color w:val="111111"/>
          <w:sz w:val="28"/>
          <w:sz w:val="28"/>
          <w:szCs w:val="28"/>
          <w:rtl w:val="true"/>
          <w:lang w:bidi="ar-SA"/>
        </w:rPr>
        <w:t>تتقوّى و تنتشر بيد المعتزلة و أخذت تلقى أنصاراً و أعواناً، لو تركت تسير في مجراها الطبيعي، لاستطاعت أن تقضي على الروح الرجعية في الأُمّة على قوّتها و عنفها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لكتب لها الفوز و النجاح، و لكنّ المعتزلة استبقوا الزمن و استعجلوا الأُمور، فأرادوا في زمن دولتهم أن يحقِّقوا ما لا يتحقّق إلا بالاقناع، و أن ينجزوا في برهة وجيزة ما قد يتطلّب قروناً</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صمود أحمد بن حنبل في طريق عقيدته أضفى عليه عند الأُمّة بطولة في طريق حفظ السنّة و جعل منه أُسطورة للدفاع عن العقائد و قبول الاضطهاد في طريق الدين، و لمّا أفرج عنه التفّ النّاس حوله و اندفعوا يحاربون أعداءه و يكيدون لهم، و لم يبرح في الإجهار ضدّ المعتزلة و إثارة الناس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الرجعيّة كانت متأصّلة في نفوس العامّة، متحكّمة في كثير من العلماء، و كانوا لا يرغبون في مخالفة السلف قدر شعرة، و هذا أوجب انتصار أهل الحديث على أهل العقل و الاستدلال، و كان عمل المعتزلة مثيراً لروح التعصّب فيهم أزيد ممّا كانوا عليه، و لعلّهم كانوا يتقرّبون في ضربهم و شتمهم و قتلهم إلى اللّٰه</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كان للشيخ أبي الحسن الأشعري دور مؤثّر في تأليب العامّة و الخاصّة على المعتزلة، فإنّه كان معتزليّاً عارفاً بسلاح العقل و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 عن المعتزلة لأجل أنّه رأى الهوّة السحيقة بين أهل السنّة و أهل </w:t>
      </w:r>
    </w:p>
    <w:p>
      <w:pPr>
        <w:pStyle w:val="BookText"/>
        <w:rPr/>
      </w:pPr>
      <w:r>
        <w:rPr>
          <w:rFonts w:ascii="Amiri" w:hAnsi="Amiri" w:eastAsia="Amiri" w:cs="Amiri"/>
          <w:color w:val="111111"/>
          <w:sz w:val="28"/>
          <w:sz w:val="28"/>
          <w:szCs w:val="28"/>
          <w:rtl w:val="true"/>
          <w:lang w:bidi="ar-SA"/>
        </w:rPr>
        <w:t>الاعتزال، فأراد أن يتّخذ طريقاً وسطاً بين المذهبين، و لكنّه بدلاً من أن يستعمل ذلك السِّلاح في نصرة الدين قام بمقاومة الاعتزال و هدمه، و لم يفعل ذلك إلّا مجاراة للرأي العامّ و طمعاً في كسب عطفهم و تأييدهم، و بالتالي خضع للقوى الرجعية إلى حدّ كبير، فأمضى كلّ ما كان عليه الحنابلة من مسألة القدر و الرؤية بحرفيّتها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جنوح السلطة إلى أصحاب الحديث من عصر المتوكِّل إلى آخر العبّاسيّين و تولّيهم عن المعتزلة دعاة العدل و التوحيد، لم يكن خالياً عن الأهداف السياسيّة الّتي كانت لمصالح عروشهم و حكومتهم، لأنّ من مبادئ أهل الحديث وجوب إطاعة السلطان الجائر و حرمة الخروج عليه و وجوب الصلاة خلف كلّ برّ و فاجر، إلى غير ذلك من الأحكام الّتي ذكرها إمام الحنابلة في عقيدة أهل الحديث، و من المعلوم أنّ هذا هو ما تتوخّاه السلطة، فإنّ في ذلك دعماً لجورها و استبدادها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هذا من القول بالعدل و الدعوة إلى التفكّر و وجوب الأمر بالمعروف و النهي عن المنكر و وجوب الخروج على السلطان الجائر و نصب الإمام العادل، إلى غير ذلك من الأُصول الّتي كانت المعتزلة تتبنّاها و لم تكن لصالح الحكومة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ذاك صار سبباً لرجوع السلطة إلى أهل الحديث و تقديمهم على المعتزلة</w:t>
      </w:r>
      <w:r>
        <w:rPr>
          <w:rFonts w:eastAsia="Amiri" w:cs="Amiri" w:ascii="Amiri" w:hAnsi="Amiri"/>
          <w:color w:val="111111"/>
          <w:sz w:val="28"/>
          <w:szCs w:val="28"/>
          <w:rtl w:val="true"/>
          <w:lang w:bidi="ar-SA"/>
        </w:rPr>
        <w:t xml:space="preserve">. </w:t>
      </w:r>
      <w:bookmarkStart w:id="864" w:name="pg11536_164453"/>
    </w:p>
    <w:p>
      <w:pPr>
        <w:pStyle w:val="BookText"/>
        <w:rPr/>
      </w:pPr>
      <w:bookmarkEnd w:id="86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سبحانه سنّة في الأقوام و الأُمم عبّر عنها في الكتاب العزيز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اَلْأَيّٰامُ نُدٰاوِلُهٰا بَيْنَ اَلنّٰاسِ</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فلا ترى أُمّة في ذروة العزِّ دائماً و لا في حضيض الذلّ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لتحقّق السنّة و تبلورها في المجتمع أسباب و علل ربّما يكون ما ذكرنا من الأسباب بعضها</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3907895_73709187"/>
      <w:bookmarkStart w:id="866" w:name="_Toc315"/>
      <w:bookmarkEnd w:id="865"/>
      <w:r>
        <w:rPr/>
        <w:t>3</w:t>
      </w:r>
      <w:r>
        <w:rPr>
          <w:rtl w:val="true"/>
        </w:rPr>
        <w:t xml:space="preserve"> - </w:t>
      </w:r>
      <w:r>
        <w:rPr>
          <w:rtl w:val="true"/>
        </w:rPr>
        <w:t>الآثار الباقية من المعتزلة</w:t>
      </w:r>
      <w:bookmarkEnd w:id="8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الباقية من المعتزلة</w:t>
      </w:r>
      <w:r>
        <w:rPr>
          <w:rStyle w:val="FootnoteAnchor"/>
          <w:rtl w:val="true"/>
        </w:rPr>
        <w:footnoteReference w:id="1068"/>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مشايخ الاعتزال و أئمّتهم ذوي قرائح خصبة، و كفايات خاصّة في نضد القريض و ارتجال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إلقاء الكلام على الوجه البليغ، المطابق لمقتضى الحال، أحد أسلحتهم الفتّاكة في باب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المحتمل أيضاً أنّ تسمية علم الكلام به، لأنّ المعتزلة هم الأُسس لتدوين علم الكلام بين أهل السنّة، و بما أنّهم قد بلغوا الذروة و السنام في البلاغة و الفصاحة و إلقاء الكلام، سمّيت صناعتهم بأوصافهم و خصوصيّاتهم، فأطلقوا على منهجهم الفكري لفظ الكلام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من الرّجوع إلى تاريخ حياتهم، و قد عرفت أنّ واصل بن عطاء مع أنّه كان به لثغة بالراء و لكن كان يتجنّب عن الراء في خطبه، فيتكلّم بالقمح مكان البُرّ، و الغيث مكان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التفوّق في البلاغة مختصّاً به، بل هو الغالب على أئمّة </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لأن يتركوا كتباً قيّمةً في مجالات العقيدة و الأدب و التفسير، غير أنّ الدهر لعب بكتبهم، و أعان على حرقها و إعدامها خصماؤهم، فلم يصل إلينا إلّا النزر القليل الّذي حفظته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نذكر من آثار المعتزلة ما طبع و نشر، و أمّا المخطوطة منها الموجودة في المكتبات العالميّة فهي على عاتق الفهارس، و لو قمنا به لطال بنا المقام، فنذكر المطبوع حسب التسلسل التاريخي للتأليف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فضائل الإمام أمير المؤمنين عليّ بن أبي طالب عليه السلام، تحقيق محمد باقر المحمودي، طبع في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التنزيل و غرّة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طبع في مطبعة السعادة،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أجزاء، طبع عدّة مرّات، منها طبعة دار الفكر عام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طبع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كتب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جمعها الإمام عبيد اللّٰه بن حسّان، طبع على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للمبرّد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هارون المصري طبع مصر، و استقصى المحقّق ما بثّه ابن أبي الحديد في شرحه على نهج البلاغة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w:t>
      </w:r>
    </w:p>
    <w:p>
      <w:pPr>
        <w:pStyle w:val="BookText"/>
        <w:rPr/>
      </w:pP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الاسكافي، فجمعه و طبعه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الكتاب و نقضه في مجلّد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تعرّفت على شأن الكتاب في ترجمة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تحقيق عبد السلام هارون، طبع في القاهرة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أيضاً، تحقيق طه الحاجزي، طبع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ابن الراوندي، تأليف أبي الحسين المعروف بالخيّاط، طبع مع مقدّمة و تحقيق و تعليق للدكتور نيبرج الاستاذ بجامعة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السويد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 قائمة لفهرس الكتب المذكورة في هذا الكتاب أكثرها للمعتزلة يبلغ عددها أربعين كتاباً</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الاعتزال أو 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فؤاد سيّد، طبع الدار التونسية،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لقاضي القضاة عبد الجبّار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قدّم له الدكتور عبد الكريم عثمان، المطبوع بمصر،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وراء الفهارس، و هو أجمع كتاب لتبيين الأُصول الخمسة الّتي تتبنّاها المعتزلة في مجال العقائد</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و هو إملاء القاضي لتلاميذه، و قد طبع منه </w:t>
      </w:r>
    </w:p>
    <w:p>
      <w:pPr>
        <w:pStyle w:val="BookText"/>
        <w:rPr/>
      </w:pPr>
      <w:r>
        <w:rPr>
          <w:rFonts w:ascii="Amiri" w:hAnsi="Amiri" w:eastAsia="Amiri" w:cs="Amiri"/>
          <w:color w:val="111111"/>
          <w:sz w:val="28"/>
          <w:sz w:val="28"/>
          <w:szCs w:val="28"/>
          <w:rtl w:val="true"/>
          <w:lang w:bidi="ar-SA"/>
        </w:rPr>
        <w:t xml:space="preserve">لحدّ الآن أربعة عشر جزءاً و هو في عشرين جزءاً، و قد اكتشفته البعثة العلميّة المصريّة باليمن، و هو أبسط كتاب للمعتزلة في مجال الكلام، و الجزء الأخير منه في الإمامة، الّذي نقضه السيّد المرتضى بكتاب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لخّصه الشيخ الطُّوسي، و الأصل و الملخّص مطبوعان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القرآن عن المطاعن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عن النسخة المخطوطة بدار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القاهرة، دار التراث، تحقيق الدكتور عدنان زرزور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المحيط بالتكليف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رسائل العدل و التوحيد، تحقيق محمد عمارة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تحقيق فؤاد سيّد، طبع الدار التونسية،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الأُصول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رشيد سعيد بن محمّد النيسابوري رئيس المعتزلة بعد القاضي عبد الجبّار، طبع مصر،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محمّد عبد الهادي أبو ريدة، و قد تبعنا في نسبة الكتاب إليه، رأي محقِّق الكتاب</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الطبقتان الحادية عشرة و الثانية عشرة من طبقات المعتزلة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لأبي السعد المحسن بن محمّد كلام الجشمي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كأنّه ذيل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حيث ترجم فيه الطبقتين الحادية عشرة و الثانية عشرة من المعتزلة، تحقيق فؤاد سيّد، طبع الدار التونسية، و هو جزء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إبليس إلى إخوانه المناحيس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أيضاً، تحقيق حسين المدرسي الطباطبائي،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ألّفه بصورة روائيّة على النهج المعروف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محمود بن عمر بن محمود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عدّة مرّات، و هو أحد التفاسير الّتي يرجع إليها جميع المسلمين في الوقوف على بلاغة القرآن، و لا يزال إلى اليوم ينظر إليه كأحد التفاسير المهمّة، و قد أدرج في تفسيره حسب تناسب الآيات آراء المعتزلة و أخضع الآيات لتلك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طبع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أطواق الذهب في المواعظ و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تحتوي مائة مقالة في النصائح، طبع في مصر و بيروت و استنبول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عجب العجاب في شرح لامية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القاهرة و استنبول</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إيران مع شرح عبد الغني الأردبيلي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الجبال و الأمكنة و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ليدن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الأبرار و نصوص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الفائق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حيدرآباد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 النوابغ أو نوابغ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القاهرة و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المفصّل في صناعة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في مصر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مقدّمة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طبع في ليبسيك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عبد الحميد بن أبي الحديد البغدادي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أعظم الشروح و أطولها و أشملها بالعلوم و الآداب و التاريخ و المعارف، ألّفه لمؤيّد الدّين محمد بن أحمد بن العلقمي وزير المستعصم باللّٰه آخر الخلفاء و الملوك العبّاسيّين، و كان له كتب فيها عشرة آلاف مجلّد من نفاس الكتب</w:t>
      </w:r>
      <w:r>
        <w:rPr>
          <w:rStyle w:val="FootnoteAnchor"/>
          <w:rtl w:val="true"/>
        </w:rPr>
        <w:footnoteReference w:id="1070"/>
      </w:r>
      <w:r>
        <w:rPr>
          <w:rFonts w:ascii="Amiri" w:hAnsi="Amiri" w:eastAsia="Amiri" w:cs="Amiri"/>
          <w:color w:val="111111"/>
          <w:sz w:val="28"/>
          <w:sz w:val="28"/>
          <w:szCs w:val="28"/>
          <w:rtl w:val="true"/>
          <w:lang w:bidi="ar-SA"/>
        </w:rPr>
        <w:t>، طبع في عشرين جزءاً بتحقيق محمّد أبي الفضل إبراهيم في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المرتضى أحد أئمّة الزّيدية، 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بظفار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جزء من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كتاب الملل و النحل</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الزخّار دورة فقهية على مذهب الإمام زيد طبع في ستة أجزاء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الأساس لعقائد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القاسم بن محمّد بن علىّ الزيديّ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و قدّم له الدكتور البيرنصري نادر، طبع دار الطليعة بيروت،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الشامخ في إيثار الحقّ على الآباء و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صالح المقبلي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القاهرة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هذه هي المعتزلة و تأريخها، هذه تعاليمها و مشايخها و آثارها، فمن أراد الكتابة عن المعتزلة فعليه الرجوع إلى هذه المصادر و إن كانت قليلة، لكنّها تغنيه عن الرجوع إلى كتب خصمائهم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للبغدادي، فإنّه أخذ ما أخذه عن خصمهم ابن الراونديّ فنسب إليهم في كتابه فضائح لا يمكن الرّكون إليها، فإنّ الخصم لا يصدّق في النسبة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انقراض المعتزلة انهزاماً لدعاة الحرّيّة و انتصاراً للتحجّر و تقوية لقوى الجهل و الأُميّة، و لو كانت الحرّيّة سائدة على الأُمّة الإسلاميّة لكان الوضع غير ما نشاهده بين الأُمّة، و الحكم للّٰه العليّ القدير</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الكلام إلى هنا و فرغنا من تأليف هذا الجزء و ترصيفه و تبييضه </w:t>
      </w:r>
    </w:p>
    <w:p>
      <w:pPr>
        <w:pStyle w:val="BookText"/>
        <w:rPr/>
      </w:pPr>
      <w:r>
        <w:rPr>
          <w:rFonts w:ascii="Amiri" w:hAnsi="Amiri" w:eastAsia="Amiri" w:cs="Amiri"/>
          <w:color w:val="111111"/>
          <w:sz w:val="28"/>
          <w:sz w:val="28"/>
          <w:szCs w:val="28"/>
          <w:rtl w:val="true"/>
          <w:lang w:bidi="ar-SA"/>
        </w:rPr>
        <w:t xml:space="preserve">يوم الجمعة يوم القدس العالمي التاسع و العشرين من شهر رمضان من شهور عام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المصادر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7" w:name="pg11536_164463"/>
      <w:bookmarkStart w:id="868" w:name="pg11536_164463"/>
      <w:bookmarkEnd w:id="868"/>
    </w:p>
    <w:p>
      <w:pPr>
        <w:pStyle w:val="Heading2"/>
        <w:numPr>
          <w:ilvl w:val="1"/>
          <w:numId w:val="1"/>
        </w:numPr>
        <w:rPr/>
      </w:pPr>
      <w:bookmarkStart w:id="869" w:name="pg11536_164463"/>
      <w:bookmarkStart w:id="870" w:name="__RefHeading___Toc3907897_73709187"/>
      <w:bookmarkStart w:id="871" w:name="_Toc316"/>
      <w:bookmarkEnd w:id="869"/>
      <w:bookmarkEnd w:id="870"/>
      <w:r>
        <w:rPr>
          <w:rtl w:val="true"/>
        </w:rPr>
        <w:t>فهرس المصادر</w:t>
      </w:r>
      <w:bookmarkEnd w:id="871"/>
    </w:p>
    <w:p>
      <w:pPr>
        <w:pStyle w:val="BookText"/>
        <w:rPr/>
      </w:pPr>
      <w:r>
        <w:rPr>
          <w:rFonts w:ascii="Amiri" w:hAnsi="Amiri" w:eastAsia="Amiri" w:cs="Amiri"/>
          <w:color w:val="111111"/>
          <w:sz w:val="28"/>
          <w:sz w:val="28"/>
          <w:szCs w:val="28"/>
          <w:rtl w:val="true"/>
          <w:lang w:bidi="ar-SA"/>
        </w:rPr>
        <w:t>نبدأ تبرّكاً بالقرآن الكريم</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الاباضية بين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يحيى معمّر، وزارة التراث القومي و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سلطنة 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الجامعة الإسلامية،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سيار النظَّام و آراؤه الكلامية و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الهادي أبو ريدة، طبع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حنبل حياته و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مصر</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الحسيني، طبع القاهرة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 لعقائد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بن علي، دار الطليعة،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 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ابن سينا حسين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الحيدري،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إشارات المرام من عبارات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يوسف عبد الرزاق، طبعة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الأسفار الأربعة في الحكمة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صدرا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البزدوي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الفوائد و درر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الكتب العربية،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في الرد على ابن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قابس،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الحقيقة،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 على هدى الكتاب و السنّة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محمد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العالمي للدراسات الإسلامية،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جامعة طهران،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الباء</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اليمانية، صنعاء،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أهل السنّة و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الروحاني، المكتبة الإسلامية،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للجميع،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ابن عساكر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التعارف،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إبراهيم حسن المصريّ، مكتبة النهضة المصرية،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الجهمية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القاسمي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المعروف بابن واضح الأخباري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عبد اللّٰه بن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كذب 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أحمد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محمد زاهد بن الحسن الكوثري، مكتبة المثنى،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الماتريدي السمرقندي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المشرق،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الحاء</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السيالكوتي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الحضارة الإسلامية في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ترجمة الدكتور عبد الهادي أبو ريدة،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حقائق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المهاجر،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 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نشوان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كمال مصطفى، طهران،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الدميري محمد بن موسى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المواعظ و الاعتبار بذكر الخطط و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التنزيل وغرة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مطبعة السعادة،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بصيرتي،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الكشي أبو عمرو محمد بن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أحمد بن علي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بطوطة محمد بن عبد اللّٰه اللواتي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فصلية، تصدرها دار التقريب بين المذاهب الإسلامية،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السين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أحمد ابن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الكريم عثمان،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تبريز، ايران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عقائد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تبريز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العقائد العضدية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مع حواشي الشيخ إسماعيل الكلنبوي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العز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غرر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بن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الحجرية،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المقاصد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الجرجاني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السعادة،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البغدادي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المرسلة على الجهمية و 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الضاد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النهضة، القاهرة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بن عبد الكافي السبكي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البابي الحلبي،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فؤاد سيّد، الدار التونسية، 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شرح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الجشمي البيهقي المحسن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فؤاد سيد، الدار التونسية، 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الظاء</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محمد بن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محمد النسفي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الهلال،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الإثبات و التفويض بصفات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نعسان معطي، مطابع التراث، مكة المكرمة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الغين</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الأميني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 دار المعرفة، بيروت؛ و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 الأهواء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 المحاسن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الاعتزال أو 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التونسية، 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محمد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تلاميذ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العامّة،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دار النهضة العربية،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 القدر بين الفلسفة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الكشاف عن 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بن محمود </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مصطفى البابي الحلبي،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المراد في شرح 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حسن بن يوسف بن 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صيدا، 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الدكن،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 في الرد على أهل الزيغ و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الدكتور حمودة غرابة، مطبعة مصر،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طه محمد طه، مطبعة الآداب،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 صيدا،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إبراهيم النيسابوري الميداني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 في فقه 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حزم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أحمد شاكر، دار الآفاق الجديدة،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الملطي المعروف بابن العبري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 بيروت</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المسايرة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الهمام محمد بن همام الدين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محيي الدين عبد الحميد،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زهدي حسن جار اللّٰه المصري،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المعتزلة بين العمل و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علي الشابي، عبد المجيد النجار، و أبو لبابة حسن، طبع الشركة التونسية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 الموازنة في فضائل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المصرية للتأليف و الترجمة، مصر</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السعادة و مصباح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مصطفى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طاش كبرى زادة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العثمانية، حيدرآباد الدكن، الهند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 و اختلاف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اشتانير، فيسبادن، ألمانيا،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محمد بن 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حيدرآباد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طبعة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المرتضى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و فرانز إشتاينر، فيسبادن، ألمانيا،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القاضي الإيجي </w:t>
      </w:r>
    </w:p>
    <w:p>
      <w:pPr>
        <w:pStyle w:val="BookText"/>
        <w:rPr/>
      </w:pP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عبد الرحمن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نشأة الأشعرية و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محمد موسى، دار الكتاب اللبناني،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الجزري 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الاقدام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الفرد جيوم</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دار صادر،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اليهودية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شلبي، مكتبة النهضة،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872" w:name="pg11536_164483"/>
    </w:p>
    <w:p>
      <w:pPr>
        <w:pStyle w:val="Heading2"/>
        <w:numPr>
          <w:ilvl w:val="1"/>
          <w:numId w:val="1"/>
        </w:numPr>
        <w:rPr/>
      </w:pPr>
      <w:bookmarkStart w:id="873" w:name="__RefHeading___Toc3907899_73709187"/>
      <w:bookmarkStart w:id="874" w:name="_Toc317"/>
      <w:bookmarkEnd w:id="872"/>
      <w:bookmarkEnd w:id="873"/>
      <w:r>
        <w:rPr>
          <w:rtl w:val="true"/>
        </w:rPr>
        <w:t>فهرس المحتويات</w:t>
      </w:r>
      <w:bookmarkEnd w:id="874"/>
    </w:p>
    <w:p>
      <w:pPr>
        <w:pStyle w:val="BookText"/>
        <w:rPr/>
      </w:pPr>
      <w:r>
        <w:rPr>
          <w:rFonts w:ascii="Amiri" w:hAnsi="Amiri" w:eastAsia="Amiri" w:cs="Amiri"/>
          <w:color w:val="111111"/>
          <w:sz w:val="28"/>
          <w:sz w:val="28"/>
          <w:szCs w:val="28"/>
          <w:rtl w:val="true"/>
          <w:lang w:bidi="ar-SA"/>
        </w:rPr>
        <w:t>الصورة</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7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8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8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8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9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9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9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6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0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0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0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1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13"/>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16"/>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19"/>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22"/>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25"/>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28"/>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72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اختلاف في تاريخ وفاته بين كونه في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أبو حنيفة الكلام بالفقه الأكبر، و علم الشريعة بالفقه الأصغر، و قد سمّى بعض رسائله بهذين الاسمين كما سيوافيك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الشرح للشيخ عبد الغني الميداني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فهرس الرسائل الموروثة من أبي حنيفة، و قد طبع قسم كبير منها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 من عبارات الامام للبياضي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الكتاب من المصادر الموثقة في تبيين المنهج الماتريدى بعد كتابيه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للامام البزدوي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اشْرَأبّ إليه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أو ارتفع لينظر إليه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الأنهار الكبيرة المعروفة كالنيل و دجلة و الفرات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التوحيد للماتريدي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الدكتور فتح اللّٰه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اطلق في هذا الفصل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السعادة و مصباح السيادة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حيدرآباد على ما في مقدمة محقق كتاب التوحيد للماتريدي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مصلح الدين مصطفى القسطلاني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الكتاب محور الدراسة في الأزهر و غيره، و ما زال كذلك إلى يومنا هذا، و هو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الامامية، يعرض عقائد أهل السنّة على مذهب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بشكل واضح</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السادة المتقين بشرح أسرار احياء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محمد بن الحسيني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طبعة عبده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متفق عليه رواه الفريقان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التوحيد، بقلم محققه الدكتور فتح اللّٰه خليف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عند عرض مذهب الماتريديّة توضيح مرامهم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ضبطه المحقق بضم الباء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كتاب التوحيد للماتريدي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كتاب التوحيد للماتريدي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للماتريدي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للماتريدي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شرحها 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الخلافيات بين جمهور الماتريدية و الأشعرية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ما ذكره من المسائل العشر خلال البحث في وجوب المعرفة عقلاً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الخلافيات بين الماتريديّة و الأشاعرة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الخلافيات بين جمهور الماتريدية و الأشعرية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الشيخ محمد زاهد الكوثري الماتريدي لا يرى للكتب المطبوعة باسم الأشعري أصالة لأنّها بحرفيتها نفس عقائد الحشوية مع أنّ المعروف أنّهم أعداء 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بقية كلامه، فهو ينقل عن الامام الباقر عليه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 لا تفويض الخ</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المنظومة بحث أصالة الوجود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المسألة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المسألة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الحسين بن عبد الكريم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عبد اللّٰه بن سعيد عام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ذيل كلامه في ما سبق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أُصول الدين نقلاً من طبقات الحنفية لابن قطلوبغا، المخطوطة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عند الدعاء على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الياء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الأشعري في المقالات اختلافهم في الايمان، و جعلهم اثنتا عشرة 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نقلاً عن تاريخ ابن عساكر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 للأُستاذ صادق إبراهيم عرجون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الشيخ الأشعري فروعاً أُخر لهم في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الخطبة القاصعة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و نسب إلى محمد بن زياد الحريري الكوفي قول خامس ساقط جداً، و من شاء فليرجع إليه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أَنْتَ بِمُؤْمِنٍ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فَآمَنَ لَهُ 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كتاب الإيمان و الكفر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الدين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مُخْلِصِينَ لَهُ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الطاعة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الفاء و فتح الصاد بمعنى النخلة المنقولة من محلّها الى محلّ آخر لتثمر، كقصعة و قصع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الكفر و الإيمان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تمام الرواية و قد شرحها العلامة المجلسي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72/69</w:t>
      </w:r>
      <w:r>
        <w:rPr>
          <w:rFonts w:ascii="IRNazanin" w:hAnsi="IRNazanin" w:eastAsia="IRNazanin"/>
          <w:b w:val="false"/>
          <w:b w:val="false"/>
          <w:bCs w:val="false"/>
          <w:i w:val="false"/>
          <w:i w:val="false"/>
          <w:iCs w:val="false"/>
          <w:color w:val="333333"/>
          <w:sz w:val="20"/>
          <w:sz w:val="20"/>
          <w:szCs w:val="20"/>
          <w:rtl w:val="true"/>
        </w:rPr>
        <w:t>، نقلاً عن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نقلاً عن تفسير النعماني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نقلاً عن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نقلاً عن 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في المرآة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شرح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علموهم في بدو شبابهم بل في أوائل إدراكهم و بلوغهم التميز من الحديث ما يهتدون به الى معرفة الأئمة عليهم السلام و التشيع قبل أن يغويهم المخالفون و يدخلوهم في ضلالتهم، فيعسر بعد ذلك صرفهم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المرجئة في مقابلة الشيعة من الإرجاء بمعنى التأخير، لتأخيرهم عليّاً عليه السلام عن مرتبته، و قد يطلق في مقابلة الوعيديّة إلّا أن الأول هو المراد هنا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و المتعلم للإمام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تحقيق عمر رواس قلعة جى و عبد الوهاب الهندي الندوي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392/18</w:t>
      </w:r>
      <w:r>
        <w:rPr>
          <w:rFonts w:ascii="IRNazanin" w:hAnsi="IRNazanin" w:eastAsia="IRNazanin"/>
          <w:b w:val="false"/>
          <w:b w:val="false"/>
          <w:bCs w:val="false"/>
          <w:i w:val="false"/>
          <w:i w:val="false"/>
          <w:iCs w:val="false"/>
          <w:color w:val="333333"/>
          <w:sz w:val="20"/>
          <w:sz w:val="20"/>
          <w:szCs w:val="20"/>
          <w:rtl w:val="true"/>
        </w:rPr>
        <w:t>، فصل المعراج، و غيره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مع أهل السنّة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الأشعرية و تطورها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الحيوان للدميري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المرسلة على الجهمية و المعطلة، لابن قيم الجوزية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طبع مكة المكرمة، عام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الضلال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225/10</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نظرنا في كلامه فانتظر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و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لكلامه ذيل يجيء عن ابن المرتضى عند البحث عن جذور الاعتزال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رسالته فانتظر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الدول لابن العبري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تنس أن هشاماً قد يمّم قتله قبل القاء القبض عليه و قبل هذه المناظرة المسرحيّة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العقد الفريد و شرح العيون في شرح رسالة ابن زيدون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بدايات علم الكلام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رسالتان في الرد على القدرية مع ملحق في أخبار غيلان الدمشقي حققها و ترجمها و علّق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فان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نشرها المعهد الآلماني للأبحاث الشرقية 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وقفنا على تصوير الرسالتين الأُوليين دون الملحق و اكتفينا ببيان كلام المحقّق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جامع الأُصول و لكن في 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اللآلي المصنوعة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كتاب الإيمان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القاضي عبد الجبار نصّ الرسالة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نصّ الرسالة في الجزء الأوّل من هذه الموسوعة ثمّ اقض</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سريج و هو الصحيح</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من كتابنا هذا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مع كتاب السنّة له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 الدجال في هذه السنة و لا بعدها، فهل يبقى الشك في أنه كذّاب؟ نعم، مات هو في تلك السنة فبموته مات الدجل و الكذب القائم به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للمذهب الظاهري في المقام مع أنّه مذهب فقهي لا كلامي، لاشتراكه مع الحركات الرجعية الكلامية في طرد العقل و التفكير عن ساحة العلم، و قد ظهر ذلك المذهب في نفس الوقت الذي ظهرت فيه سائر المناهج الفكرية الكلامية، و الكل يحمل طابعاً واحداً و هو اعدام العقل و اقصاؤه عن الأوساط العلمية فناسب ذكره في المقام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 الإمام علي عليه السلام في النهج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اليمين و الشمال مضلة، و الطريق الوسطى هي الجادة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الرقم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عبده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نقلاً عن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الكوثري</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محاضرات المؤلف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قاعدتان فقهيتان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على اسناد الحديث و مضمونه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أصدرت دار الكتب المصرية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المخطوطات العربية المصوّرة بالميكروفيلم من الجمهورية العربية اليمنية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قامت بنشر كتب القاضي عبد الجبار رئيس الاعتزال في أوائل القرن الخامس فطبعت منها كتاب شرح الأُصول الخمسة و كتاب المغني له أيضاً في أربعة عشر جزءاً و غيرهما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نسب إليهم أنّهم لا يقولون بعذاب القبر مع أنّ القاضي في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المعتزلة تقول بعذاب القبر و لا تنكره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فائدة عذاب القبر و كونه مصلحة للمكلّفين فإنّهم متى علموا أنّهم إن أقدموا على المقبحات و أخلوا بالواجبات عذّبوا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البحث عنه في محلّه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377/3</w:t>
      </w:r>
      <w:r>
        <w:rPr>
          <w:rFonts w:ascii="IRNazanin" w:hAnsi="IRNazanin" w:eastAsia="IRNazanin"/>
          <w:b w:val="false"/>
          <w:b w:val="false"/>
          <w:bCs w:val="false"/>
          <w:i w:val="false"/>
          <w:i w:val="false"/>
          <w:iCs w:val="false"/>
          <w:color w:val="333333"/>
          <w:sz w:val="20"/>
          <w:sz w:val="20"/>
          <w:szCs w:val="20"/>
          <w:rtl w:val="true"/>
        </w:rPr>
        <w:t>، مادة شهرستان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كتاب المعتزلة، تأليف زهدي حسن جار اللّٰه، قدّم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آلفرد جيوم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الدراسات الشرقية في جامعة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بين العمل و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الشابي، أبو لبابة حسن، عبد المجيد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الشركة التونسية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الإسلام التي تصدرها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التقريب بين المذاهب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الثالث من السنة الثالثة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كما في تعاليق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موسى والي الكوفة أواخر خلافة عثمان إلى عام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حتّى عزله علي عليه السلام لأجل قعوده عن نصرة الامام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 ذيل عبارته ما يدل على أنّ تسميتهم بها لأمر آخر سيوافيك بيانه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كتاب الانتصار لأبي الحسين الخياط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المعتزلة من مقالات الاسلاميين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هذه الوجوه كشف المراد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شرح المقاصد للتفتازاني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مضى الكلام في سند الحديث و دلالته في فصل القدرية من هذا الجزء، فلاحظ</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الأول من الملل و النحل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نشر مؤسسة الإمام الصادق عليه السلام و لاحظ الإلهيات في ضوء الكتاب و السنة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محاضراتنا الكلامية بقلم الفاضل الشيخ حسن مكي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الجهم بن صفوان، و قد عرفت القول في عقائده و آرائه و أنّ المهم منه أمران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 الرؤية و الجبر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المعتزلة من مقالات الإسلاميين للبلخي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المعتزلة للكعبي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الطبعة السابعة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العبارة سقط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محمد عن أبيه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الحضارة الاسلاميّة في القرن الرابع الهجري لآدم متز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الثاني من المقالة الخامسة،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الثاني من المقالة الخامسة،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قليل من كثير و قد جئنا بأسماء لفيف من متكلمي الشيعة في القرون الثلاثة في رسالتنا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و علم الكلام عبر القرون الأربعة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من العيون و المحاسن،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كنز الفوائد للعلامة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مناظرات هشام و مؤمن الطاق و غيرهم الواردة في بحار الأنوار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سائر الوجوه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نقلا عن شرح الأُصول الخمسة للقاضي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نصوص المعتزلة في محلها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العدل و التوحيد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رسالة القاضي عبد الجبار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الالهيات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أبرص و أعمى و أقرع في بني إسرائيل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حاشية شرح المواقف لعبد الكريم السيالكوتي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إيجاب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الفعل حال الصدور لا يوصف بالوجوب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القاعدة الفلسفية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 ما لم يجب لم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مقبولة عندهم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و في ذيله ما ربّما يوهم خلاف ما هو المشهور عنهم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لاحظ الأحاديث الأُخرى</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يظهر وهن ما ذكره القاضي في شرح الأُصول الخمسة من نسبة عدم الوجوب على الإطلاق إلى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136/53</w:t>
      </w:r>
      <w:r>
        <w:rPr>
          <w:rFonts w:ascii="IRNazanin" w:hAnsi="IRNazanin" w:eastAsia="IRNazanin"/>
          <w:b w:val="false"/>
          <w:b w:val="false"/>
          <w:bCs w:val="false"/>
          <w:i w:val="false"/>
          <w:i w:val="false"/>
          <w:iCs w:val="false"/>
          <w:color w:val="333333"/>
          <w:sz w:val="20"/>
          <w:sz w:val="20"/>
          <w:szCs w:val="20"/>
          <w:rtl w:val="true"/>
        </w:rPr>
        <w:t>، نقلاً عن المسائل السرورية للشيخ المفيد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شرح التجريد للقوشجي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عبارة الأخيرين واحدة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كما 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الجهمية و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كما في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المعتزلة لأحمد بن يحيى المرتضى،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المعتزلة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طبع من المقالات خصوص هذا الباب بتحقيق فؤاد سيد،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هذا الجزء مع كتاب فضل الاعتزال بتحقيق فؤاد سيد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مقالات الاسلاميين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عام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لكلامه ذيل فراجع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لكلامه ذيل لا حاجة لنقله، و ربّما أوجد تشويشاً في الاستدلال و قد نقله ابن المرتضى في المنية و الأمل بصورة واضحة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الفن الأول من المقالة الخامسة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يعرب بوضوح عن أنّ الداعي لتأسيس هذه القاعدة ليس إنكار صفاته سبحانه كالملاحدة المنكرين لكونه عالماً قادراً، بل الداعي هو تنزيه الرب عن وجود قديم مثله، و ما نسب إليه الأشعري في كتاب 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الداعي ليس في محله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 الأهواء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الأول من المقالة الخامسة،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 في تفسير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اغْفِرْ لِي وَ لِوَالِدَىَّ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كتابنا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166/12</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نصّ الرسالة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الإباضية بين القرون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علي يحيى معمر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فاعلم أنّ تلك الصفة التي يقع بها الخلاف و الوفاق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لا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يستحقها لذاته و هذه الصفات الأربع التي هي كونه قادراً عالماً حيّاً موجوداً لما هو عليه في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 في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يزيد بن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في جمادى الآخرة عام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فاسقاً شرّيباً للخمر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الملقّب بالنفس الزكية، قتل بالمدينة في خلافة المنصور 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xml:space="preserve">، باب مكارم أخلاقه،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في تاريخ وفاته غير هذا نقله المرتضى في أماليه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الأوّل من المقالة الخامسة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للشيخ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للمناظرة صلة، من أراد فليراجع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الثالث من المقالة الأُولى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بيانه في الفصل المختص ببيان الأُصول الخمسة للمعتزلة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ميلاده و وفاته أقوال أُخر و ما ذكرناه هو المؤيد بالقرائن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الأوّل من المقالة الخامسة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ردود المعتزلة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أنّ لأبي الهذيل و الجبائي و الاسكافي و جعفر بن حرب ردوداً عليه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البحث حول تلك النظرية فعليه الرجوع 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المعجزة الخالدة للعلامة الشهرستاني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للكاتب الفكيكي في مجلّة رسالة الإسلام، العدد الثالث من السنة الثالثة، و العدد الأول من السنة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من الإلهيات من محاضراتنا الكلامية التي قام بتحريرها الشيخ الفاضل حسن مكي العاملي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محمد عبد الهادي أبو ريدة كتاباً مستقلاً حول آراء النظام و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سيار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عام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 و قد جمع آراءه عن مصادر مطبوعة و مخطوطة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ذكرهما أبو الحسين الخياط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الفن الأول من المقالة الخامسة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الجزء الثاني من كتابنا هذا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كذب المفتري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الحشوية و من لفّ لفّهم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لطيف الكلام، المباحث التي لها صلة لاثبات بعض العقائد الاسلاميّة و ليست منها، كالبحث عن الجوهر و العرض و الأكوان و الأفلاك و في الحقيقة كان البحث عنها تبعاً للفلاسفة</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الأوّل من المقالة الخامسة،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الطبقة العاشرة من طبقات المعتزلة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عسكر مكرم بلد مشهور من نواحي خوزستان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من بلاد خوزستان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الجبائيان أبو علي و أبو هاشم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أبو عبد اللّه الحسين بن علي البصري من الطبقة العاشرة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شرح العيون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الجشمي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للحاكم الجشمي تحقيق فؤاد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تونس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المعتزلة من كتاب 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أشهر الصيف حرّاً</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 الفن الاول من المقالة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سهّلت بعد ما صعبت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إبراهيم بن مقسم الأسدي، توفي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الوليد، بشر بن الوليد بن خالد الكندي قاضي مدينة منصور كما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بشر بن غياث المريسي العدوي، كان يسكن بغداد و أخذ الفقه عن أبي يوسف القاضي صاحب أبي حنيفة و كان الشافعي من أصدقائه مدّة إقامته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ضبطه بعض المحقّقين بالزاء و بعده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لكلامه ذيل نافع و لكنّه خارج عن موضوع البحث</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هذا النص في ترجمته في طبقات القاضي المطبوع و الذي حققه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فؤاد 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يعرب عن كون المطبوع ناقصاً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بعد هذا النص موجود فيها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133/17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 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 المقريزيّة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الأوّل من المقالة الخامسة،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رقم الترجمة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مبشر بن أحمد بن محمد أبو محمد الثقفي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معتزلة بغداد له ترجمة 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الاعتزال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قتيبة و غيره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المعتزلة من مقالات الاسلاميين، لأبي القاسم البلخي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المقدمة، نقلاً عن عيون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دار الكتب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منه المتكلم المعتزلي الزيدي أبو سعد المحسن بن محمد كرامة الجشمي البيهقي صاحب المؤلفات، توفّي مقتولاً بمكة في شهر رجب سنة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توهمت المستشرقة سوسنه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ديفلد ملزر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منه هو المحدث المشهور محمد بن عبد اللّه الحاكم النيسابوري صاحب المستدرك المتوفّى عام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وهم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غير كتابه الآخر بهذا الاسم في الفقه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للخيّاط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الأصل الثاني أنّ القاضي أدخل البحث عن خلق القرآن تحت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غير صحيح</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محقق شرح الأُصول الخمسة للقاضي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مخطوط دار الكتب المصرية لبحر الكلام، ورقة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الخمسة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أبسط كتب القاضي و أهمها، يقع في عشرين جزءاً، طبع منه أربعة عشر جزءاً و لم يعثر على الباقي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يريد من العبارة الأخيرة الشيعة الإمامية القائلين بأنّ بعض المراتب من الأمر بالمعروف مشروط بوجود الإمام المعصوم عليه السلام مع بسط اليد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نفس عبارة الشيخ الأشعري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نفس عبارة إمام الحنابلة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للشيخ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الإقدام في علم الكلام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المعتزلة للدكتور أحمد محمود صبحي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لاحظ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تبيين القاعدة الأُولى من القواعد الأربع الّتي اختارها واصل بن عطاء، ترى فيها التصريح منه بأنّ الغاية لنفي الصفات هو التنزيه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خَفَّفَ اللهُ عَنْكُمْ وَ عَلِمَ أَنَّ فِيكُمْ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يمكن الأخذ بظاهره البدئي في أنّه لم يكن عالماً قبله؟</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نقل القاضي في 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رأياً آخر لسليمان بن جرير، و هو غير عباد بن سليمان، فلا يختلط عليك الأمر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 القدر، لعبد الكريم الخطيب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هي النقطة الثانية التي تركّز عليها المعتزلة في هذا الأصل</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للاشعري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 أبو الفتح محمد بن علي الكراجكي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قائمة تشتمل على أُصول التنزيه على مذهب الامامية 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عن جمل اعتقاد أهل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أراد فليرجع إلى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الإثبات و التفويض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نقلاً عن الصاوي على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باب ذكر الاستواء على العرش</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المواقيت،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باب الاذان و غيره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القاضي و غيره البحث عن حدوث كلامه سبحانه أو قدمه في المقام، لأنّ نفي قدمه من شئون توحيده، و لكنه غفل عن ذلك</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خلق الأعمال</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الإلهيات في الكتاب و العقل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للشيخ الرئيس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عقائد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خلق</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عن الحركة الجوهرية طويل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خالق الكون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فيه بغيتك</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الضعيف</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نشر مؤسسة الإمام الصادق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على ضوء الكتاب و السنة و العقل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و الجزء الثاني من هذه 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نشر مؤسسة الإمام الصادق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الوجوب كونه مقتضى الحكمة، أو الجود و الكرم، لا الوجوب بالمعنى المتبادر في أوساط الناس من حاكمية العباد على اللّٰه، و كون تركه مستلزماً للذم و اللوم أو العقاب، و على ذلك فالحكم مستكشف العقل باعتبار ملاحظة أوصافه الجميلة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أيّ تقدير فمن قال به فإنما قال به من باب الحكمة، تحصيلاً لهدف الخلقة، أو هدف التكليف، أو من باب الجود و الكرم، و أما إيجابه من باب العدل فلم يعلم له معنى محصل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 اللطف المقرب بأنّه هيئة مقرِّبة إلى الطاعة و مبعِّدة عن المعصية، من دون أن يكون له حظّ في التمكين و حصول القدرة، و لا يبلغ حدّ الإلجاء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اللطف المحصل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كتاب العدل و المعاد، الباب الخامس عشر،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الفصل الثاني، المسألة الثانية عشرة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الثالث من المقالة الخامسة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زهدي حسن جار اللّٰه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تأليف أحمد شلبي، كما في بحوث مع أهل السنّة و السلفية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 هو عبد اللّه بن محمد بن كلاب، و له مع عباد بن سليمان مناظرات،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 اللّٰه هو اللّٰه، و كان عباد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نصراني بهذا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فهرست ابن النديم الفن الثالث من المقالة الخامسة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ترجمة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المصدر تكلّم عن أصحاب الحديث حول اتحاد الاسم مع المسمى، فراجعه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القرآن، الأحاديث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أبواب التوحيد و العدل</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أيضاً كما ترى</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القول بالإرادة الحادثة في ذاته مستلزماً لحدوث الذات، التجأ القاضي و أتباعه إلى أنّ للّٰه سبحانه إرادة غير قائمة بذاته، و هو كما ترى</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تلك الطرق في بحوثنا الكلامية لاحظ 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العضدية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العضدية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العضدية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المتن للقاضي الإيجي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الشرح لجلال الدين الدواني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مع حواشي الشيخ إسماعيل الكلنبوي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استنبول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منه أنّه نقله عن الجويني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الى قواطع الأدلّة إلى صحيح الاعتقاد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منه أنّه نقله عن الجويني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الى قواطع الأدلّة إلى صحيح الاعتقاد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من سورتي 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يَعْصِ اللهَ وَ رَسُولَهُ فَإِنَّ لَهُ نَارَ جَهَنَّمَ خَالِدِينَ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راجع الى الكفّار، كما هو واضح لمن لاحظ آيات السورة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تدلّ هذه الآيات على عدم الخلود في النار، تدلّ على جواز العفو عن الفاسق من بدء الأمر، و أنّه يعفى عنه و لا يعذّب من رأس، فهذا الصنف من الآيات كما تحتجُّ بها في هذه المسألة، تحتج بها في المسألة السالفة أيضاً فلاحظ</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لعقائد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هذه الأصناف الجزء الرابع من 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سنن ابي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الشفاعة في الأحاديث الاسلاميّة،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فتجد في تلك الصحائف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 النبي و عترته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العلامة المجلسي بجمع أحاديث الشفاعة في موسوعته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بعضها الآخر في سائر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روى علاء الدين المتقي أحاديث الشفاعة في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مادة حبط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مادة كفر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و قد ذهب القاضي إلى عدم جواز استحقاق المكلّف الثواب و العقاب إذا كانا مساويين، فانحصر الأمر في المطيع المحض و العاصي كذلك و من خلط أحدهما بالآخر على وجه لا يتساويان، و هذا القسم هو مورد نظريّة الإحباط و التكفير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سنذكرها في آخر البحث</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 في ذلك كونه مستحقاً للعقاب دائماً فقط و لا يتوقف على استحقاقه للثواب كذلك، فلاحظ</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ترك تعليل الوجه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يستحق الثواب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 يستحق العقاب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لوضوحه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و حاصل هذا الدليل أنّ المكلّف، بارتكاب الكبيرة يخرج نفسه من صلاحيّة استحقاق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دعوى بلا دليل، إذ لا دليل على أنّ كلّ معصية لها هذا الشأن، و ليست كلّ معصية كالكفر و الارتداد و النفاق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في عامل الكفر؛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كالغضب في محضره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و آله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بيان عوامل الإحباط في السنّة فهو موكول إلى محل آخر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الجزء الخامس من هذه الموسوعة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الأمر بالمعروف و النهي عن المنكر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الحديث السابع</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الثاني عشر من أبواب جهاد العدو،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عبارات القوم في وجوب طاعة السلطان الظالم في الجزء الأول من كتابنا هذا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كتاب الفتن،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الحديث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باب هل يقرع في القسمة و الاستهام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النسخة الاميرية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الجاحظ في 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كتاب الجهاد، الفصل الخامس، الطبعة الحجرية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 الفقهية في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قلنا إنّ التقية ربّما تحرم إذا كان الفساد في تركها أوسع</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الجهاد، الباب الثالث من أبواب الأمر بالمعروف،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ظَالِمٌ لِنَفْسِهِ وَ مِنْهُمْ مُقْتَصِدٌ وَ مِنْهُمْ سَابِقٌ بِالْخَيْرَاتِ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لأبي الأسود الدؤلي صاحب الامام أمير المؤمنين عليه السلام راجع ملحق ديوانه</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مروان يلقب بالحمار، و الجعدي لأنّه تعلم من الجعد بن درهم مذهبه في القول بخلق القرآن و القدر و غير ذلك</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ترجمة هشام بن الحكم، الرقم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الكتاب أوّل كتاب أُلِّف في الملل و النحل بين المسلمين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 لابن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كمثله شيء و 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الرقعة التي نقلها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نقله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أُكْرِهَ وَ قَلْبُهُ مُطْمَئِنٌّ بِالإِيمَانِ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على هامش 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حياته و عصره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الفن الثالث من المقالة الخامسة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لحسن زهدي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البحث الثالث الذي وعدنا به في صدر خاتمة المطاف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الفهرس،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نهج البلاغة، بقلم المحقق</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الفائت منّي أكثر من المذكور، و التكليف على حدّ المقدور، و قد اكتفينا بذكر ما وقفنا على المطبوع من كتبهم، أمّا المخطوط منها فحدّث عنه و لا حرج، يقف عليها من راجع فهرس مخطوطات المكتبة المتوكلية في جامع صنعاء باليمن، و قد صور أكثرها دار الكتب المصرية و نشر قسماً كبيراً منها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image" Target="media/image3.jpeg"/><Relationship Id="rId675" Type="http://schemas.openxmlformats.org/officeDocument/2006/relationships/image" Target="media/image3.jpeg"/><Relationship Id="rId676" Type="http://schemas.openxmlformats.org/officeDocument/2006/relationships/footer" Target="footer669.xml"/><Relationship Id="rId677" Type="http://schemas.openxmlformats.org/officeDocument/2006/relationships/image" Target="media/image4.jpeg"/><Relationship Id="rId678" Type="http://schemas.openxmlformats.org/officeDocument/2006/relationships/image" Target="media/image4.jpeg"/><Relationship Id="rId679" Type="http://schemas.openxmlformats.org/officeDocument/2006/relationships/footer" Target="footer670.xml"/><Relationship Id="rId680" Type="http://schemas.openxmlformats.org/officeDocument/2006/relationships/image" Target="media/image5.jpeg"/><Relationship Id="rId681" Type="http://schemas.openxmlformats.org/officeDocument/2006/relationships/image" Target="media/image5.jpeg"/><Relationship Id="rId682" Type="http://schemas.openxmlformats.org/officeDocument/2006/relationships/footer" Target="footer671.xml"/><Relationship Id="rId683" Type="http://schemas.openxmlformats.org/officeDocument/2006/relationships/image" Target="media/image6.jpeg"/><Relationship Id="rId684" Type="http://schemas.openxmlformats.org/officeDocument/2006/relationships/image" Target="media/image6.jpeg"/><Relationship Id="rId685" Type="http://schemas.openxmlformats.org/officeDocument/2006/relationships/footer" Target="footer672.xml"/><Relationship Id="rId686" Type="http://schemas.openxmlformats.org/officeDocument/2006/relationships/image" Target="media/image7.jpeg"/><Relationship Id="rId687" Type="http://schemas.openxmlformats.org/officeDocument/2006/relationships/image" Target="media/image7.jpeg"/><Relationship Id="rId688" Type="http://schemas.openxmlformats.org/officeDocument/2006/relationships/footer" Target="footer673.xml"/><Relationship Id="rId689" Type="http://schemas.openxmlformats.org/officeDocument/2006/relationships/image" Target="media/image8.jpeg"/><Relationship Id="rId690" Type="http://schemas.openxmlformats.org/officeDocument/2006/relationships/image" Target="media/image8.jpeg"/><Relationship Id="rId691" Type="http://schemas.openxmlformats.org/officeDocument/2006/relationships/footer" Target="footer674.xml"/><Relationship Id="rId692" Type="http://schemas.openxmlformats.org/officeDocument/2006/relationships/image" Target="media/image9.jpeg"/><Relationship Id="rId693" Type="http://schemas.openxmlformats.org/officeDocument/2006/relationships/image" Target="media/image9.jpeg"/><Relationship Id="rId694" Type="http://schemas.openxmlformats.org/officeDocument/2006/relationships/footer" Target="footer675.xml"/><Relationship Id="rId695" Type="http://schemas.openxmlformats.org/officeDocument/2006/relationships/image" Target="media/image10.jpeg"/><Relationship Id="rId696" Type="http://schemas.openxmlformats.org/officeDocument/2006/relationships/image" Target="media/image10.jpeg"/><Relationship Id="rId697" Type="http://schemas.openxmlformats.org/officeDocument/2006/relationships/footer" Target="footer676.xml"/><Relationship Id="rId698" Type="http://schemas.openxmlformats.org/officeDocument/2006/relationships/image" Target="media/image11.jpeg"/><Relationship Id="rId699" Type="http://schemas.openxmlformats.org/officeDocument/2006/relationships/image" Target="media/image11.jpeg"/><Relationship Id="rId700" Type="http://schemas.openxmlformats.org/officeDocument/2006/relationships/footer" Target="footer677.xml"/><Relationship Id="rId701" Type="http://schemas.openxmlformats.org/officeDocument/2006/relationships/image" Target="media/image12.jpeg"/><Relationship Id="rId702" Type="http://schemas.openxmlformats.org/officeDocument/2006/relationships/image" Target="media/image12.jpeg"/><Relationship Id="rId703" Type="http://schemas.openxmlformats.org/officeDocument/2006/relationships/footer" Target="footer678.xml"/><Relationship Id="rId704" Type="http://schemas.openxmlformats.org/officeDocument/2006/relationships/image" Target="media/image13.jpeg"/><Relationship Id="rId705" Type="http://schemas.openxmlformats.org/officeDocument/2006/relationships/image" Target="media/image13.jpeg"/><Relationship Id="rId706" Type="http://schemas.openxmlformats.org/officeDocument/2006/relationships/footer" Target="footer679.xml"/><Relationship Id="rId707" Type="http://schemas.openxmlformats.org/officeDocument/2006/relationships/image" Target="media/image14.jpeg"/><Relationship Id="rId708" Type="http://schemas.openxmlformats.org/officeDocument/2006/relationships/image" Target="media/image14.jpeg"/><Relationship Id="rId709" Type="http://schemas.openxmlformats.org/officeDocument/2006/relationships/footer" Target="footer680.xml"/><Relationship Id="rId710" Type="http://schemas.openxmlformats.org/officeDocument/2006/relationships/image" Target="media/image15.jpeg"/><Relationship Id="rId711" Type="http://schemas.openxmlformats.org/officeDocument/2006/relationships/image" Target="media/image15.jpeg"/><Relationship Id="rId712" Type="http://schemas.openxmlformats.org/officeDocument/2006/relationships/footer" Target="footer681.xml"/><Relationship Id="rId713" Type="http://schemas.openxmlformats.org/officeDocument/2006/relationships/image" Target="media/image16.jpeg"/><Relationship Id="rId714" Type="http://schemas.openxmlformats.org/officeDocument/2006/relationships/image" Target="media/image16.jpeg"/><Relationship Id="rId715" Type="http://schemas.openxmlformats.org/officeDocument/2006/relationships/footer" Target="footer682.xml"/><Relationship Id="rId716" Type="http://schemas.openxmlformats.org/officeDocument/2006/relationships/image" Target="media/image17.jpeg"/><Relationship Id="rId717" Type="http://schemas.openxmlformats.org/officeDocument/2006/relationships/image" Target="media/image17.jpeg"/><Relationship Id="rId718" Type="http://schemas.openxmlformats.org/officeDocument/2006/relationships/footer" Target="footer683.xml"/><Relationship Id="rId719" Type="http://schemas.openxmlformats.org/officeDocument/2006/relationships/image" Target="media/image18.jpeg"/><Relationship Id="rId720" Type="http://schemas.openxmlformats.org/officeDocument/2006/relationships/image" Target="media/image18.jpeg"/><Relationship Id="rId721" Type="http://schemas.openxmlformats.org/officeDocument/2006/relationships/footer" Target="footer684.xml"/><Relationship Id="rId722" Type="http://schemas.openxmlformats.org/officeDocument/2006/relationships/image" Target="media/image19.jpeg"/><Relationship Id="rId723" Type="http://schemas.openxmlformats.org/officeDocument/2006/relationships/image" Target="media/image19.jpeg"/><Relationship Id="rId724" Type="http://schemas.openxmlformats.org/officeDocument/2006/relationships/footer" Target="footer685.xml"/><Relationship Id="rId725" Type="http://schemas.openxmlformats.org/officeDocument/2006/relationships/image" Target="media/image20.jpeg"/><Relationship Id="rId726" Type="http://schemas.openxmlformats.org/officeDocument/2006/relationships/image" Target="media/image20.jpeg"/><Relationship Id="rId727" Type="http://schemas.openxmlformats.org/officeDocument/2006/relationships/footer" Target="footer686.xml"/><Relationship Id="rId728" Type="http://schemas.openxmlformats.org/officeDocument/2006/relationships/image" Target="media/image21.jpeg"/><Relationship Id="rId729" Type="http://schemas.openxmlformats.org/officeDocument/2006/relationships/image" Target="media/image21.jpeg"/><Relationship Id="rId730" Type="http://schemas.openxmlformats.org/officeDocument/2006/relationships/footer" Target="footer687.xml"/><Relationship Id="rId731" Type="http://schemas.openxmlformats.org/officeDocument/2006/relationships/image" Target="media/image2.jpeg"/><Relationship Id="rId732" Type="http://schemas.openxmlformats.org/officeDocument/2006/relationships/image" Target="media/image2.jpeg"/><Relationship Id="rId733" Type="http://schemas.openxmlformats.org/officeDocument/2006/relationships/footer" Target="footer688.xml"/><Relationship Id="rId734" Type="http://schemas.openxmlformats.org/officeDocument/2006/relationships/footnotes" Target="footnotes.xml"/><Relationship Id="rId735" Type="http://schemas.openxmlformats.org/officeDocument/2006/relationships/numbering" Target="numbering.xml"/><Relationship Id="rId736" Type="http://schemas.openxmlformats.org/officeDocument/2006/relationships/fontTable" Target="fontTable.xml"/><Relationship Id="rId737" Type="http://schemas.openxmlformats.org/officeDocument/2006/relationships/settings" Target="settings.xml"/><Relationship Id="rId7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697</Pages>
  <Words>74691</Words>
  <Characters>302232</Characters>
  <CharactersWithSpaces>374830</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2026-08-22T00:53:23Z</dcterms:created>
  <dc:creator>ghaemiyeh.com</dc:creator>
  <dc:description/>
  <dc:language>en-US</dc:language>
  <cp:lastModifiedBy/>
  <dcterms:modified xsi:type="dcterms:W3CDTF">2026-08-22T04:23:49Z</dcterms:modified>
  <cp:revision>1</cp:revision>
  <dc:subject/>
  <dc:title>بحوث فی الملل و النحل جلد 3</dc:title>
</cp:coreProperties>
</file>

<file path=docProps/custom.xml><?xml version="1.0" encoding="utf-8"?>
<Properties xmlns="http://schemas.openxmlformats.org/officeDocument/2006/custom-properties" xmlns:vt="http://schemas.openxmlformats.org/officeDocument/2006/docPropsVTypes"/>
</file>