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6283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26285_73709187">
            <w:r>
              <w:rPr>
                <w:webHidden/>
                <w:rStyle w:val="IndexLink"/>
                <w:rtl w:val="true"/>
              </w:rPr>
              <w:t>المسح على الخفّين على ضوء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1326287_73709187">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1326289_73709187">
            <w:r>
              <w:rPr>
                <w:webHidden/>
                <w:rStyle w:val="IndexLink"/>
                <w:rtl w:val="true"/>
              </w:rPr>
              <w:t>المسح على الخفّين اختياراً في الحضر و السفر</w:t>
            </w:r>
            <w:r>
              <w:rPr>
                <w:rStyle w:val="IndexLink"/>
                <w:rtl w:val="true"/>
              </w:rPr>
              <w:tab/>
            </w:r>
            <w:r>
              <w:rPr>
                <w:rStyle w:val="IndexLink"/>
              </w:rPr>
              <w:t>7</w:t>
            </w:r>
          </w:hyperlink>
        </w:p>
        <w:p>
          <w:pPr>
            <w:pStyle w:val="Contents3"/>
            <w:tabs>
              <w:tab w:val="clear" w:pos="8459"/>
              <w:tab w:val="right" w:pos="9026" w:leader="dot"/>
            </w:tabs>
            <w:rPr/>
          </w:pPr>
          <w:hyperlink w:anchor="__RefHeading___Toc1326291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326293_73709187">
            <w:r>
              <w:rPr>
                <w:webHidden/>
                <w:rStyle w:val="IndexLink"/>
              </w:rPr>
              <w:t>1</w:t>
            </w:r>
            <w:r>
              <w:rPr>
                <w:rStyle w:val="IndexLink"/>
                <w:rtl w:val="true"/>
              </w:rPr>
              <w:t xml:space="preserve">. </w:t>
            </w:r>
            <w:r>
              <w:rPr>
                <w:rStyle w:val="IndexLink"/>
                <w:rtl w:val="true"/>
              </w:rPr>
              <w:t>الاحتجاج بالكتاب العزيز</w:t>
            </w:r>
            <w:r>
              <w:rPr>
                <w:rStyle w:val="IndexLink"/>
                <w:rtl w:val="true"/>
              </w:rPr>
              <w:tab/>
            </w:r>
            <w:r>
              <w:rPr>
                <w:rStyle w:val="IndexLink"/>
              </w:rPr>
              <w:t>11</w:t>
            </w:r>
          </w:hyperlink>
        </w:p>
        <w:p>
          <w:pPr>
            <w:pStyle w:val="Contents3"/>
            <w:tabs>
              <w:tab w:val="clear" w:pos="8459"/>
              <w:tab w:val="right" w:pos="9026" w:leader="dot"/>
            </w:tabs>
            <w:rPr/>
          </w:pPr>
          <w:hyperlink w:anchor="__RefHeading___Toc1326295_73709187">
            <w:r>
              <w:rPr>
                <w:webHidden/>
                <w:rStyle w:val="IndexLink"/>
              </w:rPr>
              <w:t>2</w:t>
            </w:r>
            <w:r>
              <w:rPr>
                <w:rStyle w:val="IndexLink"/>
                <w:rtl w:val="true"/>
              </w:rPr>
              <w:t xml:space="preserve">. </w:t>
            </w:r>
            <w:r>
              <w:rPr>
                <w:rStyle w:val="IndexLink"/>
                <w:rtl w:val="true"/>
              </w:rPr>
              <w:t>الاحتجاج بالسنّة</w:t>
            </w:r>
            <w:r>
              <w:rPr>
                <w:rStyle w:val="IndexLink"/>
                <w:rtl w:val="true"/>
              </w:rPr>
              <w:tab/>
            </w:r>
            <w:r>
              <w:rPr>
                <w:rStyle w:val="IndexLink"/>
              </w:rPr>
              <w:t>13</w:t>
            </w:r>
          </w:hyperlink>
        </w:p>
        <w:p>
          <w:pPr>
            <w:pStyle w:val="Contents3"/>
            <w:tabs>
              <w:tab w:val="clear" w:pos="8459"/>
              <w:tab w:val="right" w:pos="9026" w:leader="dot"/>
            </w:tabs>
            <w:rPr/>
          </w:pPr>
          <w:hyperlink w:anchor="__RefHeading___Toc1326297_73709187">
            <w:r>
              <w:rPr>
                <w:webHidden/>
                <w:rStyle w:val="IndexLink"/>
              </w:rPr>
              <w:t>3</w:t>
            </w:r>
            <w:r>
              <w:rPr>
                <w:rStyle w:val="IndexLink"/>
                <w:rtl w:val="true"/>
              </w:rPr>
              <w:t xml:space="preserve">. </w:t>
            </w:r>
            <w:r>
              <w:rPr>
                <w:rStyle w:val="IndexLink"/>
                <w:rtl w:val="true"/>
              </w:rPr>
              <w:t xml:space="preserve">إجماع أئمة أهل البيت </w:t>
            </w:r>
            <w:r>
              <w:rPr>
                <w:rStyle w:val="IndexLink"/>
                <w:rtl w:val="true"/>
              </w:rPr>
              <w:t>(</w:t>
            </w:r>
            <w:r>
              <w:rPr>
                <w:rStyle w:val="IndexLink"/>
                <w:rtl w:val="true"/>
              </w:rPr>
              <w:t>عليهم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1326299_73709187">
            <w:r>
              <w:rPr>
                <w:webHidden/>
                <w:rStyle w:val="IndexLink"/>
                <w:rtl w:val="true"/>
              </w:rPr>
              <w:t>ما يدعم القول بالمنع</w:t>
            </w:r>
            <w:r>
              <w:rPr>
                <w:rStyle w:val="IndexLink"/>
                <w:rtl w:val="true"/>
              </w:rPr>
              <w:tab/>
            </w:r>
            <w:r>
              <w:rPr>
                <w:rStyle w:val="IndexLink"/>
              </w:rPr>
              <w:t>17</w:t>
            </w:r>
          </w:hyperlink>
        </w:p>
        <w:p>
          <w:pPr>
            <w:pStyle w:val="Contents2"/>
            <w:tabs>
              <w:tab w:val="clear" w:pos="8743"/>
              <w:tab w:val="right" w:pos="9026" w:leader="dot"/>
            </w:tabs>
            <w:rPr/>
          </w:pPr>
          <w:hyperlink w:anchor="__RefHeading___Toc1326301_73709187">
            <w:r>
              <w:rPr>
                <w:webHidden/>
                <w:rStyle w:val="IndexLink"/>
                <w:rtl w:val="true"/>
              </w:rPr>
              <w:t>أدلّة القائلين بجواز المسح</w:t>
            </w:r>
            <w:r>
              <w:rPr>
                <w:rStyle w:val="IndexLink"/>
                <w:rtl w:val="true"/>
              </w:rPr>
              <w:tab/>
            </w:r>
            <w:r>
              <w:rPr>
                <w:rStyle w:val="IndexLink"/>
              </w:rPr>
              <w:t>21</w:t>
            </w:r>
          </w:hyperlink>
        </w:p>
        <w:p>
          <w:pPr>
            <w:pStyle w:val="Contents3"/>
            <w:tabs>
              <w:tab w:val="clear" w:pos="8459"/>
              <w:tab w:val="right" w:pos="9026" w:leader="dot"/>
            </w:tabs>
            <w:rPr/>
          </w:pPr>
          <w:hyperlink w:anchor="__RefHeading___Toc1326303_7370918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326305_73709187">
            <w:r>
              <w:rPr>
                <w:webHidden/>
                <w:rStyle w:val="IndexLink"/>
                <w:rtl w:val="true"/>
              </w:rPr>
              <w:t>الأوّل</w:t>
            </w:r>
            <w:r>
              <w:rPr>
                <w:rStyle w:val="IndexLink"/>
                <w:rtl w:val="true"/>
              </w:rPr>
              <w:t xml:space="preserve">: </w:t>
            </w:r>
            <w:r>
              <w:rPr>
                <w:rStyle w:val="IndexLink"/>
                <w:rtl w:val="true"/>
              </w:rPr>
              <w:t>رواية جرير بن عبد اللّه البجلي</w:t>
            </w:r>
            <w:r>
              <w:rPr>
                <w:rStyle w:val="IndexLink"/>
                <w:rtl w:val="true"/>
              </w:rPr>
              <w:tab/>
            </w:r>
            <w:r>
              <w:rPr>
                <w:rStyle w:val="IndexLink"/>
              </w:rPr>
              <w:t>22</w:t>
            </w:r>
          </w:hyperlink>
        </w:p>
        <w:p>
          <w:pPr>
            <w:pStyle w:val="Contents3"/>
            <w:tabs>
              <w:tab w:val="clear" w:pos="8459"/>
              <w:tab w:val="right" w:pos="9026" w:leader="dot"/>
            </w:tabs>
            <w:rPr/>
          </w:pPr>
          <w:hyperlink w:anchor="__RefHeading___Toc1326307_73709187">
            <w:r>
              <w:rPr>
                <w:webHidden/>
                <w:rStyle w:val="IndexLink"/>
                <w:rtl w:val="true"/>
              </w:rPr>
              <w:t>الثاني</w:t>
            </w:r>
            <w:r>
              <w:rPr>
                <w:rStyle w:val="IndexLink"/>
                <w:rtl w:val="true"/>
              </w:rPr>
              <w:t xml:space="preserve">: </w:t>
            </w:r>
            <w:r>
              <w:rPr>
                <w:rStyle w:val="IndexLink"/>
                <w:rtl w:val="true"/>
              </w:rPr>
              <w:t>رواية المغيرة بن شعبة</w:t>
            </w:r>
            <w:r>
              <w:rPr>
                <w:rStyle w:val="IndexLink"/>
                <w:rtl w:val="true"/>
              </w:rPr>
              <w:tab/>
            </w:r>
            <w:r>
              <w:rPr>
                <w:rStyle w:val="IndexLink"/>
              </w:rPr>
              <w:t>25</w:t>
            </w:r>
          </w:hyperlink>
        </w:p>
        <w:p>
          <w:pPr>
            <w:pStyle w:val="Contents3"/>
            <w:tabs>
              <w:tab w:val="clear" w:pos="8459"/>
              <w:tab w:val="right" w:pos="9026" w:leader="dot"/>
            </w:tabs>
            <w:rPr/>
          </w:pPr>
          <w:hyperlink w:anchor="__RefHeading___Toc1326309_73709187">
            <w:r>
              <w:rPr>
                <w:webHidden/>
                <w:rStyle w:val="IndexLink"/>
                <w:rtl w:val="true"/>
              </w:rPr>
              <w:t>الثالث</w:t>
            </w:r>
            <w:r>
              <w:rPr>
                <w:rStyle w:val="IndexLink"/>
                <w:rtl w:val="true"/>
              </w:rPr>
              <w:t xml:space="preserve">: </w:t>
            </w:r>
            <w:r>
              <w:rPr>
                <w:rStyle w:val="IndexLink"/>
                <w:rtl w:val="true"/>
              </w:rPr>
              <w:t>دراسة سائر الروايات</w:t>
            </w:r>
            <w:r>
              <w:rPr>
                <w:rStyle w:val="IndexLink"/>
                <w:rtl w:val="true"/>
              </w:rPr>
              <w:tab/>
            </w:r>
            <w:r>
              <w:rPr>
                <w:rStyle w:val="IndexLink"/>
              </w:rPr>
              <w:t>33</w:t>
            </w:r>
          </w:hyperlink>
        </w:p>
        <w:p>
          <w:pPr>
            <w:pStyle w:val="Contents2"/>
            <w:tabs>
              <w:tab w:val="clear" w:pos="8743"/>
              <w:tab w:val="right" w:pos="9026" w:leader="dot"/>
            </w:tabs>
            <w:rPr/>
          </w:pPr>
          <w:hyperlink w:anchor="__RefHeading___Toc1326311_73709187">
            <w:r>
              <w:rPr>
                <w:webHidden/>
                <w:rStyle w:val="IndexLink"/>
                <w:rtl w:val="true"/>
              </w:rPr>
              <w:t>تساؤلات حول مسألة المسح على الخفّين</w:t>
            </w:r>
            <w:r>
              <w:rPr>
                <w:rStyle w:val="IndexLink"/>
                <w:rtl w:val="true"/>
              </w:rPr>
              <w:tab/>
            </w:r>
            <w:r>
              <w:rPr>
                <w:rStyle w:val="IndexLink"/>
              </w:rPr>
              <w:t>38</w:t>
            </w:r>
          </w:hyperlink>
        </w:p>
        <w:p>
          <w:pPr>
            <w:pStyle w:val="Contents3"/>
            <w:tabs>
              <w:tab w:val="clear" w:pos="8459"/>
              <w:tab w:val="right" w:pos="9026" w:leader="dot"/>
            </w:tabs>
            <w:rPr/>
          </w:pPr>
          <w:hyperlink w:anchor="__RefHeading___Toc1326313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326315_73709187">
            <w:r>
              <w:rPr>
                <w:webHidden/>
                <w:rStyle w:val="IndexLink"/>
                <w:rtl w:val="true"/>
              </w:rPr>
              <w:t>فروع المسألة</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19_237485"/>
      <w:bookmarkStart w:id="1" w:name="pg11419_237485"/>
      <w:bookmarkEnd w:id="1"/>
    </w:p>
    <w:p>
      <w:pPr>
        <w:pStyle w:val="Heading2"/>
        <w:numPr>
          <w:ilvl w:val="1"/>
          <w:numId w:val="1"/>
        </w:numPr>
        <w:rPr/>
      </w:pPr>
      <w:bookmarkStart w:id="2" w:name="pg11419_237485"/>
      <w:bookmarkStart w:id="3" w:name="__RefHeading___Toc132628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6285_73709187"/>
      <w:bookmarkStart w:id="6" w:name="_Toc2"/>
      <w:bookmarkEnd w:id="5"/>
      <w:r>
        <w:rPr>
          <w:rtl w:val="true"/>
        </w:rPr>
        <w:t>المسح على الخفّين على ضوء الكتاب و السنّة</w:t>
      </w:r>
      <w:bookmarkStart w:id="7" w:name="pg11419_237489"/>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الخفّين على ضوء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326287_73709187"/>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19_237494"/>
    </w:p>
    <w:p>
      <w:pPr>
        <w:pStyle w:val="Heading2"/>
        <w:numPr>
          <w:ilvl w:val="1"/>
          <w:numId w:val="1"/>
        </w:numPr>
        <w:rPr/>
      </w:pPr>
      <w:bookmarkStart w:id="11" w:name="__RefHeading___Toc1326289_73709187"/>
      <w:bookmarkStart w:id="12" w:name="_Toc4"/>
      <w:bookmarkEnd w:id="10"/>
      <w:bookmarkEnd w:id="11"/>
      <w:r>
        <w:rPr>
          <w:rtl w:val="true"/>
        </w:rPr>
        <w:t>المسح على الخفّين اختياراً في الحضر و السفر</w:t>
      </w:r>
      <w:bookmarkEnd w:id="12"/>
    </w:p>
    <w:p>
      <w:pPr>
        <w:pStyle w:val="Heading3"/>
        <w:numPr>
          <w:ilvl w:val="2"/>
          <w:numId w:val="1"/>
        </w:numPr>
        <w:rPr/>
      </w:pPr>
      <w:bookmarkStart w:id="13" w:name="__RefHeading___Toc1326291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حُكي عن كثير من الصحابة و التابعين جواز المسح على الخفّين، في الحضر و السفر اختياراً من دون ضرورة تقتضيه، و انّ المكلّف مخيّر بمباشرة الرجلين بالغسل، و الخفّين بالمسح، مع اتّفاقهم على عدم جواز المسح على الرجلين مكان الغسل اختياراً 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لفيفاً من الصحابة و أئمّة أهل البيت قاطبة، أنكروا جواز المسح على الخفّين، أشدّ الإنكار كما ستوافيك كلماتهم و في مقدّمتهم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حبر الأُمّة عبد 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عمر، و إن حكي عنه العدول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مالك على إحدى الروايتين، فقد أنكر جواز المسح على الخفّين في آخر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مالك فإحدى الروايتين عنه انّه أنكر جواز المسح على الخفّين، و لا نزاع انّه كان في علم الحديث كالشمس الطالعة فلو لا انّه عرف فيه ضعفاً و إلاّ لما قال ذلك، و الرواية الثانية عن مالك انّه ما أباح المسح على الخفّين للمقيم و أباحه للمسافر مهما شاء من غير تقدير فيه</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ست روايات،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لكنّه يكره،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أبداً و هي الأشهر عنه و الأرجح عند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أصحابه،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موقتاً،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دون الحاضر،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داود الظاهري، و هو ابن داود الذي ينسب إليه المذهب الظاهري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هو موقف الصحابة و التابعين و إمام الظاهريّة في المسألة، و المهم هو دراسة الأدلّة، فانّ الإجماع غير محقّق في المسألة و قد عرفت وجود الاختلاف بينهم، و قبل أن ندخل في صلب الموضوع نرى من الأجدر أن نشير إلى نكتة مهمة في المقام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في الرأي إنّما يكون سائغاً إذا كان نتيجةَ الاجتهاد في فهم الأدلّة، كاختلاف المصلّين في غسل الأرجل و مسحهما، لأجل الاختلاف في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بِرُؤُسِكُمْ وَ 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اختلفوا في أنّها هل هي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مسحهما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و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المذكورتين في الجملة السابقة فلا بد من غسلهما؟ فبذلك صار المسلمون على طائفتين مختلفتين في حكم الأرجل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النوع من الاختلاف إنّما يتصوّر فيما إذا كان في المسألة دليل من الكتاب و السنّة قابل للاجتهاد و بالتالي قابل للاختلاف في الاستظهار، و أمّا إذا لم يكن فيها أىُّ دليل لفظي، غير ادّعاء رؤية عمل النبي و انّه كان يمسح على الخفّين فالاختلاف في مثلها عجيب جدّاً،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يتوضّأ أمام الناس، ليله و نهاره و كان الناس يتسابقون بالتبرّك بماء وضوئه، و مع ذلك صارت الصحابة بعد رحيله على صنفين، بين مثبت للمسح على الخفّين مطلقاً، و ناف كذلك، و مفصل بين الحضر و السفر، مع أنّ الطائفة النافية كانوا هم الذين يلازمونه طيلة حياته، في إقامته و ظعنه كعلي و عائشة و كانوا يعدّون</w:t>
      </w:r>
      <w:bookmarkStart w:id="15" w:name="pg11419_237502"/>
    </w:p>
    <w:p>
      <w:pPr>
        <w:pStyle w:val="BookText"/>
        <w:rPr/>
      </w:pPr>
      <w:bookmarkEnd w:id="15"/>
      <w:r>
        <w:rPr>
          <w:rFonts w:ascii="Amiri" w:hAnsi="Amiri" w:eastAsia="Amiri" w:cs="Amiri"/>
          <w:color w:val="111111"/>
          <w:sz w:val="28"/>
          <w:sz w:val="28"/>
          <w:szCs w:val="28"/>
          <w:rtl w:val="true"/>
          <w:lang w:bidi="ar-SA"/>
        </w:rPr>
        <w:t xml:space="preserve">شعاراً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فالمتّبع هو الدليل، و إليك دراسة أدلّة النافين، فقد احتجّوا بالكتاب و السنّة و اتّفاق أئمّة أهل البيت</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326293_73709187"/>
      <w:bookmarkStart w:id="17" w:name="_Toc6"/>
      <w:bookmarkEnd w:id="16"/>
      <w:r>
        <w:rPr/>
        <w:t>1</w:t>
      </w:r>
      <w:r>
        <w:rPr>
          <w:rtl w:val="true"/>
        </w:rPr>
        <w:t xml:space="preserve">. </w:t>
      </w:r>
      <w:r>
        <w:rPr>
          <w:rtl w:val="true"/>
        </w:rPr>
        <w:t>الاحتجاج بالكتاب العزيز</w:t>
      </w:r>
      <w:bookmarkEnd w:id="1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وَ أَرْجُلَكُمْ إِلَى الْكَعْبَيْنِ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فظاهر الآية فرض مباشرة الأرجل نفسها و المسح على الخفّين ليس مسحاً على الأرجل، و الآية في سورة المائدة المشتملة على آية الوضوء، و هي آخر سورة نزلت على النبي كما نصّت عليه أُمّ المؤمنين عائشة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تقرأ المائدة؟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آخر سورة نزلت، فما</w:t>
      </w:r>
    </w:p>
    <w:p>
      <w:pPr>
        <w:pStyle w:val="BookText"/>
        <w:rPr/>
      </w:pPr>
      <w:r>
        <w:rPr>
          <w:rFonts w:ascii="Amiri" w:hAnsi="Amiri" w:eastAsia="Amiri" w:cs="Amiri"/>
          <w:color w:val="111111"/>
          <w:sz w:val="28"/>
          <w:sz w:val="28"/>
          <w:szCs w:val="28"/>
          <w:rtl w:val="true"/>
          <w:lang w:bidi="ar-SA"/>
        </w:rPr>
        <w:t>وجدتم فيها من حلال فاستحلّوه، و ما وجدتم من حرام فحرّموه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عن عبد اللّه بن عمرو، انّ آخر سورة نزلت،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 و أقرّه الذهبي و صححه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على هذا فليس لنا العدول عمّا في هذه السورة من الأحكام إلاّ بدليل قطعي يصحّ نسخ الكتاب به إذا قيل بجوازه في الحضر أو السفر اختياراً و لو مدة قصيرة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على أنّ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منسوخ فيها البتة إلاّ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بعضهم قال هذه الآية منسوخة، و إذا كان كذلك امتنع القول بأنّ وجوب</w:t>
      </w:r>
      <w:r>
        <w:rPr>
          <w:rStyle w:val="FootnoteAnchor"/>
          <w:rtl w:val="true"/>
        </w:rPr>
        <w:footnoteReference w:id="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18" w:name="pg11419_237506"/>
    </w:p>
    <w:p>
      <w:pPr>
        <w:pStyle w:val="BookText"/>
        <w:rPr/>
      </w:pPr>
      <w:bookmarkEnd w:id="18"/>
      <w:r>
        <w:rPr>
          <w:rFonts w:ascii="Amiri" w:hAnsi="Amiri" w:eastAsia="Amiri" w:cs="Amiri"/>
          <w:color w:val="111111"/>
          <w:sz w:val="28"/>
          <w:sz w:val="28"/>
          <w:szCs w:val="28"/>
          <w:rtl w:val="true"/>
          <w:lang w:bidi="ar-SA"/>
        </w:rPr>
        <w:t>غسل الرجلين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خبر المسح على الخفّين بتقدير انّه كان متقدّماً على نزول الآية، كان خبر الواحد منسوخاً بالقرآن، و لو كان بالعكس كان خبر الواحد ناسخاً للقرآن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لا يُنسخ القرآن بخبر الواحد مهما بلغ من الصحة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326295_73709187"/>
      <w:bookmarkStart w:id="20" w:name="_Toc7"/>
      <w:bookmarkEnd w:id="19"/>
      <w:r>
        <w:rPr/>
        <w:t>2</w:t>
      </w:r>
      <w:r>
        <w:rPr>
          <w:rtl w:val="true"/>
        </w:rPr>
        <w:t xml:space="preserve">. </w:t>
      </w:r>
      <w:r>
        <w:rPr>
          <w:rtl w:val="true"/>
        </w:rPr>
        <w:t>الاحتجاج بالسنّة</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البيهقي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لا تقبل له صلاة إلاّ به، ثمّ توضّأ مرّتين 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يضاعف له الأجر مرتين، ثمّ توضّأ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وضوئي و وضوء المرسلين من قبلي</w:t>
      </w:r>
      <w:r>
        <w:rPr>
          <w:rFonts w:eastAsia="Amiri" w:cs="Amiri" w:ascii="Amiri" w:hAnsi="Amiri"/>
          <w:color w:val="111111"/>
          <w:sz w:val="28"/>
          <w:szCs w:val="28"/>
          <w:rtl w:val="true"/>
          <w:lang w:bidi="ar-SA"/>
        </w:rPr>
        <w:t>.</w:t>
      </w:r>
      <w:r>
        <w:rPr>
          <w:rStyle w:val="FootnoteAnchor"/>
          <w:rtl w:val="true"/>
        </w:rPr>
        <w:footnoteReference w:id="10"/>
      </w:r>
      <w:bookmarkStart w:id="21" w:name="pg11419_237508"/>
    </w:p>
    <w:p>
      <w:pPr>
        <w:pStyle w:val="BookText"/>
        <w:rPr/>
      </w:pPr>
      <w:bookmarkEnd w:id="21"/>
      <w:r>
        <w:rPr>
          <w:rFonts w:ascii="Amiri" w:hAnsi="Amiri" w:eastAsia="Amiri" w:cs="Amiri"/>
          <w:color w:val="111111"/>
          <w:sz w:val="28"/>
          <w:sz w:val="28"/>
          <w:szCs w:val="28"/>
          <w:rtl w:val="true"/>
          <w:lang w:bidi="ar-SA"/>
        </w:rPr>
        <w:t xml:space="preserve">و لا شكّ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الفعل بالرجلين دون الخف، لأنّه لو أوقع الفعل على الخفّين لم يحصل الإجزاء إلاّ به و ذلك منفي اتفاقاً، و على ضوء ذلك فمن توضّأ و مسح على الخفّين لا تقبل صلاته حسب تصريح الرسول</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326297_73709187"/>
      <w:bookmarkStart w:id="23" w:name="_Toc8"/>
      <w:bookmarkEnd w:id="22"/>
      <w:r>
        <w:rPr/>
        <w:t>3</w:t>
      </w:r>
      <w:r>
        <w:rPr>
          <w:rtl w:val="true"/>
        </w:rPr>
        <w:t xml:space="preserve">. </w:t>
      </w:r>
      <w:r>
        <w:rPr>
          <w:rtl w:val="true"/>
        </w:rPr>
        <w:t xml:space="preserve">إجماع أئمة أهل البيت </w:t>
      </w:r>
      <w:r>
        <w:rPr>
          <w:rtl w:val="true"/>
        </w:rPr>
        <w:t>(</w:t>
      </w:r>
      <w:r>
        <w:rPr>
          <w:rtl w:val="true"/>
        </w:rPr>
        <w:t>عليهم السلام</w:t>
      </w:r>
      <w:r>
        <w:rPr>
          <w:rtl w:val="true"/>
        </w:rPr>
        <w:t>)</w:t>
      </w:r>
      <w:bookmarkEnd w:id="23"/>
    </w:p>
    <w:p>
      <w:pPr>
        <w:pStyle w:val="BookText"/>
        <w:rPr/>
      </w:pPr>
      <w:r>
        <w:rPr>
          <w:rFonts w:ascii="Amiri" w:hAnsi="Amiri" w:eastAsia="Amiri" w:cs="Amiri"/>
          <w:color w:val="111111"/>
          <w:sz w:val="28"/>
          <w:sz w:val="28"/>
          <w:szCs w:val="28"/>
          <w:rtl w:val="true"/>
          <w:lang w:bidi="ar-SA"/>
        </w:rPr>
        <w:t>اتّفق أئمّة أهل البيت عليهم السَّلام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تضافرت الروايات عنهم،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مسح الخفّين، و متعة الحجّ</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بسنده عن أبي الورد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ظبيان حدّثني أنّه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الماء ثمّ مسح على الخفّين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أبو ظبيان، أما بلغك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فيهما رخصة؟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من عدوّ تقية، أو ثلج تخاف على رجليك</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المسح على الخفّين؟ فقام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المائدة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المائدة قبل أن يقبض بشهرين أو ثلاثة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باسناده عن ثابت الثمالي،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حبابة الوالبية 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نمسح على الخفّين، فمن كان من شيعتنا فليقتد بنا و ليستنّ بسنتنا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يعرف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إلاّ خفّ أهداه له النجاشي و كان موضع ظهر القدمين منه مشقوقاً، فمسح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رجليه و عليه خفّاه،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مسح على خفّيه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باسناده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الدين لمن أراد أن يتمسّك بها، و أراد اللّه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كما أمر اللّه في كتابه الناطق، غسل الوجه و اليدين إلى المرفقين، و مسح الرأس و القدمين إلى الكعبين مرّة مرّة و مرّتان جائز، و لا ينقض الوضوء إلاّ البول و الريح و النوم و الغائط و الجنابة، و منث</w:t>
      </w:r>
      <w:r>
        <w:rPr>
          <w:rFonts w:eastAsia="Amiri" w:cs="Amiri" w:ascii="Amiri" w:hAnsi="Amiri"/>
          <w:color w:val="111111"/>
          <w:sz w:val="28"/>
          <w:szCs w:val="28"/>
          <w:rtl w:val="true"/>
          <w:lang w:bidi="ar-SA"/>
        </w:rPr>
        <w:t>.</w:t>
      </w:r>
      <w:bookmarkStart w:id="24" w:name="pg11419_237514"/>
    </w:p>
    <w:p>
      <w:pPr>
        <w:pStyle w:val="BookText"/>
        <w:rPr/>
      </w:pPr>
      <w:bookmarkEnd w:id="24"/>
      <w:r>
        <w:rPr>
          <w:rFonts w:ascii="Amiri" w:hAnsi="Amiri" w:eastAsia="Amiri" w:cs="Amiri"/>
          <w:color w:val="111111"/>
          <w:sz w:val="28"/>
          <w:sz w:val="28"/>
          <w:szCs w:val="28"/>
          <w:rtl w:val="true"/>
          <w:lang w:bidi="ar-SA"/>
        </w:rPr>
        <w:t>مسح على الخفّين فقد خالف اللّه و رسوله و كتابه، و وضوؤه لم يتمّ، و صلاته غير مجزية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تضافر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يحتج على القائل بالجواز، بأنّ الكتاب سبق المسح على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5" w:name="__RefHeading___Toc1326299_73709187"/>
      <w:bookmarkStart w:id="26" w:name="_Toc9"/>
      <w:bookmarkEnd w:id="25"/>
      <w:r>
        <w:rPr>
          <w:rtl w:val="true"/>
        </w:rPr>
        <w:t>ما يدعم القول بالمنع</w:t>
      </w:r>
      <w:bookmarkEnd w:id="26"/>
    </w:p>
    <w:p>
      <w:pPr>
        <w:pStyle w:val="BookText"/>
        <w:rPr/>
      </w:pPr>
      <w:r>
        <w:rPr>
          <w:rFonts w:ascii="Amiri" w:hAnsi="Amiri" w:eastAsia="Amiri" w:cs="Amiri"/>
          <w:color w:val="111111"/>
          <w:sz w:val="28"/>
          <w:sz w:val="28"/>
          <w:szCs w:val="28"/>
          <w:rtl w:val="true"/>
          <w:lang w:bidi="ar-SA"/>
        </w:rPr>
        <w:t>إنّ هناك وجوهاً تدعم القول بالمنع نذكرها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هؤلاء الذين يروون المسح هل 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المائدة؟ و اللّه ما 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المائدة، و لئن أمسح على ظهر عنز في الصلاة أحب إلىّ من أن أمسح على الخفّين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تقطع قدماي أحبّ إلىّ من أن أمسح على 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نقل غير واحد انّ علياً و عائشة رجعا عن القول بالمنع، إلى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قولهم بالمنع ثابت عند الجميع و رجوعهم عمّا قالا، خبر واحد لا يصح الاعتماد عليه في المقام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الإمام عليّاً و عائشة كانا مع النبي ليله و نهاره، 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خفى عليهما كيفية وضوء النبي فأفتيا بالمنع و لمّا تبيّن الحق، عدلا عن قولهما؟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الأخذ بالجواز لو كان متأخّراً عن نزول المائدة كان ناسخاً للقرآن الكريم، و القرآن لا ينسخ بخبر الواحد، و قد اتّفق الأُصوليون إلاّ من شذّ على ما ذكرنا، فلا محالة يكون الحديث معارضاً للقرآن الكريم و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روي لكم عني حديث فأعرضوه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كتاب اللّه، فإن وافقه فاقبلوه و إلاّ فردّوه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فقهاء السنّة على أنّ مسح البشرة لا يغني عن الغسل، فالقول بأنّ المسح على الخفّين يغني عن غسل الرجلين أمر عجيب يخالف العقل الصريح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الشديد بين الفقهاء في الجواز و عدمه يوجب سقوط الروايات المجوزة و المانعة فلا محيص من الرجوع إلى ظاهر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المسح على الخفّين اختياراً مكان الغسل أو المسح لو كان أمراً مشروعاً، لعرفه الصحابة كلّهم و لم يقع بينهم نزاع و لبلغ مبلغ التواتر مع انّا نرى أنّ النزاع كان بينهم على قدم و ساق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يدلّ على عدم الجواز، و على فرض ثبوت المسح على الخفّين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الجمع بينه و بين الآية الكريمة بالوجهين التاليين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الخفّين في فترة خاصة قبل نزول آية الوضوء في سورة المائدة، و الكتاب نسخ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يمكن الجمع بين جواز المسح على الخفّين، و لزوم مباشرة الرجلين، و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متضافراً بأنّه سبق الكتاب الخفّين يشير إلى ذلك، و أنّ المسح على الخفّين كان رخصة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من الزمان، غير أنّ الكتاب نسخ هذه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خفّ أهداه له النجاشي و كان موضع ظهر القدم منه مشقوقاً غير مانع عن مسح البشرة، فمسح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رجليه و عليه خفّاه،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خفّيه، من دون التفات إلى أنّه لم يمسح على نفس الخفّ بل على الرجلين تحت الخفّ</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ذكرنا من الوجهين يمكن الجمع بين ما نقل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مسح على الخفّين و ما يستفاد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7" w:name="pg11419_237522"/>
    </w:p>
    <w:p>
      <w:pPr>
        <w:pStyle w:val="BookText"/>
        <w:rPr/>
      </w:pPr>
      <w:bookmarkEnd w:id="27"/>
      <w:r>
        <w:rPr>
          <w:rFonts w:ascii="Amiri" w:hAnsi="Amiri" w:eastAsia="Amiri" w:cs="Amiri"/>
          <w:color w:val="111111"/>
          <w:sz w:val="28"/>
          <w:sz w:val="28"/>
          <w:szCs w:val="28"/>
          <w:rtl w:val="true"/>
          <w:lang w:bidi="ar-SA"/>
        </w:rPr>
        <w:t xml:space="preserve">الكتاب من لزوم مباشرة الرجلين و ما عليه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لفيف من الصحابة و على رأسهم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علي لا يفترقان حتّى يردا علىّ الحوض</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الذي قال الإمام الرازي في حقّه في مسألة الجهر بالبسملة حيث كان علي يرى لزوم الجهر بالبسملة في الصلاة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اتّخذ عليّاً إماماً لدينه فقد استمسك بالعروة الوثقى في دينه و نفسه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إلى هنا تمت دراسة أدلّة القائلين بالمنع، فهلمّ معي ندرس أدلّة القائلين بالجواز</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326301_73709187"/>
      <w:bookmarkStart w:id="29" w:name="_Toc10"/>
      <w:bookmarkEnd w:id="28"/>
      <w:r>
        <w:rPr>
          <w:rtl w:val="true"/>
        </w:rPr>
        <w:t>أدلّة القائلين بجواز المسح</w:t>
      </w:r>
      <w:bookmarkEnd w:id="29"/>
    </w:p>
    <w:p>
      <w:pPr>
        <w:pStyle w:val="Heading3"/>
        <w:numPr>
          <w:ilvl w:val="2"/>
          <w:numId w:val="1"/>
        </w:numPr>
        <w:rPr/>
      </w:pPr>
      <w:bookmarkStart w:id="30" w:name="__RefHeading___Toc1326303_73709187"/>
      <w:bookmarkStart w:id="31" w:name="_Toc11"/>
      <w:bookmarkEnd w:id="30"/>
      <w:r>
        <w:rPr>
          <w:rtl w:val="true"/>
        </w:rPr>
        <w:t>اشارة</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أدلّة القائلين بالمنع، فهلمّ معي</w:t>
      </w:r>
      <w:bookmarkStart w:id="32" w:name="pg11419_237523"/>
    </w:p>
    <w:p>
      <w:pPr>
        <w:pStyle w:val="BookText"/>
        <w:rPr/>
      </w:pPr>
      <w:bookmarkEnd w:id="32"/>
      <w:r>
        <w:rPr>
          <w:rFonts w:ascii="Amiri" w:hAnsi="Amiri" w:eastAsia="Amiri" w:cs="Amiri"/>
          <w:color w:val="111111"/>
          <w:sz w:val="28"/>
          <w:sz w:val="28"/>
          <w:szCs w:val="28"/>
          <w:rtl w:val="true"/>
          <w:lang w:bidi="ar-SA"/>
        </w:rPr>
        <w:t>ندرس أدلّة القائلين بالجواز، و هي عبارة عن عدّة روايات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326305_73709187"/>
      <w:bookmarkStart w:id="34" w:name="_Toc12"/>
      <w:bookmarkEnd w:id="33"/>
      <w:r>
        <w:rPr>
          <w:rtl w:val="true"/>
        </w:rPr>
        <w:t>الأوّل</w:t>
      </w:r>
      <w:r>
        <w:rPr>
          <w:rtl w:val="true"/>
        </w:rPr>
        <w:t xml:space="preserve">: </w:t>
      </w:r>
      <w:r>
        <w:rPr>
          <w:rtl w:val="true"/>
        </w:rPr>
        <w:t>رواية جرير بن عبد اللّه البجلي</w:t>
      </w:r>
      <w:bookmarkEnd w:id="34"/>
    </w:p>
    <w:p>
      <w:pPr>
        <w:pStyle w:val="BookText"/>
        <w:rPr/>
      </w:pPr>
      <w:r>
        <w:rPr>
          <w:rFonts w:ascii="Amiri" w:hAnsi="Amiri" w:eastAsia="Amiri" w:cs="Amiri"/>
          <w:color w:val="111111"/>
          <w:sz w:val="28"/>
          <w:sz w:val="28"/>
          <w:szCs w:val="28"/>
          <w:rtl w:val="true"/>
          <w:lang w:bidi="ar-SA"/>
        </w:rPr>
        <w:t xml:space="preserve">احتجّ القائلون بالجواز بما رواه مسلم في صحيحه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إبراهيم الأدهم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المسح على الخفّين أحسن من حديث جرير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فأخرج مسلم عن الأعمش، عن إبراهيم، عن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جرير ثمّ توضّأ و مسح على خفّيه،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ثمّ توضأ و 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يعجبهم هذا الحديث، لأنّ إسلام جرير كان بعد نزول المائدة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النووي وجه إعجابهم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w:t>
      </w:r>
    </w:p>
    <w:p>
      <w:pPr>
        <w:pStyle w:val="BookText"/>
        <w:rPr/>
      </w:pPr>
      <w:r>
        <w:rPr>
          <w:rFonts w:ascii="Amiri" w:hAnsi="Amiri" w:eastAsia="Amiri" w:cs="Amiri"/>
          <w:color w:val="111111"/>
          <w:sz w:val="28"/>
          <w:sz w:val="28"/>
          <w:szCs w:val="28"/>
          <w:rtl w:val="true"/>
          <w:lang w:bidi="ar-SA"/>
        </w:rPr>
        <w:t xml:space="preserve">اَلْمَرافِقِ وَ امْسَحُوا بِرُؤُسِكُمْ 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إسلام جرير متقدّماً على نزول المائدة، لاحتمل كون حديثه في مسح الخف منسوخاً ب آية المائدة، فلمّا كان إسلامه متأخّراً علمنا أنّ حديثه يُعمل به، و هو مبين انّ المراد ب آية المائدة غير صاحب الخف، و السنّة مخصِّصة للآية، و اللّه أعلم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خبر واحد لا يُنسخ الكتاب به، فانّ للكتاب العزيز مكانة عظيمة لا يجاريه شيء سوى السنة المتواترة أو الخبر المحفوف بالقرائن المفيدة للعلم لا الخبر الواحد فضلاً عن حديث يتعجّب راويه عن عمل جرير، فلو كان شيئاً شائعاً بين المسلمين لما تعجّب منه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به فرع أن يكون إسلام جرير بعد نزول المائدة و هو غير ثابت، بل الثابت خلافه حيث أسلم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ابن عبد البر انّ جريراً أسلم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و هو غلط، ففي الصحيحين عنه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استنصت الناس في حجة الوداع، و جزم الواقدي بأنّه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عشر و انّ بعثه إلى ذي الخلصة كان بعد ذلك و انّه وافى مع النبي حجّة الوداع من عامه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الشعبي حدّث عن جرير انّه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النجاشي قد مات، أخرجه الطبراني فهذا يدلّ على أنّ إسلام جرير كان قبل سنة عشر، لأنّ النجاشي مات قبل ذلك</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قد توفي في حياة النبي في شهر رجب سنة تسع من الهجرة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لكم قد مات بأرض الحبشة، فخرج بهم إلى الصحراء و صفّهم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5" w:name="pg11419_237529"/>
    </w:p>
    <w:p>
      <w:pPr>
        <w:pStyle w:val="BookText"/>
        <w:rPr/>
      </w:pPr>
      <w:bookmarkEnd w:id="35"/>
      <w:r>
        <w:rPr>
          <w:rFonts w:ascii="Amiri" w:hAnsi="Amiri" w:eastAsia="Amiri" w:cs="Amiri"/>
          <w:color w:val="111111"/>
          <w:sz w:val="28"/>
          <w:sz w:val="28"/>
          <w:szCs w:val="28"/>
          <w:rtl w:val="true"/>
          <w:lang w:bidi="ar-SA"/>
        </w:rPr>
        <w:t>صفوفاً، ثمّ صلّى عليه، فنقل بعض العلماء انّ ذلك كان في شهر رجب سنة تسع من الهجرة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نقل في الموسوعة العربية العالمية انّه توفّي في عام تسع من الهجرة يعادل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على ضوء هذا فلا يصحّ الاحتجاج بخبر جرير، لأنّه من المحتمل جدّاً أن يكون عمل النبي قبل نزول المائدة بكثير، فنسخته سورة المائدة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احتملنا انّ إسلامه كان بعد سورة المائدة، فهو خبر واحد لا ينسخ به الكتاب فانّ للكتاب، منزلة عظيمة لا يعادلها شيء</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26307_73709187"/>
      <w:bookmarkStart w:id="37" w:name="_Toc13"/>
      <w:bookmarkEnd w:id="36"/>
      <w:r>
        <w:rPr>
          <w:rtl w:val="true"/>
        </w:rPr>
        <w:t>الثاني</w:t>
      </w:r>
      <w:r>
        <w:rPr>
          <w:rtl w:val="true"/>
        </w:rPr>
        <w:t xml:space="preserve">: </w:t>
      </w:r>
      <w:r>
        <w:rPr>
          <w:rtl w:val="true"/>
        </w:rPr>
        <w:t>رواية المغيرة بن شعبة</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مسلم بسنده عن الأسود بن هلال، عن</w:t>
      </w:r>
    </w:p>
    <w:p>
      <w:pPr>
        <w:pStyle w:val="BookText"/>
        <w:rPr/>
      </w:pPr>
      <w:r>
        <w:rPr>
          <w:rFonts w:ascii="Amiri" w:hAnsi="Amiri" w:eastAsia="Amiri" w:cs="Amiri"/>
          <w:color w:val="111111"/>
          <w:sz w:val="28"/>
          <w:sz w:val="28"/>
          <w:szCs w:val="28"/>
          <w:rtl w:val="true"/>
          <w:lang w:bidi="ar-SA"/>
        </w:rPr>
        <w:t>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إذ نزل فقضى حاجته، ثمّ جاء فصببت عليه من إداوَة كان معي، فتوضّأ و 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أخرجه بطرق أُخرى كلّها تنتهي إلى المغيرة بن شعبة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يلاحظ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بن شعبة لا يحتج بحديثه لسوابقه النكراء قبل إسلامه و بعده على الرغم من انّ له في الصحيحين اثني عشر حديثاً، و يكفي في ذلك ما نتلوه عليك من جريمته المروِّعة على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المغيرة مع نفر من بني مالك على المقوقس فأهدى لهم ما أهدى، فلمّا خرجوا من عنده أقبلت بنو مالك يشترون هدايا لأهلهم فخرجوا و حملوا معهم الخمر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نشرب الخمر فأجمعتُ على قتلهم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فتمارضت، و عصبت رأسي، فوضعوا شرابهم،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يُصدَّع و لكنّي أُسقيكم فلم ينكروا، فجعلت أُسرف لهم، و أترع لهم جميعاً الكأس، فيشربون و لا يدرون حتى ناموا سكراً، فوثبتُ و قتلتهم جميعاً و أخذت ما معهم، فقدمت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جالساً في المسجد مع أصحابه و عليَّ ثياب سفر، فسلمت،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مصر أقبلتم؟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المالكيون؟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قتلتُهم، و أخذت أسلابهم، و جئت بها إلى رسول اللّه ليخمسها،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إسلامك فنقبله و لا آخذ من أموالهم شيئاً، لأنّ هذا غدر و لا خير في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قرب و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قتلتهم و أنا على دين قومي، ثمّ أسلمت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الإسلام يجبُّ ما كان قبله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قتل منهم ثلاثة عشر</w:t>
      </w:r>
      <w:r>
        <w:rPr>
          <w:rFonts w:eastAsia="Amiri" w:cs="Amiri" w:ascii="Amiri" w:hAnsi="Amiri"/>
          <w:color w:val="111111"/>
          <w:sz w:val="28"/>
          <w:szCs w:val="28"/>
          <w:rtl w:val="true"/>
          <w:lang w:bidi="ar-SA"/>
        </w:rPr>
        <w:t>.</w:t>
      </w:r>
      <w:r>
        <w:rPr>
          <w:rStyle w:val="FootnoteAnchor"/>
        </w:rPr>
        <w:footnoteReference w:id="2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جريمته النكراء في عهد الجاهلية و تكشف عن خبث باطنه و طينته حيث قتل ثلاثة عشر شخصاً من أرحامه طمعاً في أموالهم، و الإسلام و إن كان يجبّ ما قبله من حيث الحكم التكليفي، إلاّ أنّه لا يغيّر خبث سريرة الإنسان الذي شبّ عليه إلاّ بالعكوف على باب التوبة و الانقطاع إلى الاعمال الحسنة و التداوم عليها و التي تنمُّ عن تبدّل حاله و إيقاظ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صحيفة حياته السوداء قبل الإسلام، و أمّا بعده فلم تختلف كثيراً، و يشهد على ذلك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الذهبي عن عبد اللّه بن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ينال في خطبته من علي، و أقام خطباء ينالون منه، و ذكر الحديث في العشرة المشهود لهم بالجنة لسعيد بن زيد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معاوية وضع قوماً من الصحابة و قوماً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التابعين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الطعن فيه و البراءة منه، و جعل على ذلك جُعلاً يرغب في مثله، فاختلقوا ما أرضوه، منهم المغيرة بن شعبة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في مسنده عن قطبة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المغيرة بن شعبة من علي، فقال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عن سبّ الموتى فلم تسبّ عليّاً و قد مات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أخرج أيضاً في مسنده أحاديث نيله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و اعتراض سعيد بن زيد عليه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الخطباء إلى المغيرة بن شعبة بالكوفة، فقام صعصعة بن صوحان فتكلّم،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أرجوه فأقيموه على المصطبة فليلعن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لعن اللّه و لعن علي بن أبي طالب،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لتقيِّدنه،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يأبى إلاّ علي بن أبي طالب فالعنوه لعنه اللّه،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 اللّه نفسه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إنّ سوابقه تحكي على أنّه كان داهية يستغل دهاءه لنيل مآربه بأي قيمة كانت و إن انتهت على حساب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الذهبي أنّ معاوية دعا عمرو بن العاص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عليها ابنك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فبينا هم على ذلك جاء المغيرة بن شعبة و كان معتزلاً بالطائف فناجاه معاوية،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تؤمِّر عَمرواً على الكوفة، و ابنه على مصر و تكون كالقاعد بين لحيي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لعمرو حين أصبح إنّي قد رأيت كذا، ففهم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أمير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 استغن برأيه و قوته عن المكيدة، و اعزله عن المال، قد كان قبلك عمر و عثمان فعلا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رأيتَ، فدخل عليه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أمّرتك على الجند و الأرض، ثمّ ذكرت سنّة عمر و عثمان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كفت سنّة عمر و عثمان في حقّه في الدلالة على مدى ما كان يتمتّع الرجل به من الأمانة و الورع في حقوق المسلمين و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يشهد على موبقات الرجل و انّه لم يتغير عمّا كان عليه في عصر الجاهلية انّه اتُّهم بالزنا و هو أمير الكوفة في عصر الخليفة عمر بن الخطاب و شهد عليه شهود أربعة،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و نافع و شبل فشهدوا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رأوه يولجه و يخرجه و يلج ولوج المِرْوَد في المكحلة فلمّا حاول رابع الشهود و هو زياد بن أبيه حاول الخليفة أن يدرأ عنه الحد للشبهة فخاطبه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رجلاً لم يخز اللّه على لسانه رجلاً من المهاجرين، فقال له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رأيته يدخله كالميل في المكحلة؟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رأيت مجلساً قبيحاً و سمعت نَفَساً عالياً و رأيته متبطّنها</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درأ عنه الحدّ بالشبهة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مكانة الرجل بين المسلمين، أ فيمكن أن يقبل حديث ذلك الرجل في أمر عبادي يمارسه المسلمون في نهارهم و 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انّه رجل يحتج بحديثه و انّ الإسلام جبّ ما قبله، و لكنّه من أين ثبت انّ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نزول المائدة؟ إذ من المحتمل أن يكون قبله بكثير، و قدة</w:t>
      </w:r>
      <w:r>
        <w:rPr>
          <w:rFonts w:eastAsia="Amiri" w:cs="Amiri" w:ascii="Amiri" w:hAnsi="Amiri"/>
          <w:color w:val="111111"/>
          <w:sz w:val="28"/>
          <w:szCs w:val="28"/>
          <w:rtl w:val="true"/>
          <w:lang w:bidi="ar-SA"/>
        </w:rPr>
        <w:t>.</w:t>
      </w:r>
      <w:bookmarkStart w:id="38" w:name="pg11419_237546"/>
    </w:p>
    <w:p>
      <w:pPr>
        <w:pStyle w:val="BookText"/>
        <w:rPr/>
      </w:pPr>
      <w:bookmarkEnd w:id="38"/>
      <w:r>
        <w:rPr>
          <w:rFonts w:ascii="Amiri" w:hAnsi="Amiri" w:eastAsia="Amiri" w:cs="Amiri"/>
          <w:color w:val="111111"/>
          <w:sz w:val="28"/>
          <w:sz w:val="28"/>
          <w:szCs w:val="28"/>
          <w:rtl w:val="true"/>
          <w:lang w:bidi="ar-SA"/>
        </w:rPr>
        <w:t>أسلم الرجل قبل صلح الحديبية الذي كان في العام السادس، و يؤيد ذلك ما رواه الذهبي عن أبي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المغيرة بن شعبة دمشق فسألته،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فمسح على خفّيه</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39" w:name="__RefHeading___Toc1326309_73709187"/>
      <w:bookmarkStart w:id="40" w:name="_Toc14"/>
      <w:bookmarkEnd w:id="39"/>
      <w:r>
        <w:rPr>
          <w:rtl w:val="true"/>
        </w:rPr>
        <w:t>الثالث</w:t>
      </w:r>
      <w:r>
        <w:rPr>
          <w:rtl w:val="true"/>
        </w:rPr>
        <w:t xml:space="preserve">: </w:t>
      </w:r>
      <w:r>
        <w:rPr>
          <w:rtl w:val="true"/>
        </w:rPr>
        <w:t>دراسة سائر الروايات</w:t>
      </w:r>
      <w:bookmarkEnd w:id="40"/>
    </w:p>
    <w:p>
      <w:pPr>
        <w:pStyle w:val="BookText"/>
        <w:rPr/>
      </w:pPr>
      <w:r>
        <w:rPr>
          <w:rFonts w:ascii="Amiri" w:hAnsi="Amiri" w:eastAsia="Amiri" w:cs="Amiri"/>
          <w:color w:val="111111"/>
          <w:sz w:val="28"/>
          <w:sz w:val="28"/>
          <w:szCs w:val="28"/>
          <w:rtl w:val="true"/>
          <w:lang w:bidi="ar-SA"/>
        </w:rPr>
        <w:t>قد روى غير واحد من المحدّثين فعل النبي في السفر أو في السفر و الحضر و أنّه مسح على الخفّين، و الغالب عليها هو نقل فعل النبي من دون أن يذكر فيها لفظه و أنّه أمر بالمسح على الخفّين، و على فرض أنّه أمر لفظاً بالمسح على الخفين لم تعيّن ظروف العمل، و قد جمع أبو بكر البيهقي عامّة الروايات في السنن، فنذكر قسماً كبيراً ممّا رواه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سعد بن أبي وقّاص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w:t>
      </w:r>
    </w:p>
    <w:p>
      <w:pPr>
        <w:pStyle w:val="BookText"/>
        <w:rPr/>
      </w:pPr>
      <w:r>
        <w:rPr>
          <w:rFonts w:ascii="Amiri" w:hAnsi="Amiri" w:eastAsia="Amiri" w:cs="Amiri"/>
          <w:color w:val="111111"/>
          <w:sz w:val="28"/>
          <w:sz w:val="28"/>
          <w:szCs w:val="28"/>
          <w:rtl w:val="true"/>
          <w:lang w:bidi="ar-SA"/>
        </w:rPr>
        <w:t>على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رسول اللّه إلى سباطة قوم فبال قائماً، ثمّ دعا بماء فجئته بماء فتوضّأ و مسح على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آدم بن أبي أياس، و رواه مسلم من وجه آخر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كفى في ضعف هذه الرواية أنّه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يليق بمنزلته و مكانته و لا يرتكبه إلاّ الأراذل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يمكن أن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 قائماً مع أنّ المروي عن ابن مسعود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الجفاء أن تبول و أنت قائم، و كان سعد بن إبراهيم لا يجيز شهادة من بال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يبول قائماً فلا تصدّقوه، ما كان يبول إلاّ قاعداً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قدامة بعد ما نقل هذا حاول أن يصحّح</w:t>
      </w:r>
    </w:p>
    <w:p>
      <w:pPr>
        <w:pStyle w:val="BookText"/>
        <w:rPr/>
      </w:pPr>
      <w:r>
        <w:rPr>
          <w:rFonts w:ascii="Amiri" w:hAnsi="Amiri" w:eastAsia="Amiri" w:cs="Amiri"/>
          <w:color w:val="111111"/>
          <w:sz w:val="28"/>
          <w:sz w:val="28"/>
          <w:szCs w:val="28"/>
          <w:rtl w:val="true"/>
          <w:lang w:bidi="ar-SA"/>
        </w:rPr>
        <w:t>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لتبيين الجواز و لم يفعله إلاّ مرة واحدة، و يحتمل انّه في موضع لا يتمكّن من الجلوس فيه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ما ذكر من الوجه الأوّل مردود بأنّ في إمكان الرسول أن يبيّن جواز المسح على الخفين بكلامه لا بفعله الذي يعد من صفات غير المبالين بأحكام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أخرج ابن ماجة في سننه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أبول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تبل قائماً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ظاهر الحديث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يتطهّر من البول فلا بدّ من القول بالحذف و التقدير في جمل الحديث، و على فرض الصحّة فهو ينقل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يوقِّت ظروفه فلا يكون حجّة في مقابل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قبل نزول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تظهر حال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سعد بن أبي وقاص حيث لم تعيّن ظرف العمل و انّه هل كان قبل نزول المائدة أو بعدها؟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أُميّة بن الضمري،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عمامته و خفّيه، و الكلام في هذا الحديث هو نفس الكلام في الحديثين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مسح على الخفّين و الخمار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مرّة مرّة و مسح على الخفّين، و صلّى الصلوات كلّها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شيئاً ما كنتَ تصنعه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عمداً فعلته يا عمر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هذا يوم الفتح قبل نزول سورة المائدة بشهادة رواية بريدة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خمس صلوات بوضوء واحد</w:t>
      </w:r>
    </w:p>
    <w:p>
      <w:pPr>
        <w:pStyle w:val="BookText"/>
        <w:rPr/>
      </w:pPr>
      <w:r>
        <w:rPr>
          <w:rFonts w:ascii="Amiri" w:hAnsi="Amiri" w:eastAsia="Amiri" w:cs="Amiri"/>
          <w:color w:val="111111"/>
          <w:sz w:val="28"/>
          <w:sz w:val="28"/>
          <w:szCs w:val="28"/>
          <w:rtl w:val="true"/>
          <w:lang w:bidi="ar-SA"/>
        </w:rPr>
        <w:t>و مسح على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صنعتَ شيئاً لم تصنعه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صنعته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المقدام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المسح على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فانّه أعلم بذلك منّي، فأتيت عليّاً فسألته عن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أن يمسح المقيم يوماً و ليلة و المسافر ثلاثاً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 الاحتجاج به و بنظيره ما لم يثبت ظرف العمل و انّ فعل النبي كان بعد نزول سورة المائدة</w:t>
      </w:r>
      <w:r>
        <w:rPr>
          <w:rFonts w:eastAsia="Amiri" w:cs="Amiri" w:ascii="Amiri" w:hAnsi="Amiri"/>
          <w:color w:val="111111"/>
          <w:sz w:val="28"/>
          <w:szCs w:val="28"/>
          <w:rtl w:val="true"/>
          <w:lang w:bidi="ar-SA"/>
        </w:rPr>
        <w:t>.</w:t>
      </w:r>
      <w:r>
        <w:rPr>
          <w:rStyle w:val="FootnoteAnchor"/>
        </w:rPr>
        <w:footnoteReference w:id="3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41" w:name="pg11419_237557"/>
    </w:p>
    <w:p>
      <w:pPr>
        <w:pStyle w:val="Heading2"/>
        <w:numPr>
          <w:ilvl w:val="1"/>
          <w:numId w:val="1"/>
        </w:numPr>
        <w:rPr/>
      </w:pPr>
      <w:bookmarkStart w:id="42" w:name="__RefHeading___Toc1326311_73709187"/>
      <w:bookmarkStart w:id="43" w:name="_Toc15"/>
      <w:bookmarkEnd w:id="41"/>
      <w:bookmarkEnd w:id="42"/>
      <w:r>
        <w:rPr>
          <w:rtl w:val="true"/>
        </w:rPr>
        <w:t>تساؤلات حول مسألة المسح على الخفّين</w:t>
      </w:r>
      <w:bookmarkEnd w:id="43"/>
    </w:p>
    <w:p>
      <w:pPr>
        <w:pStyle w:val="Heading3"/>
        <w:numPr>
          <w:ilvl w:val="2"/>
          <w:numId w:val="1"/>
        </w:numPr>
        <w:rPr/>
      </w:pPr>
      <w:bookmarkStart w:id="44" w:name="__RefHeading___Toc1326313_73709187"/>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ثمّ إنّ هناك تساؤلات حول هذه المسألة نطرحها على صعيد البحث و الدراسة، و لعلّ الفقيه المفتي بجواز المسح على الخفّين في عصرنا هذا يجد لها أجوبة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الوضوء و إن كان عبادة و شرطاً في صحّة الصلاة و لكنّه في الوقت نفسه تطهير للمتوضّئ يقول سبحانه في ذيل آية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يُرِيدُ لِيُطَهِّرَكُمْ وَ لِيُتِمَّ نِعْمَتَهُ عَلَيْكُمْ لَعَلَّكُمْ تَشْكُرُونَ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الوضوء كالغسل و التيمّم سبباً للتطهير فهو فرع مباشرة الرجلين لا الخفّين و النعلين و لا الجوربين،</w:t>
      </w:r>
    </w:p>
    <w:p>
      <w:pPr>
        <w:pStyle w:val="BookText"/>
        <w:rPr/>
      </w:pPr>
      <w:r>
        <w:rPr>
          <w:rFonts w:ascii="Amiri" w:hAnsi="Amiri" w:eastAsia="Amiri" w:cs="Amiri"/>
          <w:color w:val="111111"/>
          <w:sz w:val="28"/>
          <w:sz w:val="28"/>
          <w:szCs w:val="28"/>
          <w:rtl w:val="true"/>
          <w:lang w:bidi="ar-SA"/>
        </w:rPr>
        <w:t>فانّ المسح عليها لا يستتبع طهارة إن لم يؤثر في انفعال اليد بالأوساخ التي على الخفّين أو النعلين أو الجوربين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فتجويزه في الحضر و السفر اختياراً موقتاً أو غير مؤقت على خلاف النظافة التي دعا إليها الإسلام في غير واحد من تعاليمه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المسح على الخفّين مسألة فقهية فرعية اختلف فيها الصحابة و التابعون، و قد اشتهر عن علي و ابن عباس و عائشة و أئمة أهل البيت قاطبة و غيرهم المنع عنه، و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تلميذه حبر الأُمّة يستدلّان بأنّ آية الوضوء نسخت هذا، و مع هذا فلا يتجاوز الاختلاف فيه عن الاختلاف في الحكم الفرعي، و ما أكثر الخلاف في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نرى أنّ شهاب الدّين أحمد بن محمد القسطلاني ينقل في شرحه على صحيح البخاري عن الكرخي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الكفر على من لا يرى المسح على الخفّين،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بمنسوخ، لحديث مغيرة في</w:t>
      </w:r>
    </w:p>
    <w:p>
      <w:pPr>
        <w:pStyle w:val="BookText"/>
        <w:rPr/>
      </w:pPr>
      <w:r>
        <w:rPr>
          <w:rFonts w:ascii="Amiri" w:hAnsi="Amiri" w:eastAsia="Amiri" w:cs="Amiri"/>
          <w:color w:val="111111"/>
          <w:sz w:val="28"/>
          <w:sz w:val="28"/>
          <w:szCs w:val="28"/>
          <w:rtl w:val="true"/>
          <w:lang w:bidi="ar-SA"/>
        </w:rPr>
        <w:t xml:space="preserve">غزوة تبوك و هي آخر غزواته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المائدة نزلت قبلها في غزوة المريسيع، فأين النسخ للمسح</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لا يخفى ما في كلامه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ذكره لا يخلو من المغالاة في القول، إذ أي ملازمة بين عدم تجويز المسح على الخفّين و الخروج عن حظيرة الإسلام و ليس في المسألة إلاّ خبر واحد كخبر المغيرة، غير المفيد علماً و لا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اتّهام المخالف بالكفر سيئة موبقة،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كفر الرجل أخاه فقد باء بها أحدهما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المائدة نزلت قبل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 أو أقلّ، و أمّا غزوة المريسيع، فقد كانت في شهر شعبان من العام السادس من الهجرة، و قيل قبله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نعم نزل فيها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التيمّم و 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يشهد على أنّ النزاع بين الصحابة و التابعين في مسألة المسح على الخفّين كان على قدم و ساق انّ بعض من يروي المسح على الخفّين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عن عبد الرحمن بن أبي بكرة،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ثلاثة أيام و لياليهنّ و للمقيم يوم و ليلة، 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خفّيه و يغسل 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ذيل الحديث يوجد وهناً فيما يرويه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عمله كان على خلاف روايته، حاول غير واحد من المحدّثين تصحيحه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الظاهر من غير واحد من الروايات التي نقلها البيهقي في سننه أنّه يجوز المسح على الخفّين في السفر و الحضر جميعاً، و قد عقد باباً بهذا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الخفّين في السفر و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رواية حذيفة و أُسامة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الخفّين و هو في المدينة، و معنى ذلك أنّه يجوز أن يختار المكلّف طيلة عمره المسح على الخفّين، و أنّ غسل الرجلين مختصّ بمن لم يلبس الخفّين، و هذا شيء لا ترتضيه روح الفقه و لا سيرة المتشرّعة و لا حكمة الوضوء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 في شكّ من ذلك، فإليك فتاوى الفقهاء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جمهور الفقهاء الحنفيّة و الشافعيّة و الحنابلة، توقيت مدّة المسح على الخفّين بيوم و ليلة في الحضر و ثلاثة أيّام للمسافر، و لكن المالكية تجوّز المسح على الخفّين في الحضر و السفر من غير توقيت بزمان، فلا ينزعهما إلاّ بموجب الغسل و يندب للمكلّف نزعهما في كلّ أُسبوع مرّة يوم الجمعة و لو لم يرد الغسل لها، و نزعهما مرّة في كلّ اسبوع في مثل اليوم الذي لبسهما فيه، فإذا نزعهما لسبب أو لغيره وجب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بما رواه ابن أبي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على الخفّين؟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شئت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الشيء الغريب حقّاً هو انّ الفقهاء لم يجوّزوا المسح بماء الوضوء على الرجلين مباشرة لا في الحضر و لا في السفر، و مع ذلك جوّزوا المسح على الخفّين على الرغم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الخفين لا صلة لها بالمتوضّي سوى انّهما وعاءان للرّجْلين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هناك من يتصوّر انّ الحكمة في جواز المسح على الخفّين، التيسير و التخفيف عن المكلّفين الذين يشق عليهم نزع الخف و غسل الرجلين في أوقات الشتاء و البرد الشديد، و في السفر و ما يصاحبه من الاستعجال و مواصلة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 من الحكمة لو صحت يوجب اختصاص المسح على الخفّين بموارد الحرج و الضرورة، و أين هذا من الإفتاء به دون 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الإصرار على بقاء حكم المسح على الخفّين كان لأجل مخالفة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هو و بيته يجاهرون بالمنع من المسح على الخفّين، و قد أعطى المجوّزون المسألة أكثر ممّا تستحقّ، قال أبو بكر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عن الحسن البصري، حدثني سبعون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يمسح على الخفّين،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المسح على الخفّين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قال جماعات من السلف نحو هذا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البيهقي أسماء حوالي عشرين صحابياً جوّزوا المسح على الخفّين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سعد ابن أبي وقاص و عبد اللّه بن مسعود و حذيفة بن اليمان و أبو أيوب الأنصاري و أبو موسى الأشعري و عمّار بن ياسر و جابر بن عبد اللّه و عمرو بن العاص و أنس بن مالك و سهل بن سعد و أبي مسعود الأنصاري و المغيرة بن شعبة و البراء بن عازب و أبي سعيد الخدري و جابر بن سمرة و أبو أمامة الباهلي و عبد اللّه بن الحارث بن جزر و أبو زيد الأنصاري</w:t>
      </w:r>
      <w:r>
        <w:rPr>
          <w:rFonts w:eastAsia="Amiri" w:cs="Amiri" w:ascii="Amiri" w:hAnsi="Amiri"/>
          <w:color w:val="111111"/>
          <w:sz w:val="28"/>
          <w:szCs w:val="28"/>
          <w:rtl w:val="true"/>
          <w:lang w:bidi="ar-SA"/>
        </w:rPr>
        <w:t>.</w:t>
      </w:r>
      <w:r>
        <w:rPr>
          <w:rStyle w:val="FootnoteAnchor"/>
        </w:rPr>
        <w:footnoteReference w:id="4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6" w:name="pg11419_237573"/>
    </w:p>
    <w:p>
      <w:pPr>
        <w:pStyle w:val="BookText"/>
        <w:rPr/>
      </w:pPr>
      <w:bookmarkEnd w:id="46"/>
      <w:r>
        <w:rPr>
          <w:rFonts w:ascii="Amiri" w:hAnsi="Amiri" w:eastAsia="Amiri" w:cs="Amiri"/>
          <w:color w:val="111111"/>
          <w:sz w:val="28"/>
          <w:sz w:val="28"/>
          <w:szCs w:val="28"/>
          <w:rtl w:val="true"/>
          <w:lang w:bidi="ar-SA"/>
        </w:rPr>
        <w:t xml:space="preserve">و العجب انّهم عطفوا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على هؤلاء لمزيد الثقة بالجواز</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326315_73709187"/>
      <w:bookmarkStart w:id="48" w:name="_Toc17"/>
      <w:bookmarkEnd w:id="47"/>
      <w:r>
        <w:rPr>
          <w:rtl w:val="true"/>
        </w:rPr>
        <w:t>فروع المسألة</w:t>
      </w:r>
      <w:bookmarkEnd w:id="48"/>
    </w:p>
    <w:p>
      <w:pPr>
        <w:pStyle w:val="BookText"/>
        <w:rPr/>
      </w:pPr>
      <w:r>
        <w:rPr>
          <w:rFonts w:ascii="Amiri" w:hAnsi="Amiri" w:eastAsia="Amiri" w:cs="Amiri"/>
          <w:color w:val="111111"/>
          <w:sz w:val="28"/>
          <w:sz w:val="28"/>
          <w:szCs w:val="28"/>
          <w:rtl w:val="true"/>
          <w:lang w:bidi="ar-SA"/>
        </w:rPr>
        <w:t>ثمّ إنّ القائلين بجواز المسح على الخفّين اختلفوا فيما يرجع إليه من فروع اختلافاً شديداً فاختلفوا في المواضع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من ذلك مسح أعلى الخف و إنّ مسح الباطن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الخف مستحب، و مالك أحد من رأى هذا،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أوجب مسح ظهورهما و بطونهما، و هو مذهب ابن نافع من أصحاب مالك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أوجب مسح الظهور فقط و لم يستحب مسح البطون، و هو مذهب أبي حنيفة و داود و سفيان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مسح الباطن أو</w:t>
      </w:r>
    </w:p>
    <w:p>
      <w:pPr>
        <w:pStyle w:val="BookText"/>
        <w:rPr/>
      </w:pPr>
      <w:r>
        <w:rPr>
          <w:rFonts w:ascii="Amiri" w:hAnsi="Amiri" w:eastAsia="Amiri" w:cs="Amiri"/>
          <w:color w:val="111111"/>
          <w:sz w:val="28"/>
          <w:sz w:val="28"/>
          <w:szCs w:val="28"/>
          <w:rtl w:val="true"/>
          <w:lang w:bidi="ar-SA"/>
        </w:rPr>
        <w:t>الأعلى، أيّهما مسح، و سبب اختلافهم تعارض الآثار الواردة في ذلك و تشبيه المسح بالغسل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محل المسح فانّ القائلين به اتّفقوا على جواز المسح على الخفّين و اختلفوا في المسح على الجوربين، فأجاز ذلك قوم و منعه قوم، و ممّن 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الشافعي و أبو حنيفة، و ممّن أجاز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و محمد صاحبا أبي حنيفة و سفيان الثوري، و سبب اختلافهم في صحّة الآثار الواردة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مسح على الجوربين و النعلين، و اختلافهم أيضاً في هل يقاس على الخف غيره، أم هي عبادة لا يقاس عليها و لا يتعدّى بها محلّها؟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الخفّ فانّهم اتّفقوا على جواز المسح على الخفّ الصحيح و اختلفوا في المخْرق، فقال مالك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 إذا كان الخرق يسيراً، و حدّد أبو حنيفة بما يكره الظاهر منه أقلّ من ثلاثة أصابع، و قال قوم بجواز المسح على الخفّ المنخرق ما دام يسمّى خفّاً، و إن</w:t>
      </w:r>
    </w:p>
    <w:p>
      <w:pPr>
        <w:pStyle w:val="BookText"/>
        <w:rPr/>
      </w:pPr>
      <w:r>
        <w:rPr>
          <w:rFonts w:ascii="Amiri" w:hAnsi="Amiri" w:eastAsia="Amiri" w:cs="Amiri"/>
          <w:color w:val="111111"/>
          <w:sz w:val="28"/>
          <w:sz w:val="28"/>
          <w:szCs w:val="28"/>
          <w:rtl w:val="true"/>
          <w:lang w:bidi="ar-SA"/>
        </w:rPr>
        <w:t>تفاحش خرقه، و ممّن روي عنه ذلك الثوري، و منع الشافعي أن يكون في مقدّم الخف خرق يظهر منه القدم، و لو يسيراً في أحد القولين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سبب اختلافهم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التوقيت فانّ الفقهاء اختلفوا فيه، فرأى مالك انّ ذلك غير مؤقت و إنّ لابس الخفّين يمسح عليها ما لم ينزعهما أو تصيبه جنابة، و ذهب أبو حنيفة و الشافعي إلى أنّ ذلك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اختلافهم اختلاف الآثار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المسح على الخفين هو أن تكون الرجْلان طاهرتين بطُهر الوضوء و ذلك شيء مجمع عليه إلاّ خلافاً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ابن القاسم عن مالك، ذكره ابن لبابة في المنتخب و إنّما قال به الأكثر لثبوته في حديث المغيرة و غيره إذا أراد أن ينزع الخف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فإنّي ادخلتهما و هما طاهرتان، و المخالف حمل هذه الطهارة على الطهارة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نواقض هذه الطهارة فانّهم أجمعوا على أنّها نواقض الوضوء بعينها و اختلفوا هل نزع الخف ناقض لهذه الطهارة أم لا؟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نَزَعه و غسل قدميه فطهارته باقية، و إن لم يغسلهما و صلّى أعاد الصلاة بعد غسل قدميه، و ممّن قال بذلك مالك و أصحابه و الشافعي و أبو حنيفة إلى أن قال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باقية حتى يحدث حدثاً ينقض الوضوء و ليس عليه غسل، و ممّن قال بهذا القول داود و ابن أبي ليلى و قال الحسن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 خُفّيه فقد بطلت طهارته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الاختلافات في الفروع مبنية على القول بجواز المسح على اختيار، فإذا بطل الأصل يكون الكلام في الفروع أمراً لغواً لا طائل تحته و إن أطنب القائلون بالجواز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الوجوب التعيّني لمن له خفّ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فضل التكرار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حدّ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ما يؤيد مضمون ذلك الحديث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1653/164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ترجمة جرير، برقم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الأذكياء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طبع دار الفكر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إلى غير ذلك من المصادر المتوفرة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هذه المأثورات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2771/270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مكان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الإيمان باب من قال لأخيه يا كافر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الإكليل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لاحظ الموسوعة الفقهية الكويتية،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المجموع شرح المهذّب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6319</Words>
  <Characters>24918</Characters>
  <CharactersWithSpaces>30942</CharactersWithSpaces>
  <Paragraphs>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2026-08-21T21:38:22Z</dcterms:created>
  <dc:creator>ghaemiyeh.com</dc:creator>
  <dc:description/>
  <dc:language>en-US</dc:language>
  <cp:lastModifiedBy/>
  <dcterms:modified xsi:type="dcterms:W3CDTF">2026-08-22T01:08:23Z</dcterms:modified>
  <cp:revision>1</cp:revision>
  <dc:subject/>
  <dc:title>سلسله المسائل الفقهیه جلد 2</dc:title>
</cp:coreProperties>
</file>

<file path=docProps/custom.xml><?xml version="1.0" encoding="utf-8"?>
<Properties xmlns="http://schemas.openxmlformats.org/officeDocument/2006/custom-properties" xmlns:vt="http://schemas.openxmlformats.org/officeDocument/2006/docPropsVTypes"/>
</file>