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6320_1067777946">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156322_106777794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156324_1067777946">
            <w:r>
              <w:rPr>
                <w:webHidden/>
                <w:rStyle w:val="IndexLink"/>
                <w:rtl w:val="true"/>
              </w:rPr>
              <w:t>فهرس الموضوعات</w:t>
            </w:r>
            <w:r>
              <w:rPr>
                <w:rStyle w:val="IndexLink"/>
                <w:rtl w:val="true"/>
              </w:rPr>
              <w:tab/>
            </w:r>
            <w:r>
              <w:rPr>
                <w:rStyle w:val="IndexLink"/>
              </w:rPr>
              <w:t>15</w:t>
            </w:r>
          </w:hyperlink>
        </w:p>
        <w:p>
          <w:pPr>
            <w:pStyle w:val="Contents2"/>
            <w:tabs>
              <w:tab w:val="clear" w:pos="8743"/>
              <w:tab w:val="right" w:pos="9026" w:leader="dot"/>
            </w:tabs>
            <w:rPr/>
          </w:pPr>
          <w:hyperlink w:anchor="__RefHeading___Toc2156326_1067777946">
            <w:r>
              <w:rPr>
                <w:webHidden/>
                <w:rStyle w:val="IndexLink"/>
                <w:rtl w:val="true"/>
              </w:rPr>
              <w:t>مقدمة التحقيق</w:t>
            </w:r>
            <w:r>
              <w:rPr>
                <w:rStyle w:val="IndexLink"/>
                <w:rtl w:val="true"/>
              </w:rPr>
              <w:tab/>
            </w:r>
            <w:r>
              <w:rPr>
                <w:rStyle w:val="IndexLink"/>
              </w:rPr>
              <w:t>25</w:t>
            </w:r>
          </w:hyperlink>
        </w:p>
        <w:p>
          <w:pPr>
            <w:pStyle w:val="Contents2"/>
            <w:tabs>
              <w:tab w:val="clear" w:pos="8743"/>
              <w:tab w:val="right" w:pos="9026" w:leader="dot"/>
            </w:tabs>
            <w:rPr/>
          </w:pPr>
          <w:hyperlink w:anchor="__RefHeading___Toc2156328_1067777946">
            <w:r>
              <w:rPr>
                <w:webHidden/>
                <w:rStyle w:val="IndexLink"/>
                <w:rtl w:val="true"/>
              </w:rPr>
              <w:t xml:space="preserve">حاشية القواعد </w:t>
            </w:r>
            <w:r>
              <w:rPr>
                <w:rStyle w:val="IndexLink"/>
                <w:rtl w:val="true"/>
              </w:rPr>
              <w:t xml:space="preserve">( </w:t>
            </w:r>
            <w:r>
              <w:rPr>
                <w:rStyle w:val="IndexLink"/>
                <w:rtl w:val="true"/>
              </w:rPr>
              <w:t xml:space="preserve">فوائد القواعد </w:t>
            </w:r>
            <w:r>
              <w:rPr>
                <w:rStyle w:val="IndexLink"/>
                <w:rtl w:val="true"/>
              </w:rPr>
              <w:t>)</w:t>
              <w:tab/>
            </w:r>
            <w:r>
              <w:rPr>
                <w:rStyle w:val="IndexLink"/>
              </w:rPr>
              <w:t>39</w:t>
            </w:r>
          </w:hyperlink>
        </w:p>
        <w:p>
          <w:pPr>
            <w:pStyle w:val="Contents3"/>
            <w:tabs>
              <w:tab w:val="clear" w:pos="8459"/>
              <w:tab w:val="right" w:pos="9026" w:leader="dot"/>
            </w:tabs>
            <w:rPr/>
          </w:pPr>
          <w:hyperlink w:anchor="__RefHeading___Toc2156330_1067777946">
            <w:r>
              <w:rPr>
                <w:webHidden/>
                <w:rStyle w:val="IndexLink"/>
                <w:rtl w:val="true"/>
              </w:rPr>
              <w:t>كتاب الطهارة</w:t>
            </w:r>
            <w:r>
              <w:rPr>
                <w:rStyle w:val="IndexLink"/>
                <w:rtl w:val="true"/>
              </w:rPr>
              <w:tab/>
            </w:r>
            <w:r>
              <w:rPr>
                <w:rStyle w:val="IndexLink"/>
              </w:rPr>
              <w:t>39</w:t>
            </w:r>
          </w:hyperlink>
        </w:p>
        <w:p>
          <w:pPr>
            <w:pStyle w:val="Contents4"/>
            <w:tabs>
              <w:tab w:val="clear" w:pos="8176"/>
              <w:tab w:val="right" w:pos="9026" w:leader="dot"/>
            </w:tabs>
            <w:rPr/>
          </w:pPr>
          <w:hyperlink w:anchor="__RefHeading___Toc2156332_1067777946">
            <w:r>
              <w:rPr>
                <w:webHidden/>
                <w:rStyle w:val="IndexLink"/>
                <w:rtl w:val="true"/>
              </w:rPr>
              <w:t>المقصد الأوّل في المقدمات</w:t>
            </w:r>
            <w:r>
              <w:rPr>
                <w:rStyle w:val="IndexLink"/>
                <w:rtl w:val="true"/>
              </w:rPr>
              <w:tab/>
            </w:r>
            <w:r>
              <w:rPr>
                <w:rStyle w:val="IndexLink"/>
              </w:rPr>
              <w:t>39</w:t>
            </w:r>
          </w:hyperlink>
        </w:p>
        <w:p>
          <w:pPr>
            <w:pStyle w:val="Contents5"/>
            <w:tabs>
              <w:tab w:val="clear" w:pos="7892"/>
              <w:tab w:val="right" w:pos="9026" w:leader="dot"/>
            </w:tabs>
            <w:rPr/>
          </w:pPr>
          <w:hyperlink w:anchor="__RefHeading___Toc2156334_1067777946">
            <w:r>
              <w:rPr>
                <w:webHidden/>
                <w:rStyle w:val="IndexLink"/>
                <w:rtl w:val="true"/>
              </w:rPr>
              <w:t xml:space="preserve">[ </w:t>
            </w:r>
            <w:r>
              <w:rPr>
                <w:rStyle w:val="IndexLink"/>
                <w:rtl w:val="true"/>
              </w:rPr>
              <w:t>الفصل الأوّل في أنواعها</w:t>
            </w:r>
            <w:r>
              <w:rPr>
                <w:rStyle w:val="IndexLink"/>
                <w:rtl w:val="true"/>
              </w:rPr>
              <w:t>]</w:t>
              <w:tab/>
            </w:r>
            <w:r>
              <w:rPr>
                <w:rStyle w:val="IndexLink"/>
              </w:rPr>
              <w:t>39</w:t>
            </w:r>
          </w:hyperlink>
        </w:p>
        <w:p>
          <w:pPr>
            <w:pStyle w:val="Contents5"/>
            <w:tabs>
              <w:tab w:val="clear" w:pos="7892"/>
              <w:tab w:val="right" w:pos="9026" w:leader="dot"/>
            </w:tabs>
            <w:rPr/>
          </w:pPr>
          <w:hyperlink w:anchor="__RefHeading___Toc2156336_1067777946">
            <w:r>
              <w:rPr>
                <w:webHidden/>
                <w:rStyle w:val="IndexLink"/>
                <w:rtl w:val="true"/>
              </w:rPr>
              <w:t xml:space="preserve">[ </w:t>
            </w:r>
            <w:r>
              <w:rPr>
                <w:rStyle w:val="IndexLink"/>
                <w:rtl w:val="true"/>
              </w:rPr>
              <w:t>الفصل الثاني في أسبابها</w:t>
            </w:r>
            <w:r>
              <w:rPr>
                <w:rStyle w:val="IndexLink"/>
                <w:rtl w:val="true"/>
              </w:rPr>
              <w:t>]</w:t>
              <w:tab/>
            </w:r>
            <w:r>
              <w:rPr>
                <w:rStyle w:val="IndexLink"/>
              </w:rPr>
              <w:t>67</w:t>
            </w:r>
          </w:hyperlink>
        </w:p>
        <w:p>
          <w:pPr>
            <w:pStyle w:val="Contents5"/>
            <w:tabs>
              <w:tab w:val="clear" w:pos="7892"/>
              <w:tab w:val="right" w:pos="9026" w:leader="dot"/>
            </w:tabs>
            <w:rPr/>
          </w:pPr>
          <w:hyperlink w:anchor="__RefHeading___Toc2156338_1067777946">
            <w:r>
              <w:rPr>
                <w:webHidden/>
                <w:rStyle w:val="IndexLink"/>
                <w:rtl w:val="true"/>
              </w:rPr>
              <w:t xml:space="preserve">[ </w:t>
            </w:r>
            <w:r>
              <w:rPr>
                <w:rStyle w:val="IndexLink"/>
                <w:rtl w:val="true"/>
              </w:rPr>
              <w:t>الفصل الثالث في آداب الخلوة وكيفية الاستنجاء</w:t>
            </w:r>
            <w:r>
              <w:rPr>
                <w:rStyle w:val="IndexLink"/>
                <w:rtl w:val="true"/>
              </w:rPr>
              <w:t>]</w:t>
              <w:tab/>
            </w:r>
            <w:r>
              <w:rPr>
                <w:rStyle w:val="IndexLink"/>
              </w:rPr>
              <w:t>70</w:t>
            </w:r>
          </w:hyperlink>
        </w:p>
        <w:p>
          <w:pPr>
            <w:pStyle w:val="Contents4"/>
            <w:tabs>
              <w:tab w:val="clear" w:pos="8176"/>
              <w:tab w:val="right" w:pos="9026" w:leader="dot"/>
            </w:tabs>
            <w:rPr/>
          </w:pPr>
          <w:hyperlink w:anchor="__RefHeading___Toc2156340_1067777946">
            <w:r>
              <w:rPr>
                <w:webHidden/>
                <w:rStyle w:val="IndexLink"/>
                <w:rtl w:val="true"/>
              </w:rPr>
              <w:t xml:space="preserve">[ </w:t>
            </w:r>
            <w:r>
              <w:rPr>
                <w:rStyle w:val="IndexLink"/>
                <w:rtl w:val="true"/>
              </w:rPr>
              <w:t xml:space="preserve">المقصد الثاني في المياه </w:t>
            </w:r>
            <w:r>
              <w:rPr>
                <w:rStyle w:val="IndexLink"/>
                <w:rtl w:val="true"/>
              </w:rPr>
              <w:t>]</w:t>
              <w:tab/>
            </w:r>
            <w:r>
              <w:rPr>
                <w:rStyle w:val="IndexLink"/>
              </w:rPr>
              <w:t>73</w:t>
            </w:r>
          </w:hyperlink>
        </w:p>
        <w:p>
          <w:pPr>
            <w:pStyle w:val="Contents5"/>
            <w:tabs>
              <w:tab w:val="clear" w:pos="7892"/>
              <w:tab w:val="right" w:pos="9026" w:leader="dot"/>
            </w:tabs>
            <w:rPr/>
          </w:pPr>
          <w:hyperlink w:anchor="__RefHeading___Toc2156342_1067777946">
            <w:r>
              <w:rPr>
                <w:webHidden/>
                <w:rStyle w:val="IndexLink"/>
                <w:rtl w:val="true"/>
              </w:rPr>
              <w:t>[</w:t>
            </w:r>
            <w:r>
              <w:rPr>
                <w:rStyle w:val="IndexLink"/>
                <w:rtl w:val="true"/>
              </w:rPr>
              <w:t xml:space="preserve">الفصل الأول في المطلق </w:t>
            </w:r>
            <w:r>
              <w:rPr>
                <w:rStyle w:val="IndexLink"/>
                <w:rtl w:val="true"/>
              </w:rPr>
              <w:t>]</w:t>
              <w:tab/>
            </w:r>
            <w:r>
              <w:rPr>
                <w:rStyle w:val="IndexLink"/>
              </w:rPr>
              <w:t>73</w:t>
            </w:r>
          </w:hyperlink>
        </w:p>
        <w:p>
          <w:pPr>
            <w:pStyle w:val="Contents5"/>
            <w:tabs>
              <w:tab w:val="clear" w:pos="7892"/>
              <w:tab w:val="right" w:pos="9026" w:leader="dot"/>
            </w:tabs>
            <w:rPr/>
          </w:pPr>
          <w:hyperlink w:anchor="__RefHeading___Toc2156344_1067777946">
            <w:r>
              <w:rPr>
                <w:webHidden/>
                <w:rStyle w:val="IndexLink"/>
                <w:rtl w:val="true"/>
              </w:rPr>
              <w:t xml:space="preserve">[ </w:t>
            </w:r>
            <w:r>
              <w:rPr>
                <w:rStyle w:val="IndexLink"/>
                <w:rtl w:val="true"/>
              </w:rPr>
              <w:t xml:space="preserve">الفصل الثاني في المضاف والأسار </w:t>
            </w:r>
            <w:r>
              <w:rPr>
                <w:rStyle w:val="IndexLink"/>
                <w:rtl w:val="true"/>
              </w:rPr>
              <w:t>]</w:t>
              <w:tab/>
            </w:r>
            <w:r>
              <w:rPr>
                <w:rStyle w:val="IndexLink"/>
              </w:rPr>
              <w:t>78</w:t>
            </w:r>
          </w:hyperlink>
        </w:p>
        <w:p>
          <w:pPr>
            <w:pStyle w:val="Contents5"/>
            <w:tabs>
              <w:tab w:val="clear" w:pos="7892"/>
              <w:tab w:val="right" w:pos="9026" w:leader="dot"/>
            </w:tabs>
            <w:rPr/>
          </w:pPr>
          <w:hyperlink w:anchor="__RefHeading___Toc2156346_1067777946">
            <w:r>
              <w:rPr>
                <w:webHidden/>
                <w:rStyle w:val="IndexLink"/>
                <w:rtl w:val="true"/>
              </w:rPr>
              <w:t xml:space="preserve">[ </w:t>
            </w:r>
            <w:r>
              <w:rPr>
                <w:rStyle w:val="IndexLink"/>
                <w:rtl w:val="true"/>
              </w:rPr>
              <w:t>الفصل الثالث في المستعمَل</w:t>
            </w:r>
            <w:r>
              <w:rPr>
                <w:rStyle w:val="IndexLink"/>
                <w:rtl w:val="true"/>
              </w:rPr>
              <w:t>]</w:t>
              <w:tab/>
            </w:r>
            <w:r>
              <w:rPr>
                <w:rStyle w:val="IndexLink"/>
              </w:rPr>
              <w:t>80</w:t>
            </w:r>
          </w:hyperlink>
        </w:p>
        <w:p>
          <w:pPr>
            <w:pStyle w:val="Contents5"/>
            <w:tabs>
              <w:tab w:val="clear" w:pos="7892"/>
              <w:tab w:val="right" w:pos="9026" w:leader="dot"/>
            </w:tabs>
            <w:rPr/>
          </w:pPr>
          <w:hyperlink w:anchor="__RefHeading___Toc2156348_1067777946">
            <w:r>
              <w:rPr>
                <w:webHidden/>
                <w:rStyle w:val="IndexLink"/>
                <w:rtl w:val="true"/>
              </w:rPr>
              <w:t xml:space="preserve">[ </w:t>
            </w:r>
            <w:r>
              <w:rPr>
                <w:rStyle w:val="IndexLink"/>
                <w:rtl w:val="true"/>
              </w:rPr>
              <w:t>الفصل الرابع في تطهير المياه النجسة</w:t>
            </w:r>
            <w:r>
              <w:rPr>
                <w:rStyle w:val="IndexLink"/>
                <w:rtl w:val="true"/>
              </w:rPr>
              <w:t>]</w:t>
              <w:tab/>
            </w:r>
            <w:r>
              <w:rPr>
                <w:rStyle w:val="IndexLink"/>
              </w:rPr>
              <w:t>81</w:t>
            </w:r>
          </w:hyperlink>
        </w:p>
        <w:p>
          <w:pPr>
            <w:pStyle w:val="Contents5"/>
            <w:tabs>
              <w:tab w:val="clear" w:pos="7892"/>
              <w:tab w:val="right" w:pos="9026" w:leader="dot"/>
            </w:tabs>
            <w:rPr/>
          </w:pPr>
          <w:hyperlink w:anchor="__RefHeading___Toc2156350_1067777946">
            <w:r>
              <w:rPr>
                <w:webHidden/>
                <w:rStyle w:val="IndexLink"/>
                <w:rtl w:val="true"/>
              </w:rPr>
              <w:t xml:space="preserve">[ </w:t>
            </w:r>
            <w:r>
              <w:rPr>
                <w:rStyle w:val="IndexLink"/>
                <w:rtl w:val="true"/>
              </w:rPr>
              <w:t>الفصل الخامس في الأحكام</w:t>
            </w:r>
            <w:r>
              <w:rPr>
                <w:rStyle w:val="IndexLink"/>
                <w:rtl w:val="true"/>
              </w:rPr>
              <w:t>]</w:t>
              <w:tab/>
            </w:r>
            <w:r>
              <w:rPr>
                <w:rStyle w:val="IndexLink"/>
              </w:rPr>
              <w:t>85</w:t>
            </w:r>
          </w:hyperlink>
        </w:p>
        <w:p>
          <w:pPr>
            <w:pStyle w:val="Contents4"/>
            <w:tabs>
              <w:tab w:val="clear" w:pos="8176"/>
              <w:tab w:val="right" w:pos="9026" w:leader="dot"/>
            </w:tabs>
            <w:rPr/>
          </w:pPr>
          <w:hyperlink w:anchor="__RefHeading___Toc2156352_1067777946">
            <w:r>
              <w:rPr>
                <w:webHidden/>
                <w:rStyle w:val="IndexLink"/>
                <w:rtl w:val="true"/>
              </w:rPr>
              <w:t>[</w:t>
            </w:r>
            <w:r>
              <w:rPr>
                <w:rStyle w:val="IndexLink"/>
                <w:rtl w:val="true"/>
              </w:rPr>
              <w:t xml:space="preserve">المقصد الثالث في النجاسات </w:t>
            </w:r>
            <w:r>
              <w:rPr>
                <w:rStyle w:val="IndexLink"/>
                <w:rtl w:val="true"/>
              </w:rPr>
              <w:t>]</w:t>
              <w:tab/>
            </w:r>
            <w:r>
              <w:rPr>
                <w:rStyle w:val="IndexLink"/>
              </w:rPr>
              <w:t>88</w:t>
            </w:r>
          </w:hyperlink>
        </w:p>
        <w:p>
          <w:pPr>
            <w:pStyle w:val="Contents5"/>
            <w:tabs>
              <w:tab w:val="clear" w:pos="7892"/>
              <w:tab w:val="right" w:pos="9026" w:leader="dot"/>
            </w:tabs>
            <w:rPr/>
          </w:pPr>
          <w:hyperlink w:anchor="__RefHeading___Toc2156354_1067777946">
            <w:r>
              <w:rPr>
                <w:webHidden/>
                <w:rStyle w:val="IndexLink"/>
                <w:rtl w:val="true"/>
              </w:rPr>
              <w:t>[</w:t>
            </w:r>
            <w:r>
              <w:rPr>
                <w:rStyle w:val="IndexLink"/>
                <w:rtl w:val="true"/>
              </w:rPr>
              <w:t xml:space="preserve">الفصل الأول في أنواعها </w:t>
            </w:r>
            <w:r>
              <w:rPr>
                <w:rStyle w:val="IndexLink"/>
                <w:rtl w:val="true"/>
              </w:rPr>
              <w:t>]</w:t>
              <w:tab/>
            </w:r>
            <w:r>
              <w:rPr>
                <w:rStyle w:val="IndexLink"/>
              </w:rPr>
              <w:t>88</w:t>
            </w:r>
          </w:hyperlink>
        </w:p>
        <w:p>
          <w:pPr>
            <w:pStyle w:val="Contents5"/>
            <w:tabs>
              <w:tab w:val="clear" w:pos="7892"/>
              <w:tab w:val="right" w:pos="9026" w:leader="dot"/>
            </w:tabs>
            <w:rPr/>
          </w:pPr>
          <w:hyperlink w:anchor="__RefHeading___Toc2156356_1067777946">
            <w:r>
              <w:rPr>
                <w:webHidden/>
                <w:rStyle w:val="IndexLink"/>
                <w:rtl w:val="true"/>
              </w:rPr>
              <w:t xml:space="preserve">[ </w:t>
            </w:r>
            <w:r>
              <w:rPr>
                <w:rStyle w:val="IndexLink"/>
                <w:rtl w:val="true"/>
              </w:rPr>
              <w:t>الفصل الثاني في الأحكام</w:t>
            </w:r>
            <w:r>
              <w:rPr>
                <w:rStyle w:val="IndexLink"/>
                <w:rtl w:val="true"/>
              </w:rPr>
              <w:t>]</w:t>
              <w:tab/>
            </w:r>
            <w:r>
              <w:rPr>
                <w:rStyle w:val="IndexLink"/>
              </w:rPr>
              <w:t>91</w:t>
            </w:r>
          </w:hyperlink>
        </w:p>
        <w:p>
          <w:pPr>
            <w:pStyle w:val="Contents4"/>
            <w:tabs>
              <w:tab w:val="clear" w:pos="8176"/>
              <w:tab w:val="right" w:pos="9026" w:leader="dot"/>
            </w:tabs>
            <w:rPr/>
          </w:pPr>
          <w:hyperlink w:anchor="__RefHeading___Toc2156358_1067777946">
            <w:r>
              <w:rPr>
                <w:webHidden/>
                <w:rStyle w:val="IndexLink"/>
                <w:rtl w:val="true"/>
              </w:rPr>
              <w:t>المقصد الرابع في الوضوء</w:t>
            </w:r>
            <w:r>
              <w:rPr>
                <w:rStyle w:val="IndexLink"/>
                <w:rtl w:val="true"/>
              </w:rPr>
              <w:tab/>
            </w:r>
            <w:r>
              <w:rPr>
                <w:rStyle w:val="IndexLink"/>
              </w:rPr>
              <w:t>95</w:t>
            </w:r>
          </w:hyperlink>
        </w:p>
        <w:p>
          <w:pPr>
            <w:pStyle w:val="Contents5"/>
            <w:tabs>
              <w:tab w:val="clear" w:pos="7892"/>
              <w:tab w:val="right" w:pos="9026" w:leader="dot"/>
            </w:tabs>
            <w:rPr/>
          </w:pPr>
          <w:hyperlink w:anchor="__RefHeading___Toc2156360_1067777946">
            <w:r>
              <w:rPr>
                <w:webHidden/>
                <w:rStyle w:val="IndexLink"/>
                <w:rtl w:val="true"/>
              </w:rPr>
              <w:t>[</w:t>
            </w:r>
            <w:r>
              <w:rPr>
                <w:rStyle w:val="IndexLink"/>
                <w:rtl w:val="true"/>
              </w:rPr>
              <w:t>الفصل الأوّل في أفعاله</w:t>
            </w:r>
            <w:r>
              <w:rPr>
                <w:rStyle w:val="IndexLink"/>
                <w:rtl w:val="true"/>
              </w:rPr>
              <w:t>]</w:t>
              <w:tab/>
            </w:r>
            <w:r>
              <w:rPr>
                <w:rStyle w:val="IndexLink"/>
              </w:rPr>
              <w:t>95</w:t>
            </w:r>
          </w:hyperlink>
        </w:p>
        <w:p>
          <w:pPr>
            <w:pStyle w:val="Contents5"/>
            <w:tabs>
              <w:tab w:val="clear" w:pos="7892"/>
              <w:tab w:val="right" w:pos="9026" w:leader="dot"/>
            </w:tabs>
            <w:rPr/>
          </w:pPr>
          <w:hyperlink w:anchor="__RefHeading___Toc2156362_1067777946">
            <w:r>
              <w:rPr>
                <w:webHidden/>
                <w:rStyle w:val="IndexLink"/>
                <w:rtl w:val="true"/>
              </w:rPr>
              <w:t xml:space="preserve">[ </w:t>
            </w:r>
            <w:r>
              <w:rPr>
                <w:rStyle w:val="IndexLink"/>
                <w:rtl w:val="true"/>
              </w:rPr>
              <w:t>الفصل الثالث في أحكامه</w:t>
            </w:r>
            <w:r>
              <w:rPr>
                <w:rStyle w:val="IndexLink"/>
                <w:rtl w:val="true"/>
              </w:rPr>
              <w:t>]</w:t>
              <w:tab/>
            </w:r>
            <w:r>
              <w:rPr>
                <w:rStyle w:val="IndexLink"/>
              </w:rPr>
              <w:t>100</w:t>
            </w:r>
          </w:hyperlink>
        </w:p>
        <w:p>
          <w:pPr>
            <w:pStyle w:val="Contents4"/>
            <w:tabs>
              <w:tab w:val="clear" w:pos="8176"/>
              <w:tab w:val="right" w:pos="9026" w:leader="dot"/>
            </w:tabs>
            <w:rPr/>
          </w:pPr>
          <w:hyperlink w:anchor="__RefHeading___Toc2156364_1067777946">
            <w:r>
              <w:rPr>
                <w:webHidden/>
                <w:rStyle w:val="IndexLink"/>
                <w:rtl w:val="true"/>
              </w:rPr>
              <w:t xml:space="preserve">[ </w:t>
            </w:r>
            <w:r>
              <w:rPr>
                <w:rStyle w:val="IndexLink"/>
                <w:rtl w:val="true"/>
              </w:rPr>
              <w:t xml:space="preserve">المقصد الخامس في غُسل الجنابة </w:t>
            </w:r>
            <w:r>
              <w:rPr>
                <w:rStyle w:val="IndexLink"/>
                <w:rtl w:val="true"/>
              </w:rPr>
              <w:t>]</w:t>
              <w:tab/>
            </w:r>
            <w:r>
              <w:rPr>
                <w:rStyle w:val="IndexLink"/>
              </w:rPr>
              <w:t>113</w:t>
            </w:r>
          </w:hyperlink>
        </w:p>
        <w:p>
          <w:pPr>
            <w:pStyle w:val="Contents5"/>
            <w:tabs>
              <w:tab w:val="clear" w:pos="7892"/>
              <w:tab w:val="right" w:pos="9026" w:leader="dot"/>
            </w:tabs>
            <w:rPr/>
          </w:pPr>
          <w:hyperlink w:anchor="__RefHeading___Toc2156366_1067777946">
            <w:r>
              <w:rPr>
                <w:webHidden/>
                <w:rStyle w:val="IndexLink"/>
                <w:rtl w:val="true"/>
              </w:rPr>
              <w:t>[</w:t>
            </w:r>
            <w:r>
              <w:rPr>
                <w:rStyle w:val="IndexLink"/>
                <w:rtl w:val="true"/>
              </w:rPr>
              <w:t xml:space="preserve">الفصل الأول في سببه وكيفيته </w:t>
            </w:r>
            <w:r>
              <w:rPr>
                <w:rStyle w:val="IndexLink"/>
                <w:rtl w:val="true"/>
              </w:rPr>
              <w:t>]</w:t>
              <w:tab/>
            </w:r>
            <w:r>
              <w:rPr>
                <w:rStyle w:val="IndexLink"/>
              </w:rPr>
              <w:t>113</w:t>
            </w:r>
          </w:hyperlink>
        </w:p>
        <w:p>
          <w:pPr>
            <w:pStyle w:val="Contents5"/>
            <w:tabs>
              <w:tab w:val="clear" w:pos="7892"/>
              <w:tab w:val="right" w:pos="9026" w:leader="dot"/>
            </w:tabs>
            <w:rPr/>
          </w:pPr>
          <w:hyperlink w:anchor="__RefHeading___Toc2156368_1067777946">
            <w:r>
              <w:rPr>
                <w:webHidden/>
                <w:rStyle w:val="IndexLink"/>
                <w:rtl w:val="true"/>
              </w:rPr>
              <w:t xml:space="preserve">[ </w:t>
            </w:r>
            <w:r>
              <w:rPr>
                <w:rStyle w:val="IndexLink"/>
                <w:rtl w:val="true"/>
              </w:rPr>
              <w:t>الفصل الثاني في الأحكام</w:t>
            </w:r>
            <w:r>
              <w:rPr>
                <w:rStyle w:val="IndexLink"/>
                <w:rtl w:val="true"/>
              </w:rPr>
              <w:t>]</w:t>
              <w:tab/>
            </w:r>
            <w:r>
              <w:rPr>
                <w:rStyle w:val="IndexLink"/>
              </w:rPr>
              <w:t>115</w:t>
            </w:r>
          </w:hyperlink>
        </w:p>
        <w:p>
          <w:pPr>
            <w:pStyle w:val="Contents4"/>
            <w:tabs>
              <w:tab w:val="clear" w:pos="8176"/>
              <w:tab w:val="right" w:pos="9026" w:leader="dot"/>
            </w:tabs>
            <w:rPr/>
          </w:pPr>
          <w:hyperlink w:anchor="__RefHeading___Toc2156370_1067777946">
            <w:r>
              <w:rPr>
                <w:webHidden/>
                <w:rStyle w:val="IndexLink"/>
                <w:rtl w:val="true"/>
              </w:rPr>
              <w:t xml:space="preserve">[ </w:t>
            </w:r>
            <w:r>
              <w:rPr>
                <w:rStyle w:val="IndexLink"/>
                <w:rtl w:val="true"/>
              </w:rPr>
              <w:t>المقصد السادس فى الحَيْض</w:t>
            </w:r>
            <w:r>
              <w:rPr>
                <w:rStyle w:val="IndexLink"/>
                <w:rtl w:val="true"/>
              </w:rPr>
              <w:t>]</w:t>
              <w:tab/>
            </w:r>
            <w:r>
              <w:rPr>
                <w:rStyle w:val="IndexLink"/>
              </w:rPr>
              <w:t>118</w:t>
            </w:r>
          </w:hyperlink>
        </w:p>
        <w:p>
          <w:pPr>
            <w:pStyle w:val="Contents5"/>
            <w:tabs>
              <w:tab w:val="clear" w:pos="7892"/>
              <w:tab w:val="right" w:pos="9026" w:leader="dot"/>
            </w:tabs>
            <w:rPr/>
          </w:pPr>
          <w:hyperlink w:anchor="__RefHeading___Toc2156372_1067777946">
            <w:r>
              <w:rPr>
                <w:webHidden/>
                <w:rStyle w:val="IndexLink"/>
                <w:rtl w:val="true"/>
              </w:rPr>
              <w:t>[</w:t>
            </w:r>
            <w:r>
              <w:rPr>
                <w:rStyle w:val="IndexLink"/>
                <w:rtl w:val="true"/>
              </w:rPr>
              <w:t>الفصل الأول في ماهيته</w:t>
            </w:r>
            <w:r>
              <w:rPr>
                <w:rStyle w:val="IndexLink"/>
                <w:rtl w:val="true"/>
              </w:rPr>
              <w:t>]</w:t>
              <w:tab/>
            </w:r>
            <w:r>
              <w:rPr>
                <w:rStyle w:val="IndexLink"/>
              </w:rPr>
              <w:t>118</w:t>
            </w:r>
          </w:hyperlink>
        </w:p>
        <w:p>
          <w:pPr>
            <w:pStyle w:val="Contents4"/>
            <w:tabs>
              <w:tab w:val="clear" w:pos="8176"/>
              <w:tab w:val="right" w:pos="9026" w:leader="dot"/>
            </w:tabs>
            <w:rPr/>
          </w:pPr>
          <w:hyperlink w:anchor="__RefHeading___Toc2156374_1067777946">
            <w:r>
              <w:rPr>
                <w:webHidden/>
                <w:rStyle w:val="IndexLink"/>
                <w:rtl w:val="true"/>
              </w:rPr>
              <w:t>[</w:t>
            </w:r>
            <w:r>
              <w:rPr>
                <w:rStyle w:val="IndexLink"/>
                <w:rtl w:val="true"/>
              </w:rPr>
              <w:t xml:space="preserve">المقصد السابع في الاستحاضة </w:t>
            </w:r>
            <w:r>
              <w:rPr>
                <w:rStyle w:val="IndexLink"/>
                <w:rtl w:val="true"/>
              </w:rPr>
              <w:t>]</w:t>
              <w:tab/>
            </w:r>
            <w:r>
              <w:rPr>
                <w:rStyle w:val="IndexLink"/>
              </w:rPr>
              <w:t>127</w:t>
            </w:r>
          </w:hyperlink>
        </w:p>
        <w:p>
          <w:pPr>
            <w:pStyle w:val="Contents4"/>
            <w:tabs>
              <w:tab w:val="clear" w:pos="8176"/>
              <w:tab w:val="right" w:pos="9026" w:leader="dot"/>
            </w:tabs>
            <w:rPr/>
          </w:pPr>
          <w:hyperlink w:anchor="__RefHeading___Toc2156376_1067777946">
            <w:r>
              <w:rPr>
                <w:webHidden/>
                <w:rStyle w:val="IndexLink"/>
                <w:rtl w:val="true"/>
              </w:rPr>
              <w:t xml:space="preserve">[ </w:t>
            </w:r>
            <w:r>
              <w:rPr>
                <w:rStyle w:val="IndexLink"/>
                <w:rtl w:val="true"/>
              </w:rPr>
              <w:t xml:space="preserve">المقصد الثامن في النفاس </w:t>
            </w:r>
            <w:r>
              <w:rPr>
                <w:rStyle w:val="IndexLink"/>
                <w:rtl w:val="true"/>
              </w:rPr>
              <w:t>]</w:t>
              <w:tab/>
            </w:r>
            <w:r>
              <w:rPr>
                <w:rStyle w:val="IndexLink"/>
              </w:rPr>
              <w:t>129</w:t>
            </w:r>
          </w:hyperlink>
        </w:p>
        <w:p>
          <w:pPr>
            <w:pStyle w:val="Contents4"/>
            <w:tabs>
              <w:tab w:val="clear" w:pos="8176"/>
              <w:tab w:val="right" w:pos="9026" w:leader="dot"/>
            </w:tabs>
            <w:rPr/>
          </w:pPr>
          <w:hyperlink w:anchor="__RefHeading___Toc2156378_1067777946">
            <w:r>
              <w:rPr>
                <w:webHidden/>
                <w:rStyle w:val="IndexLink"/>
                <w:rtl w:val="true"/>
              </w:rPr>
              <w:t>[</w:t>
            </w:r>
            <w:r>
              <w:rPr>
                <w:rStyle w:val="IndexLink"/>
                <w:rtl w:val="true"/>
              </w:rPr>
              <w:t xml:space="preserve">المقصد التاسع في غُسل الأموات </w:t>
            </w:r>
            <w:r>
              <w:rPr>
                <w:rStyle w:val="IndexLink"/>
                <w:rtl w:val="true"/>
              </w:rPr>
              <w:t>]</w:t>
              <w:tab/>
            </w:r>
            <w:r>
              <w:rPr>
                <w:rStyle w:val="IndexLink"/>
              </w:rPr>
              <w:t>130</w:t>
            </w:r>
          </w:hyperlink>
        </w:p>
        <w:p>
          <w:pPr>
            <w:pStyle w:val="Contents5"/>
            <w:tabs>
              <w:tab w:val="clear" w:pos="7892"/>
              <w:tab w:val="right" w:pos="9026" w:leader="dot"/>
            </w:tabs>
            <w:rPr/>
          </w:pPr>
          <w:hyperlink w:anchor="__RefHeading___Toc2156380_1067777946">
            <w:r>
              <w:rPr>
                <w:webHidden/>
                <w:rStyle w:val="IndexLink"/>
                <w:rtl w:val="true"/>
              </w:rPr>
              <w:t>[</w:t>
            </w:r>
            <w:r>
              <w:rPr>
                <w:rStyle w:val="IndexLink"/>
                <w:rtl w:val="true"/>
              </w:rPr>
              <w:t>مقدمة</w:t>
            </w:r>
            <w:r>
              <w:rPr>
                <w:rStyle w:val="IndexLink"/>
                <w:rtl w:val="true"/>
              </w:rPr>
              <w:t>]</w:t>
              <w:tab/>
            </w:r>
            <w:r>
              <w:rPr>
                <w:rStyle w:val="IndexLink"/>
              </w:rPr>
              <w:t>130</w:t>
            </w:r>
          </w:hyperlink>
        </w:p>
        <w:p>
          <w:pPr>
            <w:pStyle w:val="Contents5"/>
            <w:tabs>
              <w:tab w:val="clear" w:pos="7892"/>
              <w:tab w:val="right" w:pos="9026" w:leader="dot"/>
            </w:tabs>
            <w:rPr/>
          </w:pPr>
          <w:hyperlink w:anchor="__RefHeading___Toc2156382_1067777946">
            <w:r>
              <w:rPr>
                <w:webHidden/>
                <w:rStyle w:val="IndexLink"/>
                <w:rtl w:val="true"/>
              </w:rPr>
              <w:t xml:space="preserve">[ </w:t>
            </w:r>
            <w:r>
              <w:rPr>
                <w:rStyle w:val="IndexLink"/>
                <w:rtl w:val="true"/>
              </w:rPr>
              <w:t>الفصل الأوّل في الغسل</w:t>
            </w:r>
            <w:r>
              <w:rPr>
                <w:rStyle w:val="IndexLink"/>
                <w:rtl w:val="true"/>
              </w:rPr>
              <w:t>]</w:t>
              <w:tab/>
            </w:r>
            <w:r>
              <w:rPr>
                <w:rStyle w:val="IndexLink"/>
              </w:rPr>
              <w:t>131</w:t>
            </w:r>
          </w:hyperlink>
        </w:p>
        <w:p>
          <w:pPr>
            <w:pStyle w:val="Contents6"/>
            <w:tabs>
              <w:tab w:val="clear" w:pos="7609"/>
              <w:tab w:val="right" w:pos="9026" w:leader="dot"/>
            </w:tabs>
            <w:rPr/>
          </w:pPr>
          <w:hyperlink w:anchor="__RefHeading___Toc2156384_1067777946">
            <w:r>
              <w:rPr>
                <w:webHidden/>
                <w:rStyle w:val="IndexLink"/>
                <w:rtl w:val="true"/>
              </w:rPr>
              <w:t>[</w:t>
            </w:r>
            <w:r>
              <w:rPr>
                <w:rStyle w:val="IndexLink"/>
                <w:rtl w:val="true"/>
              </w:rPr>
              <w:t>المطلب الأوّل</w:t>
            </w:r>
            <w:r>
              <w:rPr>
                <w:rStyle w:val="IndexLink"/>
                <w:rtl w:val="true"/>
              </w:rPr>
              <w:t xml:space="preserve">: </w:t>
            </w:r>
            <w:r>
              <w:rPr>
                <w:rStyle w:val="IndexLink"/>
                <w:rtl w:val="true"/>
              </w:rPr>
              <w:t>الفاعل والمحلّ</w:t>
            </w:r>
            <w:r>
              <w:rPr>
                <w:rStyle w:val="IndexLink"/>
                <w:rtl w:val="true"/>
              </w:rPr>
              <w:t>]</w:t>
              <w:tab/>
            </w:r>
            <w:r>
              <w:rPr>
                <w:rStyle w:val="IndexLink"/>
              </w:rPr>
              <w:t>131</w:t>
            </w:r>
          </w:hyperlink>
        </w:p>
        <w:p>
          <w:pPr>
            <w:pStyle w:val="Contents6"/>
            <w:tabs>
              <w:tab w:val="clear" w:pos="7609"/>
              <w:tab w:val="right" w:pos="9026" w:leader="dot"/>
            </w:tabs>
            <w:rPr/>
          </w:pPr>
          <w:hyperlink w:anchor="__RefHeading___Toc2156386_1067777946">
            <w:r>
              <w:rPr>
                <w:webHidden/>
                <w:rStyle w:val="IndexLink"/>
                <w:rtl w:val="true"/>
              </w:rPr>
              <w:t>[</w:t>
            </w:r>
            <w:r>
              <w:rPr>
                <w:rStyle w:val="IndexLink"/>
                <w:rtl w:val="true"/>
              </w:rPr>
              <w:t xml:space="preserve">المطلب الثاني في الكيفية </w:t>
            </w:r>
            <w:r>
              <w:rPr>
                <w:rStyle w:val="IndexLink"/>
                <w:rtl w:val="true"/>
              </w:rPr>
              <w:t>]</w:t>
              <w:tab/>
            </w:r>
            <w:r>
              <w:rPr>
                <w:rStyle w:val="IndexLink"/>
              </w:rPr>
              <w:t>132</w:t>
            </w:r>
          </w:hyperlink>
        </w:p>
        <w:p>
          <w:pPr>
            <w:pStyle w:val="Contents5"/>
            <w:tabs>
              <w:tab w:val="clear" w:pos="7892"/>
              <w:tab w:val="right" w:pos="9026" w:leader="dot"/>
            </w:tabs>
            <w:rPr/>
          </w:pPr>
          <w:hyperlink w:anchor="__RefHeading___Toc2156388_1067777946">
            <w:r>
              <w:rPr>
                <w:webHidden/>
                <w:rStyle w:val="IndexLink"/>
                <w:rtl w:val="true"/>
              </w:rPr>
              <w:t>الفصل الثاني في التكفين</w:t>
            </w:r>
            <w:r>
              <w:rPr>
                <w:rStyle w:val="IndexLink"/>
                <w:rtl w:val="true"/>
              </w:rPr>
              <w:tab/>
            </w:r>
            <w:r>
              <w:rPr>
                <w:rStyle w:val="IndexLink"/>
              </w:rPr>
              <w:t>134</w:t>
            </w:r>
          </w:hyperlink>
        </w:p>
        <w:p>
          <w:pPr>
            <w:pStyle w:val="Contents6"/>
            <w:tabs>
              <w:tab w:val="clear" w:pos="7609"/>
              <w:tab w:val="right" w:pos="9026" w:leader="dot"/>
            </w:tabs>
            <w:rPr/>
          </w:pPr>
          <w:hyperlink w:anchor="__RefHeading___Toc2156390_1067777946">
            <w:r>
              <w:rPr>
                <w:webHidden/>
                <w:rStyle w:val="IndexLink"/>
                <w:rtl w:val="true"/>
              </w:rPr>
              <w:t>[</w:t>
            </w:r>
            <w:r>
              <w:rPr>
                <w:rStyle w:val="IndexLink"/>
                <w:rtl w:val="true"/>
              </w:rPr>
              <w:t>المطلب الأول في جنسه وقدره</w:t>
            </w:r>
            <w:r>
              <w:rPr>
                <w:rStyle w:val="IndexLink"/>
                <w:rtl w:val="true"/>
              </w:rPr>
              <w:t>]</w:t>
              <w:tab/>
            </w:r>
            <w:r>
              <w:rPr>
                <w:rStyle w:val="IndexLink"/>
              </w:rPr>
              <w:t>134</w:t>
            </w:r>
          </w:hyperlink>
        </w:p>
        <w:p>
          <w:pPr>
            <w:pStyle w:val="Contents6"/>
            <w:tabs>
              <w:tab w:val="clear" w:pos="7609"/>
              <w:tab w:val="right" w:pos="9026" w:leader="dot"/>
            </w:tabs>
            <w:rPr/>
          </w:pPr>
          <w:hyperlink w:anchor="__RefHeading___Toc2156392_1067777946">
            <w:r>
              <w:rPr>
                <w:webHidden/>
                <w:rStyle w:val="IndexLink"/>
                <w:rtl w:val="true"/>
              </w:rPr>
              <w:t>[</w:t>
            </w:r>
            <w:r>
              <w:rPr>
                <w:rStyle w:val="IndexLink"/>
                <w:rtl w:val="true"/>
              </w:rPr>
              <w:t>المطلب الثاني في الكيفية</w:t>
            </w:r>
            <w:r>
              <w:rPr>
                <w:rStyle w:val="IndexLink"/>
                <w:rtl w:val="true"/>
              </w:rPr>
              <w:t>]</w:t>
              <w:tab/>
            </w:r>
            <w:r>
              <w:rPr>
                <w:rStyle w:val="IndexLink"/>
              </w:rPr>
              <w:t>135</w:t>
            </w:r>
          </w:hyperlink>
        </w:p>
        <w:p>
          <w:pPr>
            <w:pStyle w:val="Contents5"/>
            <w:tabs>
              <w:tab w:val="clear" w:pos="7892"/>
              <w:tab w:val="right" w:pos="9026" w:leader="dot"/>
            </w:tabs>
            <w:rPr/>
          </w:pPr>
          <w:hyperlink w:anchor="__RefHeading___Toc2156394_1067777946">
            <w:r>
              <w:rPr>
                <w:webHidden/>
                <w:rStyle w:val="IndexLink"/>
                <w:rtl w:val="true"/>
              </w:rPr>
              <w:t xml:space="preserve">[ </w:t>
            </w:r>
            <w:r>
              <w:rPr>
                <w:rStyle w:val="IndexLink"/>
                <w:rtl w:val="true"/>
              </w:rPr>
              <w:t xml:space="preserve">الفصل الثالث في الصلاة عليه </w:t>
            </w:r>
            <w:r>
              <w:rPr>
                <w:rStyle w:val="IndexLink"/>
                <w:rtl w:val="true"/>
              </w:rPr>
              <w:t>]</w:t>
              <w:tab/>
            </w:r>
            <w:r>
              <w:rPr>
                <w:rStyle w:val="IndexLink"/>
              </w:rPr>
              <w:t>137</w:t>
            </w:r>
          </w:hyperlink>
        </w:p>
        <w:p>
          <w:pPr>
            <w:pStyle w:val="Contents6"/>
            <w:tabs>
              <w:tab w:val="clear" w:pos="7609"/>
              <w:tab w:val="right" w:pos="9026" w:leader="dot"/>
            </w:tabs>
            <w:rPr/>
          </w:pPr>
          <w:hyperlink w:anchor="__RefHeading___Toc2156396_1067777946">
            <w:r>
              <w:rPr>
                <w:webHidden/>
                <w:rStyle w:val="IndexLink"/>
                <w:rtl w:val="true"/>
              </w:rPr>
              <w:t>[</w:t>
            </w:r>
            <w:r>
              <w:rPr>
                <w:rStyle w:val="IndexLink"/>
                <w:rtl w:val="true"/>
              </w:rPr>
              <w:t>المطلب الأوّل</w:t>
            </w:r>
            <w:r>
              <w:rPr>
                <w:rStyle w:val="IndexLink"/>
                <w:rtl w:val="true"/>
              </w:rPr>
              <w:t>: ]</w:t>
              <w:tab/>
            </w:r>
            <w:r>
              <w:rPr>
                <w:rStyle w:val="IndexLink"/>
              </w:rPr>
              <w:t>137</w:t>
            </w:r>
          </w:hyperlink>
        </w:p>
        <w:p>
          <w:pPr>
            <w:pStyle w:val="Contents6"/>
            <w:tabs>
              <w:tab w:val="clear" w:pos="7609"/>
              <w:tab w:val="right" w:pos="9026" w:leader="dot"/>
            </w:tabs>
            <w:rPr/>
          </w:pPr>
          <w:hyperlink w:anchor="__RefHeading___Toc2156398_1067777946">
            <w:r>
              <w:rPr>
                <w:webHidden/>
                <w:rStyle w:val="IndexLink"/>
                <w:rtl w:val="true"/>
              </w:rPr>
              <w:t>[</w:t>
            </w:r>
            <w:r>
              <w:rPr>
                <w:rStyle w:val="IndexLink"/>
                <w:rtl w:val="true"/>
              </w:rPr>
              <w:t>المطلب الثاني في المصلّي</w:t>
            </w:r>
            <w:r>
              <w:rPr>
                <w:rStyle w:val="IndexLink"/>
                <w:rtl w:val="true"/>
              </w:rPr>
              <w:t>]</w:t>
              <w:tab/>
            </w:r>
            <w:r>
              <w:rPr>
                <w:rStyle w:val="IndexLink"/>
              </w:rPr>
              <w:t>138</w:t>
            </w:r>
          </w:hyperlink>
        </w:p>
        <w:p>
          <w:pPr>
            <w:pStyle w:val="Contents6"/>
            <w:tabs>
              <w:tab w:val="clear" w:pos="7609"/>
              <w:tab w:val="right" w:pos="9026" w:leader="dot"/>
            </w:tabs>
            <w:rPr/>
          </w:pPr>
          <w:hyperlink w:anchor="__RefHeading___Toc2156400_1067777946">
            <w:r>
              <w:rPr>
                <w:webHidden/>
                <w:rStyle w:val="IndexLink"/>
                <w:rtl w:val="true"/>
              </w:rPr>
              <w:t>[</w:t>
            </w:r>
            <w:r>
              <w:rPr>
                <w:rStyle w:val="IndexLink"/>
                <w:rtl w:val="true"/>
              </w:rPr>
              <w:t xml:space="preserve">المطلب الثالث في مقدماتها </w:t>
            </w:r>
            <w:r>
              <w:rPr>
                <w:rStyle w:val="IndexLink"/>
                <w:rtl w:val="true"/>
              </w:rPr>
              <w:t>]</w:t>
              <w:tab/>
            </w:r>
            <w:r>
              <w:rPr>
                <w:rStyle w:val="IndexLink"/>
              </w:rPr>
              <w:t>139</w:t>
            </w:r>
          </w:hyperlink>
        </w:p>
        <w:p>
          <w:pPr>
            <w:pStyle w:val="Contents6"/>
            <w:tabs>
              <w:tab w:val="clear" w:pos="7609"/>
              <w:tab w:val="right" w:pos="9026" w:leader="dot"/>
            </w:tabs>
            <w:rPr/>
          </w:pPr>
          <w:hyperlink w:anchor="__RefHeading___Toc2156402_1067777946">
            <w:r>
              <w:rPr>
                <w:webHidden/>
                <w:rStyle w:val="IndexLink"/>
                <w:rtl w:val="true"/>
              </w:rPr>
              <w:t>[</w:t>
            </w:r>
            <w:r>
              <w:rPr>
                <w:rStyle w:val="IndexLink"/>
                <w:rtl w:val="true"/>
              </w:rPr>
              <w:t>المطلب الرابع في كيفيتها</w:t>
            </w:r>
            <w:r>
              <w:rPr>
                <w:rStyle w:val="IndexLink"/>
                <w:rtl w:val="true"/>
              </w:rPr>
              <w:t>]</w:t>
              <w:tab/>
            </w:r>
            <w:r>
              <w:rPr>
                <w:rStyle w:val="IndexLink"/>
              </w:rPr>
              <w:t>140</w:t>
            </w:r>
          </w:hyperlink>
        </w:p>
        <w:p>
          <w:pPr>
            <w:pStyle w:val="Contents6"/>
            <w:tabs>
              <w:tab w:val="clear" w:pos="7609"/>
              <w:tab w:val="right" w:pos="9026" w:leader="dot"/>
            </w:tabs>
            <w:rPr/>
          </w:pPr>
          <w:hyperlink w:anchor="__RefHeading___Toc2156404_1067777946">
            <w:r>
              <w:rPr>
                <w:webHidden/>
                <w:rStyle w:val="IndexLink"/>
                <w:rtl w:val="true"/>
              </w:rPr>
              <w:t>[</w:t>
            </w:r>
            <w:r>
              <w:rPr>
                <w:rStyle w:val="IndexLink"/>
                <w:rtl w:val="true"/>
              </w:rPr>
              <w:t>المطلب الخامس في الأحكام</w:t>
            </w:r>
            <w:r>
              <w:rPr>
                <w:rStyle w:val="IndexLink"/>
                <w:rtl w:val="true"/>
              </w:rPr>
              <w:t>]</w:t>
              <w:tab/>
            </w:r>
            <w:r>
              <w:rPr>
                <w:rStyle w:val="IndexLink"/>
              </w:rPr>
              <w:t>140</w:t>
            </w:r>
          </w:hyperlink>
        </w:p>
        <w:p>
          <w:pPr>
            <w:pStyle w:val="Contents5"/>
            <w:tabs>
              <w:tab w:val="clear" w:pos="7892"/>
              <w:tab w:val="right" w:pos="9026" w:leader="dot"/>
            </w:tabs>
            <w:rPr/>
          </w:pPr>
          <w:hyperlink w:anchor="__RefHeading___Toc2156406_1067777946">
            <w:r>
              <w:rPr>
                <w:webHidden/>
                <w:rStyle w:val="IndexLink"/>
                <w:rtl w:val="true"/>
              </w:rPr>
              <w:t xml:space="preserve">[ </w:t>
            </w:r>
            <w:r>
              <w:rPr>
                <w:rStyle w:val="IndexLink"/>
                <w:rtl w:val="true"/>
              </w:rPr>
              <w:t xml:space="preserve">الفصل الخامس في اللواحق </w:t>
            </w:r>
            <w:r>
              <w:rPr>
                <w:rStyle w:val="IndexLink"/>
                <w:rtl w:val="true"/>
              </w:rPr>
              <w:t>]</w:t>
              <w:tab/>
            </w:r>
            <w:r>
              <w:rPr>
                <w:rStyle w:val="IndexLink"/>
              </w:rPr>
              <w:t>142</w:t>
            </w:r>
          </w:hyperlink>
        </w:p>
        <w:p>
          <w:pPr>
            <w:pStyle w:val="Contents3"/>
            <w:tabs>
              <w:tab w:val="clear" w:pos="8459"/>
              <w:tab w:val="right" w:pos="9026" w:leader="dot"/>
            </w:tabs>
            <w:rPr/>
          </w:pPr>
          <w:hyperlink w:anchor="__RefHeading___Toc2156408_1067777946">
            <w:r>
              <w:rPr>
                <w:webHidden/>
                <w:rStyle w:val="IndexLink"/>
                <w:rtl w:val="true"/>
              </w:rPr>
              <w:t>كتاب الصلاة</w:t>
            </w:r>
            <w:r>
              <w:rPr>
                <w:rStyle w:val="IndexLink"/>
                <w:rtl w:val="true"/>
              </w:rPr>
              <w:tab/>
            </w:r>
            <w:r>
              <w:rPr>
                <w:rStyle w:val="IndexLink"/>
              </w:rPr>
              <w:t>147</w:t>
            </w:r>
          </w:hyperlink>
        </w:p>
        <w:p>
          <w:pPr>
            <w:pStyle w:val="Contents4"/>
            <w:tabs>
              <w:tab w:val="clear" w:pos="8176"/>
              <w:tab w:val="right" w:pos="9026" w:leader="dot"/>
            </w:tabs>
            <w:rPr/>
          </w:pPr>
          <w:hyperlink w:anchor="__RefHeading___Toc2156410_1067777946">
            <w:r>
              <w:rPr>
                <w:webHidden/>
                <w:rStyle w:val="IndexLink"/>
                <w:rtl w:val="true"/>
              </w:rPr>
              <w:t>المقصد الأوّل فى المقدمات</w:t>
            </w:r>
            <w:r>
              <w:rPr>
                <w:rStyle w:val="IndexLink"/>
                <w:rtl w:val="true"/>
              </w:rPr>
              <w:tab/>
            </w:r>
            <w:r>
              <w:rPr>
                <w:rStyle w:val="IndexLink"/>
              </w:rPr>
              <w:t>147</w:t>
            </w:r>
          </w:hyperlink>
        </w:p>
        <w:p>
          <w:pPr>
            <w:pStyle w:val="Contents5"/>
            <w:tabs>
              <w:tab w:val="clear" w:pos="7892"/>
              <w:tab w:val="right" w:pos="9026" w:leader="dot"/>
            </w:tabs>
            <w:rPr/>
          </w:pPr>
          <w:hyperlink w:anchor="__RefHeading___Toc2156412_1067777946">
            <w:r>
              <w:rPr>
                <w:webHidden/>
                <w:rStyle w:val="IndexLink"/>
                <w:rtl w:val="true"/>
              </w:rPr>
              <w:t>[</w:t>
            </w:r>
            <w:r>
              <w:rPr>
                <w:rStyle w:val="IndexLink"/>
                <w:rtl w:val="true"/>
              </w:rPr>
              <w:t xml:space="preserve">الفصل الأوّل في أعدادها </w:t>
            </w:r>
            <w:r>
              <w:rPr>
                <w:rStyle w:val="IndexLink"/>
                <w:rtl w:val="true"/>
              </w:rPr>
              <w:t>]</w:t>
              <w:tab/>
            </w:r>
            <w:r>
              <w:rPr>
                <w:rStyle w:val="IndexLink"/>
              </w:rPr>
              <w:t>147</w:t>
            </w:r>
          </w:hyperlink>
        </w:p>
        <w:p>
          <w:pPr>
            <w:pStyle w:val="Contents5"/>
            <w:tabs>
              <w:tab w:val="clear" w:pos="7892"/>
              <w:tab w:val="right" w:pos="9026" w:leader="dot"/>
            </w:tabs>
            <w:rPr/>
          </w:pPr>
          <w:hyperlink w:anchor="__RefHeading___Toc2156414_1067777946">
            <w:r>
              <w:rPr>
                <w:webHidden/>
                <w:rStyle w:val="IndexLink"/>
                <w:rtl w:val="true"/>
              </w:rPr>
              <w:t xml:space="preserve">[ </w:t>
            </w:r>
            <w:r>
              <w:rPr>
                <w:rStyle w:val="IndexLink"/>
                <w:rtl w:val="true"/>
              </w:rPr>
              <w:t>الفصل الثاني في أوقاتها</w:t>
            </w:r>
            <w:r>
              <w:rPr>
                <w:rStyle w:val="IndexLink"/>
                <w:rtl w:val="true"/>
              </w:rPr>
              <w:t>]</w:t>
              <w:tab/>
            </w:r>
            <w:r>
              <w:rPr>
                <w:rStyle w:val="IndexLink"/>
              </w:rPr>
              <w:t>150</w:t>
            </w:r>
          </w:hyperlink>
        </w:p>
        <w:p>
          <w:pPr>
            <w:pStyle w:val="Contents6"/>
            <w:tabs>
              <w:tab w:val="clear" w:pos="7609"/>
              <w:tab w:val="right" w:pos="9026" w:leader="dot"/>
            </w:tabs>
            <w:rPr/>
          </w:pPr>
          <w:hyperlink w:anchor="__RefHeading___Toc2156416_1067777946">
            <w:r>
              <w:rPr>
                <w:webHidden/>
                <w:rStyle w:val="IndexLink"/>
                <w:rtl w:val="true"/>
              </w:rPr>
              <w:t>[</w:t>
            </w:r>
            <w:r>
              <w:rPr>
                <w:rStyle w:val="IndexLink"/>
                <w:rtl w:val="true"/>
              </w:rPr>
              <w:t xml:space="preserve">المطلب الأول في تعيينها </w:t>
            </w:r>
            <w:r>
              <w:rPr>
                <w:rStyle w:val="IndexLink"/>
                <w:rtl w:val="true"/>
              </w:rPr>
              <w:t>]</w:t>
              <w:tab/>
            </w:r>
            <w:r>
              <w:rPr>
                <w:rStyle w:val="IndexLink"/>
              </w:rPr>
              <w:t>150</w:t>
            </w:r>
          </w:hyperlink>
        </w:p>
        <w:p>
          <w:pPr>
            <w:pStyle w:val="Contents5"/>
            <w:tabs>
              <w:tab w:val="clear" w:pos="7892"/>
              <w:tab w:val="right" w:pos="9026" w:leader="dot"/>
            </w:tabs>
            <w:rPr/>
          </w:pPr>
          <w:hyperlink w:anchor="__RefHeading___Toc2156418_1067777946">
            <w:r>
              <w:rPr>
                <w:webHidden/>
                <w:rStyle w:val="IndexLink"/>
                <w:rtl w:val="true"/>
              </w:rPr>
              <w:t xml:space="preserve">[ </w:t>
            </w:r>
            <w:r>
              <w:rPr>
                <w:rStyle w:val="IndexLink"/>
                <w:rtl w:val="true"/>
              </w:rPr>
              <w:t xml:space="preserve">الفصل الثالث في القبلة </w:t>
            </w:r>
            <w:r>
              <w:rPr>
                <w:rStyle w:val="IndexLink"/>
                <w:rtl w:val="true"/>
              </w:rPr>
              <w:t>]</w:t>
              <w:tab/>
            </w:r>
            <w:r>
              <w:rPr>
                <w:rStyle w:val="IndexLink"/>
              </w:rPr>
              <w:t>154</w:t>
            </w:r>
          </w:hyperlink>
        </w:p>
        <w:p>
          <w:pPr>
            <w:pStyle w:val="Contents6"/>
            <w:tabs>
              <w:tab w:val="clear" w:pos="7609"/>
              <w:tab w:val="right" w:pos="9026" w:leader="dot"/>
            </w:tabs>
            <w:rPr/>
          </w:pPr>
          <w:hyperlink w:anchor="__RefHeading___Toc2156420_1067777946">
            <w:r>
              <w:rPr>
                <w:webHidden/>
                <w:rStyle w:val="IndexLink"/>
                <w:rtl w:val="true"/>
              </w:rPr>
              <w:t>[</w:t>
            </w:r>
            <w:r>
              <w:rPr>
                <w:rStyle w:val="IndexLink"/>
                <w:rtl w:val="true"/>
              </w:rPr>
              <w:t>المطلب الأوّل الماهيّة</w:t>
            </w:r>
            <w:r>
              <w:rPr>
                <w:rStyle w:val="IndexLink"/>
                <w:rtl w:val="true"/>
              </w:rPr>
              <w:t>]</w:t>
              <w:tab/>
            </w:r>
            <w:r>
              <w:rPr>
                <w:rStyle w:val="IndexLink"/>
              </w:rPr>
              <w:t>154</w:t>
            </w:r>
          </w:hyperlink>
        </w:p>
        <w:p>
          <w:pPr>
            <w:pStyle w:val="Contents6"/>
            <w:tabs>
              <w:tab w:val="clear" w:pos="7609"/>
              <w:tab w:val="right" w:pos="9026" w:leader="dot"/>
            </w:tabs>
            <w:rPr/>
          </w:pPr>
          <w:hyperlink w:anchor="__RefHeading___Toc2156422_1067777946">
            <w:r>
              <w:rPr>
                <w:webHidden/>
                <w:rStyle w:val="IndexLink"/>
                <w:rtl w:val="true"/>
              </w:rPr>
              <w:t>[</w:t>
            </w:r>
            <w:r>
              <w:rPr>
                <w:rStyle w:val="IndexLink"/>
                <w:rtl w:val="true"/>
              </w:rPr>
              <w:t>المطلب الثاني</w:t>
            </w:r>
            <w:r>
              <w:rPr>
                <w:rStyle w:val="IndexLink"/>
                <w:rtl w:val="true"/>
              </w:rPr>
              <w:t xml:space="preserve">: </w:t>
            </w:r>
            <w:r>
              <w:rPr>
                <w:rStyle w:val="IndexLink"/>
                <w:rtl w:val="true"/>
              </w:rPr>
              <w:t xml:space="preserve">المستقبل له </w:t>
            </w:r>
            <w:r>
              <w:rPr>
                <w:rStyle w:val="IndexLink"/>
                <w:rtl w:val="true"/>
              </w:rPr>
              <w:t>]</w:t>
              <w:tab/>
            </w:r>
            <w:r>
              <w:rPr>
                <w:rStyle w:val="IndexLink"/>
              </w:rPr>
              <w:t>156</w:t>
            </w:r>
          </w:hyperlink>
        </w:p>
        <w:p>
          <w:pPr>
            <w:pStyle w:val="Contents6"/>
            <w:tabs>
              <w:tab w:val="clear" w:pos="7609"/>
              <w:tab w:val="right" w:pos="9026" w:leader="dot"/>
            </w:tabs>
            <w:rPr/>
          </w:pPr>
          <w:hyperlink w:anchor="__RefHeading___Toc2156424_1067777946">
            <w:r>
              <w:rPr>
                <w:webHidden/>
                <w:rStyle w:val="IndexLink"/>
                <w:rtl w:val="true"/>
              </w:rPr>
              <w:t>[</w:t>
            </w:r>
            <w:r>
              <w:rPr>
                <w:rStyle w:val="IndexLink"/>
                <w:rtl w:val="true"/>
              </w:rPr>
              <w:t>المطلب الثالث</w:t>
            </w:r>
            <w:r>
              <w:rPr>
                <w:rStyle w:val="IndexLink"/>
                <w:rtl w:val="true"/>
              </w:rPr>
              <w:t xml:space="preserve">: </w:t>
            </w:r>
            <w:r>
              <w:rPr>
                <w:rStyle w:val="IndexLink"/>
                <w:rtl w:val="true"/>
              </w:rPr>
              <w:t xml:space="preserve">المستقبل </w:t>
            </w:r>
            <w:r>
              <w:rPr>
                <w:rStyle w:val="IndexLink"/>
                <w:rtl w:val="true"/>
              </w:rPr>
              <w:t>]</w:t>
              <w:tab/>
            </w:r>
            <w:r>
              <w:rPr>
                <w:rStyle w:val="IndexLink"/>
              </w:rPr>
              <w:t>157</w:t>
            </w:r>
          </w:hyperlink>
        </w:p>
        <w:p>
          <w:pPr>
            <w:pStyle w:val="Contents5"/>
            <w:tabs>
              <w:tab w:val="clear" w:pos="7892"/>
              <w:tab w:val="right" w:pos="9026" w:leader="dot"/>
            </w:tabs>
            <w:rPr/>
          </w:pPr>
          <w:hyperlink w:anchor="__RefHeading___Toc2156426_1067777946">
            <w:r>
              <w:rPr>
                <w:webHidden/>
                <w:rStyle w:val="IndexLink"/>
                <w:rtl w:val="true"/>
              </w:rPr>
              <w:t xml:space="preserve">[ </w:t>
            </w:r>
            <w:r>
              <w:rPr>
                <w:rStyle w:val="IndexLink"/>
                <w:rtl w:val="true"/>
              </w:rPr>
              <w:t xml:space="preserve">الفصل الرابع في اللباس </w:t>
            </w:r>
            <w:r>
              <w:rPr>
                <w:rStyle w:val="IndexLink"/>
                <w:rtl w:val="true"/>
              </w:rPr>
              <w:t>]</w:t>
              <w:tab/>
            </w:r>
            <w:r>
              <w:rPr>
                <w:rStyle w:val="IndexLink"/>
              </w:rPr>
              <w:t>160</w:t>
            </w:r>
          </w:hyperlink>
        </w:p>
        <w:p>
          <w:pPr>
            <w:pStyle w:val="Contents6"/>
            <w:tabs>
              <w:tab w:val="clear" w:pos="7609"/>
              <w:tab w:val="right" w:pos="9026" w:leader="dot"/>
            </w:tabs>
            <w:rPr/>
          </w:pPr>
          <w:hyperlink w:anchor="__RefHeading___Toc2156428_1067777946">
            <w:r>
              <w:rPr>
                <w:webHidden/>
                <w:rStyle w:val="IndexLink"/>
                <w:rtl w:val="true"/>
              </w:rPr>
              <w:t>[</w:t>
            </w:r>
            <w:r>
              <w:rPr>
                <w:rStyle w:val="IndexLink"/>
                <w:rtl w:val="true"/>
              </w:rPr>
              <w:t>المطلب الأوّل في جنسه</w:t>
            </w:r>
            <w:r>
              <w:rPr>
                <w:rStyle w:val="IndexLink"/>
                <w:rtl w:val="true"/>
              </w:rPr>
              <w:t>]</w:t>
              <w:tab/>
            </w:r>
            <w:r>
              <w:rPr>
                <w:rStyle w:val="IndexLink"/>
              </w:rPr>
              <w:t>160</w:t>
            </w:r>
          </w:hyperlink>
        </w:p>
        <w:p>
          <w:pPr>
            <w:pStyle w:val="Contents6"/>
            <w:tabs>
              <w:tab w:val="clear" w:pos="7609"/>
              <w:tab w:val="right" w:pos="9026" w:leader="dot"/>
            </w:tabs>
            <w:rPr/>
          </w:pPr>
          <w:hyperlink w:anchor="__RefHeading___Toc2156430_1067777946">
            <w:r>
              <w:rPr>
                <w:webHidden/>
                <w:rStyle w:val="IndexLink"/>
                <w:rtl w:val="true"/>
              </w:rPr>
              <w:t>[</w:t>
            </w:r>
            <w:r>
              <w:rPr>
                <w:rStyle w:val="IndexLink"/>
                <w:rtl w:val="true"/>
              </w:rPr>
              <w:t>المطلب الثاني في ستر العورة</w:t>
            </w:r>
            <w:r>
              <w:rPr>
                <w:rStyle w:val="IndexLink"/>
                <w:rtl w:val="true"/>
              </w:rPr>
              <w:t>]</w:t>
              <w:tab/>
            </w:r>
            <w:r>
              <w:rPr>
                <w:rStyle w:val="IndexLink"/>
              </w:rPr>
              <w:t>160</w:t>
            </w:r>
          </w:hyperlink>
        </w:p>
        <w:p>
          <w:pPr>
            <w:pStyle w:val="Contents5"/>
            <w:tabs>
              <w:tab w:val="clear" w:pos="7892"/>
              <w:tab w:val="right" w:pos="9026" w:leader="dot"/>
            </w:tabs>
            <w:rPr/>
          </w:pPr>
          <w:hyperlink w:anchor="__RefHeading___Toc2156432_1067777946">
            <w:r>
              <w:rPr>
                <w:webHidden/>
                <w:rStyle w:val="IndexLink"/>
                <w:rtl w:val="true"/>
              </w:rPr>
              <w:t xml:space="preserve">[ </w:t>
            </w:r>
            <w:r>
              <w:rPr>
                <w:rStyle w:val="IndexLink"/>
                <w:rtl w:val="true"/>
              </w:rPr>
              <w:t>الفصل الخامس في المكان</w:t>
            </w:r>
            <w:r>
              <w:rPr>
                <w:rStyle w:val="IndexLink"/>
                <w:rtl w:val="true"/>
              </w:rPr>
              <w:t>]</w:t>
              <w:tab/>
            </w:r>
            <w:r>
              <w:rPr>
                <w:rStyle w:val="IndexLink"/>
              </w:rPr>
              <w:t>162</w:t>
            </w:r>
          </w:hyperlink>
        </w:p>
        <w:p>
          <w:pPr>
            <w:pStyle w:val="Contents6"/>
            <w:tabs>
              <w:tab w:val="clear" w:pos="7609"/>
              <w:tab w:val="right" w:pos="9026" w:leader="dot"/>
            </w:tabs>
            <w:rPr/>
          </w:pPr>
          <w:hyperlink w:anchor="__RefHeading___Toc2156434_1067777946">
            <w:r>
              <w:rPr>
                <w:webHidden/>
                <w:rStyle w:val="IndexLink"/>
                <w:rtl w:val="true"/>
              </w:rPr>
              <w:t>[</w:t>
            </w:r>
            <w:r>
              <w:rPr>
                <w:rStyle w:val="IndexLink"/>
                <w:rtl w:val="true"/>
              </w:rPr>
              <w:t xml:space="preserve">المطلب الأوّل </w:t>
            </w:r>
            <w:r>
              <w:rPr>
                <w:rStyle w:val="IndexLink"/>
                <w:rtl w:val="true"/>
              </w:rPr>
              <w:t>]</w:t>
              <w:tab/>
            </w:r>
            <w:r>
              <w:rPr>
                <w:rStyle w:val="IndexLink"/>
              </w:rPr>
              <w:t>162</w:t>
            </w:r>
          </w:hyperlink>
        </w:p>
        <w:p>
          <w:pPr>
            <w:pStyle w:val="Contents6"/>
            <w:tabs>
              <w:tab w:val="clear" w:pos="7609"/>
              <w:tab w:val="right" w:pos="9026" w:leader="dot"/>
            </w:tabs>
            <w:rPr/>
          </w:pPr>
          <w:hyperlink w:anchor="__RefHeading___Toc2156436_1067777946">
            <w:r>
              <w:rPr>
                <w:webHidden/>
                <w:rStyle w:val="IndexLink"/>
                <w:rtl w:val="true"/>
              </w:rPr>
              <w:t>[</w:t>
            </w:r>
            <w:r>
              <w:rPr>
                <w:rStyle w:val="IndexLink"/>
                <w:rtl w:val="true"/>
              </w:rPr>
              <w:t>المطلب الثاني في المساجد</w:t>
            </w:r>
            <w:r>
              <w:rPr>
                <w:rStyle w:val="IndexLink"/>
                <w:rtl w:val="true"/>
              </w:rPr>
              <w:t>]</w:t>
              <w:tab/>
            </w:r>
            <w:r>
              <w:rPr>
                <w:rStyle w:val="IndexLink"/>
              </w:rPr>
              <w:t>162</w:t>
            </w:r>
          </w:hyperlink>
        </w:p>
        <w:p>
          <w:pPr>
            <w:pStyle w:val="Contents5"/>
            <w:tabs>
              <w:tab w:val="clear" w:pos="7892"/>
              <w:tab w:val="right" w:pos="9026" w:leader="dot"/>
            </w:tabs>
            <w:rPr/>
          </w:pPr>
          <w:hyperlink w:anchor="__RefHeading___Toc2156438_1067777946">
            <w:r>
              <w:rPr>
                <w:webHidden/>
                <w:rStyle w:val="IndexLink"/>
                <w:rtl w:val="true"/>
              </w:rPr>
              <w:t xml:space="preserve">[ </w:t>
            </w:r>
            <w:r>
              <w:rPr>
                <w:rStyle w:val="IndexLink"/>
                <w:rtl w:val="true"/>
              </w:rPr>
              <w:t xml:space="preserve">الفصل السادس في الأذان والإقامة </w:t>
            </w:r>
            <w:r>
              <w:rPr>
                <w:rStyle w:val="IndexLink"/>
                <w:rtl w:val="true"/>
              </w:rPr>
              <w:t>]</w:t>
              <w:tab/>
            </w:r>
            <w:r>
              <w:rPr>
                <w:rStyle w:val="IndexLink"/>
              </w:rPr>
              <w:t>164</w:t>
            </w:r>
          </w:hyperlink>
        </w:p>
        <w:p>
          <w:pPr>
            <w:pStyle w:val="Contents6"/>
            <w:tabs>
              <w:tab w:val="clear" w:pos="7609"/>
              <w:tab w:val="right" w:pos="9026" w:leader="dot"/>
            </w:tabs>
            <w:rPr/>
          </w:pPr>
          <w:hyperlink w:anchor="__RefHeading___Toc2156440_1067777946">
            <w:r>
              <w:rPr>
                <w:webHidden/>
                <w:rStyle w:val="IndexLink"/>
                <w:rtl w:val="true"/>
              </w:rPr>
              <w:t>[</w:t>
            </w:r>
            <w:r>
              <w:rPr>
                <w:rStyle w:val="IndexLink"/>
                <w:rtl w:val="true"/>
              </w:rPr>
              <w:t>المطلب الثاني في المؤذن</w:t>
            </w:r>
            <w:r>
              <w:rPr>
                <w:rStyle w:val="IndexLink"/>
                <w:rtl w:val="true"/>
              </w:rPr>
              <w:t>]</w:t>
              <w:tab/>
            </w:r>
            <w:r>
              <w:rPr>
                <w:rStyle w:val="IndexLink"/>
              </w:rPr>
              <w:t>164</w:t>
            </w:r>
          </w:hyperlink>
        </w:p>
        <w:p>
          <w:pPr>
            <w:pStyle w:val="Contents6"/>
            <w:tabs>
              <w:tab w:val="clear" w:pos="7609"/>
              <w:tab w:val="right" w:pos="9026" w:leader="dot"/>
            </w:tabs>
            <w:rPr/>
          </w:pPr>
          <w:hyperlink w:anchor="__RefHeading___Toc2156442_1067777946">
            <w:r>
              <w:rPr>
                <w:webHidden/>
                <w:rStyle w:val="IndexLink"/>
                <w:rtl w:val="true"/>
              </w:rPr>
              <w:t>[</w:t>
            </w:r>
            <w:r>
              <w:rPr>
                <w:rStyle w:val="IndexLink"/>
                <w:rtl w:val="true"/>
              </w:rPr>
              <w:t>المطلب الثالث في كيفيّته</w:t>
            </w:r>
            <w:r>
              <w:rPr>
                <w:rStyle w:val="IndexLink"/>
                <w:rtl w:val="true"/>
              </w:rPr>
              <w:t>]</w:t>
              <w:tab/>
            </w:r>
            <w:r>
              <w:rPr>
                <w:rStyle w:val="IndexLink"/>
              </w:rPr>
              <w:t>164</w:t>
            </w:r>
          </w:hyperlink>
        </w:p>
        <w:p>
          <w:pPr>
            <w:pStyle w:val="Contents6"/>
            <w:tabs>
              <w:tab w:val="clear" w:pos="7609"/>
              <w:tab w:val="right" w:pos="9026" w:leader="dot"/>
            </w:tabs>
            <w:rPr/>
          </w:pPr>
          <w:hyperlink w:anchor="__RefHeading___Toc2156444_1067777946">
            <w:r>
              <w:rPr>
                <w:webHidden/>
                <w:rStyle w:val="IndexLink"/>
                <w:rtl w:val="true"/>
              </w:rPr>
              <w:t>[</w:t>
            </w:r>
            <w:r>
              <w:rPr>
                <w:rStyle w:val="IndexLink"/>
                <w:rtl w:val="true"/>
              </w:rPr>
              <w:t>المطلب الرابع في الأحكام</w:t>
            </w:r>
            <w:r>
              <w:rPr>
                <w:rStyle w:val="IndexLink"/>
                <w:rtl w:val="true"/>
              </w:rPr>
              <w:t>]</w:t>
              <w:tab/>
            </w:r>
            <w:r>
              <w:rPr>
                <w:rStyle w:val="IndexLink"/>
              </w:rPr>
              <w:t>165</w:t>
            </w:r>
          </w:hyperlink>
        </w:p>
        <w:p>
          <w:pPr>
            <w:pStyle w:val="Contents4"/>
            <w:tabs>
              <w:tab w:val="clear" w:pos="8176"/>
              <w:tab w:val="right" w:pos="9026" w:leader="dot"/>
            </w:tabs>
            <w:rPr/>
          </w:pPr>
          <w:hyperlink w:anchor="__RefHeading___Toc2156446_1067777946">
            <w:r>
              <w:rPr>
                <w:webHidden/>
                <w:rStyle w:val="IndexLink"/>
                <w:rtl w:val="true"/>
              </w:rPr>
              <w:t>[</w:t>
            </w:r>
            <w:r>
              <w:rPr>
                <w:rStyle w:val="IndexLink"/>
                <w:rtl w:val="true"/>
              </w:rPr>
              <w:t xml:space="preserve">المقصد الثاني في أفعال الصلاة وتُرُوكِها </w:t>
            </w:r>
            <w:r>
              <w:rPr>
                <w:rStyle w:val="IndexLink"/>
                <w:rtl w:val="true"/>
              </w:rPr>
              <w:t>]</w:t>
              <w:tab/>
            </w:r>
            <w:r>
              <w:rPr>
                <w:rStyle w:val="IndexLink"/>
              </w:rPr>
              <w:t>166</w:t>
            </w:r>
          </w:hyperlink>
        </w:p>
        <w:p>
          <w:pPr>
            <w:pStyle w:val="Contents5"/>
            <w:tabs>
              <w:tab w:val="clear" w:pos="7892"/>
              <w:tab w:val="right" w:pos="9026" w:leader="dot"/>
            </w:tabs>
            <w:rPr/>
          </w:pPr>
          <w:hyperlink w:anchor="__RefHeading___Toc2156448_1067777946">
            <w:r>
              <w:rPr>
                <w:webHidden/>
                <w:rStyle w:val="IndexLink"/>
                <w:rtl w:val="true"/>
              </w:rPr>
              <w:t>[</w:t>
            </w:r>
            <w:r>
              <w:rPr>
                <w:rStyle w:val="IndexLink"/>
                <w:rtl w:val="true"/>
              </w:rPr>
              <w:t>الفصل الأول</w:t>
            </w:r>
            <w:r>
              <w:rPr>
                <w:rStyle w:val="IndexLink"/>
                <w:rtl w:val="true"/>
              </w:rPr>
              <w:t xml:space="preserve">: </w:t>
            </w:r>
            <w:r>
              <w:rPr>
                <w:rStyle w:val="IndexLink"/>
                <w:rtl w:val="true"/>
              </w:rPr>
              <w:t xml:space="preserve">القيام </w:t>
            </w:r>
            <w:r>
              <w:rPr>
                <w:rStyle w:val="IndexLink"/>
                <w:rtl w:val="true"/>
              </w:rPr>
              <w:t>]</w:t>
              <w:tab/>
            </w:r>
            <w:r>
              <w:rPr>
                <w:rStyle w:val="IndexLink"/>
              </w:rPr>
              <w:t>166</w:t>
            </w:r>
          </w:hyperlink>
        </w:p>
        <w:p>
          <w:pPr>
            <w:pStyle w:val="Contents5"/>
            <w:tabs>
              <w:tab w:val="clear" w:pos="7892"/>
              <w:tab w:val="right" w:pos="9026" w:leader="dot"/>
            </w:tabs>
            <w:rPr/>
          </w:pPr>
          <w:hyperlink w:anchor="__RefHeading___Toc2156450_1067777946">
            <w:r>
              <w:rPr>
                <w:webHidden/>
                <w:rStyle w:val="IndexLink"/>
                <w:rtl w:val="true"/>
              </w:rPr>
              <w:t xml:space="preserve">[ </w:t>
            </w:r>
            <w:r>
              <w:rPr>
                <w:rStyle w:val="IndexLink"/>
                <w:rtl w:val="true"/>
              </w:rPr>
              <w:t>الفصل الثاني</w:t>
            </w:r>
            <w:r>
              <w:rPr>
                <w:rStyle w:val="IndexLink"/>
                <w:rtl w:val="true"/>
              </w:rPr>
              <w:t xml:space="preserve">: </w:t>
            </w:r>
            <w:r>
              <w:rPr>
                <w:rStyle w:val="IndexLink"/>
                <w:rtl w:val="true"/>
              </w:rPr>
              <w:t xml:space="preserve">النية </w:t>
            </w:r>
            <w:r>
              <w:rPr>
                <w:rStyle w:val="IndexLink"/>
                <w:rtl w:val="true"/>
              </w:rPr>
              <w:t>]</w:t>
              <w:tab/>
            </w:r>
            <w:r>
              <w:rPr>
                <w:rStyle w:val="IndexLink"/>
              </w:rPr>
              <w:t>167</w:t>
            </w:r>
          </w:hyperlink>
        </w:p>
        <w:p>
          <w:pPr>
            <w:pStyle w:val="Contents5"/>
            <w:tabs>
              <w:tab w:val="clear" w:pos="7892"/>
              <w:tab w:val="right" w:pos="9026" w:leader="dot"/>
            </w:tabs>
            <w:rPr/>
          </w:pPr>
          <w:hyperlink w:anchor="__RefHeading___Toc2156452_1067777946">
            <w:r>
              <w:rPr>
                <w:webHidden/>
                <w:rStyle w:val="IndexLink"/>
                <w:rtl w:val="true"/>
              </w:rPr>
              <w:t xml:space="preserve">[ </w:t>
            </w:r>
            <w:r>
              <w:rPr>
                <w:rStyle w:val="IndexLink"/>
                <w:rtl w:val="true"/>
              </w:rPr>
              <w:t>الفصل الثالث تكبيرة الإحرام</w:t>
            </w:r>
            <w:r>
              <w:rPr>
                <w:rStyle w:val="IndexLink"/>
                <w:rtl w:val="true"/>
              </w:rPr>
              <w:t>]</w:t>
              <w:tab/>
            </w:r>
            <w:r>
              <w:rPr>
                <w:rStyle w:val="IndexLink"/>
              </w:rPr>
              <w:t>170</w:t>
            </w:r>
          </w:hyperlink>
        </w:p>
        <w:p>
          <w:pPr>
            <w:pStyle w:val="Contents5"/>
            <w:tabs>
              <w:tab w:val="clear" w:pos="7892"/>
              <w:tab w:val="right" w:pos="9026" w:leader="dot"/>
            </w:tabs>
            <w:rPr/>
          </w:pPr>
          <w:hyperlink w:anchor="__RefHeading___Toc2156454_1067777946">
            <w:r>
              <w:rPr>
                <w:webHidden/>
                <w:rStyle w:val="IndexLink"/>
                <w:rtl w:val="true"/>
              </w:rPr>
              <w:t>[</w:t>
            </w:r>
            <w:r>
              <w:rPr>
                <w:rStyle w:val="IndexLink"/>
                <w:rtl w:val="true"/>
              </w:rPr>
              <w:t>الفصل الرابع</w:t>
            </w:r>
            <w:r>
              <w:rPr>
                <w:rStyle w:val="IndexLink"/>
                <w:rtl w:val="true"/>
              </w:rPr>
              <w:t xml:space="preserve">: </w:t>
            </w:r>
            <w:r>
              <w:rPr>
                <w:rStyle w:val="IndexLink"/>
                <w:rtl w:val="true"/>
              </w:rPr>
              <w:t>القراءة</w:t>
            </w:r>
            <w:r>
              <w:rPr>
                <w:rStyle w:val="IndexLink"/>
                <w:rtl w:val="true"/>
              </w:rPr>
              <w:t>]</w:t>
              <w:tab/>
            </w:r>
            <w:r>
              <w:rPr>
                <w:rStyle w:val="IndexLink"/>
              </w:rPr>
              <w:t>171</w:t>
            </w:r>
          </w:hyperlink>
        </w:p>
        <w:p>
          <w:pPr>
            <w:pStyle w:val="Contents5"/>
            <w:tabs>
              <w:tab w:val="clear" w:pos="7892"/>
              <w:tab w:val="right" w:pos="9026" w:leader="dot"/>
            </w:tabs>
            <w:rPr/>
          </w:pPr>
          <w:hyperlink w:anchor="__RefHeading___Toc2156456_1067777946">
            <w:r>
              <w:rPr>
                <w:webHidden/>
                <w:rStyle w:val="IndexLink"/>
                <w:rtl w:val="true"/>
              </w:rPr>
              <w:t>[</w:t>
            </w:r>
            <w:r>
              <w:rPr>
                <w:rStyle w:val="IndexLink"/>
                <w:rtl w:val="true"/>
              </w:rPr>
              <w:t xml:space="preserve">الفصل الخامس في الركوع </w:t>
            </w:r>
            <w:r>
              <w:rPr>
                <w:rStyle w:val="IndexLink"/>
                <w:rtl w:val="true"/>
              </w:rPr>
              <w:t>]</w:t>
              <w:tab/>
            </w:r>
            <w:r>
              <w:rPr>
                <w:rStyle w:val="IndexLink"/>
              </w:rPr>
              <w:t>173</w:t>
            </w:r>
          </w:hyperlink>
        </w:p>
        <w:p>
          <w:pPr>
            <w:pStyle w:val="Contents5"/>
            <w:tabs>
              <w:tab w:val="clear" w:pos="7892"/>
              <w:tab w:val="right" w:pos="9026" w:leader="dot"/>
            </w:tabs>
            <w:rPr/>
          </w:pPr>
          <w:hyperlink w:anchor="__RefHeading___Toc2156458_1067777946">
            <w:r>
              <w:rPr>
                <w:webHidden/>
                <w:rStyle w:val="IndexLink"/>
                <w:rtl w:val="true"/>
              </w:rPr>
              <w:t xml:space="preserve">[ </w:t>
            </w:r>
            <w:r>
              <w:rPr>
                <w:rStyle w:val="IndexLink"/>
                <w:rtl w:val="true"/>
              </w:rPr>
              <w:t xml:space="preserve">الفصل السادس السجود </w:t>
            </w:r>
            <w:r>
              <w:rPr>
                <w:rStyle w:val="IndexLink"/>
                <w:rtl w:val="true"/>
              </w:rPr>
              <w:t>]</w:t>
              <w:tab/>
            </w:r>
            <w:r>
              <w:rPr>
                <w:rStyle w:val="IndexLink"/>
              </w:rPr>
              <w:t>174</w:t>
            </w:r>
          </w:hyperlink>
        </w:p>
        <w:p>
          <w:pPr>
            <w:pStyle w:val="Contents5"/>
            <w:tabs>
              <w:tab w:val="clear" w:pos="7892"/>
              <w:tab w:val="right" w:pos="9026" w:leader="dot"/>
            </w:tabs>
            <w:rPr/>
          </w:pPr>
          <w:hyperlink w:anchor="__RefHeading___Toc2156460_1067777946">
            <w:r>
              <w:rPr>
                <w:webHidden/>
                <w:rStyle w:val="IndexLink"/>
                <w:rtl w:val="true"/>
              </w:rPr>
              <w:t xml:space="preserve">[ </w:t>
            </w:r>
            <w:r>
              <w:rPr>
                <w:rStyle w:val="IndexLink"/>
                <w:rtl w:val="true"/>
              </w:rPr>
              <w:t xml:space="preserve">الفصل السابع التشهد </w:t>
            </w:r>
            <w:r>
              <w:rPr>
                <w:rStyle w:val="IndexLink"/>
                <w:rtl w:val="true"/>
              </w:rPr>
              <w:t>]</w:t>
              <w:tab/>
            </w:r>
            <w:r>
              <w:rPr>
                <w:rStyle w:val="IndexLink"/>
              </w:rPr>
              <w:t>176</w:t>
            </w:r>
          </w:hyperlink>
        </w:p>
        <w:p>
          <w:pPr>
            <w:pStyle w:val="Contents5"/>
            <w:tabs>
              <w:tab w:val="clear" w:pos="7892"/>
              <w:tab w:val="right" w:pos="9026" w:leader="dot"/>
            </w:tabs>
            <w:rPr/>
          </w:pPr>
          <w:hyperlink w:anchor="__RefHeading___Toc2156462_1067777946">
            <w:r>
              <w:rPr>
                <w:webHidden/>
                <w:rStyle w:val="IndexLink"/>
                <w:rtl w:val="true"/>
              </w:rPr>
              <w:t xml:space="preserve">[ </w:t>
            </w:r>
            <w:r>
              <w:rPr>
                <w:rStyle w:val="IndexLink"/>
                <w:rtl w:val="true"/>
              </w:rPr>
              <w:t>الفصل الثامن التروك</w:t>
            </w:r>
            <w:r>
              <w:rPr>
                <w:rStyle w:val="IndexLink"/>
                <w:rtl w:val="true"/>
              </w:rPr>
              <w:t>]</w:t>
              <w:tab/>
            </w:r>
            <w:r>
              <w:rPr>
                <w:rStyle w:val="IndexLink"/>
              </w:rPr>
              <w:t>177</w:t>
            </w:r>
          </w:hyperlink>
        </w:p>
        <w:p>
          <w:pPr>
            <w:pStyle w:val="Contents4"/>
            <w:tabs>
              <w:tab w:val="clear" w:pos="8176"/>
              <w:tab w:val="right" w:pos="9026" w:leader="dot"/>
            </w:tabs>
            <w:rPr/>
          </w:pPr>
          <w:hyperlink w:anchor="__RefHeading___Toc2156464_1067777946">
            <w:r>
              <w:rPr>
                <w:webHidden/>
                <w:rStyle w:val="IndexLink"/>
                <w:rtl w:val="true"/>
              </w:rPr>
              <w:t xml:space="preserve">[ </w:t>
            </w:r>
            <w:r>
              <w:rPr>
                <w:rStyle w:val="IndexLink"/>
                <w:rtl w:val="true"/>
              </w:rPr>
              <w:t xml:space="preserve">المقصد الثالث في باقي الصلوات </w:t>
            </w:r>
            <w:r>
              <w:rPr>
                <w:rStyle w:val="IndexLink"/>
                <w:rtl w:val="true"/>
              </w:rPr>
              <w:t>]</w:t>
              <w:tab/>
            </w:r>
            <w:r>
              <w:rPr>
                <w:rStyle w:val="IndexLink"/>
              </w:rPr>
              <w:t>180</w:t>
            </w:r>
          </w:hyperlink>
        </w:p>
        <w:p>
          <w:pPr>
            <w:pStyle w:val="Contents5"/>
            <w:tabs>
              <w:tab w:val="clear" w:pos="7892"/>
              <w:tab w:val="right" w:pos="9026" w:leader="dot"/>
            </w:tabs>
            <w:rPr/>
          </w:pPr>
          <w:hyperlink w:anchor="__RefHeading___Toc2156466_1067777946">
            <w:r>
              <w:rPr>
                <w:webHidden/>
                <w:rStyle w:val="IndexLink"/>
                <w:rtl w:val="true"/>
              </w:rPr>
              <w:t>[</w:t>
            </w:r>
            <w:r>
              <w:rPr>
                <w:rStyle w:val="IndexLink"/>
                <w:rtl w:val="true"/>
              </w:rPr>
              <w:t xml:space="preserve">الفصل الأول في الجمعة </w:t>
            </w:r>
            <w:r>
              <w:rPr>
                <w:rStyle w:val="IndexLink"/>
                <w:rtl w:val="true"/>
              </w:rPr>
              <w:t>]</w:t>
              <w:tab/>
            </w:r>
            <w:r>
              <w:rPr>
                <w:rStyle w:val="IndexLink"/>
              </w:rPr>
              <w:t>180</w:t>
            </w:r>
          </w:hyperlink>
        </w:p>
        <w:p>
          <w:pPr>
            <w:pStyle w:val="Contents6"/>
            <w:tabs>
              <w:tab w:val="clear" w:pos="7609"/>
              <w:tab w:val="right" w:pos="9026" w:leader="dot"/>
            </w:tabs>
            <w:rPr/>
          </w:pPr>
          <w:hyperlink w:anchor="__RefHeading___Toc2156468_1067777946">
            <w:r>
              <w:rPr>
                <w:webHidden/>
                <w:rStyle w:val="IndexLink"/>
                <w:rtl w:val="true"/>
              </w:rPr>
              <w:t>[</w:t>
            </w:r>
            <w:r>
              <w:rPr>
                <w:rStyle w:val="IndexLink"/>
                <w:rtl w:val="true"/>
              </w:rPr>
              <w:t>المطلب الأول</w:t>
            </w:r>
            <w:r>
              <w:rPr>
                <w:rStyle w:val="IndexLink"/>
                <w:rtl w:val="true"/>
              </w:rPr>
              <w:t xml:space="preserve">: </w:t>
            </w:r>
            <w:r>
              <w:rPr>
                <w:rStyle w:val="IndexLink"/>
                <w:rtl w:val="true"/>
              </w:rPr>
              <w:t xml:space="preserve">الشرائط </w:t>
            </w:r>
            <w:r>
              <w:rPr>
                <w:rStyle w:val="IndexLink"/>
                <w:rtl w:val="true"/>
              </w:rPr>
              <w:t>]</w:t>
              <w:tab/>
            </w:r>
            <w:r>
              <w:rPr>
                <w:rStyle w:val="IndexLink"/>
              </w:rPr>
              <w:t>180</w:t>
            </w:r>
          </w:hyperlink>
        </w:p>
        <w:p>
          <w:pPr>
            <w:pStyle w:val="Contents6"/>
            <w:tabs>
              <w:tab w:val="clear" w:pos="7609"/>
              <w:tab w:val="right" w:pos="9026" w:leader="dot"/>
            </w:tabs>
            <w:rPr/>
          </w:pPr>
          <w:hyperlink w:anchor="__RefHeading___Toc2156470_1067777946">
            <w:r>
              <w:rPr>
                <w:webHidden/>
                <w:rStyle w:val="IndexLink"/>
                <w:rtl w:val="true"/>
              </w:rPr>
              <w:t>[</w:t>
            </w:r>
            <w:r>
              <w:rPr>
                <w:rStyle w:val="IndexLink"/>
                <w:rtl w:val="true"/>
              </w:rPr>
              <w:t>المطلب الثاني في ماهيتها وآدابها</w:t>
            </w:r>
            <w:r>
              <w:rPr>
                <w:rStyle w:val="IndexLink"/>
                <w:rtl w:val="true"/>
              </w:rPr>
              <w:t>]</w:t>
              <w:tab/>
            </w:r>
            <w:r>
              <w:rPr>
                <w:rStyle w:val="IndexLink"/>
              </w:rPr>
              <w:t>184</w:t>
            </w:r>
          </w:hyperlink>
        </w:p>
        <w:p>
          <w:pPr>
            <w:pStyle w:val="Contents5"/>
            <w:tabs>
              <w:tab w:val="clear" w:pos="7892"/>
              <w:tab w:val="right" w:pos="9026" w:leader="dot"/>
            </w:tabs>
            <w:rPr/>
          </w:pPr>
          <w:hyperlink w:anchor="__RefHeading___Toc2156472_1067777946">
            <w:r>
              <w:rPr>
                <w:webHidden/>
                <w:rStyle w:val="IndexLink"/>
                <w:rtl w:val="true"/>
              </w:rPr>
              <w:t xml:space="preserve">[ </w:t>
            </w:r>
            <w:r>
              <w:rPr>
                <w:rStyle w:val="IndexLink"/>
                <w:rtl w:val="true"/>
              </w:rPr>
              <w:t xml:space="preserve">الفصل الثاني في صلاة العِيدَيْنِ </w:t>
            </w:r>
            <w:r>
              <w:rPr>
                <w:rStyle w:val="IndexLink"/>
                <w:rtl w:val="true"/>
              </w:rPr>
              <w:t>]</w:t>
              <w:tab/>
            </w:r>
            <w:r>
              <w:rPr>
                <w:rStyle w:val="IndexLink"/>
              </w:rPr>
              <w:t>185</w:t>
            </w:r>
          </w:hyperlink>
        </w:p>
        <w:p>
          <w:pPr>
            <w:pStyle w:val="Contents5"/>
            <w:tabs>
              <w:tab w:val="clear" w:pos="7892"/>
              <w:tab w:val="right" w:pos="9026" w:leader="dot"/>
            </w:tabs>
            <w:rPr/>
          </w:pPr>
          <w:hyperlink w:anchor="__RefHeading___Toc2156474_1067777946">
            <w:r>
              <w:rPr>
                <w:webHidden/>
                <w:rStyle w:val="IndexLink"/>
                <w:rtl w:val="true"/>
              </w:rPr>
              <w:t>[</w:t>
            </w:r>
            <w:r>
              <w:rPr>
                <w:rStyle w:val="IndexLink"/>
                <w:rtl w:val="true"/>
              </w:rPr>
              <w:t>الفصل الثالث في الكُسُوف</w:t>
            </w:r>
            <w:r>
              <w:rPr>
                <w:rStyle w:val="IndexLink"/>
                <w:rtl w:val="true"/>
              </w:rPr>
              <w:t>]</w:t>
              <w:tab/>
            </w:r>
            <w:r>
              <w:rPr>
                <w:rStyle w:val="IndexLink"/>
              </w:rPr>
              <w:t>186</w:t>
            </w:r>
          </w:hyperlink>
        </w:p>
        <w:p>
          <w:pPr>
            <w:pStyle w:val="Contents6"/>
            <w:tabs>
              <w:tab w:val="clear" w:pos="7609"/>
              <w:tab w:val="right" w:pos="9026" w:leader="dot"/>
            </w:tabs>
            <w:rPr/>
          </w:pPr>
          <w:hyperlink w:anchor="__RefHeading___Toc2156476_1067777946">
            <w:r>
              <w:rPr>
                <w:webHidden/>
                <w:rStyle w:val="IndexLink"/>
                <w:rtl w:val="true"/>
              </w:rPr>
              <w:t>[</w:t>
            </w:r>
            <w:r>
              <w:rPr>
                <w:rStyle w:val="IndexLink"/>
                <w:rtl w:val="true"/>
              </w:rPr>
              <w:t xml:space="preserve">المطلب الأوّل الماهيّة </w:t>
            </w:r>
            <w:r>
              <w:rPr>
                <w:rStyle w:val="IndexLink"/>
                <w:rtl w:val="true"/>
              </w:rPr>
              <w:t>]</w:t>
              <w:tab/>
            </w:r>
            <w:r>
              <w:rPr>
                <w:rStyle w:val="IndexLink"/>
              </w:rPr>
              <w:t>186</w:t>
            </w:r>
          </w:hyperlink>
        </w:p>
        <w:p>
          <w:pPr>
            <w:pStyle w:val="Contents6"/>
            <w:tabs>
              <w:tab w:val="clear" w:pos="7609"/>
              <w:tab w:val="right" w:pos="9026" w:leader="dot"/>
            </w:tabs>
            <w:rPr/>
          </w:pPr>
          <w:hyperlink w:anchor="__RefHeading___Toc2156478_1067777946">
            <w:r>
              <w:rPr>
                <w:webHidden/>
                <w:rStyle w:val="IndexLink"/>
                <w:rtl w:val="true"/>
              </w:rPr>
              <w:t>[</w:t>
            </w:r>
            <w:r>
              <w:rPr>
                <w:rStyle w:val="IndexLink"/>
                <w:rtl w:val="true"/>
              </w:rPr>
              <w:t>المطلب الثاني الموجب</w:t>
            </w:r>
            <w:r>
              <w:rPr>
                <w:rStyle w:val="IndexLink"/>
                <w:rtl w:val="true"/>
              </w:rPr>
              <w:t>]</w:t>
              <w:tab/>
            </w:r>
            <w:r>
              <w:rPr>
                <w:rStyle w:val="IndexLink"/>
              </w:rPr>
              <w:t>186</w:t>
            </w:r>
          </w:hyperlink>
        </w:p>
        <w:p>
          <w:pPr>
            <w:pStyle w:val="Contents5"/>
            <w:tabs>
              <w:tab w:val="clear" w:pos="7892"/>
              <w:tab w:val="right" w:pos="9026" w:leader="dot"/>
            </w:tabs>
            <w:rPr/>
          </w:pPr>
          <w:hyperlink w:anchor="__RefHeading___Toc2156480_1067777946">
            <w:r>
              <w:rPr>
                <w:webHidden/>
                <w:rStyle w:val="IndexLink"/>
                <w:rtl w:val="true"/>
              </w:rPr>
              <w:t xml:space="preserve">[ </w:t>
            </w:r>
            <w:r>
              <w:rPr>
                <w:rStyle w:val="IndexLink"/>
                <w:rtl w:val="true"/>
              </w:rPr>
              <w:t xml:space="preserve">الفصل الرابع في صلاة النذر </w:t>
            </w:r>
            <w:r>
              <w:rPr>
                <w:rStyle w:val="IndexLink"/>
                <w:rtl w:val="true"/>
              </w:rPr>
              <w:t>]</w:t>
              <w:tab/>
            </w:r>
            <w:r>
              <w:rPr>
                <w:rStyle w:val="IndexLink"/>
              </w:rPr>
              <w:t>189</w:t>
            </w:r>
          </w:hyperlink>
        </w:p>
        <w:p>
          <w:pPr>
            <w:pStyle w:val="Contents4"/>
            <w:tabs>
              <w:tab w:val="clear" w:pos="8176"/>
              <w:tab w:val="right" w:pos="9026" w:leader="dot"/>
            </w:tabs>
            <w:rPr/>
          </w:pPr>
          <w:hyperlink w:anchor="__RefHeading___Toc2156482_1067777946">
            <w:r>
              <w:rPr>
                <w:webHidden/>
                <w:rStyle w:val="IndexLink"/>
                <w:rtl w:val="true"/>
              </w:rPr>
              <w:t>[</w:t>
            </w:r>
            <w:r>
              <w:rPr>
                <w:rStyle w:val="IndexLink"/>
                <w:rtl w:val="true"/>
              </w:rPr>
              <w:t xml:space="preserve">المقصد الرابع في التوابع </w:t>
            </w:r>
            <w:r>
              <w:rPr>
                <w:rStyle w:val="IndexLink"/>
                <w:rtl w:val="true"/>
              </w:rPr>
              <w:t>]</w:t>
              <w:tab/>
            </w:r>
            <w:r>
              <w:rPr>
                <w:rStyle w:val="IndexLink"/>
              </w:rPr>
              <w:t>190</w:t>
            </w:r>
          </w:hyperlink>
        </w:p>
        <w:p>
          <w:pPr>
            <w:pStyle w:val="Contents5"/>
            <w:tabs>
              <w:tab w:val="clear" w:pos="7892"/>
              <w:tab w:val="right" w:pos="9026" w:leader="dot"/>
            </w:tabs>
            <w:rPr/>
          </w:pPr>
          <w:hyperlink w:anchor="__RefHeading___Toc2156484_1067777946">
            <w:r>
              <w:rPr>
                <w:webHidden/>
                <w:rStyle w:val="IndexLink"/>
                <w:rtl w:val="true"/>
              </w:rPr>
              <w:t>[</w:t>
            </w:r>
            <w:r>
              <w:rPr>
                <w:rStyle w:val="IndexLink"/>
                <w:rtl w:val="true"/>
              </w:rPr>
              <w:t>الفصل الأول في السهو</w:t>
            </w:r>
            <w:r>
              <w:rPr>
                <w:rStyle w:val="IndexLink"/>
                <w:rtl w:val="true"/>
              </w:rPr>
              <w:t>]</w:t>
              <w:tab/>
            </w:r>
            <w:r>
              <w:rPr>
                <w:rStyle w:val="IndexLink"/>
              </w:rPr>
              <w:t>190</w:t>
            </w:r>
          </w:hyperlink>
        </w:p>
        <w:p>
          <w:pPr>
            <w:pStyle w:val="Contents6"/>
            <w:tabs>
              <w:tab w:val="clear" w:pos="7609"/>
              <w:tab w:val="right" w:pos="9026" w:leader="dot"/>
            </w:tabs>
            <w:rPr/>
          </w:pPr>
          <w:hyperlink w:anchor="__RefHeading___Toc2156486_1067777946">
            <w:r>
              <w:rPr>
                <w:webHidden/>
                <w:rStyle w:val="IndexLink"/>
                <w:rtl w:val="true"/>
              </w:rPr>
              <w:t>[</w:t>
            </w:r>
            <w:r>
              <w:rPr>
                <w:rStyle w:val="IndexLink"/>
                <w:rtl w:val="true"/>
              </w:rPr>
              <w:t>المطلب الأول</w:t>
            </w:r>
            <w:r>
              <w:rPr>
                <w:rStyle w:val="IndexLink"/>
                <w:rtl w:val="true"/>
              </w:rPr>
              <w:t xml:space="preserve">: </w:t>
            </w:r>
            <w:r>
              <w:rPr>
                <w:rStyle w:val="IndexLink"/>
                <w:rtl w:val="true"/>
              </w:rPr>
              <w:t xml:space="preserve">فيما يُوجِب الإعادة </w:t>
            </w:r>
            <w:r>
              <w:rPr>
                <w:rStyle w:val="IndexLink"/>
                <w:rtl w:val="true"/>
              </w:rPr>
              <w:t>]</w:t>
              <w:tab/>
            </w:r>
            <w:r>
              <w:rPr>
                <w:rStyle w:val="IndexLink"/>
              </w:rPr>
              <w:t>190</w:t>
            </w:r>
          </w:hyperlink>
        </w:p>
        <w:p>
          <w:pPr>
            <w:pStyle w:val="Contents6"/>
            <w:tabs>
              <w:tab w:val="clear" w:pos="7609"/>
              <w:tab w:val="right" w:pos="9026" w:leader="dot"/>
            </w:tabs>
            <w:rPr/>
          </w:pPr>
          <w:hyperlink w:anchor="__RefHeading___Toc2156488_1067777946">
            <w:r>
              <w:rPr>
                <w:webHidden/>
                <w:rStyle w:val="IndexLink"/>
                <w:rtl w:val="true"/>
              </w:rPr>
              <w:t>[</w:t>
            </w:r>
            <w:r>
              <w:rPr>
                <w:rStyle w:val="IndexLink"/>
                <w:rtl w:val="true"/>
              </w:rPr>
              <w:t>المطلب الثاني فيما يوجب التلافي</w:t>
            </w:r>
            <w:r>
              <w:rPr>
                <w:rStyle w:val="IndexLink"/>
                <w:rtl w:val="true"/>
              </w:rPr>
              <w:t>]</w:t>
              <w:tab/>
            </w:r>
            <w:r>
              <w:rPr>
                <w:rStyle w:val="IndexLink"/>
              </w:rPr>
              <w:t>192</w:t>
            </w:r>
          </w:hyperlink>
        </w:p>
        <w:p>
          <w:pPr>
            <w:pStyle w:val="Contents6"/>
            <w:tabs>
              <w:tab w:val="clear" w:pos="7609"/>
              <w:tab w:val="right" w:pos="9026" w:leader="dot"/>
            </w:tabs>
            <w:rPr/>
          </w:pPr>
          <w:hyperlink w:anchor="__RefHeading___Toc2156490_1067777946">
            <w:r>
              <w:rPr>
                <w:webHidden/>
                <w:rStyle w:val="IndexLink"/>
                <w:rtl w:val="true"/>
              </w:rPr>
              <w:t>[</w:t>
            </w:r>
            <w:r>
              <w:rPr>
                <w:rStyle w:val="IndexLink"/>
                <w:rtl w:val="true"/>
              </w:rPr>
              <w:t xml:space="preserve">المطلب الرابع فيما يُوجِب الاحتياط </w:t>
            </w:r>
            <w:r>
              <w:rPr>
                <w:rStyle w:val="IndexLink"/>
                <w:rtl w:val="true"/>
              </w:rPr>
              <w:t>]</w:t>
              <w:tab/>
            </w:r>
            <w:r>
              <w:rPr>
                <w:rStyle w:val="IndexLink"/>
              </w:rPr>
              <w:t>192</w:t>
            </w:r>
          </w:hyperlink>
        </w:p>
        <w:p>
          <w:pPr>
            <w:pStyle w:val="Contents3"/>
            <w:tabs>
              <w:tab w:val="clear" w:pos="8459"/>
              <w:tab w:val="right" w:pos="9026" w:leader="dot"/>
            </w:tabs>
            <w:rPr/>
          </w:pPr>
          <w:hyperlink w:anchor="__RefHeading___Toc2156492_1067777946">
            <w:r>
              <w:rPr>
                <w:webHidden/>
                <w:rStyle w:val="IndexLink"/>
                <w:rtl w:val="true"/>
              </w:rPr>
              <w:t>كتابُ الزَّكَاةِ</w:t>
            </w:r>
            <w:r>
              <w:rPr>
                <w:rStyle w:val="IndexLink"/>
                <w:rtl w:val="true"/>
              </w:rPr>
              <w:tab/>
            </w:r>
            <w:r>
              <w:rPr>
                <w:rStyle w:val="IndexLink"/>
              </w:rPr>
              <w:t>195</w:t>
            </w:r>
          </w:hyperlink>
        </w:p>
        <w:p>
          <w:pPr>
            <w:pStyle w:val="Contents4"/>
            <w:tabs>
              <w:tab w:val="clear" w:pos="8176"/>
              <w:tab w:val="right" w:pos="9026" w:leader="dot"/>
            </w:tabs>
            <w:rPr/>
          </w:pPr>
          <w:hyperlink w:anchor="__RefHeading___Toc2156494_1067777946">
            <w:r>
              <w:rPr>
                <w:webHidden/>
                <w:rStyle w:val="IndexLink"/>
                <w:rtl w:val="true"/>
              </w:rPr>
              <w:t>الباب الأول في زكاة المال</w:t>
            </w:r>
            <w:r>
              <w:rPr>
                <w:rStyle w:val="IndexLink"/>
                <w:rtl w:val="true"/>
              </w:rPr>
              <w:tab/>
            </w:r>
            <w:r>
              <w:rPr>
                <w:rStyle w:val="IndexLink"/>
              </w:rPr>
              <w:t>195</w:t>
            </w:r>
          </w:hyperlink>
        </w:p>
        <w:p>
          <w:pPr>
            <w:pStyle w:val="Contents5"/>
            <w:tabs>
              <w:tab w:val="clear" w:pos="7892"/>
              <w:tab w:val="right" w:pos="9026" w:leader="dot"/>
            </w:tabs>
            <w:rPr/>
          </w:pPr>
          <w:hyperlink w:anchor="__RefHeading___Toc2156496_1067777946">
            <w:r>
              <w:rPr>
                <w:webHidden/>
                <w:rStyle w:val="IndexLink"/>
                <w:rtl w:val="true"/>
              </w:rPr>
              <w:t>المقصد الأول في الشرائط</w:t>
            </w:r>
            <w:r>
              <w:rPr>
                <w:rStyle w:val="IndexLink"/>
                <w:rtl w:val="true"/>
              </w:rPr>
              <w:tab/>
            </w:r>
            <w:r>
              <w:rPr>
                <w:rStyle w:val="IndexLink"/>
              </w:rPr>
              <w:t>195</w:t>
            </w:r>
          </w:hyperlink>
        </w:p>
        <w:p>
          <w:pPr>
            <w:pStyle w:val="Contents6"/>
            <w:tabs>
              <w:tab w:val="clear" w:pos="7609"/>
              <w:tab w:val="right" w:pos="9026" w:leader="dot"/>
            </w:tabs>
            <w:rPr/>
          </w:pPr>
          <w:hyperlink w:anchor="__RefHeading___Toc2156498_1067777946">
            <w:r>
              <w:rPr>
                <w:webHidden/>
                <w:rStyle w:val="IndexLink"/>
                <w:rtl w:val="true"/>
              </w:rPr>
              <w:t>الفصل الأول في الشرائط العامة</w:t>
            </w:r>
            <w:r>
              <w:rPr>
                <w:rStyle w:val="IndexLink"/>
                <w:rtl w:val="true"/>
              </w:rPr>
              <w:tab/>
            </w:r>
            <w:r>
              <w:rPr>
                <w:rStyle w:val="IndexLink"/>
              </w:rPr>
              <w:t>195</w:t>
            </w:r>
          </w:hyperlink>
        </w:p>
        <w:p>
          <w:pPr>
            <w:pStyle w:val="Contents6"/>
            <w:tabs>
              <w:tab w:val="clear" w:pos="7609"/>
              <w:tab w:val="right" w:pos="9026" w:leader="dot"/>
            </w:tabs>
            <w:rPr/>
          </w:pPr>
          <w:hyperlink w:anchor="__RefHeading___Toc2156500_1067777946">
            <w:r>
              <w:rPr>
                <w:webHidden/>
                <w:rStyle w:val="IndexLink"/>
                <w:rtl w:val="true"/>
              </w:rPr>
              <w:t xml:space="preserve">[ </w:t>
            </w:r>
            <w:r>
              <w:rPr>
                <w:rStyle w:val="IndexLink"/>
                <w:rtl w:val="true"/>
              </w:rPr>
              <w:t xml:space="preserve">الفصل الثاني في الشرائط الخاصة </w:t>
            </w:r>
            <w:r>
              <w:rPr>
                <w:rStyle w:val="IndexLink"/>
                <w:rtl w:val="true"/>
              </w:rPr>
              <w:t>]</w:t>
              <w:tab/>
            </w:r>
            <w:r>
              <w:rPr>
                <w:rStyle w:val="IndexLink"/>
              </w:rPr>
              <w:t>205</w:t>
            </w:r>
          </w:hyperlink>
        </w:p>
        <w:p>
          <w:pPr>
            <w:pStyle w:val="Contents5"/>
            <w:tabs>
              <w:tab w:val="clear" w:pos="7892"/>
              <w:tab w:val="right" w:pos="9026" w:leader="dot"/>
            </w:tabs>
            <w:rPr/>
          </w:pPr>
          <w:hyperlink w:anchor="__RefHeading___Toc2156502_1067777946">
            <w:r>
              <w:rPr>
                <w:webHidden/>
                <w:rStyle w:val="IndexLink"/>
                <w:rtl w:val="true"/>
              </w:rPr>
              <w:t>المقصد الثاني في المَحَلَ</w:t>
            </w:r>
            <w:r>
              <w:rPr>
                <w:rStyle w:val="IndexLink"/>
                <w:rtl w:val="true"/>
              </w:rPr>
              <w:tab/>
            </w:r>
            <w:r>
              <w:rPr>
                <w:rStyle w:val="IndexLink"/>
              </w:rPr>
              <w:t>208</w:t>
            </w:r>
          </w:hyperlink>
        </w:p>
        <w:p>
          <w:pPr>
            <w:pStyle w:val="Contents6"/>
            <w:tabs>
              <w:tab w:val="clear" w:pos="7609"/>
              <w:tab w:val="right" w:pos="9026" w:leader="dot"/>
            </w:tabs>
            <w:rPr/>
          </w:pPr>
          <w:hyperlink w:anchor="__RefHeading___Toc2156504_1067777946">
            <w:r>
              <w:rPr>
                <w:webHidden/>
                <w:rStyle w:val="IndexLink"/>
                <w:rtl w:val="true"/>
              </w:rPr>
              <w:t>[</w:t>
            </w:r>
            <w:r>
              <w:rPr>
                <w:rStyle w:val="IndexLink"/>
                <w:rtl w:val="true"/>
              </w:rPr>
              <w:t>الفصل الأول في النعم</w:t>
            </w:r>
            <w:r>
              <w:rPr>
                <w:rStyle w:val="IndexLink"/>
                <w:rtl w:val="true"/>
              </w:rPr>
              <w:t>]</w:t>
              <w:tab/>
            </w:r>
            <w:r>
              <w:rPr>
                <w:rStyle w:val="IndexLink"/>
              </w:rPr>
              <w:t>208</w:t>
            </w:r>
          </w:hyperlink>
        </w:p>
        <w:p>
          <w:pPr>
            <w:pStyle w:val="Contents6"/>
            <w:tabs>
              <w:tab w:val="clear" w:pos="7609"/>
              <w:tab w:val="right" w:pos="9026" w:leader="dot"/>
            </w:tabs>
            <w:rPr/>
          </w:pPr>
          <w:hyperlink w:anchor="__RefHeading___Toc2156506_1067777946">
            <w:r>
              <w:rPr>
                <w:webHidden/>
                <w:rStyle w:val="IndexLink"/>
                <w:rtl w:val="true"/>
              </w:rPr>
              <w:t xml:space="preserve">[ </w:t>
            </w:r>
            <w:r>
              <w:rPr>
                <w:rStyle w:val="IndexLink"/>
                <w:rtl w:val="true"/>
              </w:rPr>
              <w:t>الفصل الثالث في الغلات</w:t>
            </w:r>
            <w:r>
              <w:rPr>
                <w:rStyle w:val="IndexLink"/>
                <w:rtl w:val="true"/>
              </w:rPr>
              <w:t>]</w:t>
              <w:tab/>
            </w:r>
            <w:r>
              <w:rPr>
                <w:rStyle w:val="IndexLink"/>
              </w:rPr>
              <w:t>211</w:t>
            </w:r>
          </w:hyperlink>
        </w:p>
        <w:p>
          <w:pPr>
            <w:pStyle w:val="Contents5"/>
            <w:tabs>
              <w:tab w:val="clear" w:pos="7892"/>
              <w:tab w:val="right" w:pos="9026" w:leader="dot"/>
            </w:tabs>
            <w:rPr/>
          </w:pPr>
          <w:hyperlink w:anchor="__RefHeading___Toc2156508_1067777946">
            <w:r>
              <w:rPr>
                <w:webHidden/>
                <w:rStyle w:val="IndexLink"/>
                <w:rtl w:val="true"/>
              </w:rPr>
              <w:t>[</w:t>
            </w:r>
            <w:r>
              <w:rPr>
                <w:rStyle w:val="IndexLink"/>
                <w:rtl w:val="true"/>
              </w:rPr>
              <w:t>المقصد الثالث فيما تُستحبّ فيه الزكاةُ</w:t>
            </w:r>
            <w:r>
              <w:rPr>
                <w:rStyle w:val="IndexLink"/>
                <w:rtl w:val="true"/>
              </w:rPr>
              <w:t>]</w:t>
              <w:tab/>
            </w:r>
            <w:r>
              <w:rPr>
                <w:rStyle w:val="IndexLink"/>
              </w:rPr>
              <w:t>213</w:t>
            </w:r>
          </w:hyperlink>
        </w:p>
        <w:p>
          <w:pPr>
            <w:pStyle w:val="Contents6"/>
            <w:tabs>
              <w:tab w:val="clear" w:pos="7609"/>
              <w:tab w:val="right" w:pos="9026" w:leader="dot"/>
            </w:tabs>
            <w:rPr/>
          </w:pPr>
          <w:hyperlink w:anchor="__RefHeading___Toc2156510_1067777946">
            <w:r>
              <w:rPr>
                <w:webHidden/>
                <w:rStyle w:val="IndexLink"/>
                <w:rtl w:val="true"/>
              </w:rPr>
              <w:t>[</w:t>
            </w:r>
            <w:r>
              <w:rPr>
                <w:rStyle w:val="IndexLink"/>
                <w:rtl w:val="true"/>
              </w:rPr>
              <w:t>المطلب الأول في مال التجارة على رأي</w:t>
            </w:r>
            <w:r>
              <w:rPr>
                <w:rStyle w:val="IndexLink"/>
                <w:rtl w:val="true"/>
              </w:rPr>
              <w:t>]</w:t>
              <w:tab/>
            </w:r>
            <w:r>
              <w:rPr>
                <w:rStyle w:val="IndexLink"/>
              </w:rPr>
              <w:t>213</w:t>
            </w:r>
          </w:hyperlink>
        </w:p>
        <w:p>
          <w:pPr>
            <w:pStyle w:val="Contents6"/>
            <w:tabs>
              <w:tab w:val="clear" w:pos="7609"/>
              <w:tab w:val="right" w:pos="9026" w:leader="dot"/>
            </w:tabs>
            <w:rPr/>
          </w:pPr>
          <w:hyperlink w:anchor="__RefHeading___Toc2156512_1067777946">
            <w:r>
              <w:rPr>
                <w:webHidden/>
                <w:rStyle w:val="IndexLink"/>
                <w:rtl w:val="true"/>
              </w:rPr>
              <w:t>[</w:t>
            </w:r>
            <w:r>
              <w:rPr>
                <w:rStyle w:val="IndexLink"/>
                <w:rtl w:val="true"/>
              </w:rPr>
              <w:t xml:space="preserve">المطلب الثاني في باقي الأنواع </w:t>
            </w:r>
            <w:r>
              <w:rPr>
                <w:rStyle w:val="IndexLink"/>
                <w:rtl w:val="true"/>
              </w:rPr>
              <w:t>]</w:t>
              <w:tab/>
            </w:r>
            <w:r>
              <w:rPr>
                <w:rStyle w:val="IndexLink"/>
              </w:rPr>
              <w:t>216</w:t>
            </w:r>
          </w:hyperlink>
        </w:p>
        <w:p>
          <w:pPr>
            <w:pStyle w:val="Contents5"/>
            <w:tabs>
              <w:tab w:val="clear" w:pos="7892"/>
              <w:tab w:val="right" w:pos="9026" w:leader="dot"/>
            </w:tabs>
            <w:rPr/>
          </w:pPr>
          <w:hyperlink w:anchor="__RefHeading___Toc2156514_1067777946">
            <w:r>
              <w:rPr>
                <w:webHidden/>
                <w:rStyle w:val="IndexLink"/>
                <w:rtl w:val="true"/>
              </w:rPr>
              <w:t>المقصد الرابع في المُستَحِقِّ</w:t>
            </w:r>
            <w:r>
              <w:rPr>
                <w:rStyle w:val="IndexLink"/>
                <w:rtl w:val="true"/>
              </w:rPr>
              <w:tab/>
            </w:r>
            <w:r>
              <w:rPr>
                <w:rStyle w:val="IndexLink"/>
              </w:rPr>
              <w:t>217</w:t>
            </w:r>
          </w:hyperlink>
        </w:p>
        <w:p>
          <w:pPr>
            <w:pStyle w:val="Contents6"/>
            <w:tabs>
              <w:tab w:val="clear" w:pos="7609"/>
              <w:tab w:val="right" w:pos="9026" w:leader="dot"/>
            </w:tabs>
            <w:rPr/>
          </w:pPr>
          <w:hyperlink w:anchor="__RefHeading___Toc2156516_1067777946">
            <w:r>
              <w:rPr>
                <w:webHidden/>
                <w:rStyle w:val="IndexLink"/>
                <w:rtl w:val="true"/>
              </w:rPr>
              <w:t>[</w:t>
            </w:r>
            <w:r>
              <w:rPr>
                <w:rStyle w:val="IndexLink"/>
                <w:rtl w:val="true"/>
              </w:rPr>
              <w:t xml:space="preserve">الفصل الأول في الأصناف </w:t>
            </w:r>
            <w:r>
              <w:rPr>
                <w:rStyle w:val="IndexLink"/>
                <w:rtl w:val="true"/>
              </w:rPr>
              <w:t>]</w:t>
              <w:tab/>
            </w:r>
            <w:r>
              <w:rPr>
                <w:rStyle w:val="IndexLink"/>
              </w:rPr>
              <w:t>217</w:t>
            </w:r>
          </w:hyperlink>
        </w:p>
        <w:p>
          <w:pPr>
            <w:pStyle w:val="Contents6"/>
            <w:tabs>
              <w:tab w:val="clear" w:pos="7609"/>
              <w:tab w:val="right" w:pos="9026" w:leader="dot"/>
            </w:tabs>
            <w:rPr/>
          </w:pPr>
          <w:hyperlink w:anchor="__RefHeading___Toc2156518_1067777946">
            <w:r>
              <w:rPr>
                <w:webHidden/>
                <w:rStyle w:val="IndexLink"/>
                <w:rtl w:val="true"/>
              </w:rPr>
              <w:t xml:space="preserve">[ </w:t>
            </w:r>
            <w:r>
              <w:rPr>
                <w:rStyle w:val="IndexLink"/>
                <w:rtl w:val="true"/>
              </w:rPr>
              <w:t>الفصل الثاني في الأوصاف</w:t>
            </w:r>
            <w:r>
              <w:rPr>
                <w:rStyle w:val="IndexLink"/>
                <w:rtl w:val="true"/>
              </w:rPr>
              <w:t>]</w:t>
              <w:tab/>
            </w:r>
            <w:r>
              <w:rPr>
                <w:rStyle w:val="IndexLink"/>
              </w:rPr>
              <w:t>220</w:t>
            </w:r>
          </w:hyperlink>
        </w:p>
        <w:p>
          <w:pPr>
            <w:pStyle w:val="Contents5"/>
            <w:tabs>
              <w:tab w:val="clear" w:pos="7892"/>
              <w:tab w:val="right" w:pos="9026" w:leader="dot"/>
            </w:tabs>
            <w:rPr/>
          </w:pPr>
          <w:hyperlink w:anchor="__RefHeading___Toc2156520_1067777946">
            <w:r>
              <w:rPr>
                <w:webHidden/>
                <w:rStyle w:val="IndexLink"/>
                <w:rtl w:val="true"/>
              </w:rPr>
              <w:t xml:space="preserve">[ </w:t>
            </w:r>
            <w:r>
              <w:rPr>
                <w:rStyle w:val="IndexLink"/>
                <w:rtl w:val="true"/>
              </w:rPr>
              <w:t xml:space="preserve">المقصد الخامس في كيفية الإخراج </w:t>
            </w:r>
            <w:r>
              <w:rPr>
                <w:rStyle w:val="IndexLink"/>
                <w:rtl w:val="true"/>
              </w:rPr>
              <w:t>]</w:t>
              <w:tab/>
            </w:r>
            <w:r>
              <w:rPr>
                <w:rStyle w:val="IndexLink"/>
              </w:rPr>
              <w:t>221</w:t>
            </w:r>
          </w:hyperlink>
        </w:p>
        <w:p>
          <w:pPr>
            <w:pStyle w:val="Contents6"/>
            <w:tabs>
              <w:tab w:val="clear" w:pos="7609"/>
              <w:tab w:val="right" w:pos="9026" w:leader="dot"/>
            </w:tabs>
            <w:rPr/>
          </w:pPr>
          <w:hyperlink w:anchor="__RefHeading___Toc2156522_1067777946">
            <w:r>
              <w:rPr>
                <w:webHidden/>
                <w:rStyle w:val="IndexLink"/>
                <w:rtl w:val="true"/>
              </w:rPr>
              <w:t>[</w:t>
            </w:r>
            <w:r>
              <w:rPr>
                <w:rStyle w:val="IndexLink"/>
                <w:rtl w:val="true"/>
              </w:rPr>
              <w:t xml:space="preserve">المطلب الأوّل في الوقت </w:t>
            </w:r>
            <w:r>
              <w:rPr>
                <w:rStyle w:val="IndexLink"/>
                <w:rtl w:val="true"/>
              </w:rPr>
              <w:t>]</w:t>
              <w:tab/>
            </w:r>
            <w:r>
              <w:rPr>
                <w:rStyle w:val="IndexLink"/>
              </w:rPr>
              <w:t>221</w:t>
            </w:r>
          </w:hyperlink>
        </w:p>
        <w:p>
          <w:pPr>
            <w:pStyle w:val="Contents6"/>
            <w:tabs>
              <w:tab w:val="clear" w:pos="7609"/>
              <w:tab w:val="right" w:pos="9026" w:leader="dot"/>
            </w:tabs>
            <w:rPr/>
          </w:pPr>
          <w:hyperlink w:anchor="__RefHeading___Toc2156524_1067777946">
            <w:r>
              <w:rPr>
                <w:webHidden/>
                <w:rStyle w:val="IndexLink"/>
                <w:rtl w:val="true"/>
              </w:rPr>
              <w:t>[</w:t>
            </w:r>
            <w:r>
              <w:rPr>
                <w:rStyle w:val="IndexLink"/>
                <w:rtl w:val="true"/>
              </w:rPr>
              <w:t>المطلب الثاني في المُخرِج</w:t>
            </w:r>
            <w:r>
              <w:rPr>
                <w:rStyle w:val="IndexLink"/>
                <w:rtl w:val="true"/>
              </w:rPr>
              <w:t>]</w:t>
              <w:tab/>
            </w:r>
            <w:r>
              <w:rPr>
                <w:rStyle w:val="IndexLink"/>
              </w:rPr>
              <w:t>222</w:t>
            </w:r>
          </w:hyperlink>
        </w:p>
        <w:p>
          <w:pPr>
            <w:pStyle w:val="Contents6"/>
            <w:tabs>
              <w:tab w:val="clear" w:pos="7609"/>
              <w:tab w:val="right" w:pos="9026" w:leader="dot"/>
            </w:tabs>
            <w:rPr/>
          </w:pPr>
          <w:hyperlink w:anchor="__RefHeading___Toc2156526_1067777946">
            <w:r>
              <w:rPr>
                <w:webHidden/>
                <w:rStyle w:val="IndexLink"/>
                <w:rtl w:val="true"/>
              </w:rPr>
              <w:t>[</w:t>
            </w:r>
            <w:r>
              <w:rPr>
                <w:rStyle w:val="IndexLink"/>
                <w:rtl w:val="true"/>
              </w:rPr>
              <w:t>المطلب الثالث في النية</w:t>
            </w:r>
            <w:r>
              <w:rPr>
                <w:rStyle w:val="IndexLink"/>
                <w:rtl w:val="true"/>
              </w:rPr>
              <w:t>]</w:t>
              <w:tab/>
            </w:r>
            <w:r>
              <w:rPr>
                <w:rStyle w:val="IndexLink"/>
              </w:rPr>
              <w:t>222</w:t>
            </w:r>
          </w:hyperlink>
        </w:p>
        <w:p>
          <w:pPr>
            <w:pStyle w:val="Contents6"/>
            <w:tabs>
              <w:tab w:val="clear" w:pos="7609"/>
              <w:tab w:val="right" w:pos="9026" w:leader="dot"/>
            </w:tabs>
            <w:rPr/>
          </w:pPr>
          <w:hyperlink w:anchor="__RefHeading___Toc2156528_1067777946">
            <w:r>
              <w:rPr>
                <w:webHidden/>
                <w:rStyle w:val="IndexLink"/>
                <w:rtl w:val="true"/>
              </w:rPr>
              <w:t>[</w:t>
            </w:r>
            <w:r>
              <w:rPr>
                <w:rStyle w:val="IndexLink"/>
                <w:rtl w:val="true"/>
              </w:rPr>
              <w:t>المطلب الرابع في بقايا مباحث هذا الباب</w:t>
            </w:r>
            <w:r>
              <w:rPr>
                <w:rStyle w:val="IndexLink"/>
                <w:rtl w:val="true"/>
              </w:rPr>
              <w:t>]</w:t>
              <w:tab/>
            </w:r>
            <w:r>
              <w:rPr>
                <w:rStyle w:val="IndexLink"/>
              </w:rPr>
              <w:t>223</w:t>
            </w:r>
          </w:hyperlink>
        </w:p>
        <w:p>
          <w:pPr>
            <w:pStyle w:val="Contents4"/>
            <w:tabs>
              <w:tab w:val="clear" w:pos="8176"/>
              <w:tab w:val="right" w:pos="9026" w:leader="dot"/>
            </w:tabs>
            <w:rPr/>
          </w:pPr>
          <w:hyperlink w:anchor="__RefHeading___Toc2156530_1067777946">
            <w:r>
              <w:rPr>
                <w:webHidden/>
                <w:rStyle w:val="IndexLink"/>
                <w:rtl w:val="true"/>
              </w:rPr>
              <w:t>الباب الثاني في زكاة الفطرة</w:t>
            </w:r>
            <w:r>
              <w:rPr>
                <w:rStyle w:val="IndexLink"/>
                <w:rtl w:val="true"/>
              </w:rPr>
              <w:tab/>
            </w:r>
            <w:r>
              <w:rPr>
                <w:rStyle w:val="IndexLink"/>
              </w:rPr>
              <w:t>225</w:t>
            </w:r>
          </w:hyperlink>
        </w:p>
        <w:p>
          <w:pPr>
            <w:pStyle w:val="Contents5"/>
            <w:tabs>
              <w:tab w:val="clear" w:pos="7892"/>
              <w:tab w:val="right" w:pos="9026" w:leader="dot"/>
            </w:tabs>
            <w:rPr/>
          </w:pPr>
          <w:hyperlink w:anchor="__RefHeading___Toc2156532_1067777946">
            <w:r>
              <w:rPr>
                <w:webHidden/>
                <w:rStyle w:val="IndexLink"/>
                <w:rtl w:val="true"/>
              </w:rPr>
              <w:t>[</w:t>
            </w:r>
            <w:r>
              <w:rPr>
                <w:rStyle w:val="IndexLink"/>
                <w:rtl w:val="true"/>
              </w:rPr>
              <w:t>المطلب الأوّل</w:t>
            </w:r>
            <w:r>
              <w:rPr>
                <w:rStyle w:val="IndexLink"/>
                <w:rtl w:val="true"/>
              </w:rPr>
              <w:t xml:space="preserve">: </w:t>
            </w:r>
            <w:r>
              <w:rPr>
                <w:rStyle w:val="IndexLink"/>
                <w:rtl w:val="true"/>
              </w:rPr>
              <w:t xml:space="preserve">المكلَّف </w:t>
            </w:r>
            <w:r>
              <w:rPr>
                <w:rStyle w:val="IndexLink"/>
                <w:rtl w:val="true"/>
              </w:rPr>
              <w:t>]</w:t>
              <w:tab/>
            </w:r>
            <w:r>
              <w:rPr>
                <w:rStyle w:val="IndexLink"/>
              </w:rPr>
              <w:t>225</w:t>
            </w:r>
          </w:hyperlink>
        </w:p>
        <w:p>
          <w:pPr>
            <w:pStyle w:val="Contents5"/>
            <w:tabs>
              <w:tab w:val="clear" w:pos="7892"/>
              <w:tab w:val="right" w:pos="9026" w:leader="dot"/>
            </w:tabs>
            <w:rPr/>
          </w:pPr>
          <w:hyperlink w:anchor="__RefHeading___Toc2156534_1067777946">
            <w:r>
              <w:rPr>
                <w:webHidden/>
                <w:rStyle w:val="IndexLink"/>
                <w:rtl w:val="true"/>
              </w:rPr>
              <w:t>[</w:t>
            </w:r>
            <w:r>
              <w:rPr>
                <w:rStyle w:val="IndexLink"/>
                <w:rtl w:val="true"/>
              </w:rPr>
              <w:t xml:space="preserve">المطلب الثاني في وقتها </w:t>
            </w:r>
            <w:r>
              <w:rPr>
                <w:rStyle w:val="IndexLink"/>
                <w:rtl w:val="true"/>
              </w:rPr>
              <w:t>]</w:t>
              <w:tab/>
            </w:r>
            <w:r>
              <w:rPr>
                <w:rStyle w:val="IndexLink"/>
              </w:rPr>
              <w:t>227</w:t>
            </w:r>
          </w:hyperlink>
        </w:p>
        <w:p>
          <w:pPr>
            <w:pStyle w:val="Contents5"/>
            <w:tabs>
              <w:tab w:val="clear" w:pos="7892"/>
              <w:tab w:val="right" w:pos="9026" w:leader="dot"/>
            </w:tabs>
            <w:rPr/>
          </w:pPr>
          <w:hyperlink w:anchor="__RefHeading___Toc2156536_1067777946">
            <w:r>
              <w:rPr>
                <w:webHidden/>
                <w:rStyle w:val="IndexLink"/>
                <w:rtl w:val="true"/>
              </w:rPr>
              <w:t>[</w:t>
            </w:r>
            <w:r>
              <w:rPr>
                <w:rStyle w:val="IndexLink"/>
                <w:rtl w:val="true"/>
              </w:rPr>
              <w:t>المطلب الثالث في الواجب</w:t>
            </w:r>
            <w:r>
              <w:rPr>
                <w:rStyle w:val="IndexLink"/>
                <w:rtl w:val="true"/>
              </w:rPr>
              <w:t>]</w:t>
              <w:tab/>
            </w:r>
            <w:r>
              <w:rPr>
                <w:rStyle w:val="IndexLink"/>
              </w:rPr>
              <w:t>228</w:t>
            </w:r>
          </w:hyperlink>
        </w:p>
        <w:p>
          <w:pPr>
            <w:pStyle w:val="Contents4"/>
            <w:tabs>
              <w:tab w:val="clear" w:pos="8176"/>
              <w:tab w:val="right" w:pos="9026" w:leader="dot"/>
            </w:tabs>
            <w:rPr/>
          </w:pPr>
          <w:hyperlink w:anchor="__RefHeading___Toc2156538_1067777946">
            <w:r>
              <w:rPr>
                <w:webHidden/>
                <w:rStyle w:val="IndexLink"/>
                <w:rtl w:val="true"/>
              </w:rPr>
              <w:t>[</w:t>
            </w:r>
            <w:r>
              <w:rPr>
                <w:rStyle w:val="IndexLink"/>
                <w:rtl w:val="true"/>
              </w:rPr>
              <w:t xml:space="preserve">الباب الثالث في الخُمس </w:t>
            </w:r>
            <w:r>
              <w:rPr>
                <w:rStyle w:val="IndexLink"/>
                <w:rtl w:val="true"/>
              </w:rPr>
              <w:t>]</w:t>
              <w:tab/>
            </w:r>
            <w:r>
              <w:rPr>
                <w:rStyle w:val="IndexLink"/>
              </w:rPr>
              <w:t>230</w:t>
            </w:r>
          </w:hyperlink>
        </w:p>
        <w:p>
          <w:pPr>
            <w:pStyle w:val="Contents3"/>
            <w:tabs>
              <w:tab w:val="clear" w:pos="8459"/>
              <w:tab w:val="right" w:pos="9026" w:leader="dot"/>
            </w:tabs>
            <w:rPr/>
          </w:pPr>
          <w:hyperlink w:anchor="__RefHeading___Toc2156540_1067777946">
            <w:r>
              <w:rPr>
                <w:webHidden/>
                <w:rStyle w:val="IndexLink"/>
                <w:rtl w:val="true"/>
              </w:rPr>
              <w:t>كتاب الصوم</w:t>
            </w:r>
            <w:r>
              <w:rPr>
                <w:rStyle w:val="IndexLink"/>
                <w:rtl w:val="true"/>
              </w:rPr>
              <w:tab/>
            </w:r>
            <w:r>
              <w:rPr>
                <w:rStyle w:val="IndexLink"/>
              </w:rPr>
              <w:t>233</w:t>
            </w:r>
          </w:hyperlink>
        </w:p>
        <w:p>
          <w:pPr>
            <w:pStyle w:val="Contents4"/>
            <w:tabs>
              <w:tab w:val="clear" w:pos="8176"/>
              <w:tab w:val="right" w:pos="9026" w:leader="dot"/>
            </w:tabs>
            <w:rPr/>
          </w:pPr>
          <w:hyperlink w:anchor="__RefHeading___Toc2156542_1067777946">
            <w:r>
              <w:rPr>
                <w:webHidden/>
                <w:rStyle w:val="IndexLink"/>
                <w:rtl w:val="true"/>
              </w:rPr>
              <w:t>المقصد الأوّل في ماهية الصوم</w:t>
            </w:r>
            <w:r>
              <w:rPr>
                <w:rStyle w:val="IndexLink"/>
                <w:rtl w:val="true"/>
              </w:rPr>
              <w:tab/>
            </w:r>
            <w:r>
              <w:rPr>
                <w:rStyle w:val="IndexLink"/>
              </w:rPr>
              <w:t>233</w:t>
            </w:r>
          </w:hyperlink>
        </w:p>
        <w:p>
          <w:pPr>
            <w:pStyle w:val="Contents5"/>
            <w:tabs>
              <w:tab w:val="clear" w:pos="7892"/>
              <w:tab w:val="right" w:pos="9026" w:leader="dot"/>
            </w:tabs>
            <w:rPr/>
          </w:pPr>
          <w:hyperlink w:anchor="__RefHeading___Toc2156544_1067777946">
            <w:r>
              <w:rPr>
                <w:webHidden/>
                <w:rStyle w:val="IndexLink"/>
                <w:rtl w:val="true"/>
              </w:rPr>
              <w:t>[</w:t>
            </w:r>
            <w:r>
              <w:rPr>
                <w:rStyle w:val="IndexLink"/>
                <w:rtl w:val="true"/>
              </w:rPr>
              <w:t>الفصل الأول</w:t>
            </w:r>
            <w:r>
              <w:rPr>
                <w:rStyle w:val="IndexLink"/>
                <w:rtl w:val="true"/>
              </w:rPr>
              <w:t xml:space="preserve">: </w:t>
            </w:r>
            <w:r>
              <w:rPr>
                <w:rStyle w:val="IndexLink"/>
                <w:rtl w:val="true"/>
              </w:rPr>
              <w:t xml:space="preserve">النيّة </w:t>
            </w:r>
            <w:r>
              <w:rPr>
                <w:rStyle w:val="IndexLink"/>
                <w:rtl w:val="true"/>
              </w:rPr>
              <w:t>]</w:t>
              <w:tab/>
            </w:r>
            <w:r>
              <w:rPr>
                <w:rStyle w:val="IndexLink"/>
              </w:rPr>
              <w:t>233</w:t>
            </w:r>
          </w:hyperlink>
        </w:p>
        <w:p>
          <w:pPr>
            <w:pStyle w:val="Contents5"/>
            <w:tabs>
              <w:tab w:val="clear" w:pos="7892"/>
              <w:tab w:val="right" w:pos="9026" w:leader="dot"/>
            </w:tabs>
            <w:rPr/>
          </w:pPr>
          <w:hyperlink w:anchor="__RefHeading___Toc2156546_1067777946">
            <w:r>
              <w:rPr>
                <w:webHidden/>
                <w:rStyle w:val="IndexLink"/>
                <w:rtl w:val="true"/>
              </w:rPr>
              <w:t xml:space="preserve">[ </w:t>
            </w:r>
            <w:r>
              <w:rPr>
                <w:rStyle w:val="IndexLink"/>
                <w:rtl w:val="true"/>
              </w:rPr>
              <w:t>الفصل الثاني في الإمساك</w:t>
            </w:r>
            <w:r>
              <w:rPr>
                <w:rStyle w:val="IndexLink"/>
                <w:rtl w:val="true"/>
              </w:rPr>
              <w:t>]</w:t>
              <w:tab/>
            </w:r>
            <w:r>
              <w:rPr>
                <w:rStyle w:val="IndexLink"/>
              </w:rPr>
              <w:t>238</w:t>
            </w:r>
          </w:hyperlink>
        </w:p>
        <w:p>
          <w:pPr>
            <w:pStyle w:val="Contents6"/>
            <w:tabs>
              <w:tab w:val="clear" w:pos="7609"/>
              <w:tab w:val="right" w:pos="9026" w:leader="dot"/>
            </w:tabs>
            <w:rPr/>
          </w:pPr>
          <w:hyperlink w:anchor="__RefHeading___Toc2156548_1067777946">
            <w:r>
              <w:rPr>
                <w:webHidden/>
                <w:rStyle w:val="IndexLink"/>
                <w:rtl w:val="true"/>
              </w:rPr>
              <w:t>[</w:t>
            </w:r>
            <w:r>
              <w:rPr>
                <w:rStyle w:val="IndexLink"/>
                <w:rtl w:val="true"/>
              </w:rPr>
              <w:t xml:space="preserve">المطلب الأوّل فيما يُمسَكُ عنه </w:t>
            </w:r>
            <w:r>
              <w:rPr>
                <w:rStyle w:val="IndexLink"/>
                <w:rtl w:val="true"/>
              </w:rPr>
              <w:t>]</w:t>
              <w:tab/>
            </w:r>
            <w:r>
              <w:rPr>
                <w:rStyle w:val="IndexLink"/>
              </w:rPr>
              <w:t>238</w:t>
            </w:r>
          </w:hyperlink>
        </w:p>
        <w:p>
          <w:pPr>
            <w:pStyle w:val="Contents6"/>
            <w:tabs>
              <w:tab w:val="clear" w:pos="7609"/>
              <w:tab w:val="right" w:pos="9026" w:leader="dot"/>
            </w:tabs>
            <w:rPr/>
          </w:pPr>
          <w:hyperlink w:anchor="__RefHeading___Toc2156550_1067777946">
            <w:r>
              <w:rPr>
                <w:webHidden/>
                <w:rStyle w:val="IndexLink"/>
                <w:rtl w:val="true"/>
              </w:rPr>
              <w:t>[</w:t>
            </w:r>
            <w:r>
              <w:rPr>
                <w:rStyle w:val="IndexLink"/>
                <w:rtl w:val="true"/>
              </w:rPr>
              <w:t>المطلب الثاني فيما يوجب الإفطار</w:t>
            </w:r>
            <w:r>
              <w:rPr>
                <w:rStyle w:val="IndexLink"/>
                <w:rtl w:val="true"/>
              </w:rPr>
              <w:t>]</w:t>
              <w:tab/>
            </w:r>
            <w:r>
              <w:rPr>
                <w:rStyle w:val="IndexLink"/>
              </w:rPr>
              <w:t>240</w:t>
            </w:r>
          </w:hyperlink>
        </w:p>
        <w:p>
          <w:pPr>
            <w:pStyle w:val="Contents6"/>
            <w:tabs>
              <w:tab w:val="clear" w:pos="7609"/>
              <w:tab w:val="right" w:pos="9026" w:leader="dot"/>
            </w:tabs>
            <w:rPr/>
          </w:pPr>
          <w:hyperlink w:anchor="__RefHeading___Toc2156552_1067777946">
            <w:r>
              <w:rPr>
                <w:webHidden/>
                <w:rStyle w:val="IndexLink"/>
                <w:rtl w:val="true"/>
              </w:rPr>
              <w:t>[</w:t>
            </w:r>
            <w:r>
              <w:rPr>
                <w:rStyle w:val="IndexLink"/>
                <w:rtl w:val="true"/>
              </w:rPr>
              <w:t xml:space="preserve">المطلب الثالث فيما يجب بالإفطار </w:t>
            </w:r>
            <w:r>
              <w:rPr>
                <w:rStyle w:val="IndexLink"/>
                <w:rtl w:val="true"/>
              </w:rPr>
              <w:t>]</w:t>
              <w:tab/>
            </w:r>
            <w:r>
              <w:rPr>
                <w:rStyle w:val="IndexLink"/>
              </w:rPr>
              <w:t>242</w:t>
            </w:r>
          </w:hyperlink>
        </w:p>
        <w:p>
          <w:pPr>
            <w:pStyle w:val="Contents6"/>
            <w:tabs>
              <w:tab w:val="clear" w:pos="7609"/>
              <w:tab w:val="right" w:pos="9026" w:leader="dot"/>
            </w:tabs>
            <w:rPr/>
          </w:pPr>
          <w:hyperlink w:anchor="__RefHeading___Toc2156554_1067777946">
            <w:r>
              <w:rPr>
                <w:webHidden/>
                <w:rStyle w:val="IndexLink"/>
                <w:rtl w:val="true"/>
              </w:rPr>
              <w:t>[</w:t>
            </w:r>
            <w:r>
              <w:rPr>
                <w:rStyle w:val="IndexLink"/>
                <w:rtl w:val="true"/>
              </w:rPr>
              <w:t xml:space="preserve">المطلب الرابع في بقايا مَباحِثِ مُوجِباتِ الإفطار </w:t>
            </w:r>
            <w:r>
              <w:rPr>
                <w:rStyle w:val="IndexLink"/>
                <w:rtl w:val="true"/>
              </w:rPr>
              <w:t>]</w:t>
              <w:tab/>
            </w:r>
            <w:r>
              <w:rPr>
                <w:rStyle w:val="IndexLink"/>
              </w:rPr>
              <w:t>245</w:t>
            </w:r>
          </w:hyperlink>
        </w:p>
        <w:p>
          <w:pPr>
            <w:pStyle w:val="Contents5"/>
            <w:tabs>
              <w:tab w:val="clear" w:pos="7892"/>
              <w:tab w:val="right" w:pos="9026" w:leader="dot"/>
            </w:tabs>
            <w:rPr/>
          </w:pPr>
          <w:hyperlink w:anchor="__RefHeading___Toc2156556_1067777946">
            <w:r>
              <w:rPr>
                <w:webHidden/>
                <w:rStyle w:val="IndexLink"/>
                <w:rtl w:val="true"/>
              </w:rPr>
              <w:t>[</w:t>
            </w:r>
            <w:r>
              <w:rPr>
                <w:rStyle w:val="IndexLink"/>
                <w:rtl w:val="true"/>
              </w:rPr>
              <w:t xml:space="preserve">الفصل الثالث في وقت الإمساك وشرائطه </w:t>
            </w:r>
            <w:r>
              <w:rPr>
                <w:rStyle w:val="IndexLink"/>
                <w:rtl w:val="true"/>
              </w:rPr>
              <w:t>]</w:t>
              <w:tab/>
            </w:r>
            <w:r>
              <w:rPr>
                <w:rStyle w:val="IndexLink"/>
              </w:rPr>
              <w:t>252</w:t>
            </w:r>
          </w:hyperlink>
        </w:p>
        <w:p>
          <w:pPr>
            <w:pStyle w:val="Contents4"/>
            <w:tabs>
              <w:tab w:val="clear" w:pos="8176"/>
              <w:tab w:val="right" w:pos="9026" w:leader="dot"/>
            </w:tabs>
            <w:rPr/>
          </w:pPr>
          <w:hyperlink w:anchor="__RefHeading___Toc2156558_1067777946">
            <w:r>
              <w:rPr>
                <w:webHidden/>
                <w:rStyle w:val="IndexLink"/>
                <w:rtl w:val="true"/>
              </w:rPr>
              <w:t>[</w:t>
            </w:r>
            <w:r>
              <w:rPr>
                <w:rStyle w:val="IndexLink"/>
                <w:rtl w:val="true"/>
              </w:rPr>
              <w:t>المقصد الثاني في أقسامه</w:t>
            </w:r>
            <w:r>
              <w:rPr>
                <w:rStyle w:val="IndexLink"/>
                <w:rtl w:val="true"/>
              </w:rPr>
              <w:t>]</w:t>
              <w:tab/>
            </w:r>
            <w:r>
              <w:rPr>
                <w:rStyle w:val="IndexLink"/>
              </w:rPr>
              <w:t>254</w:t>
            </w:r>
          </w:hyperlink>
        </w:p>
        <w:p>
          <w:pPr>
            <w:pStyle w:val="Contents5"/>
            <w:tabs>
              <w:tab w:val="clear" w:pos="7892"/>
              <w:tab w:val="right" w:pos="9026" w:leader="dot"/>
            </w:tabs>
            <w:rPr/>
          </w:pPr>
          <w:hyperlink w:anchor="__RefHeading___Toc2156560_1067777946">
            <w:r>
              <w:rPr>
                <w:webHidden/>
                <w:rStyle w:val="IndexLink"/>
                <w:rtl w:val="true"/>
              </w:rPr>
              <w:t>[</w:t>
            </w:r>
            <w:r>
              <w:rPr>
                <w:rStyle w:val="IndexLink"/>
                <w:rtl w:val="true"/>
              </w:rPr>
              <w:t>المطلب الأول</w:t>
            </w:r>
            <w:r>
              <w:rPr>
                <w:rStyle w:val="IndexLink"/>
                <w:rtl w:val="true"/>
              </w:rPr>
              <w:t xml:space="preserve">: </w:t>
            </w:r>
            <w:r>
              <w:rPr>
                <w:rStyle w:val="IndexLink"/>
                <w:rtl w:val="true"/>
              </w:rPr>
              <w:t xml:space="preserve">أقسام الصوم أربعة </w:t>
            </w:r>
            <w:r>
              <w:rPr>
                <w:rStyle w:val="IndexLink"/>
                <w:rtl w:val="true"/>
              </w:rPr>
              <w:t>]</w:t>
              <w:tab/>
            </w:r>
            <w:r>
              <w:rPr>
                <w:rStyle w:val="IndexLink"/>
              </w:rPr>
              <w:t>254</w:t>
            </w:r>
          </w:hyperlink>
        </w:p>
        <w:p>
          <w:pPr>
            <w:pStyle w:val="Contents5"/>
            <w:tabs>
              <w:tab w:val="clear" w:pos="7892"/>
              <w:tab w:val="right" w:pos="9026" w:leader="dot"/>
            </w:tabs>
            <w:rPr/>
          </w:pPr>
          <w:hyperlink w:anchor="__RefHeading___Toc2156562_1067777946">
            <w:r>
              <w:rPr>
                <w:webHidden/>
                <w:rStyle w:val="IndexLink"/>
                <w:rtl w:val="true"/>
              </w:rPr>
              <w:t>[</w:t>
            </w:r>
            <w:r>
              <w:rPr>
                <w:rStyle w:val="IndexLink"/>
                <w:rtl w:val="true"/>
              </w:rPr>
              <w:t>المطلب الثاني في شهر رمضان</w:t>
            </w:r>
            <w:r>
              <w:rPr>
                <w:rStyle w:val="IndexLink"/>
                <w:rtl w:val="true"/>
              </w:rPr>
              <w:t>]</w:t>
              <w:tab/>
            </w:r>
            <w:r>
              <w:rPr>
                <w:rStyle w:val="IndexLink"/>
              </w:rPr>
              <w:t>256</w:t>
            </w:r>
          </w:hyperlink>
        </w:p>
        <w:p>
          <w:pPr>
            <w:pStyle w:val="Contents4"/>
            <w:tabs>
              <w:tab w:val="clear" w:pos="8176"/>
              <w:tab w:val="right" w:pos="9026" w:leader="dot"/>
            </w:tabs>
            <w:rPr/>
          </w:pPr>
          <w:hyperlink w:anchor="__RefHeading___Toc2156564_1067777946">
            <w:r>
              <w:rPr>
                <w:webHidden/>
                <w:rStyle w:val="IndexLink"/>
                <w:rtl w:val="true"/>
              </w:rPr>
              <w:t>[</w:t>
            </w:r>
            <w:r>
              <w:rPr>
                <w:rStyle w:val="IndexLink"/>
                <w:rtl w:val="true"/>
              </w:rPr>
              <w:t xml:space="preserve">المقصد الثالث في الاعتكاف </w:t>
            </w:r>
            <w:r>
              <w:rPr>
                <w:rStyle w:val="IndexLink"/>
                <w:rtl w:val="true"/>
              </w:rPr>
              <w:t>]</w:t>
              <w:tab/>
            </w:r>
            <w:r>
              <w:rPr>
                <w:rStyle w:val="IndexLink"/>
              </w:rPr>
              <w:t>258</w:t>
            </w:r>
          </w:hyperlink>
        </w:p>
        <w:p>
          <w:pPr>
            <w:pStyle w:val="Contents5"/>
            <w:tabs>
              <w:tab w:val="clear" w:pos="7892"/>
              <w:tab w:val="right" w:pos="9026" w:leader="dot"/>
            </w:tabs>
            <w:rPr/>
          </w:pPr>
          <w:hyperlink w:anchor="__RefHeading___Toc2156566_1067777946">
            <w:r>
              <w:rPr>
                <w:webHidden/>
                <w:rStyle w:val="IndexLink"/>
                <w:rtl w:val="true"/>
              </w:rPr>
              <w:t>[</w:t>
            </w:r>
            <w:r>
              <w:rPr>
                <w:rStyle w:val="IndexLink"/>
                <w:rtl w:val="true"/>
              </w:rPr>
              <w:t xml:space="preserve">المطلب الأوّل </w:t>
            </w:r>
            <w:r>
              <w:rPr>
                <w:rStyle w:val="IndexLink"/>
                <w:rtl w:val="true"/>
              </w:rPr>
              <w:t>]</w:t>
              <w:tab/>
            </w:r>
            <w:r>
              <w:rPr>
                <w:rStyle w:val="IndexLink"/>
              </w:rPr>
              <w:t>258</w:t>
            </w:r>
          </w:hyperlink>
        </w:p>
        <w:p>
          <w:pPr>
            <w:pStyle w:val="Contents5"/>
            <w:tabs>
              <w:tab w:val="clear" w:pos="7892"/>
              <w:tab w:val="right" w:pos="9026" w:leader="dot"/>
            </w:tabs>
            <w:rPr/>
          </w:pPr>
          <w:hyperlink w:anchor="__RefHeading___Toc2156568_1067777946">
            <w:r>
              <w:rPr>
                <w:webHidden/>
                <w:rStyle w:val="IndexLink"/>
                <w:rtl w:val="true"/>
              </w:rPr>
              <w:t>[</w:t>
            </w:r>
            <w:r>
              <w:rPr>
                <w:rStyle w:val="IndexLink"/>
                <w:rtl w:val="true"/>
              </w:rPr>
              <w:t>المطلب الثاني في شرائطه</w:t>
            </w:r>
            <w:r>
              <w:rPr>
                <w:rStyle w:val="IndexLink"/>
                <w:rtl w:val="true"/>
              </w:rPr>
              <w:t>]</w:t>
              <w:tab/>
            </w:r>
            <w:r>
              <w:rPr>
                <w:rStyle w:val="IndexLink"/>
              </w:rPr>
              <w:t>259</w:t>
            </w:r>
          </w:hyperlink>
        </w:p>
        <w:p>
          <w:pPr>
            <w:pStyle w:val="Contents5"/>
            <w:tabs>
              <w:tab w:val="clear" w:pos="7892"/>
              <w:tab w:val="right" w:pos="9026" w:leader="dot"/>
            </w:tabs>
            <w:rPr/>
          </w:pPr>
          <w:hyperlink w:anchor="__RefHeading___Toc2156570_1067777946">
            <w:r>
              <w:rPr>
                <w:webHidden/>
                <w:rStyle w:val="IndexLink"/>
                <w:rtl w:val="true"/>
              </w:rPr>
              <w:t>[</w:t>
            </w:r>
            <w:r>
              <w:rPr>
                <w:rStyle w:val="IndexLink"/>
                <w:rtl w:val="true"/>
              </w:rPr>
              <w:t>المطلب الثالث في أحكامه</w:t>
            </w:r>
            <w:r>
              <w:rPr>
                <w:rStyle w:val="IndexLink"/>
                <w:rtl w:val="true"/>
              </w:rPr>
              <w:t>]</w:t>
              <w:tab/>
            </w:r>
            <w:r>
              <w:rPr>
                <w:rStyle w:val="IndexLink"/>
              </w:rPr>
              <w:t>261</w:t>
            </w:r>
          </w:hyperlink>
        </w:p>
        <w:p>
          <w:pPr>
            <w:pStyle w:val="Contents5"/>
            <w:tabs>
              <w:tab w:val="clear" w:pos="7892"/>
              <w:tab w:val="right" w:pos="9026" w:leader="dot"/>
            </w:tabs>
            <w:rPr/>
          </w:pPr>
          <w:hyperlink w:anchor="__RefHeading___Toc2156572_1067777946">
            <w:r>
              <w:rPr>
                <w:webHidden/>
                <w:rStyle w:val="IndexLink"/>
                <w:rtl w:val="true"/>
              </w:rPr>
              <w:t>[</w:t>
            </w:r>
            <w:r>
              <w:rPr>
                <w:rStyle w:val="IndexLink"/>
                <w:rtl w:val="true"/>
              </w:rPr>
              <w:t>المطلب الرابع في النذر</w:t>
            </w:r>
            <w:r>
              <w:rPr>
                <w:rStyle w:val="IndexLink"/>
                <w:rtl w:val="true"/>
              </w:rPr>
              <w:t>]</w:t>
              <w:tab/>
            </w:r>
            <w:r>
              <w:rPr>
                <w:rStyle w:val="IndexLink"/>
              </w:rPr>
              <w:t>263</w:t>
            </w:r>
          </w:hyperlink>
        </w:p>
        <w:p>
          <w:pPr>
            <w:pStyle w:val="Contents3"/>
            <w:tabs>
              <w:tab w:val="clear" w:pos="8459"/>
              <w:tab w:val="right" w:pos="9026" w:leader="dot"/>
            </w:tabs>
            <w:rPr/>
          </w:pPr>
          <w:hyperlink w:anchor="__RefHeading___Toc2156574_1067777946">
            <w:r>
              <w:rPr>
                <w:webHidden/>
                <w:rStyle w:val="IndexLink"/>
                <w:rtl w:val="true"/>
              </w:rPr>
              <w:t>كتاب الحج</w:t>
            </w:r>
            <w:r>
              <w:rPr>
                <w:rStyle w:val="IndexLink"/>
                <w:rtl w:val="true"/>
              </w:rPr>
              <w:tab/>
            </w:r>
            <w:r>
              <w:rPr>
                <w:rStyle w:val="IndexLink"/>
              </w:rPr>
              <w:t>265</w:t>
            </w:r>
          </w:hyperlink>
        </w:p>
        <w:p>
          <w:pPr>
            <w:pStyle w:val="Contents4"/>
            <w:tabs>
              <w:tab w:val="clear" w:pos="8176"/>
              <w:tab w:val="right" w:pos="9026" w:leader="dot"/>
            </w:tabs>
            <w:rPr/>
          </w:pPr>
          <w:hyperlink w:anchor="__RefHeading___Toc2156576_1067777946">
            <w:r>
              <w:rPr>
                <w:webHidden/>
                <w:rStyle w:val="IndexLink"/>
                <w:rtl w:val="true"/>
              </w:rPr>
              <w:t>المقصد الأوّل في المقدمات</w:t>
            </w:r>
            <w:r>
              <w:rPr>
                <w:rStyle w:val="IndexLink"/>
                <w:rtl w:val="true"/>
              </w:rPr>
              <w:tab/>
            </w:r>
            <w:r>
              <w:rPr>
                <w:rStyle w:val="IndexLink"/>
              </w:rPr>
              <w:t>265</w:t>
            </w:r>
          </w:hyperlink>
        </w:p>
        <w:p>
          <w:pPr>
            <w:pStyle w:val="Contents5"/>
            <w:tabs>
              <w:tab w:val="clear" w:pos="7892"/>
              <w:tab w:val="right" w:pos="9026" w:leader="dot"/>
            </w:tabs>
            <w:rPr/>
          </w:pPr>
          <w:hyperlink w:anchor="__RefHeading___Toc2156578_1067777946">
            <w:r>
              <w:rPr>
                <w:webHidden/>
                <w:rStyle w:val="IndexLink"/>
                <w:rtl w:val="true"/>
              </w:rPr>
              <w:t>[</w:t>
            </w:r>
            <w:r>
              <w:rPr>
                <w:rStyle w:val="IndexLink"/>
                <w:rtl w:val="true"/>
              </w:rPr>
              <w:t>المطلب الأوّل في حقيقته</w:t>
            </w:r>
            <w:r>
              <w:rPr>
                <w:rStyle w:val="IndexLink"/>
                <w:rtl w:val="true"/>
              </w:rPr>
              <w:t>]</w:t>
              <w:tab/>
            </w:r>
            <w:r>
              <w:rPr>
                <w:rStyle w:val="IndexLink"/>
              </w:rPr>
              <w:t>265</w:t>
            </w:r>
          </w:hyperlink>
        </w:p>
        <w:p>
          <w:pPr>
            <w:pStyle w:val="Contents5"/>
            <w:tabs>
              <w:tab w:val="clear" w:pos="7892"/>
              <w:tab w:val="right" w:pos="9026" w:leader="dot"/>
            </w:tabs>
            <w:rPr/>
          </w:pPr>
          <w:hyperlink w:anchor="__RefHeading___Toc2156580_1067777946">
            <w:r>
              <w:rPr>
                <w:webHidden/>
                <w:rStyle w:val="IndexLink"/>
                <w:rtl w:val="true"/>
              </w:rPr>
              <w:t>[</w:t>
            </w:r>
            <w:r>
              <w:rPr>
                <w:rStyle w:val="IndexLink"/>
                <w:rtl w:val="true"/>
              </w:rPr>
              <w:t>المطلب الثاني في أنواع الحج</w:t>
            </w:r>
            <w:r>
              <w:rPr>
                <w:rStyle w:val="IndexLink"/>
                <w:rtl w:val="true"/>
              </w:rPr>
              <w:t>]</w:t>
              <w:tab/>
            </w:r>
            <w:r>
              <w:rPr>
                <w:rStyle w:val="IndexLink"/>
              </w:rPr>
              <w:t>268</w:t>
            </w:r>
          </w:hyperlink>
        </w:p>
        <w:p>
          <w:pPr>
            <w:pStyle w:val="Contents5"/>
            <w:tabs>
              <w:tab w:val="clear" w:pos="7892"/>
              <w:tab w:val="right" w:pos="9026" w:leader="dot"/>
            </w:tabs>
            <w:rPr/>
          </w:pPr>
          <w:hyperlink w:anchor="__RefHeading___Toc2156582_1067777946">
            <w:r>
              <w:rPr>
                <w:webHidden/>
                <w:rStyle w:val="IndexLink"/>
                <w:rtl w:val="true"/>
              </w:rPr>
              <w:t>[</w:t>
            </w:r>
            <w:r>
              <w:rPr>
                <w:rStyle w:val="IndexLink"/>
                <w:rtl w:val="true"/>
              </w:rPr>
              <w:t xml:space="preserve">المطلب الثالث في شرائط أنواع الحج </w:t>
            </w:r>
            <w:r>
              <w:rPr>
                <w:rStyle w:val="IndexLink"/>
                <w:rtl w:val="true"/>
              </w:rPr>
              <w:t>]</w:t>
              <w:tab/>
            </w:r>
            <w:r>
              <w:rPr>
                <w:rStyle w:val="IndexLink"/>
              </w:rPr>
              <w:t>268</w:t>
            </w:r>
          </w:hyperlink>
        </w:p>
        <w:p>
          <w:pPr>
            <w:pStyle w:val="Contents5"/>
            <w:tabs>
              <w:tab w:val="clear" w:pos="7892"/>
              <w:tab w:val="right" w:pos="9026" w:leader="dot"/>
            </w:tabs>
            <w:rPr/>
          </w:pPr>
          <w:hyperlink w:anchor="__RefHeading___Toc2156584_1067777946">
            <w:r>
              <w:rPr>
                <w:webHidden/>
                <w:rStyle w:val="IndexLink"/>
                <w:rtl w:val="true"/>
              </w:rPr>
              <w:t>[</w:t>
            </w:r>
            <w:r>
              <w:rPr>
                <w:rStyle w:val="IndexLink"/>
                <w:rtl w:val="true"/>
              </w:rPr>
              <w:t>المطلب الرابع في تفصيل شرائط الحج</w:t>
            </w:r>
            <w:r>
              <w:rPr>
                <w:rStyle w:val="IndexLink"/>
                <w:rtl w:val="true"/>
              </w:rPr>
              <w:t>]</w:t>
              <w:tab/>
            </w:r>
            <w:r>
              <w:rPr>
                <w:rStyle w:val="IndexLink"/>
              </w:rPr>
              <w:t>270</w:t>
            </w:r>
          </w:hyperlink>
        </w:p>
        <w:p>
          <w:pPr>
            <w:pStyle w:val="Contents5"/>
            <w:tabs>
              <w:tab w:val="clear" w:pos="7892"/>
              <w:tab w:val="right" w:pos="9026" w:leader="dot"/>
            </w:tabs>
            <w:rPr/>
          </w:pPr>
          <w:hyperlink w:anchor="__RefHeading___Toc2156586_1067777946">
            <w:r>
              <w:rPr>
                <w:webHidden/>
                <w:rStyle w:val="IndexLink"/>
                <w:rtl w:val="true"/>
              </w:rPr>
              <w:t>[</w:t>
            </w:r>
            <w:r>
              <w:rPr>
                <w:rStyle w:val="IndexLink"/>
                <w:rtl w:val="true"/>
              </w:rPr>
              <w:t xml:space="preserve">المطلب الخامس في شرائط النذر وشبهه </w:t>
            </w:r>
            <w:r>
              <w:rPr>
                <w:rStyle w:val="IndexLink"/>
                <w:rtl w:val="true"/>
              </w:rPr>
              <w:t>]</w:t>
              <w:tab/>
            </w:r>
            <w:r>
              <w:rPr>
                <w:rStyle w:val="IndexLink"/>
              </w:rPr>
              <w:t>274</w:t>
            </w:r>
          </w:hyperlink>
        </w:p>
        <w:p>
          <w:pPr>
            <w:pStyle w:val="Contents5"/>
            <w:tabs>
              <w:tab w:val="clear" w:pos="7892"/>
              <w:tab w:val="right" w:pos="9026" w:leader="dot"/>
            </w:tabs>
            <w:rPr/>
          </w:pPr>
          <w:hyperlink w:anchor="__RefHeading___Toc2156588_1067777946">
            <w:r>
              <w:rPr>
                <w:webHidden/>
                <w:rStyle w:val="IndexLink"/>
                <w:rtl w:val="true"/>
              </w:rPr>
              <w:t>[</w:t>
            </w:r>
            <w:r>
              <w:rPr>
                <w:rStyle w:val="IndexLink"/>
                <w:rtl w:val="true"/>
              </w:rPr>
              <w:t>المطلب السادس في شرائط النيابة</w:t>
            </w:r>
            <w:r>
              <w:rPr>
                <w:rStyle w:val="IndexLink"/>
                <w:rtl w:val="true"/>
              </w:rPr>
              <w:t>]</w:t>
              <w:tab/>
            </w:r>
            <w:r>
              <w:rPr>
                <w:rStyle w:val="IndexLink"/>
              </w:rPr>
              <w:t>275</w:t>
            </w:r>
          </w:hyperlink>
        </w:p>
        <w:p>
          <w:pPr>
            <w:pStyle w:val="Contents4"/>
            <w:tabs>
              <w:tab w:val="clear" w:pos="8176"/>
              <w:tab w:val="right" w:pos="9026" w:leader="dot"/>
            </w:tabs>
            <w:rPr/>
          </w:pPr>
          <w:hyperlink w:anchor="__RefHeading___Toc2156590_1067777946">
            <w:r>
              <w:rPr>
                <w:webHidden/>
                <w:rStyle w:val="IndexLink"/>
                <w:rtl w:val="true"/>
              </w:rPr>
              <w:t>[</w:t>
            </w:r>
            <w:r>
              <w:rPr>
                <w:rStyle w:val="IndexLink"/>
                <w:rtl w:val="true"/>
              </w:rPr>
              <w:t xml:space="preserve">المقصد الثاني في أفعال التمتع </w:t>
            </w:r>
            <w:r>
              <w:rPr>
                <w:rStyle w:val="IndexLink"/>
                <w:rtl w:val="true"/>
              </w:rPr>
              <w:t>]</w:t>
              <w:tab/>
            </w:r>
            <w:r>
              <w:rPr>
                <w:rStyle w:val="IndexLink"/>
              </w:rPr>
              <w:t>281</w:t>
            </w:r>
          </w:hyperlink>
        </w:p>
        <w:p>
          <w:pPr>
            <w:pStyle w:val="Contents5"/>
            <w:tabs>
              <w:tab w:val="clear" w:pos="7892"/>
              <w:tab w:val="right" w:pos="9026" w:leader="dot"/>
            </w:tabs>
            <w:rPr/>
          </w:pPr>
          <w:hyperlink w:anchor="__RefHeading___Toc2156592_1067777946">
            <w:r>
              <w:rPr>
                <w:webHidden/>
                <w:rStyle w:val="IndexLink"/>
                <w:rtl w:val="true"/>
              </w:rPr>
              <w:t xml:space="preserve">[ </w:t>
            </w:r>
            <w:r>
              <w:rPr>
                <w:rStyle w:val="IndexLink"/>
                <w:rtl w:val="true"/>
              </w:rPr>
              <w:t>الفصل الأول في الإحرام</w:t>
            </w:r>
            <w:r>
              <w:rPr>
                <w:rStyle w:val="IndexLink"/>
                <w:rtl w:val="true"/>
              </w:rPr>
              <w:t>]</w:t>
              <w:tab/>
            </w:r>
            <w:r>
              <w:rPr>
                <w:rStyle w:val="IndexLink"/>
              </w:rPr>
              <w:t>281</w:t>
            </w:r>
          </w:hyperlink>
        </w:p>
        <w:p>
          <w:pPr>
            <w:pStyle w:val="Contents6"/>
            <w:tabs>
              <w:tab w:val="clear" w:pos="7609"/>
              <w:tab w:val="right" w:pos="9026" w:leader="dot"/>
            </w:tabs>
            <w:rPr/>
          </w:pPr>
          <w:hyperlink w:anchor="__RefHeading___Toc2156594_1067777946">
            <w:r>
              <w:rPr>
                <w:webHidden/>
                <w:rStyle w:val="IndexLink"/>
                <w:rtl w:val="true"/>
              </w:rPr>
              <w:t>[</w:t>
            </w:r>
            <w:r>
              <w:rPr>
                <w:rStyle w:val="IndexLink"/>
                <w:rtl w:val="true"/>
              </w:rPr>
              <w:t>المطلب الأوّل في تعيين المواقيت</w:t>
            </w:r>
            <w:r>
              <w:rPr>
                <w:rStyle w:val="IndexLink"/>
                <w:rtl w:val="true"/>
              </w:rPr>
              <w:t>]</w:t>
              <w:tab/>
            </w:r>
            <w:r>
              <w:rPr>
                <w:rStyle w:val="IndexLink"/>
              </w:rPr>
              <w:t>281</w:t>
            </w:r>
          </w:hyperlink>
        </w:p>
        <w:p>
          <w:pPr>
            <w:pStyle w:val="Contents6"/>
            <w:tabs>
              <w:tab w:val="clear" w:pos="7609"/>
              <w:tab w:val="right" w:pos="9026" w:leader="dot"/>
            </w:tabs>
            <w:rPr/>
          </w:pPr>
          <w:hyperlink w:anchor="__RefHeading___Toc2156596_1067777946">
            <w:r>
              <w:rPr>
                <w:webHidden/>
                <w:rStyle w:val="IndexLink"/>
                <w:rtl w:val="true"/>
              </w:rPr>
              <w:t>[</w:t>
            </w:r>
            <w:r>
              <w:rPr>
                <w:rStyle w:val="IndexLink"/>
                <w:rtl w:val="true"/>
              </w:rPr>
              <w:t>المطلب الثاني في مقدمات الإحرام</w:t>
            </w:r>
            <w:r>
              <w:rPr>
                <w:rStyle w:val="IndexLink"/>
                <w:rtl w:val="true"/>
              </w:rPr>
              <w:t>]</w:t>
              <w:tab/>
            </w:r>
            <w:r>
              <w:rPr>
                <w:rStyle w:val="IndexLink"/>
              </w:rPr>
              <w:t>283</w:t>
            </w:r>
          </w:hyperlink>
        </w:p>
        <w:p>
          <w:pPr>
            <w:pStyle w:val="Contents6"/>
            <w:tabs>
              <w:tab w:val="clear" w:pos="7609"/>
              <w:tab w:val="right" w:pos="9026" w:leader="dot"/>
            </w:tabs>
            <w:rPr/>
          </w:pPr>
          <w:hyperlink w:anchor="__RefHeading___Toc2156598_1067777946">
            <w:r>
              <w:rPr>
                <w:webHidden/>
                <w:rStyle w:val="IndexLink"/>
                <w:rtl w:val="true"/>
              </w:rPr>
              <w:t>[</w:t>
            </w:r>
            <w:r>
              <w:rPr>
                <w:rStyle w:val="IndexLink"/>
                <w:rtl w:val="true"/>
              </w:rPr>
              <w:t xml:space="preserve">المطلب الثالث في كيفيته </w:t>
            </w:r>
            <w:r>
              <w:rPr>
                <w:rStyle w:val="IndexLink"/>
                <w:rtl w:val="true"/>
              </w:rPr>
              <w:t>]</w:t>
              <w:tab/>
            </w:r>
            <w:r>
              <w:rPr>
                <w:rStyle w:val="IndexLink"/>
              </w:rPr>
              <w:t>284</w:t>
            </w:r>
          </w:hyperlink>
        </w:p>
        <w:p>
          <w:pPr>
            <w:pStyle w:val="Contents6"/>
            <w:tabs>
              <w:tab w:val="clear" w:pos="7609"/>
              <w:tab w:val="right" w:pos="9026" w:leader="dot"/>
            </w:tabs>
            <w:rPr/>
          </w:pPr>
          <w:hyperlink w:anchor="__RefHeading___Toc2156600_1067777946">
            <w:r>
              <w:rPr>
                <w:webHidden/>
                <w:rStyle w:val="IndexLink"/>
                <w:rtl w:val="true"/>
              </w:rPr>
              <w:t>[</w:t>
            </w:r>
            <w:r>
              <w:rPr>
                <w:rStyle w:val="IndexLink"/>
                <w:rtl w:val="true"/>
              </w:rPr>
              <w:t xml:space="preserve">المطلب الرابع في المندوبات والمكروهات </w:t>
            </w:r>
            <w:r>
              <w:rPr>
                <w:rStyle w:val="IndexLink"/>
                <w:rtl w:val="true"/>
              </w:rPr>
              <w:t>]</w:t>
              <w:tab/>
            </w:r>
            <w:r>
              <w:rPr>
                <w:rStyle w:val="IndexLink"/>
              </w:rPr>
              <w:t>286</w:t>
            </w:r>
          </w:hyperlink>
        </w:p>
        <w:p>
          <w:pPr>
            <w:pStyle w:val="Contents6"/>
            <w:tabs>
              <w:tab w:val="clear" w:pos="7609"/>
              <w:tab w:val="right" w:pos="9026" w:leader="dot"/>
            </w:tabs>
            <w:rPr/>
          </w:pPr>
          <w:hyperlink w:anchor="__RefHeading___Toc2156602_1067777946">
            <w:r>
              <w:rPr>
                <w:webHidden/>
                <w:rStyle w:val="IndexLink"/>
                <w:rtl w:val="true"/>
              </w:rPr>
              <w:t>[</w:t>
            </w:r>
            <w:r>
              <w:rPr>
                <w:rStyle w:val="IndexLink"/>
                <w:rtl w:val="true"/>
              </w:rPr>
              <w:t>المطلب الخامس في أحكامه</w:t>
            </w:r>
            <w:r>
              <w:rPr>
                <w:rStyle w:val="IndexLink"/>
                <w:rtl w:val="true"/>
              </w:rPr>
              <w:t>]</w:t>
              <w:tab/>
            </w:r>
            <w:r>
              <w:rPr>
                <w:rStyle w:val="IndexLink"/>
              </w:rPr>
              <w:t>286</w:t>
            </w:r>
          </w:hyperlink>
        </w:p>
        <w:p>
          <w:pPr>
            <w:pStyle w:val="Contents6"/>
            <w:tabs>
              <w:tab w:val="clear" w:pos="7609"/>
              <w:tab w:val="right" w:pos="9026" w:leader="dot"/>
            </w:tabs>
            <w:rPr/>
          </w:pPr>
          <w:hyperlink w:anchor="__RefHeading___Toc2156604_1067777946">
            <w:r>
              <w:rPr>
                <w:webHidden/>
                <w:rStyle w:val="IndexLink"/>
                <w:rtl w:val="true"/>
              </w:rPr>
              <w:t>[</w:t>
            </w:r>
            <w:r>
              <w:rPr>
                <w:rStyle w:val="IndexLink"/>
                <w:rtl w:val="true"/>
              </w:rPr>
              <w:t>المطلب السادس في تُرُوكه</w:t>
            </w:r>
            <w:r>
              <w:rPr>
                <w:rStyle w:val="IndexLink"/>
                <w:rtl w:val="true"/>
              </w:rPr>
              <w:t>]</w:t>
              <w:tab/>
            </w:r>
            <w:r>
              <w:rPr>
                <w:rStyle w:val="IndexLink"/>
              </w:rPr>
              <w:t>288</w:t>
            </w:r>
          </w:hyperlink>
        </w:p>
        <w:p>
          <w:pPr>
            <w:pStyle w:val="Contents5"/>
            <w:tabs>
              <w:tab w:val="clear" w:pos="7892"/>
              <w:tab w:val="right" w:pos="9026" w:leader="dot"/>
            </w:tabs>
            <w:rPr/>
          </w:pPr>
          <w:hyperlink w:anchor="__RefHeading___Toc2156606_1067777946">
            <w:r>
              <w:rPr>
                <w:webHidden/>
                <w:rStyle w:val="IndexLink"/>
                <w:rtl w:val="true"/>
              </w:rPr>
              <w:t xml:space="preserve">[ </w:t>
            </w:r>
            <w:r>
              <w:rPr>
                <w:rStyle w:val="IndexLink"/>
                <w:rtl w:val="true"/>
              </w:rPr>
              <w:t>الفصل الثاني في الطواف</w:t>
            </w:r>
            <w:r>
              <w:rPr>
                <w:rStyle w:val="IndexLink"/>
                <w:rtl w:val="true"/>
              </w:rPr>
              <w:t>]</w:t>
              <w:tab/>
            </w:r>
            <w:r>
              <w:rPr>
                <w:rStyle w:val="IndexLink"/>
              </w:rPr>
              <w:t>290</w:t>
            </w:r>
          </w:hyperlink>
        </w:p>
        <w:p>
          <w:pPr>
            <w:pStyle w:val="Contents6"/>
            <w:tabs>
              <w:tab w:val="clear" w:pos="7609"/>
              <w:tab w:val="right" w:pos="9026" w:leader="dot"/>
            </w:tabs>
            <w:rPr/>
          </w:pPr>
          <w:hyperlink w:anchor="__RefHeading___Toc2156608_1067777946">
            <w:r>
              <w:rPr>
                <w:webHidden/>
                <w:rStyle w:val="IndexLink"/>
                <w:rtl w:val="true"/>
              </w:rPr>
              <w:t xml:space="preserve">[ </w:t>
            </w:r>
            <w:r>
              <w:rPr>
                <w:rStyle w:val="IndexLink"/>
                <w:rtl w:val="true"/>
              </w:rPr>
              <w:t>المطلب الاوّل</w:t>
            </w:r>
            <w:r>
              <w:rPr>
                <w:rStyle w:val="IndexLink"/>
                <w:rtl w:val="true"/>
              </w:rPr>
              <w:t>]</w:t>
              <w:tab/>
            </w:r>
            <w:r>
              <w:rPr>
                <w:rStyle w:val="IndexLink"/>
              </w:rPr>
              <w:t>290</w:t>
            </w:r>
          </w:hyperlink>
        </w:p>
        <w:p>
          <w:pPr>
            <w:pStyle w:val="Contents6"/>
            <w:tabs>
              <w:tab w:val="clear" w:pos="7609"/>
              <w:tab w:val="right" w:pos="9026" w:leader="dot"/>
            </w:tabs>
            <w:rPr/>
          </w:pPr>
          <w:hyperlink w:anchor="__RefHeading___Toc2156610_1067777946">
            <w:r>
              <w:rPr>
                <w:webHidden/>
                <w:rStyle w:val="IndexLink"/>
                <w:rtl w:val="true"/>
              </w:rPr>
              <w:t>[</w:t>
            </w:r>
            <w:r>
              <w:rPr>
                <w:rStyle w:val="IndexLink"/>
                <w:rtl w:val="true"/>
              </w:rPr>
              <w:t>المطلب الثاني في سُنَنِه</w:t>
            </w:r>
            <w:r>
              <w:rPr>
                <w:rStyle w:val="IndexLink"/>
                <w:rtl w:val="true"/>
              </w:rPr>
              <w:t>]</w:t>
              <w:tab/>
            </w:r>
            <w:r>
              <w:rPr>
                <w:rStyle w:val="IndexLink"/>
              </w:rPr>
              <w:t>291</w:t>
            </w:r>
          </w:hyperlink>
        </w:p>
        <w:p>
          <w:pPr>
            <w:pStyle w:val="Contents6"/>
            <w:tabs>
              <w:tab w:val="clear" w:pos="7609"/>
              <w:tab w:val="right" w:pos="9026" w:leader="dot"/>
            </w:tabs>
            <w:rPr/>
          </w:pPr>
          <w:hyperlink w:anchor="__RefHeading___Toc2156612_1067777946">
            <w:r>
              <w:rPr>
                <w:webHidden/>
                <w:rStyle w:val="IndexLink"/>
                <w:rtl w:val="true"/>
              </w:rPr>
              <w:t>[</w:t>
            </w:r>
            <w:r>
              <w:rPr>
                <w:rStyle w:val="IndexLink"/>
                <w:rtl w:val="true"/>
              </w:rPr>
              <w:t>المطلب الثالث في الأحكام</w:t>
            </w:r>
            <w:r>
              <w:rPr>
                <w:rStyle w:val="IndexLink"/>
                <w:rtl w:val="true"/>
              </w:rPr>
              <w:t>]</w:t>
              <w:tab/>
            </w:r>
            <w:r>
              <w:rPr>
                <w:rStyle w:val="IndexLink"/>
              </w:rPr>
              <w:t>291</w:t>
            </w:r>
          </w:hyperlink>
        </w:p>
        <w:p>
          <w:pPr>
            <w:pStyle w:val="Contents5"/>
            <w:tabs>
              <w:tab w:val="clear" w:pos="7892"/>
              <w:tab w:val="right" w:pos="9026" w:leader="dot"/>
            </w:tabs>
            <w:rPr/>
          </w:pPr>
          <w:hyperlink w:anchor="__RefHeading___Toc2156614_1067777946">
            <w:r>
              <w:rPr>
                <w:webHidden/>
                <w:rStyle w:val="IndexLink"/>
                <w:rtl w:val="true"/>
              </w:rPr>
              <w:t xml:space="preserve">[ </w:t>
            </w:r>
            <w:r>
              <w:rPr>
                <w:rStyle w:val="IndexLink"/>
                <w:rtl w:val="true"/>
              </w:rPr>
              <w:t>الفصل الثالث في السعي</w:t>
            </w:r>
            <w:r>
              <w:rPr>
                <w:rStyle w:val="IndexLink"/>
                <w:rtl w:val="true"/>
              </w:rPr>
              <w:t>]</w:t>
              <w:tab/>
            </w:r>
            <w:r>
              <w:rPr>
                <w:rStyle w:val="IndexLink"/>
              </w:rPr>
              <w:t>293</w:t>
            </w:r>
          </w:hyperlink>
        </w:p>
        <w:p>
          <w:pPr>
            <w:pStyle w:val="Contents6"/>
            <w:tabs>
              <w:tab w:val="clear" w:pos="7609"/>
              <w:tab w:val="right" w:pos="9026" w:leader="dot"/>
            </w:tabs>
            <w:rPr/>
          </w:pPr>
          <w:hyperlink w:anchor="__RefHeading___Toc2156616_1067777946">
            <w:r>
              <w:rPr>
                <w:webHidden/>
                <w:rStyle w:val="IndexLink"/>
                <w:rtl w:val="true"/>
              </w:rPr>
              <w:t>[</w:t>
            </w:r>
            <w:r>
              <w:rPr>
                <w:rStyle w:val="IndexLink"/>
                <w:rtl w:val="true"/>
              </w:rPr>
              <w:t>المطلب الأول في أفعاله</w:t>
            </w:r>
            <w:r>
              <w:rPr>
                <w:rStyle w:val="IndexLink"/>
                <w:rtl w:val="true"/>
              </w:rPr>
              <w:t>]</w:t>
              <w:tab/>
            </w:r>
            <w:r>
              <w:rPr>
                <w:rStyle w:val="IndexLink"/>
              </w:rPr>
              <w:t>293</w:t>
            </w:r>
          </w:hyperlink>
        </w:p>
        <w:p>
          <w:pPr>
            <w:pStyle w:val="Contents6"/>
            <w:tabs>
              <w:tab w:val="clear" w:pos="7609"/>
              <w:tab w:val="right" w:pos="9026" w:leader="dot"/>
            </w:tabs>
            <w:rPr/>
          </w:pPr>
          <w:hyperlink w:anchor="__RefHeading___Toc2156618_1067777946">
            <w:r>
              <w:rPr>
                <w:webHidden/>
                <w:rStyle w:val="IndexLink"/>
                <w:rtl w:val="true"/>
              </w:rPr>
              <w:t>[</w:t>
            </w:r>
            <w:r>
              <w:rPr>
                <w:rStyle w:val="IndexLink"/>
                <w:rtl w:val="true"/>
              </w:rPr>
              <w:t>المطلب الثاني في أحكامه</w:t>
            </w:r>
            <w:r>
              <w:rPr>
                <w:rStyle w:val="IndexLink"/>
                <w:rtl w:val="true"/>
              </w:rPr>
              <w:t>]</w:t>
              <w:tab/>
            </w:r>
            <w:r>
              <w:rPr>
                <w:rStyle w:val="IndexLink"/>
              </w:rPr>
              <w:t>293</w:t>
            </w:r>
          </w:hyperlink>
        </w:p>
        <w:p>
          <w:pPr>
            <w:pStyle w:val="Contents5"/>
            <w:tabs>
              <w:tab w:val="clear" w:pos="7892"/>
              <w:tab w:val="right" w:pos="9026" w:leader="dot"/>
            </w:tabs>
            <w:rPr/>
          </w:pPr>
          <w:hyperlink w:anchor="__RefHeading___Toc2156620_1067777946">
            <w:r>
              <w:rPr>
                <w:webHidden/>
                <w:rStyle w:val="IndexLink"/>
                <w:rtl w:val="true"/>
              </w:rPr>
              <w:t xml:space="preserve">[ </w:t>
            </w:r>
            <w:r>
              <w:rPr>
                <w:rStyle w:val="IndexLink"/>
                <w:rtl w:val="true"/>
              </w:rPr>
              <w:t xml:space="preserve">الفصل الرابع في التقصير </w:t>
            </w:r>
            <w:r>
              <w:rPr>
                <w:rStyle w:val="IndexLink"/>
                <w:rtl w:val="true"/>
              </w:rPr>
              <w:t>]</w:t>
              <w:tab/>
            </w:r>
            <w:r>
              <w:rPr>
                <w:rStyle w:val="IndexLink"/>
              </w:rPr>
              <w:t>294</w:t>
            </w:r>
          </w:hyperlink>
        </w:p>
        <w:p>
          <w:pPr>
            <w:pStyle w:val="Contents5"/>
            <w:tabs>
              <w:tab w:val="clear" w:pos="7892"/>
              <w:tab w:val="right" w:pos="9026" w:leader="dot"/>
            </w:tabs>
            <w:rPr/>
          </w:pPr>
          <w:hyperlink w:anchor="__RefHeading___Toc2156622_1067777946">
            <w:r>
              <w:rPr>
                <w:webHidden/>
                <w:rStyle w:val="IndexLink"/>
                <w:rtl w:val="true"/>
              </w:rPr>
              <w:t xml:space="preserve">[ </w:t>
            </w:r>
            <w:r>
              <w:rPr>
                <w:rStyle w:val="IndexLink"/>
                <w:rtl w:val="true"/>
              </w:rPr>
              <w:t>الفصل الخامس في إحرام الحج والوقوف</w:t>
            </w:r>
            <w:r>
              <w:rPr>
                <w:rStyle w:val="IndexLink"/>
                <w:rtl w:val="true"/>
              </w:rPr>
              <w:t>]</w:t>
              <w:tab/>
            </w:r>
            <w:r>
              <w:rPr>
                <w:rStyle w:val="IndexLink"/>
              </w:rPr>
              <w:t>295</w:t>
            </w:r>
          </w:hyperlink>
        </w:p>
        <w:p>
          <w:pPr>
            <w:pStyle w:val="Contents6"/>
            <w:tabs>
              <w:tab w:val="clear" w:pos="7609"/>
              <w:tab w:val="right" w:pos="9026" w:leader="dot"/>
            </w:tabs>
            <w:rPr/>
          </w:pPr>
          <w:hyperlink w:anchor="__RefHeading___Toc2156624_1067777946">
            <w:r>
              <w:rPr>
                <w:webHidden/>
                <w:rStyle w:val="IndexLink"/>
                <w:rtl w:val="true"/>
              </w:rPr>
              <w:t>[</w:t>
            </w:r>
            <w:r>
              <w:rPr>
                <w:rStyle w:val="IndexLink"/>
                <w:rtl w:val="true"/>
              </w:rPr>
              <w:t xml:space="preserve">المطلب الأول في إحرام الحج </w:t>
            </w:r>
            <w:r>
              <w:rPr>
                <w:rStyle w:val="IndexLink"/>
                <w:rtl w:val="true"/>
              </w:rPr>
              <w:t>]</w:t>
              <w:tab/>
            </w:r>
            <w:r>
              <w:rPr>
                <w:rStyle w:val="IndexLink"/>
              </w:rPr>
              <w:t>295</w:t>
            </w:r>
          </w:hyperlink>
        </w:p>
        <w:p>
          <w:pPr>
            <w:pStyle w:val="Contents6"/>
            <w:tabs>
              <w:tab w:val="clear" w:pos="7609"/>
              <w:tab w:val="right" w:pos="9026" w:leader="dot"/>
            </w:tabs>
            <w:rPr/>
          </w:pPr>
          <w:hyperlink w:anchor="__RefHeading___Toc2156626_1067777946">
            <w:r>
              <w:rPr>
                <w:webHidden/>
                <w:rStyle w:val="IndexLink"/>
                <w:rtl w:val="true"/>
              </w:rPr>
              <w:t>[</w:t>
            </w:r>
            <w:r>
              <w:rPr>
                <w:rStyle w:val="IndexLink"/>
                <w:rtl w:val="true"/>
              </w:rPr>
              <w:t xml:space="preserve">المطلب الثالث في الوقوف بعرفة </w:t>
            </w:r>
            <w:r>
              <w:rPr>
                <w:rStyle w:val="IndexLink"/>
                <w:rtl w:val="true"/>
              </w:rPr>
              <w:t>]</w:t>
              <w:tab/>
            </w:r>
            <w:r>
              <w:rPr>
                <w:rStyle w:val="IndexLink"/>
              </w:rPr>
              <w:t>296</w:t>
            </w:r>
          </w:hyperlink>
        </w:p>
        <w:p>
          <w:pPr>
            <w:pStyle w:val="Contents6"/>
            <w:tabs>
              <w:tab w:val="clear" w:pos="7609"/>
              <w:tab w:val="right" w:pos="9026" w:leader="dot"/>
            </w:tabs>
            <w:rPr/>
          </w:pPr>
          <w:hyperlink w:anchor="__RefHeading___Toc2156628_1067777946">
            <w:r>
              <w:rPr>
                <w:webHidden/>
                <w:rStyle w:val="IndexLink"/>
                <w:rtl w:val="true"/>
              </w:rPr>
              <w:t>[</w:t>
            </w:r>
            <w:r>
              <w:rPr>
                <w:rStyle w:val="IndexLink"/>
                <w:rtl w:val="true"/>
              </w:rPr>
              <w:t>المطلب الرابع في الوقوف بالمشعر</w:t>
            </w:r>
            <w:r>
              <w:rPr>
                <w:rStyle w:val="IndexLink"/>
                <w:rtl w:val="true"/>
              </w:rPr>
              <w:t>]</w:t>
              <w:tab/>
            </w:r>
            <w:r>
              <w:rPr>
                <w:rStyle w:val="IndexLink"/>
              </w:rPr>
              <w:t>297</w:t>
            </w:r>
          </w:hyperlink>
        </w:p>
        <w:p>
          <w:pPr>
            <w:pStyle w:val="Contents5"/>
            <w:tabs>
              <w:tab w:val="clear" w:pos="7892"/>
              <w:tab w:val="right" w:pos="9026" w:leader="dot"/>
            </w:tabs>
            <w:rPr/>
          </w:pPr>
          <w:hyperlink w:anchor="__RefHeading___Toc2156630_1067777946">
            <w:r>
              <w:rPr>
                <w:webHidden/>
                <w:rStyle w:val="IndexLink"/>
                <w:rtl w:val="true"/>
              </w:rPr>
              <w:t xml:space="preserve">[ </w:t>
            </w:r>
            <w:r>
              <w:rPr>
                <w:rStyle w:val="IndexLink"/>
                <w:rtl w:val="true"/>
              </w:rPr>
              <w:t>الفصل السادس في مَناسِكِ مِنى</w:t>
            </w:r>
            <w:r>
              <w:rPr>
                <w:rStyle w:val="IndexLink"/>
                <w:rtl w:val="true"/>
              </w:rPr>
              <w:t>]</w:t>
              <w:tab/>
            </w:r>
            <w:r>
              <w:rPr>
                <w:rStyle w:val="IndexLink"/>
              </w:rPr>
              <w:t>299</w:t>
            </w:r>
          </w:hyperlink>
        </w:p>
        <w:p>
          <w:pPr>
            <w:pStyle w:val="Contents6"/>
            <w:tabs>
              <w:tab w:val="clear" w:pos="7609"/>
              <w:tab w:val="right" w:pos="9026" w:leader="dot"/>
            </w:tabs>
            <w:rPr/>
          </w:pPr>
          <w:hyperlink w:anchor="__RefHeading___Toc2156632_1067777946">
            <w:r>
              <w:rPr>
                <w:webHidden/>
                <w:rStyle w:val="IndexLink"/>
                <w:rtl w:val="true"/>
              </w:rPr>
              <w:t>[</w:t>
            </w:r>
            <w:r>
              <w:rPr>
                <w:rStyle w:val="IndexLink"/>
                <w:rtl w:val="true"/>
              </w:rPr>
              <w:t>المطلب الأول في الرمي</w:t>
            </w:r>
            <w:r>
              <w:rPr>
                <w:rStyle w:val="IndexLink"/>
                <w:rtl w:val="true"/>
              </w:rPr>
              <w:t>]</w:t>
              <w:tab/>
            </w:r>
            <w:r>
              <w:rPr>
                <w:rStyle w:val="IndexLink"/>
              </w:rPr>
              <w:t>299</w:t>
            </w:r>
          </w:hyperlink>
        </w:p>
        <w:p>
          <w:pPr>
            <w:pStyle w:val="Contents6"/>
            <w:tabs>
              <w:tab w:val="clear" w:pos="7609"/>
              <w:tab w:val="right" w:pos="9026" w:leader="dot"/>
            </w:tabs>
            <w:rPr/>
          </w:pPr>
          <w:hyperlink w:anchor="__RefHeading___Toc2156634_1067777946">
            <w:r>
              <w:rPr>
                <w:webHidden/>
                <w:rStyle w:val="IndexLink"/>
                <w:rtl w:val="true"/>
              </w:rPr>
              <w:t>[</w:t>
            </w:r>
            <w:r>
              <w:rPr>
                <w:rStyle w:val="IndexLink"/>
                <w:rtl w:val="true"/>
              </w:rPr>
              <w:t>المطلب الثاني في الذبح</w:t>
            </w:r>
            <w:r>
              <w:rPr>
                <w:rStyle w:val="IndexLink"/>
                <w:rtl w:val="true"/>
              </w:rPr>
              <w:t>]</w:t>
              <w:tab/>
            </w:r>
            <w:r>
              <w:rPr>
                <w:rStyle w:val="IndexLink"/>
              </w:rPr>
              <w:t>299</w:t>
            </w:r>
          </w:hyperlink>
        </w:p>
        <w:p>
          <w:pPr>
            <w:pStyle w:val="Contents6"/>
            <w:tabs>
              <w:tab w:val="clear" w:pos="7609"/>
              <w:tab w:val="right" w:pos="9026" w:leader="dot"/>
            </w:tabs>
            <w:rPr/>
          </w:pPr>
          <w:hyperlink w:anchor="__RefHeading___Toc2156636_1067777946">
            <w:r>
              <w:rPr>
                <w:webHidden/>
                <w:rStyle w:val="IndexLink"/>
                <w:rtl w:val="true"/>
              </w:rPr>
              <w:t>[</w:t>
            </w:r>
            <w:r>
              <w:rPr>
                <w:rStyle w:val="IndexLink"/>
                <w:rtl w:val="true"/>
              </w:rPr>
              <w:t>المطلب الثالث في الحلق والتقصير</w:t>
            </w:r>
            <w:r>
              <w:rPr>
                <w:rStyle w:val="IndexLink"/>
                <w:rtl w:val="true"/>
              </w:rPr>
              <w:t>]</w:t>
              <w:tab/>
            </w:r>
            <w:r>
              <w:rPr>
                <w:rStyle w:val="IndexLink"/>
              </w:rPr>
              <w:t>302</w:t>
            </w:r>
          </w:hyperlink>
        </w:p>
        <w:p>
          <w:pPr>
            <w:pStyle w:val="Contents5"/>
            <w:tabs>
              <w:tab w:val="clear" w:pos="7892"/>
              <w:tab w:val="right" w:pos="9026" w:leader="dot"/>
            </w:tabs>
            <w:rPr/>
          </w:pPr>
          <w:hyperlink w:anchor="__RefHeading___Toc2156638_1067777946">
            <w:r>
              <w:rPr>
                <w:webHidden/>
                <w:rStyle w:val="IndexLink"/>
                <w:rtl w:val="true"/>
              </w:rPr>
              <w:t xml:space="preserve">[ </w:t>
            </w:r>
            <w:r>
              <w:rPr>
                <w:rStyle w:val="IndexLink"/>
                <w:rtl w:val="true"/>
              </w:rPr>
              <w:t>الفصل السابع في باقي المناسِكِ</w:t>
            </w:r>
            <w:r>
              <w:rPr>
                <w:rStyle w:val="IndexLink"/>
                <w:rtl w:val="true"/>
              </w:rPr>
              <w:t>]</w:t>
              <w:tab/>
            </w:r>
            <w:r>
              <w:rPr>
                <w:rStyle w:val="IndexLink"/>
              </w:rPr>
              <w:t>304</w:t>
            </w:r>
          </w:hyperlink>
        </w:p>
        <w:p>
          <w:pPr>
            <w:pStyle w:val="Contents4"/>
            <w:tabs>
              <w:tab w:val="clear" w:pos="8176"/>
              <w:tab w:val="right" w:pos="9026" w:leader="dot"/>
            </w:tabs>
            <w:rPr/>
          </w:pPr>
          <w:hyperlink w:anchor="__RefHeading___Toc2156640_1067777946">
            <w:r>
              <w:rPr>
                <w:webHidden/>
                <w:rStyle w:val="IndexLink"/>
                <w:rtl w:val="true"/>
              </w:rPr>
              <w:t>[</w:t>
            </w:r>
            <w:r>
              <w:rPr>
                <w:rStyle w:val="IndexLink"/>
                <w:rtl w:val="true"/>
              </w:rPr>
              <w:t xml:space="preserve">المقصد الثالث في التوابع </w:t>
            </w:r>
            <w:r>
              <w:rPr>
                <w:rStyle w:val="IndexLink"/>
                <w:rtl w:val="true"/>
              </w:rPr>
              <w:t>]</w:t>
              <w:tab/>
            </w:r>
            <w:r>
              <w:rPr>
                <w:rStyle w:val="IndexLink"/>
              </w:rPr>
              <w:t>308</w:t>
            </w:r>
          </w:hyperlink>
        </w:p>
        <w:p>
          <w:pPr>
            <w:pStyle w:val="Contents5"/>
            <w:tabs>
              <w:tab w:val="clear" w:pos="7892"/>
              <w:tab w:val="right" w:pos="9026" w:leader="dot"/>
            </w:tabs>
            <w:rPr/>
          </w:pPr>
          <w:hyperlink w:anchor="__RefHeading___Toc2156642_1067777946">
            <w:r>
              <w:rPr>
                <w:webHidden/>
                <w:rStyle w:val="IndexLink"/>
                <w:rtl w:val="true"/>
              </w:rPr>
              <w:t>[</w:t>
            </w:r>
            <w:r>
              <w:rPr>
                <w:rStyle w:val="IndexLink"/>
                <w:rtl w:val="true"/>
              </w:rPr>
              <w:t xml:space="preserve">الفصل الأول في العُمرة </w:t>
            </w:r>
            <w:r>
              <w:rPr>
                <w:rStyle w:val="IndexLink"/>
                <w:rtl w:val="true"/>
              </w:rPr>
              <w:t>]</w:t>
              <w:tab/>
            </w:r>
            <w:r>
              <w:rPr>
                <w:rStyle w:val="IndexLink"/>
              </w:rPr>
              <w:t>308</w:t>
            </w:r>
          </w:hyperlink>
        </w:p>
        <w:p>
          <w:pPr>
            <w:pStyle w:val="Contents5"/>
            <w:tabs>
              <w:tab w:val="clear" w:pos="7892"/>
              <w:tab w:val="right" w:pos="9026" w:leader="dot"/>
            </w:tabs>
            <w:rPr/>
          </w:pPr>
          <w:hyperlink w:anchor="__RefHeading___Toc2156644_1067777946">
            <w:r>
              <w:rPr>
                <w:webHidden/>
                <w:rStyle w:val="IndexLink"/>
                <w:rtl w:val="true"/>
              </w:rPr>
              <w:t xml:space="preserve">[ </w:t>
            </w:r>
            <w:r>
              <w:rPr>
                <w:rStyle w:val="IndexLink"/>
                <w:rtl w:val="true"/>
              </w:rPr>
              <w:t>الفصل الثاني في الحصر والصد</w:t>
            </w:r>
            <w:r>
              <w:rPr>
                <w:rStyle w:val="IndexLink"/>
                <w:rtl w:val="true"/>
              </w:rPr>
              <w:t>]</w:t>
              <w:tab/>
            </w:r>
            <w:r>
              <w:rPr>
                <w:rStyle w:val="IndexLink"/>
              </w:rPr>
              <w:t>310</w:t>
            </w:r>
          </w:hyperlink>
        </w:p>
        <w:p>
          <w:pPr>
            <w:pStyle w:val="Contents6"/>
            <w:tabs>
              <w:tab w:val="clear" w:pos="7609"/>
              <w:tab w:val="right" w:pos="9026" w:leader="dot"/>
            </w:tabs>
            <w:rPr/>
          </w:pPr>
          <w:hyperlink w:anchor="__RefHeading___Toc2156646_1067777946">
            <w:r>
              <w:rPr>
                <w:webHidden/>
                <w:rStyle w:val="IndexLink"/>
                <w:rtl w:val="true"/>
              </w:rPr>
              <w:t>[</w:t>
            </w:r>
            <w:r>
              <w:rPr>
                <w:rStyle w:val="IndexLink"/>
                <w:rtl w:val="true"/>
              </w:rPr>
              <w:t>المطلب الأوّل</w:t>
            </w:r>
            <w:r>
              <w:rPr>
                <w:rStyle w:val="IndexLink"/>
                <w:rtl w:val="true"/>
              </w:rPr>
              <w:t xml:space="preserve">: </w:t>
            </w:r>
            <w:r>
              <w:rPr>
                <w:rStyle w:val="IndexLink"/>
                <w:rtl w:val="true"/>
              </w:rPr>
              <w:t>المصدود وهو الممنوع بالعدو</w:t>
            </w:r>
            <w:r>
              <w:rPr>
                <w:rStyle w:val="IndexLink"/>
                <w:rtl w:val="true"/>
              </w:rPr>
              <w:t>]</w:t>
              <w:tab/>
            </w:r>
            <w:r>
              <w:rPr>
                <w:rStyle w:val="IndexLink"/>
              </w:rPr>
              <w:t>310</w:t>
            </w:r>
          </w:hyperlink>
        </w:p>
        <w:p>
          <w:pPr>
            <w:pStyle w:val="Contents6"/>
            <w:tabs>
              <w:tab w:val="clear" w:pos="7609"/>
              <w:tab w:val="right" w:pos="9026" w:leader="dot"/>
            </w:tabs>
            <w:rPr/>
          </w:pPr>
          <w:hyperlink w:anchor="__RefHeading___Toc2156648_1067777946">
            <w:r>
              <w:rPr>
                <w:webHidden/>
                <w:rStyle w:val="IndexLink"/>
                <w:rtl w:val="true"/>
              </w:rPr>
              <w:t>[</w:t>
            </w:r>
            <w:r>
              <w:rPr>
                <w:rStyle w:val="IndexLink"/>
                <w:rtl w:val="true"/>
              </w:rPr>
              <w:t>المطلب الثاني</w:t>
            </w:r>
            <w:r>
              <w:rPr>
                <w:rStyle w:val="IndexLink"/>
                <w:rtl w:val="true"/>
              </w:rPr>
              <w:t xml:space="preserve">: </w:t>
            </w:r>
            <w:r>
              <w:rPr>
                <w:rStyle w:val="IndexLink"/>
                <w:rtl w:val="true"/>
              </w:rPr>
              <w:t>المحصر</w:t>
            </w:r>
            <w:r>
              <w:rPr>
                <w:rStyle w:val="IndexLink"/>
                <w:rtl w:val="true"/>
              </w:rPr>
              <w:t>]</w:t>
              <w:tab/>
            </w:r>
            <w:r>
              <w:rPr>
                <w:rStyle w:val="IndexLink"/>
              </w:rPr>
              <w:t>313</w:t>
            </w:r>
          </w:hyperlink>
        </w:p>
        <w:p>
          <w:pPr>
            <w:pStyle w:val="Contents5"/>
            <w:tabs>
              <w:tab w:val="clear" w:pos="7892"/>
              <w:tab w:val="right" w:pos="9026" w:leader="dot"/>
            </w:tabs>
            <w:rPr/>
          </w:pPr>
          <w:hyperlink w:anchor="__RefHeading___Toc2156650_1067777946">
            <w:r>
              <w:rPr>
                <w:webHidden/>
                <w:rStyle w:val="IndexLink"/>
                <w:rtl w:val="true"/>
              </w:rPr>
              <w:t xml:space="preserve">[ </w:t>
            </w:r>
            <w:r>
              <w:rPr>
                <w:rStyle w:val="IndexLink"/>
                <w:rtl w:val="true"/>
              </w:rPr>
              <w:t>الفصل الثالث في كفارات الإحرام</w:t>
            </w:r>
            <w:r>
              <w:rPr>
                <w:rStyle w:val="IndexLink"/>
                <w:rtl w:val="true"/>
              </w:rPr>
              <w:t>]</w:t>
              <w:tab/>
            </w:r>
            <w:r>
              <w:rPr>
                <w:rStyle w:val="IndexLink"/>
              </w:rPr>
              <w:t>314</w:t>
            </w:r>
          </w:hyperlink>
        </w:p>
        <w:p>
          <w:pPr>
            <w:pStyle w:val="Contents6"/>
            <w:tabs>
              <w:tab w:val="clear" w:pos="7609"/>
              <w:tab w:val="right" w:pos="9026" w:leader="dot"/>
            </w:tabs>
            <w:rPr/>
          </w:pPr>
          <w:hyperlink w:anchor="__RefHeading___Toc2156652_1067777946">
            <w:r>
              <w:rPr>
                <w:webHidden/>
                <w:rStyle w:val="IndexLink"/>
                <w:rtl w:val="true"/>
              </w:rPr>
              <w:t>[</w:t>
            </w:r>
            <w:r>
              <w:rPr>
                <w:rStyle w:val="IndexLink"/>
                <w:rtl w:val="true"/>
              </w:rPr>
              <w:t>المطلب الأوّل</w:t>
            </w:r>
            <w:r>
              <w:rPr>
                <w:rStyle w:val="IndexLink"/>
                <w:rtl w:val="true"/>
              </w:rPr>
              <w:t xml:space="preserve">: </w:t>
            </w:r>
            <w:r>
              <w:rPr>
                <w:rStyle w:val="IndexLink"/>
                <w:rtl w:val="true"/>
              </w:rPr>
              <w:t>الصيد</w:t>
            </w:r>
            <w:r>
              <w:rPr>
                <w:rStyle w:val="IndexLink"/>
                <w:rtl w:val="true"/>
              </w:rPr>
              <w:t>]</w:t>
              <w:tab/>
            </w:r>
            <w:r>
              <w:rPr>
                <w:rStyle w:val="IndexLink"/>
              </w:rPr>
              <w:t>314</w:t>
            </w:r>
          </w:hyperlink>
        </w:p>
        <w:p>
          <w:pPr>
            <w:pStyle w:val="Contents6"/>
            <w:tabs>
              <w:tab w:val="clear" w:pos="7609"/>
              <w:tab w:val="right" w:pos="9026" w:leader="dot"/>
            </w:tabs>
            <w:rPr/>
          </w:pPr>
          <w:hyperlink w:anchor="__RefHeading___Toc2156654_1067777946">
            <w:r>
              <w:rPr>
                <w:webHidden/>
                <w:rStyle w:val="IndexLink"/>
                <w:rtl w:val="true"/>
              </w:rPr>
              <w:t>[</w:t>
            </w:r>
            <w:r>
              <w:rPr>
                <w:rStyle w:val="IndexLink"/>
                <w:rtl w:val="true"/>
              </w:rPr>
              <w:t>المطلب الثاني في الاستمتاع بالنساء</w:t>
            </w:r>
            <w:r>
              <w:rPr>
                <w:rStyle w:val="IndexLink"/>
                <w:rtl w:val="true"/>
              </w:rPr>
              <w:t>]</w:t>
              <w:tab/>
            </w:r>
            <w:r>
              <w:rPr>
                <w:rStyle w:val="IndexLink"/>
              </w:rPr>
              <w:t>326</w:t>
            </w:r>
          </w:hyperlink>
        </w:p>
        <w:p>
          <w:pPr>
            <w:pStyle w:val="Contents6"/>
            <w:tabs>
              <w:tab w:val="clear" w:pos="7609"/>
              <w:tab w:val="right" w:pos="9026" w:leader="dot"/>
            </w:tabs>
            <w:rPr/>
          </w:pPr>
          <w:hyperlink w:anchor="__RefHeading___Toc2156656_1067777946">
            <w:r>
              <w:rPr>
                <w:webHidden/>
                <w:rStyle w:val="IndexLink"/>
                <w:rtl w:val="true"/>
              </w:rPr>
              <w:t>[</w:t>
            </w:r>
            <w:r>
              <w:rPr>
                <w:rStyle w:val="IndexLink"/>
                <w:rtl w:val="true"/>
              </w:rPr>
              <w:t>المطلب الثالث في باقي المحظورات</w:t>
            </w:r>
            <w:r>
              <w:rPr>
                <w:rStyle w:val="IndexLink"/>
                <w:rtl w:val="true"/>
              </w:rPr>
              <w:t>]</w:t>
              <w:tab/>
            </w:r>
            <w:r>
              <w:rPr>
                <w:rStyle w:val="IndexLink"/>
              </w:rPr>
              <w:t>328</w:t>
            </w:r>
          </w:hyperlink>
        </w:p>
        <w:p>
          <w:pPr>
            <w:pStyle w:val="Contents3"/>
            <w:tabs>
              <w:tab w:val="clear" w:pos="8459"/>
              <w:tab w:val="right" w:pos="9026" w:leader="dot"/>
            </w:tabs>
            <w:rPr/>
          </w:pPr>
          <w:hyperlink w:anchor="__RefHeading___Toc2156658_1067777946">
            <w:r>
              <w:rPr>
                <w:webHidden/>
                <w:rStyle w:val="IndexLink"/>
                <w:rtl w:val="true"/>
              </w:rPr>
              <w:t>كتاب الجهاد</w:t>
            </w:r>
            <w:r>
              <w:rPr>
                <w:rStyle w:val="IndexLink"/>
                <w:rtl w:val="true"/>
              </w:rPr>
              <w:tab/>
            </w:r>
            <w:r>
              <w:rPr>
                <w:rStyle w:val="IndexLink"/>
              </w:rPr>
              <w:t>329</w:t>
            </w:r>
          </w:hyperlink>
        </w:p>
        <w:p>
          <w:pPr>
            <w:pStyle w:val="Contents4"/>
            <w:tabs>
              <w:tab w:val="clear" w:pos="8176"/>
              <w:tab w:val="right" w:pos="9026" w:leader="dot"/>
            </w:tabs>
            <w:rPr/>
          </w:pPr>
          <w:hyperlink w:anchor="__RefHeading___Toc2156660_1067777946">
            <w:r>
              <w:rPr>
                <w:webHidden/>
                <w:rStyle w:val="IndexLink"/>
                <w:rtl w:val="true"/>
              </w:rPr>
              <w:t>[</w:t>
            </w:r>
            <w:r>
              <w:rPr>
                <w:rStyle w:val="IndexLink"/>
                <w:rtl w:val="true"/>
              </w:rPr>
              <w:t xml:space="preserve">المقصد الأول في من يجب عليه </w:t>
            </w:r>
            <w:r>
              <w:rPr>
                <w:rStyle w:val="IndexLink"/>
                <w:rtl w:val="true"/>
              </w:rPr>
              <w:t>]</w:t>
              <w:tab/>
            </w:r>
            <w:r>
              <w:rPr>
                <w:rStyle w:val="IndexLink"/>
              </w:rPr>
              <w:t>329</w:t>
            </w:r>
          </w:hyperlink>
        </w:p>
        <w:p>
          <w:pPr>
            <w:pStyle w:val="Contents4"/>
            <w:tabs>
              <w:tab w:val="clear" w:pos="8176"/>
              <w:tab w:val="right" w:pos="9026" w:leader="dot"/>
            </w:tabs>
            <w:rPr/>
          </w:pPr>
          <w:hyperlink w:anchor="__RefHeading___Toc2156662_1067777946">
            <w:r>
              <w:rPr>
                <w:webHidden/>
                <w:rStyle w:val="IndexLink"/>
                <w:rtl w:val="true"/>
              </w:rPr>
              <w:t>[</w:t>
            </w:r>
            <w:r>
              <w:rPr>
                <w:rStyle w:val="IndexLink"/>
                <w:rtl w:val="true"/>
              </w:rPr>
              <w:t xml:space="preserve">المقصد الثاني في من يجب قتاله </w:t>
            </w:r>
            <w:r>
              <w:rPr>
                <w:rStyle w:val="IndexLink"/>
                <w:rtl w:val="true"/>
              </w:rPr>
              <w:t>]</w:t>
              <w:tab/>
            </w:r>
            <w:r>
              <w:rPr>
                <w:rStyle w:val="IndexLink"/>
              </w:rPr>
              <w:t>335</w:t>
            </w:r>
          </w:hyperlink>
        </w:p>
        <w:p>
          <w:pPr>
            <w:pStyle w:val="Contents4"/>
            <w:tabs>
              <w:tab w:val="clear" w:pos="8176"/>
              <w:tab w:val="right" w:pos="9026" w:leader="dot"/>
            </w:tabs>
            <w:rPr/>
          </w:pPr>
          <w:hyperlink w:anchor="__RefHeading___Toc2156664_1067777946">
            <w:r>
              <w:rPr>
                <w:webHidden/>
                <w:rStyle w:val="IndexLink"/>
                <w:rtl w:val="true"/>
              </w:rPr>
              <w:t>[</w:t>
            </w:r>
            <w:r>
              <w:rPr>
                <w:rStyle w:val="IndexLink"/>
                <w:rtl w:val="true"/>
              </w:rPr>
              <w:t xml:space="preserve">المقصد الثالث في كَيفيّة </w:t>
            </w:r>
            <w:r>
              <w:rPr>
                <w:rStyle w:val="IndexLink"/>
                <w:rtl w:val="true"/>
              </w:rPr>
              <w:t>]</w:t>
              <w:tab/>
            </w:r>
            <w:r>
              <w:rPr>
                <w:rStyle w:val="IndexLink"/>
              </w:rPr>
              <w:t>336</w:t>
            </w:r>
          </w:hyperlink>
        </w:p>
        <w:p>
          <w:pPr>
            <w:pStyle w:val="Contents5"/>
            <w:tabs>
              <w:tab w:val="clear" w:pos="7892"/>
              <w:tab w:val="right" w:pos="9026" w:leader="dot"/>
            </w:tabs>
            <w:rPr/>
          </w:pPr>
          <w:hyperlink w:anchor="__RefHeading___Toc2156666_1067777946">
            <w:r>
              <w:rPr>
                <w:webHidden/>
                <w:rStyle w:val="IndexLink"/>
                <w:rtl w:val="true"/>
              </w:rPr>
              <w:t>[</w:t>
            </w:r>
            <w:r>
              <w:rPr>
                <w:rStyle w:val="IndexLink"/>
                <w:rtl w:val="true"/>
              </w:rPr>
              <w:t>الفصل الأول في القتال</w:t>
            </w:r>
            <w:r>
              <w:rPr>
                <w:rStyle w:val="IndexLink"/>
                <w:rtl w:val="true"/>
              </w:rPr>
              <w:t>]</w:t>
              <w:tab/>
            </w:r>
            <w:r>
              <w:rPr>
                <w:rStyle w:val="IndexLink"/>
              </w:rPr>
              <w:t>336</w:t>
            </w:r>
          </w:hyperlink>
        </w:p>
        <w:p>
          <w:pPr>
            <w:pStyle w:val="Contents5"/>
            <w:tabs>
              <w:tab w:val="clear" w:pos="7892"/>
              <w:tab w:val="right" w:pos="9026" w:leader="dot"/>
            </w:tabs>
            <w:rPr/>
          </w:pPr>
          <w:hyperlink w:anchor="__RefHeading___Toc2156668_1067777946">
            <w:r>
              <w:rPr>
                <w:webHidden/>
                <w:rStyle w:val="IndexLink"/>
                <w:rtl w:val="true"/>
              </w:rPr>
              <w:t xml:space="preserve">[ </w:t>
            </w:r>
            <w:r>
              <w:rPr>
                <w:rStyle w:val="IndexLink"/>
                <w:rtl w:val="true"/>
              </w:rPr>
              <w:t xml:space="preserve">الفصل الثاني في الاسترقاق </w:t>
            </w:r>
            <w:r>
              <w:rPr>
                <w:rStyle w:val="IndexLink"/>
                <w:rtl w:val="true"/>
              </w:rPr>
              <w:t>]</w:t>
              <w:tab/>
            </w:r>
            <w:r>
              <w:rPr>
                <w:rStyle w:val="IndexLink"/>
              </w:rPr>
              <w:t>337</w:t>
            </w:r>
          </w:hyperlink>
        </w:p>
        <w:p>
          <w:pPr>
            <w:pStyle w:val="Contents5"/>
            <w:tabs>
              <w:tab w:val="clear" w:pos="7892"/>
              <w:tab w:val="right" w:pos="9026" w:leader="dot"/>
            </w:tabs>
            <w:rPr/>
          </w:pPr>
          <w:hyperlink w:anchor="__RefHeading___Toc2156670_1067777946">
            <w:r>
              <w:rPr>
                <w:webHidden/>
                <w:rStyle w:val="IndexLink"/>
                <w:rtl w:val="true"/>
              </w:rPr>
              <w:t xml:space="preserve">[ </w:t>
            </w:r>
            <w:r>
              <w:rPr>
                <w:rStyle w:val="IndexLink"/>
                <w:rtl w:val="true"/>
              </w:rPr>
              <w:t xml:space="preserve">الفصل الثالث في الاغتنام </w:t>
            </w:r>
            <w:r>
              <w:rPr>
                <w:rStyle w:val="IndexLink"/>
                <w:rtl w:val="true"/>
              </w:rPr>
              <w:t>]</w:t>
              <w:tab/>
            </w:r>
            <w:r>
              <w:rPr>
                <w:rStyle w:val="IndexLink"/>
              </w:rPr>
              <w:t>340</w:t>
            </w:r>
          </w:hyperlink>
        </w:p>
        <w:p>
          <w:pPr>
            <w:pStyle w:val="Contents4"/>
            <w:tabs>
              <w:tab w:val="clear" w:pos="8176"/>
              <w:tab w:val="right" w:pos="9026" w:leader="dot"/>
            </w:tabs>
            <w:rPr/>
          </w:pPr>
          <w:hyperlink w:anchor="__RefHeading___Toc2156672_1067777946">
            <w:r>
              <w:rPr>
                <w:webHidden/>
                <w:rStyle w:val="IndexLink"/>
                <w:rtl w:val="true"/>
              </w:rPr>
              <w:t>[</w:t>
            </w:r>
            <w:r>
              <w:rPr>
                <w:rStyle w:val="IndexLink"/>
                <w:rtl w:val="true"/>
              </w:rPr>
              <w:t xml:space="preserve">المقصد الرابع في ترك القتال </w:t>
            </w:r>
            <w:r>
              <w:rPr>
                <w:rStyle w:val="IndexLink"/>
                <w:rtl w:val="true"/>
              </w:rPr>
              <w:t>]</w:t>
              <w:tab/>
            </w:r>
            <w:r>
              <w:rPr>
                <w:rStyle w:val="IndexLink"/>
              </w:rPr>
              <w:t>343</w:t>
            </w:r>
          </w:hyperlink>
        </w:p>
        <w:p>
          <w:pPr>
            <w:pStyle w:val="Contents5"/>
            <w:tabs>
              <w:tab w:val="clear" w:pos="7892"/>
              <w:tab w:val="right" w:pos="9026" w:leader="dot"/>
            </w:tabs>
            <w:rPr/>
          </w:pPr>
          <w:hyperlink w:anchor="__RefHeading___Toc2156674_1067777946">
            <w:r>
              <w:rPr>
                <w:webHidden/>
                <w:rStyle w:val="IndexLink"/>
                <w:rtl w:val="true"/>
              </w:rPr>
              <w:t>[</w:t>
            </w:r>
            <w:r>
              <w:rPr>
                <w:rStyle w:val="IndexLink"/>
                <w:rtl w:val="true"/>
              </w:rPr>
              <w:t>الفصل الأول في الأمان</w:t>
            </w:r>
            <w:r>
              <w:rPr>
                <w:rStyle w:val="IndexLink"/>
                <w:rtl w:val="true"/>
              </w:rPr>
              <w:t>]</w:t>
              <w:tab/>
            </w:r>
            <w:r>
              <w:rPr>
                <w:rStyle w:val="IndexLink"/>
              </w:rPr>
              <w:t>343</w:t>
            </w:r>
          </w:hyperlink>
        </w:p>
        <w:p>
          <w:pPr>
            <w:pStyle w:val="Contents5"/>
            <w:tabs>
              <w:tab w:val="clear" w:pos="7892"/>
              <w:tab w:val="right" w:pos="9026" w:leader="dot"/>
            </w:tabs>
            <w:rPr/>
          </w:pPr>
          <w:hyperlink w:anchor="__RefHeading___Toc2156676_1067777946">
            <w:r>
              <w:rPr>
                <w:webHidden/>
                <w:rStyle w:val="IndexLink"/>
                <w:rtl w:val="true"/>
              </w:rPr>
              <w:t>[</w:t>
            </w:r>
            <w:r>
              <w:rPr>
                <w:rStyle w:val="IndexLink"/>
                <w:rtl w:val="true"/>
              </w:rPr>
              <w:t xml:space="preserve">الفصل الثاني في عقد الجزية </w:t>
            </w:r>
            <w:r>
              <w:rPr>
                <w:rStyle w:val="IndexLink"/>
                <w:rtl w:val="true"/>
              </w:rPr>
              <w:t>]</w:t>
              <w:tab/>
            </w:r>
            <w:r>
              <w:rPr>
                <w:rStyle w:val="IndexLink"/>
              </w:rPr>
              <w:t>345</w:t>
            </w:r>
          </w:hyperlink>
        </w:p>
        <w:p>
          <w:pPr>
            <w:pStyle w:val="Contents4"/>
            <w:tabs>
              <w:tab w:val="clear" w:pos="8176"/>
              <w:tab w:val="right" w:pos="9026" w:leader="dot"/>
            </w:tabs>
            <w:rPr/>
          </w:pPr>
          <w:hyperlink w:anchor="__RefHeading___Toc2156678_1067777946">
            <w:r>
              <w:rPr>
                <w:webHidden/>
                <w:rStyle w:val="IndexLink"/>
                <w:rtl w:val="true"/>
              </w:rPr>
              <w:t>[</w:t>
            </w:r>
            <w:r>
              <w:rPr>
                <w:rStyle w:val="IndexLink"/>
                <w:rtl w:val="true"/>
              </w:rPr>
              <w:t xml:space="preserve">المقصد الخامس في الأمر بالمعروف والنهي عن المنكر </w:t>
            </w:r>
            <w:r>
              <w:rPr>
                <w:rStyle w:val="IndexLink"/>
                <w:rtl w:val="true"/>
              </w:rPr>
              <w:t>]</w:t>
              <w:tab/>
            </w:r>
            <w:r>
              <w:rPr>
                <w:rStyle w:val="IndexLink"/>
              </w:rPr>
              <w:t>351</w:t>
            </w:r>
          </w:hyperlink>
        </w:p>
        <w:p>
          <w:pPr>
            <w:pStyle w:val="Contents3"/>
            <w:tabs>
              <w:tab w:val="clear" w:pos="8459"/>
              <w:tab w:val="right" w:pos="9026" w:leader="dot"/>
            </w:tabs>
            <w:rPr/>
          </w:pPr>
          <w:hyperlink w:anchor="__RefHeading___Toc2156680_1067777946">
            <w:r>
              <w:rPr>
                <w:webHidden/>
                <w:rStyle w:val="IndexLink"/>
                <w:rtl w:val="true"/>
              </w:rPr>
              <w:t>كتاب المتاجر</w:t>
            </w:r>
            <w:r>
              <w:rPr>
                <w:rStyle w:val="IndexLink"/>
                <w:rtl w:val="true"/>
              </w:rPr>
              <w:tab/>
            </w:r>
            <w:r>
              <w:rPr>
                <w:rStyle w:val="IndexLink"/>
              </w:rPr>
              <w:t>355</w:t>
            </w:r>
          </w:hyperlink>
        </w:p>
        <w:p>
          <w:pPr>
            <w:pStyle w:val="Contents4"/>
            <w:tabs>
              <w:tab w:val="clear" w:pos="8176"/>
              <w:tab w:val="right" w:pos="9026" w:leader="dot"/>
            </w:tabs>
            <w:rPr/>
          </w:pPr>
          <w:hyperlink w:anchor="__RefHeading___Toc2156682_1067777946">
            <w:r>
              <w:rPr>
                <w:webHidden/>
                <w:rStyle w:val="IndexLink"/>
                <w:rtl w:val="true"/>
              </w:rPr>
              <w:t>[</w:t>
            </w:r>
            <w:r>
              <w:rPr>
                <w:rStyle w:val="IndexLink"/>
                <w:rtl w:val="true"/>
              </w:rPr>
              <w:t xml:space="preserve">المقصد الأول في المقدمات </w:t>
            </w:r>
            <w:r>
              <w:rPr>
                <w:rStyle w:val="IndexLink"/>
                <w:rtl w:val="true"/>
              </w:rPr>
              <w:t>]</w:t>
              <w:tab/>
            </w:r>
            <w:r>
              <w:rPr>
                <w:rStyle w:val="IndexLink"/>
              </w:rPr>
              <w:t>355</w:t>
            </w:r>
          </w:hyperlink>
        </w:p>
        <w:p>
          <w:pPr>
            <w:pStyle w:val="Contents5"/>
            <w:tabs>
              <w:tab w:val="clear" w:pos="7892"/>
              <w:tab w:val="right" w:pos="9026" w:leader="dot"/>
            </w:tabs>
            <w:rPr/>
          </w:pPr>
          <w:hyperlink w:anchor="__RefHeading___Toc2156684_1067777946">
            <w:r>
              <w:rPr>
                <w:webHidden/>
                <w:rStyle w:val="IndexLink"/>
                <w:rtl w:val="true"/>
              </w:rPr>
              <w:t>[</w:t>
            </w:r>
            <w:r>
              <w:rPr>
                <w:rStyle w:val="IndexLink"/>
                <w:rtl w:val="true"/>
              </w:rPr>
              <w:t>الفصل الأوّل في أقسامها</w:t>
            </w:r>
            <w:r>
              <w:rPr>
                <w:rStyle w:val="IndexLink"/>
                <w:rtl w:val="true"/>
              </w:rPr>
              <w:t>]</w:t>
              <w:tab/>
            </w:r>
            <w:r>
              <w:rPr>
                <w:rStyle w:val="IndexLink"/>
              </w:rPr>
              <w:t>355</w:t>
            </w:r>
          </w:hyperlink>
        </w:p>
        <w:p>
          <w:pPr>
            <w:pStyle w:val="Contents4"/>
            <w:tabs>
              <w:tab w:val="clear" w:pos="8176"/>
              <w:tab w:val="right" w:pos="9026" w:leader="dot"/>
            </w:tabs>
            <w:rPr/>
          </w:pPr>
          <w:hyperlink w:anchor="__RefHeading___Toc2156686_1067777946">
            <w:r>
              <w:rPr>
                <w:webHidden/>
                <w:rStyle w:val="IndexLink"/>
                <w:rtl w:val="true"/>
              </w:rPr>
              <w:t>[</w:t>
            </w:r>
            <w:r>
              <w:rPr>
                <w:rStyle w:val="IndexLink"/>
                <w:rtl w:val="true"/>
              </w:rPr>
              <w:t xml:space="preserve">المقصد الثاني في البيع </w:t>
            </w:r>
            <w:r>
              <w:rPr>
                <w:rStyle w:val="IndexLink"/>
                <w:rtl w:val="true"/>
              </w:rPr>
              <w:t>]</w:t>
              <w:tab/>
            </w:r>
            <w:r>
              <w:rPr>
                <w:rStyle w:val="IndexLink"/>
              </w:rPr>
              <w:t>365</w:t>
            </w:r>
          </w:hyperlink>
        </w:p>
        <w:p>
          <w:pPr>
            <w:pStyle w:val="Contents5"/>
            <w:tabs>
              <w:tab w:val="clear" w:pos="7892"/>
              <w:tab w:val="right" w:pos="9026" w:leader="dot"/>
            </w:tabs>
            <w:rPr/>
          </w:pPr>
          <w:hyperlink w:anchor="__RefHeading___Toc2156688_1067777946">
            <w:r>
              <w:rPr>
                <w:webHidden/>
                <w:rStyle w:val="IndexLink"/>
                <w:rtl w:val="true"/>
              </w:rPr>
              <w:t>[</w:t>
            </w:r>
            <w:r>
              <w:rPr>
                <w:rStyle w:val="IndexLink"/>
                <w:rtl w:val="true"/>
              </w:rPr>
              <w:t>الفصل الأول</w:t>
            </w:r>
            <w:r>
              <w:rPr>
                <w:rStyle w:val="IndexLink"/>
                <w:rtl w:val="true"/>
              </w:rPr>
              <w:t xml:space="preserve">: </w:t>
            </w:r>
            <w:r>
              <w:rPr>
                <w:rStyle w:val="IndexLink"/>
                <w:rtl w:val="true"/>
              </w:rPr>
              <w:t xml:space="preserve">الصيغة </w:t>
            </w:r>
            <w:r>
              <w:rPr>
                <w:rStyle w:val="IndexLink"/>
                <w:rtl w:val="true"/>
              </w:rPr>
              <w:t>]</w:t>
              <w:tab/>
            </w:r>
            <w:r>
              <w:rPr>
                <w:rStyle w:val="IndexLink"/>
              </w:rPr>
              <w:t>365</w:t>
            </w:r>
          </w:hyperlink>
        </w:p>
        <w:p>
          <w:pPr>
            <w:pStyle w:val="Contents5"/>
            <w:tabs>
              <w:tab w:val="clear" w:pos="7892"/>
              <w:tab w:val="right" w:pos="9026" w:leader="dot"/>
            </w:tabs>
            <w:rPr/>
          </w:pPr>
          <w:hyperlink w:anchor="__RefHeading___Toc2156690_1067777946">
            <w:r>
              <w:rPr>
                <w:webHidden/>
                <w:rStyle w:val="IndexLink"/>
                <w:rtl w:val="true"/>
              </w:rPr>
              <w:t xml:space="preserve">[ </w:t>
            </w:r>
            <w:r>
              <w:rPr>
                <w:rStyle w:val="IndexLink"/>
                <w:rtl w:val="true"/>
              </w:rPr>
              <w:t>الفصل الثاني</w:t>
            </w:r>
            <w:r>
              <w:rPr>
                <w:rStyle w:val="IndexLink"/>
                <w:rtl w:val="true"/>
              </w:rPr>
              <w:t xml:space="preserve">: </w:t>
            </w:r>
            <w:r>
              <w:rPr>
                <w:rStyle w:val="IndexLink"/>
                <w:rtl w:val="true"/>
              </w:rPr>
              <w:t>المتعاقدان</w:t>
            </w:r>
            <w:r>
              <w:rPr>
                <w:rStyle w:val="IndexLink"/>
                <w:rtl w:val="true"/>
              </w:rPr>
              <w:t>]</w:t>
              <w:tab/>
            </w:r>
            <w:r>
              <w:rPr>
                <w:rStyle w:val="IndexLink"/>
              </w:rPr>
              <w:t>367</w:t>
            </w:r>
          </w:hyperlink>
        </w:p>
        <w:p>
          <w:pPr>
            <w:pStyle w:val="Contents5"/>
            <w:tabs>
              <w:tab w:val="clear" w:pos="7892"/>
              <w:tab w:val="right" w:pos="9026" w:leader="dot"/>
            </w:tabs>
            <w:rPr/>
          </w:pPr>
          <w:hyperlink w:anchor="__RefHeading___Toc2156692_1067777946">
            <w:r>
              <w:rPr>
                <w:webHidden/>
                <w:rStyle w:val="IndexLink"/>
                <w:rtl w:val="true"/>
              </w:rPr>
              <w:t xml:space="preserve">[ </w:t>
            </w:r>
            <w:r>
              <w:rPr>
                <w:rStyle w:val="IndexLink"/>
                <w:rtl w:val="true"/>
              </w:rPr>
              <w:t>الفصل الثالث</w:t>
            </w:r>
            <w:r>
              <w:rPr>
                <w:rStyle w:val="IndexLink"/>
                <w:rtl w:val="true"/>
              </w:rPr>
              <w:t xml:space="preserve">: </w:t>
            </w:r>
            <w:r>
              <w:rPr>
                <w:rStyle w:val="IndexLink"/>
                <w:rtl w:val="true"/>
              </w:rPr>
              <w:t>العوضان</w:t>
            </w:r>
            <w:r>
              <w:rPr>
                <w:rStyle w:val="IndexLink"/>
                <w:rtl w:val="true"/>
              </w:rPr>
              <w:t>]</w:t>
              <w:tab/>
            </w:r>
            <w:r>
              <w:rPr>
                <w:rStyle w:val="IndexLink"/>
              </w:rPr>
              <w:t>371</w:t>
            </w:r>
          </w:hyperlink>
        </w:p>
        <w:p>
          <w:pPr>
            <w:pStyle w:val="Contents4"/>
            <w:tabs>
              <w:tab w:val="clear" w:pos="8176"/>
              <w:tab w:val="right" w:pos="9026" w:leader="dot"/>
            </w:tabs>
            <w:rPr/>
          </w:pPr>
          <w:hyperlink w:anchor="__RefHeading___Toc2156694_1067777946">
            <w:r>
              <w:rPr>
                <w:webHidden/>
                <w:rStyle w:val="IndexLink"/>
                <w:rtl w:val="true"/>
              </w:rPr>
              <w:t>المقصد الثالث في أنواع المبيع</w:t>
            </w:r>
            <w:r>
              <w:rPr>
                <w:rStyle w:val="IndexLink"/>
                <w:rtl w:val="true"/>
              </w:rPr>
              <w:tab/>
            </w:r>
            <w:r>
              <w:rPr>
                <w:rStyle w:val="IndexLink"/>
              </w:rPr>
              <w:t>377</w:t>
            </w:r>
          </w:hyperlink>
        </w:p>
        <w:p>
          <w:pPr>
            <w:pStyle w:val="Contents5"/>
            <w:tabs>
              <w:tab w:val="clear" w:pos="7892"/>
              <w:tab w:val="right" w:pos="9026" w:leader="dot"/>
            </w:tabs>
            <w:rPr/>
          </w:pPr>
          <w:hyperlink w:anchor="__RefHeading___Toc2156696_1067777946">
            <w:r>
              <w:rPr>
                <w:webHidden/>
                <w:rStyle w:val="IndexLink"/>
                <w:rtl w:val="true"/>
              </w:rPr>
              <w:t>[</w:t>
            </w:r>
            <w:r>
              <w:rPr>
                <w:rStyle w:val="IndexLink"/>
                <w:rtl w:val="true"/>
              </w:rPr>
              <w:t>الفصل الأوّل</w:t>
            </w:r>
            <w:r>
              <w:rPr>
                <w:rStyle w:val="IndexLink"/>
                <w:rtl w:val="true"/>
              </w:rPr>
              <w:t xml:space="preserve">: </w:t>
            </w:r>
            <w:r>
              <w:rPr>
                <w:rStyle w:val="IndexLink"/>
                <w:rtl w:val="true"/>
              </w:rPr>
              <w:t>الحيوان</w:t>
            </w:r>
            <w:r>
              <w:rPr>
                <w:rStyle w:val="IndexLink"/>
                <w:rtl w:val="true"/>
              </w:rPr>
              <w:t>]</w:t>
              <w:tab/>
            </w:r>
            <w:r>
              <w:rPr>
                <w:rStyle w:val="IndexLink"/>
              </w:rPr>
              <w:t>377</w:t>
            </w:r>
          </w:hyperlink>
        </w:p>
        <w:p>
          <w:pPr>
            <w:pStyle w:val="Contents5"/>
            <w:tabs>
              <w:tab w:val="clear" w:pos="7892"/>
              <w:tab w:val="right" w:pos="9026" w:leader="dot"/>
            </w:tabs>
            <w:rPr/>
          </w:pPr>
          <w:hyperlink w:anchor="__RefHeading___Toc2156698_1067777946">
            <w:r>
              <w:rPr>
                <w:webHidden/>
                <w:rStyle w:val="IndexLink"/>
                <w:rtl w:val="true"/>
              </w:rPr>
              <w:t>[</w:t>
            </w:r>
            <w:r>
              <w:rPr>
                <w:rStyle w:val="IndexLink"/>
                <w:rtl w:val="true"/>
              </w:rPr>
              <w:t xml:space="preserve">الفصل الثاني في بيع الثمار </w:t>
            </w:r>
            <w:r>
              <w:rPr>
                <w:rStyle w:val="IndexLink"/>
                <w:rtl w:val="true"/>
              </w:rPr>
              <w:t>]</w:t>
              <w:tab/>
            </w:r>
            <w:r>
              <w:rPr>
                <w:rStyle w:val="IndexLink"/>
              </w:rPr>
              <w:t>383</w:t>
            </w:r>
          </w:hyperlink>
        </w:p>
        <w:p>
          <w:pPr>
            <w:pStyle w:val="Contents5"/>
            <w:tabs>
              <w:tab w:val="clear" w:pos="7892"/>
              <w:tab w:val="right" w:pos="9026" w:leader="dot"/>
            </w:tabs>
            <w:rPr/>
          </w:pPr>
          <w:hyperlink w:anchor="__RefHeading___Toc2156700_1067777946">
            <w:r>
              <w:rPr>
                <w:webHidden/>
                <w:rStyle w:val="IndexLink"/>
                <w:rtl w:val="true"/>
              </w:rPr>
              <w:t xml:space="preserve">[ </w:t>
            </w:r>
            <w:r>
              <w:rPr>
                <w:rStyle w:val="IndexLink"/>
                <w:rtl w:val="true"/>
              </w:rPr>
              <w:t>الفصل الثالث في الصرف</w:t>
            </w:r>
            <w:r>
              <w:rPr>
                <w:rStyle w:val="IndexLink"/>
                <w:rtl w:val="true"/>
              </w:rPr>
              <w:t>]</w:t>
              <w:tab/>
            </w:r>
            <w:r>
              <w:rPr>
                <w:rStyle w:val="IndexLink"/>
              </w:rPr>
              <w:t>385</w:t>
            </w:r>
          </w:hyperlink>
        </w:p>
        <w:p>
          <w:pPr>
            <w:pStyle w:val="Contents4"/>
            <w:tabs>
              <w:tab w:val="clear" w:pos="8176"/>
              <w:tab w:val="right" w:pos="9026" w:leader="dot"/>
            </w:tabs>
            <w:rPr/>
          </w:pPr>
          <w:hyperlink w:anchor="__RefHeading___Toc2156702_1067777946">
            <w:r>
              <w:rPr>
                <w:webHidden/>
                <w:rStyle w:val="IndexLink"/>
                <w:rtl w:val="true"/>
              </w:rPr>
              <w:t>[</w:t>
            </w:r>
            <w:r>
              <w:rPr>
                <w:rStyle w:val="IndexLink"/>
                <w:rtl w:val="true"/>
              </w:rPr>
              <w:t xml:space="preserve">المقصد الرابع في أنواع البيع </w:t>
            </w:r>
            <w:r>
              <w:rPr>
                <w:rStyle w:val="IndexLink"/>
                <w:rtl w:val="true"/>
              </w:rPr>
              <w:t>]</w:t>
              <w:tab/>
            </w:r>
            <w:r>
              <w:rPr>
                <w:rStyle w:val="IndexLink"/>
              </w:rPr>
              <w:t>388</w:t>
            </w:r>
          </w:hyperlink>
        </w:p>
        <w:p>
          <w:pPr>
            <w:pStyle w:val="Contents5"/>
            <w:tabs>
              <w:tab w:val="clear" w:pos="7892"/>
              <w:tab w:val="right" w:pos="9026" w:leader="dot"/>
            </w:tabs>
            <w:rPr/>
          </w:pPr>
          <w:hyperlink w:anchor="__RefHeading___Toc2156704_1067777946">
            <w:r>
              <w:rPr>
                <w:webHidden/>
                <w:rStyle w:val="IndexLink"/>
                <w:rtl w:val="true"/>
              </w:rPr>
              <w:t>[</w:t>
            </w:r>
            <w:r>
              <w:rPr>
                <w:rStyle w:val="IndexLink"/>
                <w:rtl w:val="true"/>
              </w:rPr>
              <w:t>الفصل الأول</w:t>
            </w:r>
            <w:r>
              <w:rPr>
                <w:rStyle w:val="IndexLink"/>
                <w:rtl w:val="true"/>
              </w:rPr>
              <w:t>:]</w:t>
              <w:tab/>
            </w:r>
            <w:r>
              <w:rPr>
                <w:rStyle w:val="IndexLink"/>
              </w:rPr>
              <w:t>388</w:t>
            </w:r>
          </w:hyperlink>
        </w:p>
        <w:p>
          <w:pPr>
            <w:pStyle w:val="Contents6"/>
            <w:tabs>
              <w:tab w:val="clear" w:pos="7609"/>
              <w:tab w:val="right" w:pos="9026" w:leader="dot"/>
            </w:tabs>
            <w:rPr/>
          </w:pPr>
          <w:hyperlink w:anchor="__RefHeading___Toc2156706_1067777946">
            <w:r>
              <w:rPr>
                <w:webHidden/>
                <w:rStyle w:val="IndexLink"/>
                <w:rtl w:val="true"/>
              </w:rPr>
              <w:t>[</w:t>
            </w:r>
            <w:r>
              <w:rPr>
                <w:rStyle w:val="IndexLink"/>
                <w:rtl w:val="true"/>
              </w:rPr>
              <w:t xml:space="preserve">المطلب الأوّل في النقد والنسيئة </w:t>
            </w:r>
            <w:r>
              <w:rPr>
                <w:rStyle w:val="IndexLink"/>
                <w:rtl w:val="true"/>
              </w:rPr>
              <w:t>]</w:t>
              <w:tab/>
            </w:r>
            <w:r>
              <w:rPr>
                <w:rStyle w:val="IndexLink"/>
              </w:rPr>
              <w:t>388</w:t>
            </w:r>
          </w:hyperlink>
        </w:p>
        <w:p>
          <w:pPr>
            <w:pStyle w:val="Contents6"/>
            <w:tabs>
              <w:tab w:val="clear" w:pos="7609"/>
              <w:tab w:val="right" w:pos="9026" w:leader="dot"/>
            </w:tabs>
            <w:rPr/>
          </w:pPr>
          <w:hyperlink w:anchor="__RefHeading___Toc2156708_1067777946">
            <w:r>
              <w:rPr>
                <w:webHidden/>
                <w:rStyle w:val="IndexLink"/>
                <w:rtl w:val="true"/>
              </w:rPr>
              <w:t>[</w:t>
            </w:r>
            <w:r>
              <w:rPr>
                <w:rStyle w:val="IndexLink"/>
                <w:rtl w:val="true"/>
              </w:rPr>
              <w:t>المطلب الثاني في السَلَف</w:t>
            </w:r>
            <w:r>
              <w:rPr>
                <w:rStyle w:val="IndexLink"/>
                <w:rtl w:val="true"/>
              </w:rPr>
              <w:t>]</w:t>
              <w:tab/>
            </w:r>
            <w:r>
              <w:rPr>
                <w:rStyle w:val="IndexLink"/>
              </w:rPr>
              <w:t>389</w:t>
            </w:r>
          </w:hyperlink>
        </w:p>
        <w:p>
          <w:pPr>
            <w:pStyle w:val="Contents5"/>
            <w:tabs>
              <w:tab w:val="clear" w:pos="7892"/>
              <w:tab w:val="right" w:pos="9026" w:leader="dot"/>
            </w:tabs>
            <w:rPr/>
          </w:pPr>
          <w:hyperlink w:anchor="__RefHeading___Toc2156710_1067777946">
            <w:r>
              <w:rPr>
                <w:webHidden/>
                <w:rStyle w:val="IndexLink"/>
                <w:rtl w:val="true"/>
              </w:rPr>
              <w:t xml:space="preserve">[ </w:t>
            </w:r>
            <w:r>
              <w:rPr>
                <w:rStyle w:val="IndexLink"/>
                <w:rtl w:val="true"/>
              </w:rPr>
              <w:t xml:space="preserve">الفصل الثاني في المرابحة وتوابعها </w:t>
            </w:r>
            <w:r>
              <w:rPr>
                <w:rStyle w:val="IndexLink"/>
                <w:rtl w:val="true"/>
              </w:rPr>
              <w:t>]</w:t>
              <w:tab/>
            </w:r>
            <w:r>
              <w:rPr>
                <w:rStyle w:val="IndexLink"/>
              </w:rPr>
              <w:t>402</w:t>
            </w:r>
          </w:hyperlink>
        </w:p>
        <w:p>
          <w:pPr>
            <w:pStyle w:val="Contents5"/>
            <w:tabs>
              <w:tab w:val="clear" w:pos="7892"/>
              <w:tab w:val="right" w:pos="9026" w:leader="dot"/>
            </w:tabs>
            <w:rPr/>
          </w:pPr>
          <w:hyperlink w:anchor="__RefHeading___Toc2156712_1067777946">
            <w:r>
              <w:rPr>
                <w:webHidden/>
                <w:rStyle w:val="IndexLink"/>
                <w:rtl w:val="true"/>
              </w:rPr>
              <w:t xml:space="preserve">[ </w:t>
            </w:r>
            <w:r>
              <w:rPr>
                <w:rStyle w:val="IndexLink"/>
                <w:rtl w:val="true"/>
              </w:rPr>
              <w:t>الفصل الثالث في الربا</w:t>
            </w:r>
            <w:r>
              <w:rPr>
                <w:rStyle w:val="IndexLink"/>
                <w:rtl w:val="true"/>
              </w:rPr>
              <w:t>]</w:t>
              <w:tab/>
            </w:r>
            <w:r>
              <w:rPr>
                <w:rStyle w:val="IndexLink"/>
              </w:rPr>
              <w:t>405</w:t>
            </w:r>
          </w:hyperlink>
        </w:p>
        <w:p>
          <w:pPr>
            <w:pStyle w:val="Contents4"/>
            <w:tabs>
              <w:tab w:val="clear" w:pos="8176"/>
              <w:tab w:val="right" w:pos="9026" w:leader="dot"/>
            </w:tabs>
            <w:rPr/>
          </w:pPr>
          <w:hyperlink w:anchor="__RefHeading___Toc2156714_1067777946">
            <w:r>
              <w:rPr>
                <w:webHidden/>
                <w:rStyle w:val="IndexLink"/>
                <w:rtl w:val="true"/>
              </w:rPr>
              <w:t xml:space="preserve">[ </w:t>
            </w:r>
            <w:r>
              <w:rPr>
                <w:rStyle w:val="IndexLink"/>
                <w:rtl w:val="true"/>
              </w:rPr>
              <w:t xml:space="preserve">المقصد الخامس في لزوم البيع </w:t>
            </w:r>
            <w:r>
              <w:rPr>
                <w:rStyle w:val="IndexLink"/>
                <w:rtl w:val="true"/>
              </w:rPr>
              <w:t>]</w:t>
              <w:tab/>
            </w:r>
            <w:r>
              <w:rPr>
                <w:rStyle w:val="IndexLink"/>
              </w:rPr>
              <w:t>410</w:t>
            </w:r>
          </w:hyperlink>
        </w:p>
        <w:p>
          <w:pPr>
            <w:pStyle w:val="Contents5"/>
            <w:tabs>
              <w:tab w:val="clear" w:pos="7892"/>
              <w:tab w:val="right" w:pos="9026" w:leader="dot"/>
            </w:tabs>
            <w:rPr/>
          </w:pPr>
          <w:hyperlink w:anchor="__RefHeading___Toc2156716_1067777946">
            <w:r>
              <w:rPr>
                <w:webHidden/>
                <w:rStyle w:val="IndexLink"/>
                <w:rtl w:val="true"/>
              </w:rPr>
              <w:t xml:space="preserve">[ </w:t>
            </w:r>
            <w:r>
              <w:rPr>
                <w:rStyle w:val="IndexLink"/>
                <w:rtl w:val="true"/>
              </w:rPr>
              <w:t>الفصل الأوّل في الخيار</w:t>
            </w:r>
            <w:r>
              <w:rPr>
                <w:rStyle w:val="IndexLink"/>
                <w:rtl w:val="true"/>
              </w:rPr>
              <w:t>]</w:t>
              <w:tab/>
            </w:r>
            <w:r>
              <w:rPr>
                <w:rStyle w:val="IndexLink"/>
              </w:rPr>
              <w:t>410</w:t>
            </w:r>
          </w:hyperlink>
        </w:p>
        <w:p>
          <w:pPr>
            <w:pStyle w:val="Contents5"/>
            <w:tabs>
              <w:tab w:val="clear" w:pos="7892"/>
              <w:tab w:val="right" w:pos="9026" w:leader="dot"/>
            </w:tabs>
            <w:rPr/>
          </w:pPr>
          <w:hyperlink w:anchor="__RefHeading___Toc2156718_1067777946">
            <w:r>
              <w:rPr>
                <w:webHidden/>
                <w:rStyle w:val="IndexLink"/>
                <w:rtl w:val="true"/>
              </w:rPr>
              <w:t xml:space="preserve">[ </w:t>
            </w:r>
            <w:r>
              <w:rPr>
                <w:rStyle w:val="IndexLink"/>
                <w:rtl w:val="true"/>
              </w:rPr>
              <w:t>الفصل الثاني في العيب</w:t>
            </w:r>
            <w:r>
              <w:rPr>
                <w:rStyle w:val="IndexLink"/>
                <w:rtl w:val="true"/>
              </w:rPr>
              <w:t>]</w:t>
              <w:tab/>
            </w:r>
            <w:r>
              <w:rPr>
                <w:rStyle w:val="IndexLink"/>
              </w:rPr>
              <w:t>420</w:t>
            </w:r>
          </w:hyperlink>
        </w:p>
        <w:p>
          <w:pPr>
            <w:pStyle w:val="Contents4"/>
            <w:tabs>
              <w:tab w:val="clear" w:pos="8176"/>
              <w:tab w:val="right" w:pos="9026" w:leader="dot"/>
            </w:tabs>
            <w:rPr/>
          </w:pPr>
          <w:hyperlink w:anchor="__RefHeading___Toc2156720_1067777946">
            <w:r>
              <w:rPr>
                <w:webHidden/>
                <w:rStyle w:val="IndexLink"/>
                <w:rtl w:val="true"/>
              </w:rPr>
              <w:t>[</w:t>
            </w:r>
            <w:r>
              <w:rPr>
                <w:rStyle w:val="IndexLink"/>
                <w:rtl w:val="true"/>
              </w:rPr>
              <w:t xml:space="preserve">المقصد السادس في أحكام العقد </w:t>
            </w:r>
            <w:r>
              <w:rPr>
                <w:rStyle w:val="IndexLink"/>
                <w:rtl w:val="true"/>
              </w:rPr>
              <w:t>]</w:t>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87_115836"/>
      <w:bookmarkStart w:id="1" w:name="pg10187_115836"/>
      <w:bookmarkEnd w:id="1"/>
    </w:p>
    <w:p>
      <w:pPr>
        <w:pStyle w:val="Heading2"/>
        <w:numPr>
          <w:ilvl w:val="1"/>
          <w:numId w:val="1"/>
        </w:numPr>
        <w:rPr/>
      </w:pPr>
      <w:bookmarkStart w:id="2" w:name="pg10187_115836"/>
      <w:bookmarkStart w:id="3" w:name="__RefHeading___Toc2156320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الشهيد الثاني</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حاشية القواعد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القواعد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الباقري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978-600-5570-90-8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نویسی بر اساس اطلاعات فیبا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الف پژوهشگاه علوم و فرهنگ اسلامی مرکز احیای آثار اسلامی ب 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عمراني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6322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الخامس عشر</w:t>
      </w:r>
    </w:p>
    <w:p>
      <w:pPr>
        <w:pStyle w:val="BookText"/>
        <w:rPr/>
      </w:pPr>
      <w:r>
        <w:rPr>
          <w:rFonts w:ascii="Amiri" w:hAnsi="Amiri" w:eastAsia="Amiri" w:cs="Amiri"/>
          <w:color w:val="111111"/>
          <w:sz w:val="28"/>
          <w:sz w:val="28"/>
          <w:szCs w:val="28"/>
          <w:rtl w:val="true"/>
          <w:lang w:bidi="ar-SA"/>
        </w:rPr>
        <w:t>حاشية القواعد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القواعد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الباقري 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978-600-5570-90-8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فهرست نویسی بر اساس اطلاعات فیبا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 الف پژوهشگاه علوم و فرهنگ اسلامی مرکز احیای آثار اسلامی ب 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187_115842"/>
    </w:p>
    <w:p>
      <w:pPr>
        <w:pStyle w:val="Heading2"/>
        <w:numPr>
          <w:ilvl w:val="1"/>
          <w:numId w:val="1"/>
        </w:numPr>
        <w:rPr/>
      </w:pPr>
      <w:bookmarkStart w:id="8" w:name="__RefHeading___Toc2156324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حاشية القواعد</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المقصد الأوّل في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الفصل الأول في أنواعها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الفصل الثاني في أسبابها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الفصل الثالث في آداب الخلوة وكيفية 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المقصد الثاني في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الفصل الأوّل في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الفصل الثاني في المضاف والأسار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الفصل الثالث في المستعمل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الفصل الرابع في تطهير المياه النجسة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الخامس في الأحكام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المقصد الثالث في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الفصل الأوّل في أنواعها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الفصل الثاني في 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المقصد الرابع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الفصل الأول في أفعاله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الفصل الثالث في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المقصد الخامس في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الفصل الأول في سببه وكيفيته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الثاني في 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المقصد السادس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الفصل الأوّل في ماهيته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المقصد السابع في الاستحاضة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المقصد الثامن في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المقصد التاسع في غُسل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الفصل الأوّل في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والمحلّ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المطلب الثاني في الكيفية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الفصل الثاني في التكفين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المطلب الأوّل في جنسه وقدره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المطلب الثاني في الكيفية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الفصل الثالث في الصلاة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المطلب الثاني في المصلّي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المطلب الثالث في مقدّماتها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المطلب الرابع في كيفيتها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المطلب الخامس 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الفصل الخامس في اللواحق</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Amiri" w:hAnsi="Amiri" w:eastAsia="Amiri" w:cs="Amiri"/>
          <w:color w:val="111111"/>
          <w:sz w:val="28"/>
          <w:sz w:val="28"/>
          <w:szCs w:val="28"/>
          <w:rtl w:val="true"/>
          <w:lang w:bidi="ar-SA"/>
        </w:rPr>
        <w:t xml:space="preserve">المقصد الأوّل في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الفصل الأوّل في أعدادها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الفصل الثاني في أوقاتها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المطلب الأوّل في تعيينها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الفصل الثالث في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المستقبَل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المستقبِل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الفصل الرابع في اللباس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المطلب الأوّل فى جنسه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المطلب الثاني في سَتر العورة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الفصل الخامس في المكان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المطلب الثاني في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السادس فى الأذان والإقامة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المطلب الثانى فى المؤذّن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المطلب الثالث في 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المطلب الرابع في 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المقصد الثاني في أفعال الصلاة وتُرُوكِها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الفصل الخامس في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المقصد الثالث في باقي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الفصل الأوّل في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الشرائط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المطلب الثاني في ماهيتها وآدابها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الفصل الثاني في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المطلب الأوّل في الأحكام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الفصل الثالث في الكسُوف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الفصل الرابع في صلاة النذر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الرابع في التوابع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الأول في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يُوجِب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يوجب التلافي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يُوجب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الباب الأول في زكاة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المقصد الأوّل في 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الفصل الأوّل في الشرائط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الثاني في الشرائط الخاصة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المقصد الثاني في المَحَلّ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الفصل الأوّل في 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الفصل الثالث في الغَلات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المقصد الثالث فيما تُستحبّ فيه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المطلب الأوّل في مال التجارة على 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المطلب الثاني في باقي الأنواع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المقصد الرابع في المُستَحِقُ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الفصل الأوّل في الأصناف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الفصل الثاني في الأوصاف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المقصد الخامس في كيفية الإخراج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المطلب الأوّل في الوقت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المطلب الثاني في المُخرج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في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الرابع في بقايا مباحث هذا الباب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الباب الثاني في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المطلب الثاني في وقتها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المطلب الثالث في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الباب الثالث في الخُمس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 xml:space="preserve">المقصد الأول في ماهية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الفصل الثاني في الإمساك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المطلب الأوّل فيما يُمسَكُ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المطلب الثاني فيما يوجب 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المطلب الثالث فيما يجب بالإفطار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المطلب الرابع في بقايا مَبَاحِتِ مُوجِباتِ 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الفصل الثالث في وقت الإمساك وشرائطه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المقصد الثاني في أقسامه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الصوم أربعة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المطلب الثاني في شهر رمضان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المقصد الثالث في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المطلب الثاني في 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في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الرابع في 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كتاب الحج</w:t>
      </w:r>
    </w:p>
    <w:p>
      <w:pPr>
        <w:pStyle w:val="BookText"/>
        <w:rPr/>
      </w:pPr>
      <w:r>
        <w:rPr>
          <w:rFonts w:ascii="Amiri" w:hAnsi="Amiri" w:eastAsia="Amiri" w:cs="Amiri"/>
          <w:color w:val="111111"/>
          <w:sz w:val="28"/>
          <w:sz w:val="28"/>
          <w:szCs w:val="28"/>
          <w:rtl w:val="true"/>
          <w:lang w:bidi="ar-SA"/>
        </w:rPr>
        <w:t xml:space="preserve">المقصد الأوّل في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المطلب الأوّل في حقيقته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المطلب الثاني في أنواع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المطلب الثالث في شرائط أنواع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المطلب الرابع في تفصيل شرائط الحج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المطلب الخامس في شرائط النذر وشبهه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المطلب السادس في شرائط النيابة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المقصد الثاني في أفعال التمتُّع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الفصل الأوّل في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المطلب الأول في تعيين المواقيت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المطلب الثاني في مقدّمات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المطلب الثالث في 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المطلب الرابع في المندوبات والمكروهات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المطلب الخامس في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المطلب السادس في تُرُوكه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الفصل الثاني في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المطلب الثاني في سُنَنِه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المطلب الثالث في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الفصل الثالث في 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الأول في أفعاله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 في أحكامه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الفصل الرابع في 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الفصل الخامس في إحرام الحج والوقوف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المطلب الأول في إحرام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المطلب الثالث في الوقوف بعرفة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المطلب الرابع في الوقوف بالمشعر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الفصل السادس في مَناسِكِ مِنى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المطلب الأوّل في الرمي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المطلب الثاني في الذبح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المطلب الثالث في الحلق والتقصير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الفصل السابع في باقي المناسِكِ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المقصد الثالث في التوابع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الفصل الأوّل في 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الفصل الثاني في الحَصر والصَدّ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المصدود وهو الممنوع بالعدوّ</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الفصل الثالث في كفارات الإحرام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المطلب الثاني في الاستمتاع بالنساء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المطلب الثالث في باقي المحظورات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كتاب الجهاد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الأول في من يجب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المقصد الثاني في من يجب قتاله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المقصد الثالث في كيفية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الفصل الأوّل في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الفصل الثاني في الاسترقاق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الفصل الثالث في الاغتنام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المقصد الرابع في ترك 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الفصل الأوّل في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الفصل الثاني في عقد الجزية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المقصد الخامس في الأمر بالمعروف والنهي عن المنكر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كتاب المتاجر</w:t>
      </w:r>
    </w:p>
    <w:p>
      <w:pPr>
        <w:pStyle w:val="BookText"/>
        <w:rPr/>
      </w:pPr>
      <w:r>
        <w:rPr>
          <w:rFonts w:ascii="Amiri" w:hAnsi="Amiri" w:eastAsia="Amiri" w:cs="Amiri"/>
          <w:color w:val="111111"/>
          <w:sz w:val="28"/>
          <w:sz w:val="28"/>
          <w:szCs w:val="28"/>
          <w:rtl w:val="true"/>
          <w:lang w:bidi="ar-SA"/>
        </w:rPr>
        <w:t xml:space="preserve">المقصد الأول في المقدمات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الفصل الأوّل في 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المقصد الثاني في البيع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المتعاقدان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العوضان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المقصد الثالث في أنواع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الثاني في بيع الثمار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الفصل الثالث في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المقصد الرابع في أنواع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في العوضان وتوابعهما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الأول في النقد والنَّسِيئة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المطلب الثاني في السلف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الفصل الثاني في المرابحة وتوابعها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الفصل الثالث في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المقصد الخامس في لزوم البيع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الفصل الأوّل في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الفصل الثاني في 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السادس في أحكام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bookmarkStart w:id="10" w:name="pg10187_115852"/>
    </w:p>
    <w:p>
      <w:pPr>
        <w:pStyle w:val="Heading2"/>
        <w:numPr>
          <w:ilvl w:val="1"/>
          <w:numId w:val="1"/>
        </w:numPr>
        <w:rPr/>
      </w:pPr>
      <w:bookmarkStart w:id="11" w:name="__RefHeading___Toc2156326_1067777946"/>
      <w:bookmarkStart w:id="12" w:name="_Toc4"/>
      <w:bookmarkEnd w:id="10"/>
      <w:bookmarkEnd w:id="11"/>
      <w:r>
        <w:rPr>
          <w:rtl w:val="true"/>
        </w:rPr>
        <w:t>مقدمة التحقيق</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القواعد </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التي هي تعليقة على كتاب قواعد الأحكام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إحدى الآثار القيمة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رمسه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تكفّلت بحل معضلات القواعد ورفع مشكلاته، وقد بيّن الشهيد نفسه ذلك في مقدمة الكتاب، بقوله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تعليقة خفيفة المؤونة، كثيرة المَعُونَةِ على حل بعض مشكلات القواعد وتقييد مطلقه والإشارة إلى المختار من مواضع إشكاله وخلافه، حيث يفتقر إلى تفصيل وتطويل عن مجرّد الفتوى بالقوة والضعف، وإلا جعلناه مفرداً في محلّ آخر نقتصر فيه على المختار من فتاويه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ذكرها في طيّ كلام بعض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العودي تلميذ الشهيد في ترجمته عند تعداد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قواعد الأحكام للعلامة أيضاً حقق فيها المهمّ المباحث، ومشى فيها مشي الحاشية المشهورة بالنجّارية للمولى السعيد الشيخ الشهيد، وغالب المباحث فيها بينه وبينه برز منها مجلّد لطيف إلى آخر كتاب التجارة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صاحب الرياض أيضاً في ترجمته 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الشيخ آقا بزرك الطهراني في عداد حواشي قواعد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الحاشية عليه للشيخ السعيد زين الدين الشهيد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لطيف إلى كتاب التجارة، وهي نظير حاشية ابن النجار</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قام الشهيد الثاني في هذا الكتاب ببيان وجه الإشكال في الموارد التي استشكل فيها العلّامة، وفي الموارد التي علّق فيها على كلامة بإيجاز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يورد مستند الحكم، ويبين وجه البطلان كما وضح كثيراً من المعاني اللغوية المبهمة وكشف عن معناها الحقيقي، ونراه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بعض المطالب الأدبية والرجالية، ويذكر صاحب القيل أو راوي الراوية، وهو أمر مهم في عملية 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يتفحّص هذا الكتاب النفيس يلمس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حسن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الشهيد، والحرص على الدقة واتباع الدليل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يشير الشهيد إلى الأقوال والآثار المتعدّدة لمن سبق من الأعلام، إلّا أنّه وكما </w:t>
      </w:r>
    </w:p>
    <w:p>
      <w:pPr>
        <w:pStyle w:val="BookText"/>
        <w:rPr/>
      </w:pPr>
      <w:r>
        <w:rPr>
          <w:rFonts w:ascii="Amiri" w:hAnsi="Amiri" w:eastAsia="Amiri" w:cs="Amiri"/>
          <w:color w:val="111111"/>
          <w:sz w:val="28"/>
          <w:sz w:val="28"/>
          <w:szCs w:val="28"/>
          <w:rtl w:val="true"/>
          <w:lang w:bidi="ar-SA"/>
        </w:rPr>
        <w:t xml:space="preserve">جرت عادة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قلما يذكر اسم القائل أو أسماء الكتب والمصادر التي استفاد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إلى بعض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صرّح المصنّف في كثير من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مذهب المصنّف وجماعة وهو قول الأكثر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ذهب إليه المصنف وبعض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وبذلك صرّح في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وبذلك صرّح في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للأكثر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به جماعة من المتأخرين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صرّح المصنّف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الموارد الكثيرة الواردة في كلام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بذلنا الجهد للتعرّف على تلك المصادر وعزو الأقوال إلى مصادرها الأصلية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وقد أشار أيضاً إلى مستند الفتاوى والأحكام بألفاظ مجملة، نذكر نماذج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ورد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لكونه مورد النهي، ص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وفي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لإطلاق الأدلّة القطعية من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النهي عن قطع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وعليه شواهد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 هذه الحاشية قد طبعت تحت عنوان فوائد القواعد لأوّل مرّة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 وبحلة قشيبة في مركزنا اعتماداً على أربعة نسخ، 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مجلس الشورى الإسلامي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وجاء في آخرها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وجدناه من هذه الحاشية والحمد لله وحده وصلّى الله على محمد وآله وكتبها لنفسه بيده الفانية الجانية الفقير إلى رحمة ربِّه الغَنيّ المغني حسين بن عليّ بن طعمة الحوارزي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الله تعالى عنهم بمنه وكرمه وأفاض عليهم سبحانه فضله وجوده ونعمه أنه جواد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عشرين جمادى الأولى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على مهاجرها أفضل الصلاة والسلام والحمد لله ربّ </w:t>
      </w:r>
    </w:p>
    <w:p>
      <w:pPr>
        <w:pStyle w:val="BookText"/>
        <w:rPr/>
      </w:pPr>
      <w:r>
        <w:rPr>
          <w:rFonts w:ascii="Amiri" w:hAnsi="Amiri" w:eastAsia="Amiri" w:cs="Amiri"/>
          <w:color w:val="111111"/>
          <w:sz w:val="28"/>
          <w:sz w:val="28"/>
          <w:szCs w:val="28"/>
          <w:rtl w:val="true"/>
          <w:lang w:bidi="ar-SA"/>
        </w:rPr>
        <w:t>العالمين، اللهم اختم لنا بالصالحات يا كريم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حاشية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الرحمة والرضوان بيد العبد الجليل الشيخ زين الدين المشهور بالشهيد الثاني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الملك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كُتبت كلماتها بحروف أكبر من باقي النسخ، وهي مقروءة، إلا أنه سقطت منها أوراق يسيرة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مكتبة آية الله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المرقمة </w:t>
      </w:r>
      <w:r>
        <w:rPr>
          <w:rFonts w:eastAsia="Amiri" w:cs="Amiri" w:ascii="Amiri" w:hAnsi="Amiri"/>
          <w:color w:val="111111"/>
          <w:sz w:val="28"/>
          <w:szCs w:val="28"/>
          <w:lang w:bidi="ar-SA"/>
        </w:rPr>
        <w:t>4242</w:t>
      </w:r>
      <w:r>
        <w:rPr>
          <w:rFonts w:ascii="Amiri" w:hAnsi="Amiri" w:eastAsia="Amiri" w:cs="Amiri"/>
          <w:color w:val="111111"/>
          <w:sz w:val="28"/>
          <w:sz w:val="28"/>
          <w:szCs w:val="28"/>
          <w:rtl w:val="true"/>
          <w:lang w:bidi="ar-SA"/>
        </w:rPr>
        <w:t xml:space="preserve">، جاء في آخرها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وجدناه من هذه الحاشية الشريفة والحمد لله ربّ العالمين وكتبته في يوم الأحد الرابع من الشهر الأوّل من السنة السابعة السنة السابعة من العشر الثالث من المائة الثالثة من الألف الثاني من الهجرة النبوية السنوية على هاجرها ألف ألف سلام وتحيّةسنة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النسخة كاملة إلّا أنّ الكاتب أسقط شرح خطبة القواعد، ولكنّها أصح من سائر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مخطوطة مكتبة العالم المجاهد الشهيد محمد علي القاضي الطباطبائي الخاصة، ناسخها مجهول، جاء في آخرها تمّ إلى هاهنا إنهاء النسخة الموجودة بعون الملك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المخطوطة ناقصة وقد سقطت من أواخرها أوراق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المرموز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مخطوطة المكتبة المركزية بجامعة إصفهان، المرقّمة </w:t>
      </w:r>
      <w:r>
        <w:rPr>
          <w:rFonts w:eastAsia="Amiri" w:cs="Amiri" w:ascii="Amiri" w:hAnsi="Amiri"/>
          <w:color w:val="111111"/>
          <w:sz w:val="28"/>
          <w:szCs w:val="28"/>
          <w:lang w:bidi="ar-SA"/>
        </w:rPr>
        <w:t>16917/2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آخرها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وصل إليّ من هذه الحاشية وهي نسخة معارضة بنسخة الأصل والحمد لله وحده وصلّى الله على محمد وآله وكتبها لنفسه بيده الفانية الفقير إلى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كثيرة الأخطاء، وإن جاء في هامش الورقة الأخيرة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قراءة بقدر الوسع والطاقة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تم إقرار طبع آثار هذا الفقيه البارع بقالب موسوعي، وجامع لكل آثاره و مصنّفاته الجليلة، صار الأمر أن ندرج هذا الكتاب ضمن الموسوعة معتمدين على الطبعة الأولى التي قام بتحقيقها حجة الإسلام والمسلمين السيد أبو الحسن المطلبي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قمنا بمراجعتها وإعادة النظر فيها، وإصلاح ما زاغ عنه البصر، وإجراء الأمور الفنية المناسبة ومشروع إخراج موسوعة الشهيد الثاني، وقد تصدّى لمراجعتها الشيخ غلامرضا النقي والسيد حسين بني هاشمي والشيخ محسن النوروزي الذين لم يبخلوا ما عندهم من جهد وخبرة في سبيل إخراج الكتاب بأفضل حلّة، والحمد لله كما هو أهله ومستحقه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الثانية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الثالثة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0" o:detectmouseclick="t"/>
                <v:stroke color="#3465a4" joinstyle="round" endcap="flat"/>
                <w10:wrap type="none"/>
              </v:shape>
            </w:pict>
          </mc:Fallback>
        </mc:AlternateConten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3" o:detectmouseclick="t"/>
                <v:stroke color="#3465a4" joinstyle="round" endcap="flat"/>
                <w10:wrap type="none"/>
              </v:shape>
            </w:pict>
          </mc:Fallback>
        </mc:AlternateConten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والأخيرة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bookmarkStart w:id="13" w:name="pg10189_115866"/>
    </w:p>
    <w:p>
      <w:pPr>
        <w:pStyle w:val="Heading2"/>
        <w:numPr>
          <w:ilvl w:val="1"/>
          <w:numId w:val="1"/>
        </w:numPr>
        <w:rPr/>
      </w:pPr>
      <w:bookmarkStart w:id="14" w:name="__RefHeading___Toc2156328_1067777946"/>
      <w:bookmarkStart w:id="15" w:name="_Toc5"/>
      <w:bookmarkEnd w:id="13"/>
      <w:bookmarkEnd w:id="14"/>
      <w:r>
        <w:rPr>
          <w:rtl w:val="true"/>
        </w:rPr>
        <w:t xml:space="preserve">حاشية القواعد </w:t>
      </w:r>
      <w:r>
        <w:rPr>
          <w:rtl w:val="true"/>
        </w:rPr>
        <w:t xml:space="preserve">( </w:t>
      </w:r>
      <w:r>
        <w:rPr>
          <w:rtl w:val="true"/>
        </w:rPr>
        <w:t xml:space="preserve">فوائد القواعد </w:t>
      </w:r>
      <w:r>
        <w:rPr>
          <w:rtl w:val="true"/>
        </w:rPr>
        <w:t>)</w:t>
      </w:r>
      <w:bookmarkEnd w:id="15"/>
    </w:p>
    <w:p>
      <w:pPr>
        <w:pStyle w:val="Heading3"/>
        <w:numPr>
          <w:ilvl w:val="2"/>
          <w:numId w:val="1"/>
        </w:numPr>
        <w:rPr/>
      </w:pPr>
      <w:bookmarkStart w:id="16" w:name="__RefHeading___Toc2156330_1067777946"/>
      <w:bookmarkStart w:id="17" w:name="_Toc6"/>
      <w:bookmarkEnd w:id="16"/>
      <w:r>
        <w:rPr>
          <w:rtl w:val="true"/>
        </w:rPr>
        <w:t>كتاب الطهارة</w:t>
      </w:r>
      <w:bookmarkEnd w:id="17"/>
    </w:p>
    <w:p>
      <w:pPr>
        <w:pStyle w:val="Heading4"/>
        <w:numPr>
          <w:ilvl w:val="3"/>
          <w:numId w:val="1"/>
        </w:numPr>
        <w:rPr/>
      </w:pPr>
      <w:bookmarkStart w:id="18" w:name="__RefHeading___Toc2156332_1067777946"/>
      <w:bookmarkStart w:id="19" w:name="_Toc7"/>
      <w:bookmarkEnd w:id="18"/>
      <w:r>
        <w:rPr>
          <w:rtl w:val="true"/>
        </w:rPr>
        <w:t>المقصد الأوّل في المقدمات</w:t>
      </w:r>
      <w:bookmarkEnd w:id="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 w:name="__RefHeading___Toc2156334_1067777946"/>
      <w:bookmarkStart w:id="21" w:name="_Toc8"/>
      <w:bookmarkEnd w:id="20"/>
      <w:r>
        <w:rPr>
          <w:rtl w:val="true"/>
        </w:rPr>
        <w:t xml:space="preserve">[ </w:t>
      </w:r>
      <w:r>
        <w:rPr>
          <w:rtl w:val="true"/>
        </w:rPr>
        <w:t>الفصل الأوّل في أنواعها</w:t>
      </w:r>
      <w:r>
        <w:rPr>
          <w:rtl w:val="true"/>
        </w:rPr>
        <w:t>]</w:t>
      </w:r>
      <w:bookmarkEnd w:id="2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على نِعَمِه وإفضاله والصلاة على سيدنا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تعليقةٌ خفيفةُ المَؤُونة، كثيرةُ المَعُونَةِ على حلّ بعض مشكلات القواعد وتقييد مطلقه والإشارة إلى المختار من مواضع إشكاله وخلافه، حيث يفتقر إلى تفصيل وتطويل عن مجرّد الفتوى بالقوة والضعف، وإلّا جعلناه مفرداً في محلّ آخر نقتصر فيه على المختار من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ولنُصَدِّره بالبحث عن تعريف الطهارة على وجه مبسوط؛ لأنه من المواضع المهمّة وقد طال فيه كلام الأئمّة، فذكرنا منه ما يناسب المقام مع ما حضرنا فيه من الكلام، وعلى الله قصد السبيل وهو حسبنا ونعم 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الخطبة</w:t>
      </w:r>
      <w:r>
        <w:rPr>
          <w:rStyle w:val="FootnoteAnchor"/>
          <w:rtl w:val="true"/>
        </w:rPr>
        <w:footnoteReference w:id="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المُتفضّل بإرسال الأنبياء لإرشاد الدهماء، والمتطوّل بنَصب الأوصياء لتكميل الأولياء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نَسَب الإرشاد إلى الأنبياء والتكميل إلى الأوصياء؛ لأنّ الأنبياء يبتدئون بالهداية والدلالة على الدين، وأكثرُ الخلقِ قَبْلَ بَعثهم على الضلال فكانوا أولى بنسبة الإرشاد المنسوب إلى الدَهْماء وهم أكثرُ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الأوصياء فإنّما يُقامون بعد تحققِ الدين وإرشاد الأنبياء إليه فكانوا بمنزلة المكمّلينَ لِمَن حَصَلَ له الإرشادُ مِن الأنبياء وهُم الأولياء ومَن في معناهم من متَّبعي الحق عند المصنِّف </w:t>
      </w:r>
      <w:r>
        <w:rPr>
          <w:rStyle w:val="FootnoteAnchor"/>
          <w:rtl w:val="true"/>
        </w:rPr>
        <w:footnoteReference w:id="7"/>
      </w:r>
      <w:r>
        <w:rPr>
          <w:rFonts w:ascii="Amiri" w:hAnsi="Amiri" w:eastAsia="Amiri" w:cs="Amiri"/>
          <w:color w:val="111111"/>
          <w:sz w:val="28"/>
          <w:sz w:val="28"/>
          <w:szCs w:val="28"/>
          <w:rtl w:val="true"/>
          <w:lang w:bidi="ar-SA"/>
        </w:rPr>
        <w:t>فكانوا أولى بِوَصْف التكميل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على العبارة سؤالاً مشهوراً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إرسال الأنبياء والأوصياء واجب على الله تعالى عند المصنف </w:t>
      </w:r>
      <w:r>
        <w:rPr>
          <w:rStyle w:val="FootnoteAnchor"/>
          <w:rtl w:val="true"/>
        </w:rPr>
        <w:footnoteReference w:id="8"/>
      </w:r>
      <w:r>
        <w:rPr>
          <w:rFonts w:ascii="Amiri" w:hAnsi="Amiri" w:eastAsia="Amiri" w:cs="Amiri"/>
          <w:color w:val="111111"/>
          <w:sz w:val="28"/>
          <w:sz w:val="28"/>
          <w:szCs w:val="28"/>
          <w:rtl w:val="true"/>
          <w:lang w:bidi="ar-SA"/>
        </w:rPr>
        <w:t xml:space="preserve">وفريقة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يجعله تفضّلاً وتطوُّلاً؛ إذهما دالان على جواز خلافه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المصنِّفُ عن ذلك لولده الإمام فخر الدين حين أورد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إرسال الأنبياء موقوف على خَلق المكلّفين وتكميل عُقولهم، وخَلق الشهوات لهم والقدرة، وذلك كلُّه تفضّل، فلمّا كان الأصل المبني عليه تفضلاً كان الفرع أولى بالتفضّل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إذ لا يلزم من التفضَّل بالأصل التفضَّلُ بالفرع، بل كثيراً ما يحصل بينهما الاختلاف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يظهر من جميع ما ذهبت المعتزلة</w:t>
      </w:r>
      <w:r>
        <w:rPr>
          <w:rStyle w:val="FootnoteAnchor"/>
          <w:rtl w:val="true"/>
        </w:rPr>
        <w:footnoteReference w:id="12"/>
      </w:r>
      <w:r>
        <w:rPr>
          <w:rFonts w:ascii="Amiri" w:hAnsi="Amiri" w:eastAsia="Amiri" w:cs="Amiri"/>
          <w:color w:val="111111"/>
          <w:sz w:val="28"/>
          <w:sz w:val="28"/>
          <w:szCs w:val="28"/>
          <w:rtl w:val="true"/>
          <w:lang w:bidi="ar-SA"/>
        </w:rPr>
        <w:t xml:space="preserve">، والإماميةُ </w:t>
      </w:r>
      <w:r>
        <w:rPr>
          <w:rStyle w:val="FootnoteAnchor"/>
          <w:rtl w:val="true"/>
        </w:rPr>
        <w:footnoteReference w:id="13"/>
      </w:r>
      <w:r>
        <w:rPr>
          <w:rFonts w:ascii="Amiri" w:hAnsi="Amiri" w:eastAsia="Amiri" w:cs="Amiri"/>
          <w:color w:val="111111"/>
          <w:sz w:val="28"/>
          <w:sz w:val="28"/>
          <w:szCs w:val="28"/>
          <w:rtl w:val="true"/>
          <w:lang w:bidi="ar-SA"/>
        </w:rPr>
        <w:t>إلى وجوبه على الله تعالى للمكلَّفين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 من الشواهد أن مملوك الغير وحيوانه لا يجب على غيره نفقته ولا شراؤُه فإذا اشتراه وجب ذلك عليه مع أنّ الأصل المبني عليه وهو الشراء غيرُ واجب والإنفاق الواجب فرعه، وغيرُ ذلك ممّا حُكمه واضح؛ بل لا يندفع السؤال إلا إذا جعل التفضّل أعم ممّا يجب ولو بضرب من التجوز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إجابة لالتماس أحب الناس إليّ، وأعَزّهم علي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أحبّ الناس إليه وأعزّهم عليه المفيد باعتبار صيغة أفعل التفضيل انحصار الأحبيّة فيه الشامل للأنبياء والأئمة، حصر إضافي بقرينة المقام والمذهب مخصوص بمَن عدا مَن يجب حبُّه أزيد من وَلَده أو بالإضافة إلى أهل زمانه وأقاربه وأصحابه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يدفع ذلك من تخصيص آخَرَ بالقرينة كما لا يخفى، وقد ورد في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يكمل إيمانُ المؤمن حتّى يكونَ الله ورسوله أحبَّ إليه من نفسه وولده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الظاهر أنّ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يسأله تصنيف الكتاب لأجل انتفاعه به ذلك الوقت لأنّه كان صغير السن عن أهليّته، فإنّ مولده سنة اثنتين وثمانين وستمائة، وقد عدّ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من جملة مصنفاته في الخلاصة </w:t>
      </w:r>
      <w:r>
        <w:rPr>
          <w:rStyle w:val="FootnoteAnchor"/>
          <w:rtl w:val="true"/>
        </w:rPr>
        <w:footnoteReference w:id="15"/>
      </w:r>
      <w:r>
        <w:rPr>
          <w:rFonts w:ascii="Amiri" w:hAnsi="Amiri" w:eastAsia="Amiri" w:cs="Amiri"/>
          <w:color w:val="111111"/>
          <w:sz w:val="28"/>
          <w:sz w:val="28"/>
          <w:szCs w:val="28"/>
          <w:rtl w:val="true"/>
          <w:lang w:bidi="ar-SA"/>
        </w:rPr>
        <w:t xml:space="preserve">، وذكر ذلك في سنة اثنتين وتسعين وستمائة، فيكون سنّ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دون عشر سنين </w:t>
      </w:r>
      <w:r>
        <w:rPr>
          <w:rStyle w:val="FootnoteAnchor"/>
          <w:rtl w:val="true"/>
        </w:rPr>
        <w:footnoteReference w:id="16"/>
      </w:r>
      <w:r>
        <w:rPr>
          <w:rFonts w:ascii="Amiri" w:hAnsi="Amiri" w:eastAsia="Amiri" w:cs="Amiri"/>
          <w:color w:val="111111"/>
          <w:sz w:val="28"/>
          <w:sz w:val="28"/>
          <w:szCs w:val="28"/>
          <w:rtl w:val="true"/>
          <w:lang w:bidi="ar-SA"/>
        </w:rPr>
        <w:t>، وقد ذكر ذلك في كثير من كتبه المطوّلة وغيرها، وتاريخ ابتدائها قبل بلوغه ما ذكرناه من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ولده فخر المحققين في شرح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لما اشتغلتُ على والدي في المعقول والمنقول، وقرأت عليه كثيراً من كُتب أصحابنا التمست منه تصنيف الكتاب</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عجيب بعد ما نقلناه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يُوَسِّدَني في لحدي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التوسيد إليه مجازي باعتبار السببية، وهو كناية عن الدعاء بأن يبقي بعده ويَحضُرَ جِنازته لا مباشرة توسيده في لَحْده؛ لأنّ دخول ذي الرحم مع غير المرأة مكروه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ذلك ويختار كونه مستثنى كما ذهب إليه بعضُ الأصحاب</w:t>
      </w:r>
      <w:r>
        <w:rPr>
          <w:rStyle w:val="FootnoteAnchor"/>
          <w:rtl w:val="true"/>
        </w:rPr>
        <w:footnoteReference w:id="18"/>
      </w:r>
      <w:r>
        <w:rPr>
          <w:rFonts w:ascii="Amiri" w:hAnsi="Amiri" w:eastAsia="Amiri" w:cs="Amiri"/>
          <w:color w:val="111111"/>
          <w:sz w:val="28"/>
          <w:sz w:val="28"/>
          <w:szCs w:val="28"/>
          <w:rtl w:val="true"/>
          <w:lang w:bidi="ar-SA"/>
        </w:rPr>
        <w:t xml:space="preserve">، وقد ورد في بعض الأخبار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ascii="Amiri" w:hAnsi="Amiri" w:eastAsia="Amiri" w:cs="Amiri"/>
          <w:color w:val="111111"/>
          <w:sz w:val="28"/>
          <w:sz w:val="28"/>
          <w:szCs w:val="28"/>
          <w:rtl w:val="true"/>
          <w:lang w:bidi="ar-SA"/>
        </w:rPr>
        <w:t>المقصد الأوّل في المقدمات</w:t>
      </w:r>
    </w:p>
    <w:p>
      <w:pPr>
        <w:pStyle w:val="BookText"/>
        <w:rPr/>
      </w:pPr>
      <w:r>
        <w:rPr>
          <w:rFonts w:ascii="Amiri" w:hAnsi="Amiri" w:eastAsia="Amiri" w:cs="Amiri"/>
          <w:color w:val="111111"/>
          <w:sz w:val="28"/>
          <w:sz w:val="28"/>
          <w:szCs w:val="28"/>
          <w:rtl w:val="true"/>
          <w:lang w:bidi="ar-SA"/>
        </w:rPr>
        <w:t>المقصد الثاني في المياه</w:t>
      </w:r>
    </w:p>
    <w:p>
      <w:pPr>
        <w:pStyle w:val="BookText"/>
        <w:rPr/>
      </w:pPr>
      <w:r>
        <w:rPr>
          <w:rFonts w:ascii="Amiri" w:hAnsi="Amiri" w:eastAsia="Amiri" w:cs="Amiri"/>
          <w:color w:val="111111"/>
          <w:sz w:val="28"/>
          <w:sz w:val="28"/>
          <w:szCs w:val="28"/>
          <w:rtl w:val="true"/>
          <w:lang w:bidi="ar-SA"/>
        </w:rPr>
        <w:t>المقصد الثالث في النجاسات</w:t>
      </w:r>
    </w:p>
    <w:p>
      <w:pPr>
        <w:pStyle w:val="BookText"/>
        <w:rPr/>
      </w:pPr>
      <w:r>
        <w:rPr>
          <w:rFonts w:ascii="Amiri" w:hAnsi="Amiri" w:eastAsia="Amiri" w:cs="Amiri"/>
          <w:color w:val="111111"/>
          <w:sz w:val="28"/>
          <w:sz w:val="28"/>
          <w:szCs w:val="28"/>
          <w:rtl w:val="true"/>
          <w:lang w:bidi="ar-SA"/>
        </w:rPr>
        <w:t>المقصد الرابع في الوضوء</w:t>
      </w:r>
    </w:p>
    <w:p>
      <w:pPr>
        <w:pStyle w:val="BookText"/>
        <w:rPr/>
      </w:pPr>
      <w:r>
        <w:rPr>
          <w:rFonts w:ascii="Amiri" w:hAnsi="Amiri" w:eastAsia="Amiri" w:cs="Amiri"/>
          <w:color w:val="111111"/>
          <w:sz w:val="28"/>
          <w:sz w:val="28"/>
          <w:szCs w:val="28"/>
          <w:rtl w:val="true"/>
          <w:lang w:bidi="ar-SA"/>
        </w:rPr>
        <w:t>المقصد الخامس في غُسل الجنابة</w:t>
      </w:r>
    </w:p>
    <w:p>
      <w:pPr>
        <w:pStyle w:val="BookText"/>
        <w:rPr/>
      </w:pPr>
      <w:r>
        <w:rPr>
          <w:rFonts w:ascii="Amiri" w:hAnsi="Amiri" w:eastAsia="Amiri" w:cs="Amiri"/>
          <w:color w:val="111111"/>
          <w:sz w:val="28"/>
          <w:sz w:val="28"/>
          <w:szCs w:val="28"/>
          <w:rtl w:val="true"/>
          <w:lang w:bidi="ar-SA"/>
        </w:rPr>
        <w:t>المقصد السادس في الحيض</w:t>
      </w:r>
    </w:p>
    <w:p>
      <w:pPr>
        <w:pStyle w:val="BookText"/>
        <w:rPr/>
      </w:pPr>
      <w:r>
        <w:rPr>
          <w:rFonts w:ascii="Amiri" w:hAnsi="Amiri" w:eastAsia="Amiri" w:cs="Amiri"/>
          <w:color w:val="111111"/>
          <w:sz w:val="28"/>
          <w:sz w:val="28"/>
          <w:szCs w:val="28"/>
          <w:rtl w:val="true"/>
          <w:lang w:bidi="ar-SA"/>
        </w:rPr>
        <w:t>المقصد السابع في الاستحاضة</w:t>
      </w:r>
    </w:p>
    <w:p>
      <w:pPr>
        <w:pStyle w:val="BookText"/>
        <w:rPr/>
      </w:pPr>
      <w:r>
        <w:rPr>
          <w:rFonts w:ascii="Amiri" w:hAnsi="Amiri" w:eastAsia="Amiri" w:cs="Amiri"/>
          <w:color w:val="111111"/>
          <w:sz w:val="28"/>
          <w:sz w:val="28"/>
          <w:szCs w:val="28"/>
          <w:rtl w:val="true"/>
          <w:lang w:bidi="ar-SA"/>
        </w:rPr>
        <w:t>المقصد الثامن في النفاس</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التاسع في غُسل الأموات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p>
    <w:p>
      <w:pPr>
        <w:pStyle w:val="BookText"/>
        <w:rPr/>
      </w:pPr>
      <w:r>
        <w:rPr>
          <w:rFonts w:ascii="IRNazanin" w:hAnsi="IRNazanin" w:eastAsia="IRNazanin"/>
          <w:color w:val="111111"/>
          <w:sz w:val="28"/>
          <w:sz w:val="28"/>
          <w:szCs w:val="28"/>
          <w:rtl w:val="true"/>
          <w:lang w:bidi="fa-IR"/>
        </w:rPr>
        <w:t>المقصد الأوّل</w:t>
      </w:r>
    </w:p>
    <w:p>
      <w:pPr>
        <w:pStyle w:val="BookText"/>
        <w:rPr/>
      </w:pPr>
      <w:r>
        <w:rPr>
          <w:rFonts w:ascii="Amiri" w:hAnsi="Amiri" w:eastAsia="Amiri" w:cs="Amiri"/>
          <w:color w:val="111111"/>
          <w:sz w:val="28"/>
          <w:sz w:val="28"/>
          <w:szCs w:val="28"/>
          <w:rtl w:val="true"/>
          <w:lang w:bidi="ar-SA"/>
        </w:rPr>
        <w:t xml:space="preserve">في المقدمات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حاشية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يجمع المسائل المتحدة بالجنس المختلفة في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يطلب فيه المسائل المتحدة في النوع المختلفة في الصنف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المائز بين المسائل المتحدة في الصنف المختلفة في الشخص</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الاصطلاح لا يتمُّ ؛ لأنّ المصنف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قد جَعَل بعض الكُتُبِ مقاصدَ وبعض المقاصدِ كُتُباً، وكذلك الفصول والمطالب فضلاً عن غيره والحقُّ أنّ جنسيّة المسائل ونوعيتها وغيرها أُمور اعتبارية تختلف باختلاف الاعتبار وهو منشأ اختلاف النظر في عنوان الأبواب؛ فلا يتم ما ذكره من الاصطلاح على إطلاقه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غسل بالماء أو مَسحُ بالتراب، مُتَعلِّق بالبدن على وجه له صلاحيّة التأثير في 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اصطلح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 xml:space="preserve">على إطلاق الطهارة على كل واحد من الوضوء والغُسل والتيمم على وجه يبيح العبادة ولو بالصلاحية، وقد اختلفوا في تعريفها اختلافاً عظيماً لا يكاد يوجد معه تعريف سليم عن الطعن، حتى لجأ بعضهم </w:t>
      </w:r>
      <w:r>
        <w:rPr>
          <w:rStyle w:val="FootnoteAnchor"/>
          <w:rtl w:val="true"/>
        </w:rPr>
        <w:footnoteReference w:id="23"/>
      </w:r>
      <w:r>
        <w:rPr>
          <w:rFonts w:ascii="Amiri" w:hAnsi="Amiri" w:eastAsia="Amiri" w:cs="Amiri"/>
          <w:color w:val="111111"/>
          <w:sz w:val="28"/>
          <w:sz w:val="28"/>
          <w:szCs w:val="28"/>
          <w:rtl w:val="true"/>
          <w:lang w:bidi="ar-SA"/>
        </w:rPr>
        <w:t>إلى أنّ المراد من تعريفها اللفظي لا الصناعي فلا يشترط فيه الاطراد والانعكاس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ولنتكلم على تعريف المصنف هاهنا تحقيقاً وتحريراً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الجنس يَدْخُلُ فيه غَسل النظافة والنجاسة وغيرهما، ويَدْخُلُ فيه الغُسْل مطلقاً و بعض أعضاء الوضوء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مَسْحُ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مَسْحُ الإناء أو غيره بالتراب، ويَدْخُلُ فيه التيمم، وأتى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عدم اجتماع الطهارة المائية والترابية غالباً؛ أو على أنّ كلّ واحد من الغسل والمشح متناول لنوع من أنواع الطهارة المعرفة؛ أو تجعل بمعنى الواو كما هو في بعض اللغات</w:t>
      </w:r>
      <w:r>
        <w:rPr>
          <w:rStyle w:val="FootnoteAnchor"/>
          <w:rtl w:val="true"/>
        </w:rPr>
        <w:footnoteReference w:id="24"/>
      </w:r>
      <w:r>
        <w:rPr>
          <w:rFonts w:ascii="Amiri" w:hAnsi="Amiri" w:eastAsia="Amiri" w:cs="Amiri"/>
          <w:color w:val="111111"/>
          <w:sz w:val="28"/>
          <w:sz w:val="28"/>
          <w:szCs w:val="28"/>
          <w:rtl w:val="true"/>
          <w:lang w:bidi="ar-SA"/>
        </w:rPr>
        <w:t>لا للتردّد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للإلصاق والآلة،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للآلة لا غير؛ لأنّ إلصاقه عندنا غير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مُتَعَلِّقٌ بالبدن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للغسل والمَسْح، وأفرده مع كونه صفة لهما نظراً إلى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لأحد الشيئين فأتُهما وقع كان متعلّقاً، أو إلى كُلِّ واحد منهما على انفراده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تعلّقه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أو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أرجح عند جمهور النحاة في تنازع العاملين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والهاء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هذا التعلق فيعود إلى التعلق المدلول عليه باسم الفاعل أو إلى نفسه على الأوّل، وإلى الغَسل أو المشح على الثاني، والأولى عوده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 وأشدّ ملاءمة للمعنى، وعلى الأول والأخير الجملة وصفية؛ لأنّ متعلّقها نكرة، وعلى الوسط يجوز كونها حالية ووصفية؛ لكون المردّدين نكرتين موصوفتين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وأتى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صلاحية التأثير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نفس التأثير؛ ليندرج فيه غُسل مثل الحائض و وضوؤها، والوضوء المجدّد ونحوه ممّا لا يؤثر بالفعل بل بالصلاحية، بمعنى أنه لو اقترن به مایتم به اعتبار التأثير أو خلا عن الموانع منه 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التأثير بالعبادة دون الصلاة كما فعل غيره </w:t>
      </w:r>
      <w:r>
        <w:rPr>
          <w:rStyle w:val="FootnoteAnchor"/>
          <w:rtl w:val="true"/>
        </w:rPr>
        <w:footnoteReference w:id="26"/>
      </w:r>
      <w:r>
        <w:rPr>
          <w:rFonts w:ascii="Amiri" w:hAnsi="Amiri" w:eastAsia="Amiri" w:cs="Amiri"/>
          <w:color w:val="111111"/>
          <w:sz w:val="28"/>
          <w:sz w:val="28"/>
          <w:szCs w:val="28"/>
          <w:rtl w:val="true"/>
          <w:lang w:bidi="ar-SA"/>
        </w:rPr>
        <w:t>لأنها أعم، وقد يؤثر بعض الطهارات في غير الصلاة ولا يؤثّر فيها كالتيمم لخروج الجنب من المسجدين، ووضوء الحائض للكون في مُصلّاها ذاكرةً، وغير ذلك مما لا يبيح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المحترزات دلالة على أنه حاول فيه الاطراد والانعكاس وأنّه يختار كونه أحد الثلاثة مع صلاحيته للإباحة لا مطلقاً، ولكنّ </w:t>
      </w:r>
    </w:p>
    <w:p>
      <w:pPr>
        <w:pStyle w:val="BookText"/>
        <w:rPr/>
      </w:pPr>
      <w:r>
        <w:rPr>
          <w:rFonts w:ascii="Amiri" w:hAnsi="Amiri" w:eastAsia="Amiri" w:cs="Amiri"/>
          <w:color w:val="111111"/>
          <w:sz w:val="28"/>
          <w:sz w:val="28"/>
          <w:szCs w:val="28"/>
          <w:rtl w:val="true"/>
          <w:lang w:bidi="ar-SA"/>
        </w:rPr>
        <w:t xml:space="preserve">في دلالة الصلاحية على ما يريد منها خفاء؛ لأنه إن أراد بالصلاحية الفعل بحيث يكون مؤثِّراً في الإباحة كغسل الجنابة أو جزء المؤثر كغسل الحائض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بالأغسال المندوبة أجمع، وما لا يبيح من أفراد الوضوء كالتجديد عنده </w:t>
      </w:r>
      <w:r>
        <w:rPr>
          <w:rStyle w:val="FootnoteAnchor"/>
          <w:rtl w:val="true"/>
        </w:rPr>
        <w:footnoteReference w:id="27"/>
      </w:r>
      <w:r>
        <w:rPr>
          <w:rFonts w:ascii="Amiri" w:hAnsi="Amiri" w:eastAsia="Amiri" w:cs="Amiri"/>
          <w:color w:val="111111"/>
          <w:sz w:val="28"/>
          <w:sz w:val="28"/>
          <w:szCs w:val="28"/>
          <w:rtl w:val="true"/>
          <w:lang w:bidi="ar-SA"/>
        </w:rPr>
        <w:t xml:space="preserve">، ووضوء الحائض عند الكل </w:t>
      </w:r>
      <w:r>
        <w:rPr>
          <w:rStyle w:val="FootnoteAnchor"/>
          <w:rtl w:val="true"/>
        </w:rPr>
        <w:footnoteReference w:id="28"/>
      </w:r>
      <w:r>
        <w:rPr>
          <w:rFonts w:ascii="Amiri" w:hAnsi="Amiri" w:eastAsia="Amiri" w:cs="Amiri"/>
          <w:color w:val="111111"/>
          <w:sz w:val="28"/>
          <w:sz w:val="28"/>
          <w:szCs w:val="28"/>
          <w:rtl w:val="true"/>
          <w:lang w:bidi="ar-SA"/>
        </w:rPr>
        <w:t>، والوضوء للنوم ولجماع المحتلم وغيرها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بالصلاحية ما يشمل الفعل والقوة ويعم القريبة والبعيدة بمعنى أنه لو اقترن بالفرد المذكور من الطهارة ما يجب اقتران غيره به، 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الجميع حتى وضوء الحائض والمصنّف لا يجعله طهارة </w:t>
      </w:r>
      <w:r>
        <w:rPr>
          <w:rStyle w:val="FootnoteAnchor"/>
          <w:rtl w:val="true"/>
        </w:rPr>
        <w:footnoteReference w:id="29"/>
      </w:r>
      <w:r>
        <w:rPr>
          <w:rFonts w:ascii="Amiri" w:hAnsi="Amiri" w:eastAsia="Amiri" w:cs="Amiri"/>
          <w:color w:val="111111"/>
          <w:sz w:val="28"/>
          <w:sz w:val="28"/>
          <w:szCs w:val="28"/>
          <w:rtl w:val="true"/>
          <w:lang w:bidi="ar-SA"/>
        </w:rPr>
        <w:t>، والنصُّ مُصرّح</w:t>
      </w:r>
      <w:r>
        <w:rPr>
          <w:rStyle w:val="FootnoteAnchor"/>
          <w:rtl w:val="true"/>
        </w:rPr>
        <w:footnoteReference w:id="30"/>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بين ما يمنع الإباحة بحال كوضوء الحائض وما أخلَّ فيه بشرط لو أتي به لكان مبيحاً فإنّه صالح بالقوّة ومِن ثَمّ قال جمع بإباحة المجدَّد</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اقتصر على القربة </w:t>
      </w:r>
      <w:r>
        <w:rPr>
          <w:rStyle w:val="FootnoteAnchor"/>
          <w:rtl w:val="true"/>
        </w:rPr>
        <w:footnoteReference w:id="32"/>
      </w:r>
      <w:r>
        <w:rPr>
          <w:rFonts w:ascii="Amiri" w:hAnsi="Amiri" w:eastAsia="Amiri" w:cs="Amiri"/>
          <w:color w:val="111111"/>
          <w:sz w:val="28"/>
          <w:sz w:val="28"/>
          <w:szCs w:val="28"/>
          <w:rtl w:val="true"/>
          <w:lang w:bidi="ar-SA"/>
        </w:rPr>
        <w:t xml:space="preserve">فأباح ما اشتمل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يفيد اختلافها بالقوة والضعف لادخول أحدها في الصلاحية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بعضهم بإباحة المجدَّد، وآخرين بالاكتفاء بالقربة لادخل له في الصلاحية عندَ مَن لا يقول به إلّا بالقوة المذكورة وهي 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خروج وضوء الحائض بالنص يبقى وضوء المحتلم والنوم ونحو هما مما لا يبيح بالفعل، ومن الإشكال العام أنهم يحترزون في التعريف عن كثير من أنواع الوضوء والغُسْل، ثمّ يُقسّمون الطهارة إلى واجبةٍ ومندوبةٍ ويُقسمون المندوبة إلى ما يرفع وما لا يرفع فيُدخلون في التقسيم مالايدخلون في التعريف، وهو تجوز فاحش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تقرر ذلك فاعلم أنّ العلّامة نصير الدين القاشي قد أورد على تعريف المصنف عشرين إيراداً، وأكثرها في غاية الجَودة </w:t>
      </w:r>
      <w:r>
        <w:rPr>
          <w:rStyle w:val="FootnoteAnchor"/>
          <w:rtl w:val="true"/>
        </w:rPr>
        <w:footnoteReference w:id="33"/>
      </w:r>
      <w:r>
        <w:rPr>
          <w:rFonts w:ascii="Amiri" w:hAnsi="Amiri" w:eastAsia="Amiri" w:cs="Amiri"/>
          <w:color w:val="111111"/>
          <w:sz w:val="28"/>
          <w:sz w:val="28"/>
          <w:szCs w:val="28"/>
          <w:rtl w:val="true"/>
          <w:lang w:bidi="ar-SA"/>
        </w:rPr>
        <w:t>، والمحقق السعيد الشهيد رَدَّها إلى سبعة عَشَرَ، وأجاب عنها أجمع بأجوبة متكلّفة غالباً</w:t>
      </w:r>
      <w:r>
        <w:rPr>
          <w:rStyle w:val="FootnoteAnchor"/>
          <w:rtl w:val="true"/>
        </w:rPr>
        <w:footnoteReference w:id="34"/>
      </w:r>
      <w:r>
        <w:rPr>
          <w:rFonts w:ascii="IRNazanin" w:hAnsi="IRNazanin" w:eastAsia="IRNazanin"/>
          <w:color w:val="111111"/>
          <w:sz w:val="28"/>
          <w:sz w:val="28"/>
          <w:szCs w:val="28"/>
          <w:rtl w:val="true"/>
          <w:lang w:bidi="fa-IR"/>
        </w:rPr>
        <w:t>، ونحن نشير إليها وإلى ما فیها ونكملها بما يمكن وروده على التعريف طرداً وعكساً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بالماء غسل الارتماس؛ لأنّ الغسل بالماء هو إجراؤه على البدن ولم يحصل هاهنا إلا تباعد أجزاء الماء عن أمكنتها ليخلو للبدن الداخل فيه مكان يشغله ومرور البدن على الأجزاء المائية وإن حصل لكنّه ليس بغسل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الوضوء بالمسح فيما إذا كان الوجه واليدان مجروحة وعليها جبائر لا يمكن نزعها ولا إيصال الماء إلى البشرة، فإنّ الحكم هاهنا المسح بالماء وهو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الوضوء مطلقاً فإنّه مركَّب من غسل بالماء ومسح به، وكلُّ مركب من شيئين </w:t>
      </w:r>
      <w:r>
        <w:rPr>
          <w:rStyle w:val="FootnoteAnchor"/>
          <w:rtl w:val="true"/>
        </w:rPr>
        <w:footnoteReference w:id="35"/>
      </w:r>
      <w:r>
        <w:rPr>
          <w:rFonts w:ascii="Amiri" w:hAnsi="Amiri" w:eastAsia="Amiri" w:cs="Amiri"/>
          <w:color w:val="111111"/>
          <w:sz w:val="28"/>
          <w:sz w:val="28"/>
          <w:szCs w:val="28"/>
          <w:rtl w:val="true"/>
          <w:lang w:bidi="ar-SA"/>
        </w:rPr>
        <w:t>متغايري الوجود لا يصدق كلّ منهما على ذلك المركب، فلا يصدق على الوضوء أنّه غسل بالماء، وظاهر أنه ليس مسحاً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واردة على عكسه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شيخنا الشهيد عن الجميع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بالغَسل الإمساسُ بالماء، وهو شامل للكلِّ فلا يلزَمُ استعمالُ المُشْتَرَكِ والحقيقة والمجاز</w:t>
      </w:r>
      <w:r>
        <w:rPr>
          <w:rStyle w:val="FootnoteAnchor"/>
          <w:rtl w:val="true"/>
        </w:rPr>
        <w:footnoteReference w:id="36"/>
      </w:r>
      <w:r>
        <w:rPr>
          <w:rFonts w:ascii="Amiri" w:hAnsi="Amiri" w:eastAsia="Amiri" w:cs="Amiri"/>
          <w:color w:val="111111"/>
          <w:sz w:val="28"/>
          <w:sz w:val="28"/>
          <w:szCs w:val="28"/>
          <w:rtl w:val="true"/>
          <w:lang w:bidi="ar-SA"/>
        </w:rPr>
        <w:t>، حيث إنه مستعمل في الإمساس مع الجريان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نظر؛ لأنّ الغُسْل حقيقة شرعيَّة في الإمساس مع الجريان، وبدونه يسمّى مسحاً لاغسلاً، والعرف دالّ عليه أيضاً، وكلام أهل اللغة لا ينافيه وإن لم يدلّ عليه أيضاً وأما الإمساس فهو جنس للغسل والمسح فلا يجوز تعريفه به وحده من دون فصل يخرج ما شاركه فيه لأنه أعم، ولو سُلّم ثبوت ما ادعاه لغة لم يضر؛ لأنّ الحقائق الشرعيّة مجازات لغوية لا يصح استعمالها في التعريف؛ نعم قد يتمحل دخول غُسل الارتماس من حيث تحقق الجريان حقيقةً أو حكماً بتعاقب الجريان على البدن، أو بخروجه من الماء بعد دخوله فيه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في طرده بأبعاض الطهارة كغسل الرأس في الغُسل والوجه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التعريف صادق عليه مع أنه ليس بطهارة؛ لأنّها منحصرة عندهم في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الأبعاض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الصلاحية المذكورة</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أنّ الصلاحيّة هنا على ما ذكره هي الصلاحية المطلقة متناولة للقريبة والبعيدة التامة والناقصة حتّى تتناول غُسل الجنابة وغُسل الحائض ووضوؤها، ولا فرق حينئذٍ بين وضوء الحائض وبعض وضوء المحدث، ولا بين غُسلها وبعض غسل الجنابة من حيث الصلاحية للتأثير في العبادة وإن افترقا من حيثية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منه الحك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بصلاحية الأغسال المسنونة والوضوءات التي لا تبيح العبادة، دون أبعاض الطهارة التي تبيح بجملتها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عَيْن العناية أو التكلّف والقول بأنّ وضوء الحائض وغسلها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منهما نوع تام وعبادة مستقلة بخلاف الأبعاض، لا يدلُّ على انتفاء الصلاحية رأساً كما لا يخفى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 في طرده أيضاً بغَسْل النّجاسة الخبئية عن البدن، فإنّ له صلاحية التأثير فيها من حيث إنّ النّجاسة مانعة عن صحتها مع القدرة على إزالتها إن أُريد مطلق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التأثير التام بحيث لا يتوقف معه على أمر آخر خرج وضوء الحائض وغُسلها وهو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المُؤثر المُطْلَق في الاستباحة وغَسْلُ النّجاسة توجد الاستباحة بدونه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كما إذا تعذَّر غَسل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صلاحيّة التأثير أعم ممّا ادعاه، وإرادة ما ذكره محوج إلى إضمار في التعريف يجب الاحتراز عنه، وإنّ إمكان الانفكاك لو استلزم خروجه عن المطلوب لزم خروج الأنواع الثلاثة التعريف فلا تجد فرداً يتعلّق به؛ إذ كلّ واحد منها يمكن انفكاكه عن التأثير مع قيام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في طرده أيضاً بمسح اليدين بالتراب على وجه يزيل النجاسة كأسفل القدم، أو يُجَفِّفُها حيث تعذر إزالتهارأساً كالموجودة في غيره، فإنّ العبادة تتوقف على تجفيفها حينئذٍ مع عدم كون ذلك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وما فيه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أو 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وهو ينافي التحديد؛ لأنه للتعريف، وفي الترديد إبهام وتشكيك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 في نظائره أنّ الترديد في أقسام المحدود لا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واقع في أجزاء الحدّ ،ضرورةً،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الترديد في أقسام المحدود لا يفيد التردُّد ولا الشك، وفرق بين الترديد والتردُّد، والغرض منه بيان أقسامه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اسم أو فعل أو حرف، ومثله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بالترديد التقسيم كما قلناه وليس واقعاً في الحد؛ لأنّ الترديد إنّما هو في أحدهما معيَّناً، وأحدهما معيَّناً أخص من أحدهما مطلقاً فيكون غيره، وأحدهما مطلقاً هو المعتبر في الحدّ ولم يقع فيه ترديد فلا ترديد في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المراد كلَّما وقع على أحدهما كان طهارة، وغايته عدم الترديد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التقييد بالبدن يُخرج الوضوء بالمسح على الجبائر، فإنه لا يتعلق بشيءٍ من أجزاء البدن بل بالجبائر التي عليه، مع أنه طهارة 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التعلّق بالبدن أعم منه بواسطة وغيرها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الباء هنا تفيد الإلصاق فإنّه معنى لا يفارقها، ومن ثم اقتصر سيبويه </w:t>
      </w:r>
      <w:r>
        <w:rPr>
          <w:rStyle w:val="FootnoteAnchor"/>
          <w:rtl w:val="true"/>
        </w:rPr>
        <w:footnoteReference w:id="40"/>
      </w:r>
      <w:r>
        <w:rPr>
          <w:rFonts w:ascii="Amiri" w:hAnsi="Amiri" w:eastAsia="Amiri" w:cs="Amiri"/>
          <w:color w:val="111111"/>
          <w:sz w:val="28"/>
          <w:sz w:val="28"/>
          <w:szCs w:val="28"/>
          <w:rtl w:val="true"/>
          <w:lang w:bidi="ar-SA"/>
        </w:rPr>
        <w:t>عليه، فيختص بالتعلّق الذي بغير واسطة؛ وأما الذي بواسطة فيحتاج إلى قيد يدلُّ عليه؛ لأنه خلاف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صلاحيّة غير الإلصاق من المعاني التي لاتدلُّ عليه، جاء فيه محذور الاشتراك المانع من استعماله في التعريف بغير قرينة جليّة تعيّن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استعمال المشترك في معنييه، وهو مجاز عند المصنف </w:t>
      </w:r>
      <w:r>
        <w:rPr>
          <w:rStyle w:val="FootnoteAnchor"/>
          <w:rtl w:val="true"/>
        </w:rPr>
        <w:footnoteReference w:id="41"/>
      </w:r>
      <w:r>
        <w:rPr>
          <w:rFonts w:ascii="Amiri" w:hAnsi="Amiri" w:eastAsia="Amiri" w:cs="Amiri"/>
          <w:color w:val="111111"/>
          <w:sz w:val="28"/>
          <w:sz w:val="28"/>
          <w:szCs w:val="28"/>
          <w:rtl w:val="true"/>
          <w:lang w:bidi="ar-SA"/>
        </w:rPr>
        <w:t>وأكثر المحققين لا يستعمل في التعريف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بالمتعلّق بالبدن منهما ما لا يَعُمُّه كالوضوء والتيمم مطلقاً، والغُسل على بعض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واضح،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التعلق به يَسْمَلُ جميعه وبعضه؛ وليس استعمالاً له في الجميع والبعض على جهة الاشتراك بل استعمالاً للتعلُّق فيهما على البدن</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هرب بذلك من استعمال المشترك في التعريف فوقع فيما هو أخفى منه، إذ لا يدلّ على إرادة الاستعمال فيهما على البدل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فمُجرَّدُ استعماله فيهما على البدل لا يرفع الاشتراك إنما يرفع استعمال المشترك في معنييه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في الجواب أنْ يجعل مفهوم التعلُّق بالبدن قدراً مشتركاً بين التعلق بكله وبعضه، وحينئذ فلا اشتراك فى اللفظ بل في المعنى وهو غير ضائر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 يطلق على معان كثيرة،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متعلّق بالعلة، أي وجوده منها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متعلّق بمحله، أي وجوده فيه، ويقال الإضافة يتعلّق بالمضافين أي يتوقف تعلّقها على تعلقهما؛ إلى غير ذلك من المعاني الواقعة في موارد استعمال هذه </w:t>
      </w:r>
    </w:p>
    <w:p>
      <w:pPr>
        <w:pStyle w:val="BookText"/>
        <w:rPr/>
      </w:pPr>
      <w:r>
        <w:rPr>
          <w:rFonts w:ascii="Amiri" w:hAnsi="Amiri" w:eastAsia="Amiri" w:cs="Amiri"/>
          <w:color w:val="111111"/>
          <w:sz w:val="28"/>
          <w:sz w:val="28"/>
          <w:szCs w:val="28"/>
          <w:rtl w:val="true"/>
          <w:lang w:bidi="ar-SA"/>
        </w:rPr>
        <w:t>اللفظة إما بالاشتراك اللفظي أو بالحقيقة والمجاز، وليس في التعريف ما يعين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به تَعَلَّقُ العَرَض بمحله</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أن الطهارة إنما هي الغسل والمسح على الوجه المذكور، وهو عَرَض مِن مقولة الأفعال ومحلّه الجوهري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الإيراد يوجه من حيث استعمال اللفظ المشترك وإرادة أحد معانيه من غير قرينة صارفة أو معيّنة في التعريف، ولا يخفى خفاء هذه القرينة على تعيين المراد منه على ما يحتاج إليه، ومطلق القرينة غير كاف في ذلك، بل القرينة الجليّة لتتحقق الفائدة من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أحد الأمرين من الغسل والمسح بعينه كان تعريفاً لنوع الطهارة لا لطبيعتها، أولا بعينه فلا يكون المعيَّن طهارة، والمطلق لا يوجد إلا في ضمن 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المطلق، ولا يلزم من عدم وجوده بدون المُقيَّدِ عدم إرادته</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أن المعرَّف الماهية الكلّيّة، والمعيَّن منها طهارة من حيث إنّه بعض أفرادها ووجودها في ضمنه ولا يلزم منه عدم كونه طهارة كما يُطلق الحيوان الكلّي على الإنسان من حيث إنّه من أفراده لا الحيوان الكلّي المنقسم إليه وإلى غيره ،وفيه 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جنس لكلّ واحد من الثلاثة الداخلة في الغسل والمَسح المذكورين فتعريفها بهما تعريف للجنس بالنوع وهو دَوْرٌ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النوعيّة أوّلاً؛ لأنّ الغسل والمسح ليسا نفس الثلاثة وإن أفادها، وإنّما يرد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الوضوء أو الغُسْل أو التيمم كما صنع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النوعية لكن جاز </w:t>
      </w:r>
    </w:p>
    <w:p>
      <w:pPr>
        <w:pStyle w:val="BookText"/>
        <w:rPr/>
      </w:pPr>
      <w:r>
        <w:rPr>
          <w:rFonts w:ascii="Amiri" w:hAnsi="Amiri" w:eastAsia="Amiri" w:cs="Amiri"/>
          <w:color w:val="111111"/>
          <w:sz w:val="28"/>
          <w:sz w:val="28"/>
          <w:szCs w:val="28"/>
          <w:rtl w:val="true"/>
          <w:lang w:bidi="ar-SA"/>
        </w:rPr>
        <w:t>أن تكون معرفة النوع ناقصة بحيث لا تتوقف على معرفة الجنس، ومعرفة الجنس مستفادة من معرفة الناقصة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فى الجواب أن التعريف لا يعتبر فيه أخذ الجنس إلا إذا أريد التحديد، أما مطلق التعريف الشامل للرسم فلا، وحينئذ فيمكن رسم النوع على وجه لا يتوقف على الجنس فينتفي الدور،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الصلاحية مستدركة للاستباحة بوضوء الحائض عبادة ما كجلوسها في مصلاها ذاكرة فإنه عبادة، وكذا الوضوء المجدّد له صلاحيّة أن تقع به الصلاة ويؤثر في عبادة وهى امتثال الأمر الوارد به ونحو ذلك، فلا يكون خارجاً عن التعريف بدونها فلا يحتاج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بالعبادة المعهودة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وهذه العبادات وأمثالها ليست بمعهودة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إرادة العبادة المعهودة يخرج كثير من أفراد الطهارة عن الحد، كالأغسال المسنونة، وما لا يبيح من الوضوء، والمصنّف لا يرتضي بإخراجها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الصلاحية مشتركة بين القريبة والبعيدة، وليس في اللفظ ما يعين أحدهما، ولو عيَّن خرج بعض الأقسام وهو مادخل في غير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الصلاحية المطلقة الشاملة لهما، والتقريب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في العبادة ليس إلا الإنسان بواسطة قواه، والطهارة إنما تؤثر في رفع المنع الشرعي الذي اقتضاه الحدث، وذلك الرافع ليس بعبادة، فالطهارة ليست صالحة للتأثير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الكلام حذف المضاف تقديره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يؤثر في استباحة العبادة وحذف المضاف من المجازات المشهورة</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اشتهار مجازيّته جواز استعماله في التعريف، بل لا بُدَّ من </w:t>
      </w:r>
    </w:p>
    <w:p>
      <w:pPr>
        <w:pStyle w:val="BookText"/>
        <w:rPr/>
      </w:pPr>
      <w:r>
        <w:rPr>
          <w:rFonts w:ascii="Amiri" w:hAnsi="Amiri" w:eastAsia="Amiri" w:cs="Amiri"/>
          <w:color w:val="111111"/>
          <w:sz w:val="28"/>
          <w:sz w:val="28"/>
          <w:szCs w:val="28"/>
          <w:rtl w:val="true"/>
          <w:lang w:bidi="ar-SA"/>
        </w:rPr>
        <w:t>القرينة على إرادته، فإن ادعى حصولها فهي المسوّغ لا اشتهار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التوبة عن الكفر والفسق بعدهما؛ لأنّ التوبة عنهما واجب مضيَّق لا يجوز الاشتغال قبله بمندوب، والمتأخر عن الشيء لا يكون مؤثراً فيه فلا يكون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أنه ليس بطهارة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الالتزام لا يناسب باقي الكلام حيث عدَّه من جملة الأقسام وإرادة كون الطهارة المقسّمة غير المعرّفة خلاف المفهوم من السياق ويخلّ بالفهم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بالعبادة الكلّ خرج جميع الطهارات؛ لأنّه لا تأثير لها في مثل السواك والمضمضة والاستنشاق لأكل الجنب مثلاً مع أنّه عبادة، وإن أراد البعض معيَّناً أو غير معيَّن فليس في اللفظ ما يدلُّ عليه، وإن أراد بعضاً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بعض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الأوّل أو استدراك اللام </w:t>
      </w:r>
      <w:r>
        <w:rPr>
          <w:rStyle w:val="FootnoteAnchor"/>
          <w:rtl w:val="true"/>
        </w:rPr>
        <w:footnoteReference w:id="49"/>
      </w:r>
      <w:r>
        <w:rPr>
          <w:rFonts w:ascii="Amiri" w:hAnsi="Amiri" w:eastAsia="Amiri" w:cs="Amiri"/>
          <w:color w:val="111111"/>
          <w:sz w:val="28"/>
          <w:sz w:val="28"/>
          <w:szCs w:val="28"/>
          <w:rtl w:val="true"/>
          <w:lang w:bidi="ar-SA"/>
        </w:rPr>
        <w:t>لأنه 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للعهد وهو المعيَّن</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ظهور هذا المعهود على وجه يكفي فيه إطلاقه، وقد تقدم الكلام على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التعريف على مَضمَضَة الجُنُب ووضوئه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ما ذكر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منقسمة إلى صحيحة ،وفاسدة، والفاسدة ليست داخلة في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 خصّ الصحيحة</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في الجواب منع دخول الفاسدة في مفهوم الطهارة، والتقسيم لو سلّم فتجوز في المجاز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تعريف صحيح إما حد أو رسم وهذا التعريف ليس بشيءٍ منهما فلا يكون </w:t>
      </w:r>
    </w:p>
    <w:p>
      <w:pPr>
        <w:pStyle w:val="BookText"/>
        <w:rPr/>
      </w:pP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ليس بحدّ فلأنّ التعلّق بالبدن نسبة بين الطهارة والبدن والنسب متأخرة عن المنتسبين والمتأخر عن الشيء خارج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صلاحية التأثير إنما يلحق بعد تحقق حقيقته في نفسه، وكلما يلحق الشيء بعد تحقق حقيقته فهو خارج عن حقيقته فلا يكون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أنه ليس برسم فلأنّ التام مشتمل على الجنس القريب والخاصة والناقص على الخاصة وغيرها دون الجنس القريب، وهذا التعريف ليس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بأنّه رسم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مركبة من القيود المذكورة</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لفظه وتنقيحه أنّ المعرّف يشتمل على قيود أربعة كلّ واحد منها أعم من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بالماء، وهو شامل لغسل النجاسة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بالتُراب، وهو شامل لمسح الرجل به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التعلق بالبدن ومعلوم تعلق امور كثيرة 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له صلاحية التأثير في العبادة ويَشرَك الطهارة في باقي الشروط، کالستر والاستقبال وعمومها و إن منع من كون كلّ واحد خاصة، لكن جاز أن تكون الخاصَّةُ مركّبة من المجموع، وظاهر أنها بعد التركيب لا توجد في غير المعرّف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الخُفّاش طائر ولود، فإنّ كونه طائراً عَرَض عام وكذا الولود وحده ومع فرض اجتماعهما يصيران خاصة مركبة للخُفّاش فكذا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يحتمل أن يريد كونه رسماً ناقصاً، لأنه تعريف بالخاصة وحدها على مذهب بعض المنطقيين في جوازه بها كذلك </w:t>
      </w:r>
      <w:r>
        <w:rPr>
          <w:rStyle w:val="FootnoteAnchor"/>
          <w:rtl w:val="true"/>
        </w:rPr>
        <w:footnoteReference w:id="53"/>
      </w:r>
      <w:r>
        <w:rPr>
          <w:rFonts w:ascii="Amiri" w:hAnsi="Amiri" w:eastAsia="Amiri" w:cs="Amiri"/>
          <w:color w:val="111111"/>
          <w:sz w:val="28"/>
          <w:sz w:val="28"/>
          <w:szCs w:val="28"/>
          <w:rtl w:val="true"/>
          <w:lang w:bidi="ar-SA"/>
        </w:rPr>
        <w:t>بناءً على أن القيود ليس فيها شيء ذاتي، كما صرح به الشهيد رحمه الله فى حاشية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رسماً تاماً يجعل الغَسْل والمَسْح جنساً لها لأنّهما ذاتيان بخلاف المتعلّق والمؤثّر فإنّهما عرضيّان كما سلف وهذا هو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الشرح </w:t>
      </w:r>
      <w:r>
        <w:rPr>
          <w:rStyle w:val="FootnoteAnchor"/>
          <w:rtl w:val="true"/>
        </w:rPr>
        <w:footnoteReference w:id="54"/>
      </w:r>
      <w:r>
        <w:rPr>
          <w:rFonts w:ascii="Amiri" w:hAnsi="Amiri" w:eastAsia="Amiri" w:cs="Amiri"/>
          <w:color w:val="111111"/>
          <w:sz w:val="28"/>
          <w:sz w:val="28"/>
          <w:szCs w:val="28"/>
          <w:rtl w:val="true"/>
          <w:lang w:bidi="ar-SA"/>
        </w:rPr>
        <w:t xml:space="preserve">عند ذكر هذه الإيرادات وجوابها ذكر في أوّل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والمشح بمنزلة الجنس والتعلق بالبدن، كالفصل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5"/>
      </w:r>
      <w:r>
        <w:rPr>
          <w:rFonts w:ascii="Amiri" w:hAnsi="Amiri" w:eastAsia="Amiri" w:cs="Amiri"/>
          <w:color w:val="111111"/>
          <w:sz w:val="28"/>
          <w:sz w:val="28"/>
          <w:szCs w:val="28"/>
          <w:rtl w:val="true"/>
          <w:lang w:bidi="ar-SA"/>
        </w:rPr>
        <w:t>وهو يشعر بكونه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في آخره عند جواب الإيراد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الخاصة مركبة </w:t>
      </w:r>
      <w:r>
        <w:rPr>
          <w:rStyle w:val="FootnoteAnchor"/>
          <w:rtl w:val="true"/>
        </w:rPr>
        <w:footnoteReference w:id="56"/>
      </w:r>
      <w:r>
        <w:rPr>
          <w:rFonts w:ascii="Amiri" w:hAnsi="Amiri" w:eastAsia="Amiri" w:cs="Amiri"/>
          <w:color w:val="111111"/>
          <w:sz w:val="28"/>
          <w:sz w:val="28"/>
          <w:szCs w:val="28"/>
          <w:rtl w:val="true"/>
          <w:lang w:bidi="ar-SA"/>
        </w:rPr>
        <w:t>كما أشرنا إليه، فيكون رسماً ناقصاً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الكتاب اختار كونه رسماً تاماً، لكن استدلّ عليه بأنّ الغَسْل والمَسْح ليسا ذاتيين للطهارة، وليسا جزءين لها وانما هما جزئيان، وإنما كان رسماً تاماً لاشتماله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عدم استقامة الدليل نفياً وإثباتاً، والأوجه ما ذكرناه من أنه رسم تام؛ لاشتماله على الجنس القريب والخاصة المركبة، والله الموفق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غسل بالماء أو مشح بالتراب متعلّق بالبدن على وجه له صلاحية التأثير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حداً؛ إذ هو التعريف بالذاتيّات، والغسل والمَسْح ليسا ذاتيين للطهارة؛ إذ ليسا جزءين لها، وإنّما هما جزئيان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رسم تام؛ لاشتماله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يكون تعريفاً لفظياً ولأنّ الاسم والمسمّى واحد في الخارج وإن افترقا في التفضّل، وعلَّة الشيء لا يكون نفسه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من وجوه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الغَسْل والمَسْح ليسا ذاتيين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وتعليله بكونهما ليسا جزءين في موضع المنع؛ لأنّ كلّاً من الأنواع الثلاثة مركب من الغَسْل والمشح وأشياء </w:t>
      </w:r>
    </w:p>
    <w:p>
      <w:pPr>
        <w:pStyle w:val="BookText"/>
        <w:rPr/>
      </w:pPr>
      <w:r>
        <w:rPr>
          <w:rFonts w:ascii="Amiri" w:hAnsi="Amiri" w:eastAsia="Amiri" w:cs="Amiri"/>
          <w:color w:val="111111"/>
          <w:sz w:val="28"/>
          <w:sz w:val="28"/>
          <w:szCs w:val="28"/>
          <w:rtl w:val="true"/>
          <w:lang w:bidi="ar-SA"/>
        </w:rPr>
        <w:t xml:space="preserve">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الأمور المعتبرة فيها من الترتيب، والموالاة، وتعلقها بالأعضاء المخصوصة، وو</w:t>
      </w:r>
    </w:p>
    <w:p>
      <w:pPr>
        <w:pStyle w:val="BookText"/>
        <w:rPr/>
      </w:pPr>
      <w:r>
        <w:rPr>
          <w:rFonts w:ascii="Amiri" w:hAnsi="Amiri" w:eastAsia="Amiri" w:cs="Amiri"/>
          <w:color w:val="111111"/>
          <w:sz w:val="28"/>
          <w:sz w:val="28"/>
          <w:szCs w:val="28"/>
          <w:rtl w:val="true"/>
          <w:lang w:bidi="ar-SA"/>
        </w:rPr>
        <w:t xml:space="preserve">قوعها على الوجه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مطلق الغَسْل والمسح جزءاً لها وإنما الجزء هو أحد الثلاثة، ولم يُعبر به المصنف كما فعلغيره، وعلى تقديره فعدم ذاتيته ممنوع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رسم لاشتماله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أنهيريد به العلل الأربع كما هو المعتاد ذكره في التعاريف الكاملة، وهي موجودة هاهنا بعضها بالتصريح وبعضها بالالتزام لكن دلالتها على الرسم التام ظاهر الفساد، إذ قد يجامع الحدّ ولا يجامع الرسم التام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بالأربع الغَسْل والمشح وكونه متعلقاً بالبدن، وكونه له صلاحية التأثير في العبادة، ويريد أنّ هذه الأربع تجتمع منها خاصة مركبة تختص بالطهارة وإن كان كلُّ واحد منها غير مختص وهذا مع كونه خلاف ظاهر إطلاق الأربع فيه أنّ الخاصة المركبة إنّما يحصل بها الرسم الناقص لا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الخاصة المركبة سواء تركبت من الأربع أو دونها، فلا وجه للتعليل بالأربع إلا بيان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أخيراً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وعلة الشيء لا يكون نفسه غير مرتبط بالمقام إلا بتكلف يحتاج تحريره إلى بسط في الكلام ومعه لا يتمُّ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والكَوْن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الجرّ بالنسق على ما قبله، فيكون في قوة يُستحبُّ الوضوء للكَوْن على طهارة وهو مشعر بجعل الكون على طهارة غايةً، وهو مستنكر؛ لتثليث غاية الوضوء؛ إذ هي الرفع أو الاستباحة، والكَوْن على طهارة لم يقل به أحد، وليس ذلك مستلزماً لهما؛ لوجوده حال الغفلة عنهما وعن كلّ واحد منهما، وظاهر أنّه ليس عين أحدهما، ولأنّ الكون على طهارة هنا هو الكون على وضوء، فيكون في قوة يستحبُّ الوضوء للكَوْن على وضوء، وظاهر 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ويُقرأ بالرفع، وفيه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معطوف على 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مناقشة؛ لأنّه في قوّة يستحبُّ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الكون على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رائحة التكرار وحاصله يستحبُّ الوضوء والوضوء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يرفع على أنه محذوف الخبر، أي والكون على طهارة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قائم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تلك الأسباب مشخّصة لذلك الوضوء، فكأنّها محصلة لما شدّ من أسباب الوضوء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 في الوجهين معاً ولا تكرار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في قوة يستحبُّ الوضوء للكون على طهارة، وهو مشعر بجعل الكون على طهارة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الغاية تستلزم الإباحة، فلا يلزم التثليث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انحصار الغاية في الأمرين، فإنّ غاية الوضوء الذي لا يرفع الحَدَث ولا يبيح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كوضوء المحتلم للنوم والجماع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أحد الأمرين، بل الوضوء لما يباح بدونه غايته إيقاع الفعل على وجه أكمل منه بدونه، وهو في التحقيق أمر آخر غير الإباحة وإن تجوّز بعضهم </w:t>
      </w:r>
      <w:r>
        <w:rPr>
          <w:rStyle w:val="FootnoteAnchor"/>
          <w:rtl w:val="true"/>
        </w:rPr>
        <w:footnoteReference w:id="59"/>
      </w:r>
      <w:r>
        <w:rPr>
          <w:rFonts w:ascii="Amiri" w:hAnsi="Amiri" w:eastAsia="Amiri" w:cs="Amiri"/>
          <w:color w:val="111111"/>
          <w:sz w:val="28"/>
          <w:sz w:val="28"/>
          <w:szCs w:val="28"/>
          <w:rtl w:val="true"/>
          <w:lang w:bidi="ar-SA"/>
        </w:rPr>
        <w:t>في ردّه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الكَوْن على طهارة هنا هو الكون على وضوء، فيكون في قوّة يستحبُّ الوضوء للكَوْن على وضوء، وظاهر فَساده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تأمّلناه فلم نجده ظاهراً ولا واقعاً؛ لأنّ معنى الكَوْن على طهارة البقاء على حكمها، فيكون في قوة يستحبُّ الوضوء ليكون باقياً على حكمه، وهذا أمر غير الوضوء كما ادعاه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 في قراءة الرفع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قوة يستحبُّ الوضوء ويستحبُّ الكَوْن على طهارة، وفيه رائحة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مندفع بأنّ استحباب الوضوء أوّلاً ليس مطلقاً كما ذكر؛ بل المراد أنه يستحبُّ الوضوء لمندوبي الصلاة والطواف وباقي الغايات ويستحبُّ الكَوْن على طهارة وهي غاية أُخرى مغايرة لتلك، فلا تكرار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حاصله أنه يستحبُّ الوضوء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ليس كذلك، بل يستحبُّ الوضوء لتلك الأمور، ويستحبُّ الوضوء لهذا،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أن يرفع على أنه محذوف الخبر، أي والكون على طهارة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تقدّم بعينه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فلا وجه للأولوية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لأنّ تلك الأسباب مشخّصة لذلك الوضوء، وما خرج عنها مشخص لهذا الوضوء، فكأنّها محصلة لما شدَّ من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الجواب بعينه دافع لما أورده سابقاً، ولا وجه لتصحيحه ما اختاره دون مارده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غريب ما اتفق لهذا الفاضل المحقق من الكلام غير المنقح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والغُسل يجب لما وجب له الوضوء، ولدخول المساجد، وقراءة العزائم إن 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ولصّوم الجُنُب مع تضيق الليل إلا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غُسْل الجنابة واجب لغيره، والمصنف لا يقول به؛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دلالة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القائل بأنّ غُسْل الجنابة واجب لنفسه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واجب موسع، وقد يتضيّق بتضيق عبادة واجبة مشروطة به، كذلك هاهنا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يجد بين إيجابه لنفسه ولغيره منافاة، وأنّها لا تندفع إلا بتكلُّف عدم إيجابه لغيره بوجه حتى حمله ذلك على حمل وجوب الغسل للصَوْم على تضيّق وقت وجوبه بتضيّق عبادة مشروطة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 لا منافاة بين الحكم بوجوبه لنفسه ووجوبه لغيره، فإنّ مرجع ذلك إلى تعدد الأسباب وهو غير قادح كنظائره من أسباب الغُسل وغيره، فإنّ مَن يوجبه لنفسه يجعل وجود الحَدَث سبباً لوجوب الغُسل من جملة أسبابه، ويجوز مع ذلك أن يجعل وجوب عبادة مشروطة من جملة الأسباب، كالصلاة والصوم ودخول المسجدين وغيرها، فإنّ أسباب الشرع معرفات لا يضر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الظاهر من جعله واجباً لتلك الأُمور المذكورة، فإنّ اللام ظاهرة في العلية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لتخصيص الإشكال بالصَوْم إلا من حيث التصريح فيه بغُسل الجنابة، وإطلاق الغُسل السابق المحتمل لإرادة غيره، والخلاف في وجوب الغُسل لنفسه مختص بغُسْل الجنابة من أغسال الأحياء وممّا يدلُّ على جواز تعدُّد الأسباب، وعدم المنافاة أنّ تلك الغايات إذا كانتْ مشروطة بالغُسْل ووجوب بعضها كالصلاة والصوم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شرطه واجباً لأجله، كما هو محقق في الأصول، فلا وجه وجه للعدول عن هذا الأصل من غير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وجوبه حينئذٍ لنفسه أنه بوجود الحَدَث يجب وجوباً موسعاً إلى أن يتعلَّق بالذمة عبادةً واجبةً مشروطةً به فيتعدد السبب بتعدُّده، كما لو وجب الغُسْل بالجنابة، ثمّ تجدَّد حَيْض ومسّ ميّت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وقوع الجنابة في وقت العبادة المشروطة به، اجتمعت الأسباب ابتداءً ويبقى الوجوب موسعاً أيضاً إلى أن يتضيَّق وقت العبادة المشروطة به فيتضيّق الوجوب بسبب ذلك</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الفائدة في نية الوجوب بعد حصول الحَدَث وقبل وقت العبادة، فإنه يتحقق وإن كان موشعاً فينوي فيه الوجوب، وفى نية الاستباحة فإنّها قبل التكليف بما يستباح بها لا تعتبر نيتها فيه لعدم الموجب لأنّ وجوب الغُسْل حينئذ للحدث لا لإباحة شيء، </w:t>
      </w:r>
    </w:p>
    <w:p>
      <w:pPr>
        <w:pStyle w:val="BookText"/>
        <w:rPr/>
      </w:pPr>
      <w:r>
        <w:rPr>
          <w:rFonts w:ascii="Amiri" w:hAnsi="Amiri" w:eastAsia="Amiri" w:cs="Amiri"/>
          <w:color w:val="111111"/>
          <w:sz w:val="28"/>
          <w:sz w:val="28"/>
          <w:szCs w:val="28"/>
          <w:rtl w:val="true"/>
          <w:lang w:bidi="ar-SA"/>
        </w:rPr>
        <w:t xml:space="preserve">فإذا دخل وقت عبادة مشروطة به أو تحقق وجوبها أو ما في معناه كتضيق الليل إلا لفعله بالنسبة إلى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تجدّد له سبب آخر يقتضي الاستباحة، فتعتبر نيتها حينئذ؛ لأجل السبب الطاري عند من يعتبر الاستباحة حينئذ، ولا يعد في اختلاف خواص الأسباب، فإنه يتحقق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التحقيق يمكن الجمع بين الأدلة الدالة على وجوبه لنفسه؛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الماء من الماء</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التقى الختانان وجب الغسل</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ونحوهما، والدالة على وجوبه لغيره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الصَّلَوَةِ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جُنُبا فَاطَّهَّرُوا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وغيره المقتضي لوجوبه لأجل الصلاة، فإنّ غايته تعدد الأسباب وأمرها واقع سهل، وإن كان التحقيق يقتضي وجوبه لغيره، وحمل الأدلة المطلقة المؤذنة بوجوبه لنفسه على ما يدفع المنافاة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ولدخول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تقييده بالمسجدين أو بدخول يستلزم اللبث، وإلّالم يكن الدخول من غايا وجوب الغُسْل ويستثنى من ذلك غُسل المَس، فلا يمنع دخول المساجد قبله وكذا قراءة العزائم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ولصَوْمِ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ولصَوْمِ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صَوْم الماس ليس كذلك وهو كذلك فيصح بدون الغُسْل؛ للأصل، ويلحق بالمستحاضة الحائض المنقطعة والنفساء كذلك فلا يصحُ صَوْمها بدون الغُسل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تقييد الصَوْم فيهما بكونه واجباً وإلا كان الغُسْل شرطاً لا واجباً كغيره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ولصّوْمِ المُستحاضة مع غَمْسِ القُطْنَةِ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التقييد بالغَمْسِ يُدخل حالتها الوسطى ويُخرج حالتها الدنيا، وليس الحكم مع </w:t>
      </w:r>
    </w:p>
    <w:p>
      <w:pPr>
        <w:pStyle w:val="BookText"/>
        <w:rPr/>
      </w:pPr>
      <w:r>
        <w:rPr>
          <w:rFonts w:ascii="Amiri" w:hAnsi="Amiri" w:eastAsia="Amiri" w:cs="Amiri"/>
          <w:color w:val="111111"/>
          <w:sz w:val="28"/>
          <w:sz w:val="28"/>
          <w:szCs w:val="28"/>
          <w:rtl w:val="true"/>
          <w:lang w:bidi="ar-SA"/>
        </w:rPr>
        <w:t xml:space="preserve">الغَمْسِ على إطلاقه، بل مقيَّد بما كان منه قبل صلاة الفجر وإن كان حدوثه بعد الفجر، أو بما كان معه سيلان وإن لم يستمر إلى وقت الظهرين أو العشاءين على الأقوى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انقطع المتوسط الحادث بعد العشاءين أو قل قبل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حصل أحدهما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بمنزلة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مقيَّد بقبليّة الفجر أو السيلان، وليس بجيّدٍ إلّا أن يحمل الفجر على صلاته تجوّزاً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تداخل وإن انضمّ إليها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التداخل مطلقاً وخصوصاً مع انضمام الواجب إليها؛ للنص ،</w:t>
      </w:r>
      <w:r>
        <w:rPr>
          <w:rStyle w:val="FootnoteAnchor"/>
          <w:rtl w:val="true"/>
        </w:rPr>
        <w:footnoteReference w:id="64"/>
      </w:r>
      <w:r>
        <w:rPr>
          <w:rFonts w:ascii="Amiri" w:hAnsi="Amiri" w:eastAsia="Amiri" w:cs="Amiri"/>
          <w:color w:val="111111"/>
          <w:sz w:val="28"/>
          <w:sz w:val="28"/>
          <w:szCs w:val="28"/>
          <w:rtl w:val="true"/>
          <w:lang w:bidi="ar-SA"/>
        </w:rPr>
        <w:t>وكذا تتداخل أسباب الوضوء مطلقاً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ويقدّم ما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يستثنى من ذلك غُسْل تارك الكسوف بالقيدين وغسل السعي إلى رؤية المصلوب، وغُسْل التوبة، وغُسْل قتل الوزغ، واعتذر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الغاية، أي يقدّم ما غايته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المذكورات أسباب لاستحباب الغُسْل وعلّة فاعلية له لا غايات مقدّم عليه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النسخ المقروءة على المصنف استثناء التوبة، وهو ينافي هذا الاعتذار أنه ليس في الكلام ما يدلُّ عليه، فإنّ الكلام إنما يدلُّ على مجرد التعليل، وتخصيص بعض العلل يحتاج إلى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ما يستحبُّ للمكان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يستحبُّ لدخوله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والتيمُّمُ يجب للصلاة والطوافِ الواجبَيْنِ، ولخروج الجُنُبِ من المسجدين، والمندوب ما عداه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الأجود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لما تجب له الطهارتان عند تعذرهما، ويزيد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الجُنُب إلى آخره ليدخل فيه قراءة العزائم، ومَس خط المصحف، والصوم حيث يجب، ولو لا ذلك لدخل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والمندوب ما عداه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ولخروج الجُنُبِ من المسجدَيْنِ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الأقوى تقييده بتعذر الغُسل في المسجد بحيث لا يستلزم تنجيسه ولاقطع جزء منه بغیر غسل، وحينئذٍ فلا يختصّ الجُنُب بذلك، ولا فرق بين المحتلم فيه وغيره، ولابين الداخل جنباً عامداً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النصّ</w:t>
      </w:r>
      <w:r>
        <w:rPr>
          <w:rStyle w:val="FootnoteAnchor"/>
          <w:rtl w:val="true"/>
        </w:rPr>
        <w:footnoteReference w:id="66"/>
      </w:r>
      <w:r>
        <w:rPr>
          <w:rFonts w:ascii="Amiri" w:hAnsi="Amiri" w:eastAsia="Amiri" w:cs="Amiri"/>
          <w:color w:val="111111"/>
          <w:sz w:val="28"/>
          <w:sz w:val="28"/>
          <w:szCs w:val="28"/>
          <w:rtl w:val="true"/>
          <w:lang w:bidi="ar-SA"/>
        </w:rPr>
        <w:t>بالتيمم مع ضعفه محمول على الغالب</w:t>
      </w:r>
      <w:r>
        <w:rPr>
          <w:rFonts w:eastAsia="Amiri" w:cs="Amiri" w:ascii="Amiri" w:hAnsi="Amiri"/>
          <w:color w:val="111111"/>
          <w:sz w:val="28"/>
          <w:szCs w:val="28"/>
          <w:rtl w:val="true"/>
          <w:lang w:bidi="ar-SA"/>
        </w:rPr>
        <w:t xml:space="preserve">. </w:t>
      </w:r>
      <w:bookmarkStart w:id="22" w:name="pg10189_115894"/>
    </w:p>
    <w:p>
      <w:pPr>
        <w:pStyle w:val="Heading5"/>
        <w:numPr>
          <w:ilvl w:val="4"/>
          <w:numId w:val="1"/>
        </w:numPr>
        <w:rPr/>
      </w:pPr>
      <w:bookmarkStart w:id="23" w:name="__RefHeading___Toc2156336_1067777946"/>
      <w:bookmarkStart w:id="24" w:name="_Toc9"/>
      <w:bookmarkEnd w:id="22"/>
      <w:bookmarkEnd w:id="23"/>
      <w:r>
        <w:rPr>
          <w:rtl w:val="true"/>
        </w:rPr>
        <w:t xml:space="preserve">[ </w:t>
      </w:r>
      <w:r>
        <w:rPr>
          <w:rtl w:val="true"/>
        </w:rPr>
        <w:t>الفصل الثاني في أسبابها</w:t>
      </w:r>
      <w:r>
        <w:rPr>
          <w:rtl w:val="true"/>
        </w:rPr>
        <w:t>]</w:t>
      </w:r>
      <w:bookmarkEnd w:id="2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 في 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عبارات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تبيَّن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وبينه وبين الناقض عموم من وجه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من حيث اللفظ عود ضمير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السبب والمناسب من حيث المعنى عوده إلى الموجب؛ لأنّ السبب أعمُّ منهما معاً مطلقاً؛ لأن الأحداث المذكورة أسباب حيث وقعت، وإن تخلف المسبب عنها في بعض الأحيان لفقد شرط كالصغر أو وجود مانع كالحَيْض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غير قادح في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ففي عبارته حَزازةٌ وإخلال غير جيّد؛ لأنّه على الأوّل يكون مُخِلّاً بذكر النسبة بين السبب والناقض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تمام الحاشية يؤكد الأوّل؛ لأنه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والموجب أخص من السبب مطلقاً، وبينه وبين الناقض عموم من وجه</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المعتاد وغيره مع اعتياده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بالمعتاد المخرج الطبيعي، ووصفه بالاعتياد باعتبار خلق مثله لخروج ذلك عادة، وتحقق السببية بخروج أحدهما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يتكرّر على وجه يصير معتاداً، و المراد باعتياد غيره تكرّر الخروج منه على وجه يثبت ذلك عادةً، وإنما يعتبر ذلك مع عدم انسداد الطبيعي وإلا كان كالطبيعي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والاستحاضة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حاشية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إيراد لغيره على الحصر في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إن أراد الموجب للوضوء ليس إلا، فكان ينبغي ذكر القليلة وأحد قسمي المتوسطة، وإن أراد الموجب للوضوء في الجملة، فكان ينبغي أن يذكر الموجبات الأحد عشر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مراده الأوّل، ولا يفتقر إلى ذكر أحد قسمي المتوسطة وهو فيما عدا الصبح؛ لأنّ المتوسطة موجبة للغسل في الجملة فكانت من أسباب الغُسل وقد ذكرها فيها، وإيجابها للوضوء خاصةً في بعض الأحوال كإيجاب الكثيرة له أيضاً كذلك في العصر والعشاء، ولم يتعرّض لها حينئذٍ والحكم واحد وهو أنهما يوجبان الغُسْل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وللتفصيل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والمستصحب للنواقض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كالدود المتلطّخ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النقض إليه مجاز باعتبار المجاور، وإلا فالناقض حقيقة هو الحدث الخارج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ذات عظم منه إنْ أُبينَتْ من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بذات العظم ما اشتملت عليه وعلى غيره؛ ليحصل الفرق بين المصاحب والمصاحب المستفاد من 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منه أنّ العظم المجرّد لا يجب بمسه الغُسْل وهو كذلك على الأقوى خلافاً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حيث أوجبه له بالدوران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أُبينت من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حكمه بأنّها أبينت من الميت منافرة ظاهرة، ولو حذف استقام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الأمواتِ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معطوف على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الغُسْل، أي ويجبُ غُسل الأمواتِ أو مبتدأ محذوف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لقطعه عن الأسباب السابقة،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كان أجود والمراد مَوْت المسلم ومن بحكمه غير الشهيد ومَن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انضم الوضوء فإشكال ونيّة الاستباحة أقوى إشكالاً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الإشكال في عدم الإجزاء، فتكون قوَّة الإشكال فيه أيضاً فيضعف الإشكال في جانب الإجزاء ووجه الضعف أن نيّة الاستباحة تقتضي نية رفع الجميع، إذ لا تحصل بدونه فيحصل ما نواه؛ للخبر </w:t>
      </w:r>
      <w:r>
        <w:rPr>
          <w:rStyle w:val="FootnoteAnchor"/>
          <w:rtl w:val="true"/>
        </w:rPr>
        <w:footnoteReference w:id="72"/>
      </w:r>
      <w:r>
        <w:rPr>
          <w:rFonts w:ascii="IRNazanin" w:hAnsi="IRNazanin" w:eastAsia="IRNazanin"/>
          <w:color w:val="111111"/>
          <w:sz w:val="28"/>
          <w:sz w:val="28"/>
          <w:szCs w:val="28"/>
          <w:rtl w:val="true"/>
          <w:lang w:bidi="fa-IR"/>
        </w:rPr>
        <w:t>، ومثله ما لو نوى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والأقوى الإجزاء مطلقاً</w:t>
      </w:r>
      <w:r>
        <w:rPr>
          <w:rFonts w:eastAsia="IRNazanin" w:cs="IRNazanin"/>
          <w:color w:val="111111"/>
          <w:sz w:val="28"/>
          <w:szCs w:val="28"/>
          <w:rtl w:val="true"/>
          <w:lang w:bidi="fa-IR"/>
        </w:rPr>
        <w:t xml:space="preserve">. </w:t>
      </w:r>
      <w:bookmarkStart w:id="25" w:name="pg10189_115897"/>
    </w:p>
    <w:p>
      <w:pPr>
        <w:pStyle w:val="Heading5"/>
        <w:numPr>
          <w:ilvl w:val="4"/>
          <w:numId w:val="1"/>
        </w:numPr>
        <w:rPr/>
      </w:pPr>
      <w:bookmarkStart w:id="26" w:name="__RefHeading___Toc2156338_1067777946"/>
      <w:bookmarkStart w:id="27" w:name="_Toc10"/>
      <w:bookmarkEnd w:id="25"/>
      <w:bookmarkEnd w:id="26"/>
      <w:r>
        <w:rPr>
          <w:rtl w:val="true"/>
        </w:rPr>
        <w:t xml:space="preserve">[ </w:t>
      </w:r>
      <w:r>
        <w:rPr>
          <w:rtl w:val="true"/>
        </w:rPr>
        <w:t>الفصل الثالث في آداب الخلوة وكيفية الاستنجاء</w:t>
      </w:r>
      <w:r>
        <w:rPr>
          <w:rtl w:val="true"/>
        </w:rPr>
        <w:t>]</w:t>
      </w:r>
      <w:bookmarkEnd w:id="27"/>
    </w:p>
    <w:p>
      <w:pPr>
        <w:pStyle w:val="BookText"/>
        <w:rPr/>
      </w:pP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وأقله مثلاه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الأقوى وجوب غَسْله مرتين وكذا في غير الاستنجاء؛ للنصوص الكثيرة الدالة عليه </w:t>
      </w:r>
      <w:r>
        <w:rPr>
          <w:rStyle w:val="FootnoteAnchor"/>
          <w:rtl w:val="true"/>
        </w:rPr>
        <w:footnoteReference w:id="73"/>
      </w:r>
      <w:r>
        <w:rPr>
          <w:rFonts w:ascii="Amiri" w:hAnsi="Amiri" w:eastAsia="Amiri" w:cs="Amiri"/>
          <w:color w:val="111111"/>
          <w:sz w:val="28"/>
          <w:sz w:val="28"/>
          <w:szCs w:val="28"/>
          <w:rtl w:val="true"/>
          <w:lang w:bidi="ar-SA"/>
        </w:rPr>
        <w:t>، ولعلّ المِثلين كناية عن الغَسْلتين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ذو الجهات الثلاث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اشتراط تعدّده منفصلاً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المستعمل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يُجْزِئُ مع طهارته، كالمكمّل للعدد حيث يحصل النقاء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فُصُّه من حَجَر زمزم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ورد في رواية </w:t>
      </w:r>
      <w:r>
        <w:rPr>
          <w:rStyle w:val="FootnoteAnchor"/>
          <w:rtl w:val="true"/>
        </w:rPr>
        <w:footnoteReference w:id="74"/>
      </w:r>
      <w:r>
        <w:rPr>
          <w:rFonts w:ascii="Amiri" w:hAnsi="Amiri" w:eastAsia="Amiri" w:cs="Amiri"/>
          <w:color w:val="111111"/>
          <w:sz w:val="28"/>
          <w:sz w:val="28"/>
          <w:szCs w:val="28"/>
          <w:rtl w:val="true"/>
          <w:lang w:bidi="ar-SA"/>
        </w:rPr>
        <w:t xml:space="preserve">مقطوعة مجهولة السند، ومع ذلك فيه إشكال، من حيث أنّ زمزم من جملة المسجد فلا يجوز أخذ الحصى منه كباقيه، وحمله على الوقوع لا الجواز أبعد، واستثناء أخذ الفص للتبرك أشدّ بُعداً؛ فإنّ ذلك لا يكفي في معارضة ما وقع </w:t>
      </w:r>
    </w:p>
    <w:p>
      <w:pPr>
        <w:pStyle w:val="BookText"/>
        <w:rPr/>
      </w:pPr>
      <w:r>
        <w:rPr>
          <w:rFonts w:ascii="Amiri" w:hAnsi="Amiri" w:eastAsia="Amiri" w:cs="Amiri"/>
          <w:color w:val="111111"/>
          <w:sz w:val="28"/>
          <w:sz w:val="28"/>
          <w:szCs w:val="28"/>
          <w:rtl w:val="true"/>
          <w:lang w:bidi="ar-SA"/>
        </w:rPr>
        <w:t>الاتفاق عليه من المنع من أخذ الحصى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تقريبه بما يخرج من البئر على وجه الإصلاح، فإنّه لا يعدُّ جُزءاً منه كالقُمامة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ألفاظ الرواية بالسند بعينه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زمرد، وهو الأنسب، ولعلّ الأوّل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أنّ التيمُّم إن كان لعذر لا يمكن زواله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القيد بعد إمكان زوال العذر إنما يحتاج إليه؛ لإطلاق الحكم الأوّل، أعني جواز الوضوء قبل الاستنجاء، فإنّه يشمل صورتي سعة الوقت وضيقه؛ ولما كان التيمم قبل الاستنجاء جائزاً مع ضيق الوقت عند الكلّ، أمّا مع سعته فإنه يبني على وقت التيمُّم وكان التفصيل عنده قويّاً قيد السعة به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الحمل إنّما يتوجّه لو تمّ له اتفاق الكلّ على جواز التيمم قبل الاستنجاء مع ضيق الوقت لينتفي به ما يتبادر من العبارة وهو كون المراد أنّ العذر إن كان مرجُو الزوال لم يصح التيمم قبل الاستنجاء، ويلزمه حينئذٍ أنّ القائل باعتبار الضيق مطلقاً لا يجوز تقديمه عليه مطلقاً، فإنّ هذا المعني هو المتبادر من العبارة، لكن عدول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عنه يعارض ما ادعاه من الاتفاق على جواز تقديمه عليه مع ضيق الوقت، فكذا مع ما في معناه وهو رجاء زوال العذر عند القائل بالتفصيل، فإذا ثبت هذا لم يمكن حمله على المعنى المتبادر منه الذي ذكرناه ولكنّ هذه الدعوى من الاتفاق غير صحيحة، فقد صرّح جماعة بالخلاف في جواز تقديم التيمم على الاستنجاء مع الضيق</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فمنهم من منعه</w:t>
      </w:r>
      <w:r>
        <w:rPr>
          <w:rStyle w:val="FootnoteAnchor"/>
          <w:rtl w:val="true"/>
        </w:rPr>
        <w:footnoteReference w:id="77"/>
      </w:r>
      <w:r>
        <w:rPr>
          <w:rFonts w:ascii="Amiri" w:hAnsi="Amiri" w:eastAsia="Amiri" w:cs="Amiri"/>
          <w:color w:val="111111"/>
          <w:sz w:val="28"/>
          <w:sz w:val="28"/>
          <w:szCs w:val="28"/>
          <w:rtl w:val="true"/>
          <w:lang w:bidi="ar-SA"/>
        </w:rPr>
        <w:t xml:space="preserve">؛نظراً إلى أنه لا يتحقق الضيق بذلك، حيث إن الوقت يبقى منه </w:t>
      </w:r>
    </w:p>
    <w:p>
      <w:pPr>
        <w:pStyle w:val="BookText"/>
        <w:rPr/>
      </w:pPr>
      <w:r>
        <w:rPr>
          <w:rFonts w:ascii="Amiri" w:hAnsi="Amiri" w:eastAsia="Amiri" w:cs="Amiri"/>
          <w:color w:val="111111"/>
          <w:sz w:val="28"/>
          <w:sz w:val="28"/>
          <w:szCs w:val="28"/>
          <w:rtl w:val="true"/>
          <w:lang w:bidi="ar-SA"/>
        </w:rPr>
        <w:t>ما يزيد على مقدار الصلاة بما يسع إزالة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أجازه </w:t>
      </w:r>
      <w:r>
        <w:rPr>
          <w:rStyle w:val="FootnoteAnchor"/>
          <w:rtl w:val="true"/>
        </w:rPr>
        <w:footnoteReference w:id="78"/>
      </w:r>
      <w:r>
        <w:rPr>
          <w:rFonts w:ascii="Amiri" w:hAnsi="Amiri" w:eastAsia="Amiri" w:cs="Amiri"/>
          <w:color w:val="111111"/>
          <w:sz w:val="28"/>
          <w:sz w:val="28"/>
          <w:szCs w:val="28"/>
          <w:rtl w:val="true"/>
          <w:lang w:bidi="ar-SA"/>
        </w:rPr>
        <w:t>حينئذ؛ نظراً إلى أنّ المراد بضيق الوقت ضيقه عن الصلاة وشرائطها المفتقر إلى تحصيلها ومنها إزالة النجاسة، فيستثنى وقتها مع وقت الصلاة، فلا ينافي الضيق على القول به كغيره من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المصنِّف في التذكرة بهذا المراد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التيمُّم قبل الاستنجاء فعندي إن كان لعذر لا يمكن زواله صح وإلا فلا، ومَنْ شَرَطَ التضيق أبطله ومَن 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على بدنه نجاسة في غير محلّ الفرض فتوضأ قبل إزالتها صح، ولو تيمم فكالاستنجاء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القطع ببطلان التيمُّم قبل الاستنجاء لمن اعتبر الضيق أو قال بالتفصيل حيث يُرجى زوال العذر فكيف يدعى الاتفاق على جواز التيمم قبل الاستنجاء مع الضيق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فحمل كلام المصنف هاهنا على ظاهره موافقاً للتذكرة أولى وكأنّ الحامل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قطع صاحب الشرائع </w:t>
      </w:r>
      <w:r>
        <w:rPr>
          <w:rStyle w:val="FootnoteAnchor"/>
          <w:rtl w:val="true"/>
        </w:rPr>
        <w:footnoteReference w:id="80"/>
      </w:r>
      <w:r>
        <w:rPr>
          <w:rFonts w:ascii="Amiri" w:hAnsi="Amiri" w:eastAsia="Amiri" w:cs="Amiri"/>
          <w:color w:val="111111"/>
          <w:sz w:val="28"/>
          <w:sz w:val="28"/>
          <w:szCs w:val="28"/>
          <w:rtl w:val="true"/>
          <w:lang w:bidi="ar-SA"/>
        </w:rPr>
        <w:t xml:space="preserve">بجواز تقديم التيمُّم على إزالة النجاسة مع ضيق الوقت فبنى عليه العبارة، وليس كذلك، بل حكم صاحب الشرائع مبني على القول الثاني من القولين، وهو المختار عندنا إلا أنه خلاف ما ذهب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القواعد </w:t>
      </w:r>
      <w:r>
        <w:rPr>
          <w:rStyle w:val="FootnoteAnchor"/>
          <w:rtl w:val="true"/>
        </w:rPr>
        <w:footnoteReference w:id="81"/>
      </w:r>
      <w:r>
        <w:rPr>
          <w:rFonts w:ascii="Amiri" w:hAnsi="Amiri" w:eastAsia="Amiri" w:cs="Amiri"/>
          <w:color w:val="111111"/>
          <w:sz w:val="28"/>
          <w:sz w:val="28"/>
          <w:szCs w:val="28"/>
          <w:rtl w:val="true"/>
          <w:lang w:bidi="ar-SA"/>
        </w:rPr>
        <w:t xml:space="preserve">ظاهراً، وفي غيره </w:t>
      </w:r>
      <w:r>
        <w:rPr>
          <w:rStyle w:val="FootnoteAnchor"/>
          <w:rtl w:val="true"/>
        </w:rPr>
        <w:footnoteReference w:id="82"/>
      </w:r>
      <w:r>
        <w:rPr>
          <w:rFonts w:ascii="Amiri" w:hAnsi="Amiri" w:eastAsia="Amiri" w:cs="Amiri"/>
          <w:color w:val="111111"/>
          <w:sz w:val="28"/>
          <w:sz w:val="28"/>
          <w:szCs w:val="28"/>
          <w:rtl w:val="true"/>
          <w:lang w:bidi="ar-SA"/>
        </w:rPr>
        <w:t>صريحاً</w:t>
      </w:r>
      <w:r>
        <w:rPr>
          <w:rFonts w:eastAsia="Amiri" w:cs="Amiri" w:ascii="Amiri" w:hAnsi="Amiri"/>
          <w:color w:val="111111"/>
          <w:sz w:val="28"/>
          <w:szCs w:val="28"/>
          <w:rtl w:val="true"/>
          <w:lang w:bidi="ar-SA"/>
        </w:rPr>
        <w:t xml:space="preserve">. </w:t>
      </w:r>
      <w:bookmarkStart w:id="28" w:name="pg10189_115900"/>
    </w:p>
    <w:p>
      <w:pPr>
        <w:pStyle w:val="Heading4"/>
        <w:numPr>
          <w:ilvl w:val="3"/>
          <w:numId w:val="1"/>
        </w:numPr>
        <w:rPr/>
      </w:pPr>
      <w:bookmarkStart w:id="29" w:name="__RefHeading___Toc2156340_1067777946"/>
      <w:bookmarkStart w:id="30" w:name="_Toc11"/>
      <w:bookmarkEnd w:id="28"/>
      <w:bookmarkEnd w:id="29"/>
      <w:r>
        <w:rPr>
          <w:rtl w:val="true"/>
        </w:rPr>
        <w:t xml:space="preserve">[ </w:t>
      </w:r>
      <w:r>
        <w:rPr>
          <w:rtl w:val="true"/>
        </w:rPr>
        <w:t xml:space="preserve">المقصد الثاني في المياه </w:t>
      </w:r>
      <w:r>
        <w:rPr>
          <w:rtl w:val="true"/>
        </w:rPr>
        <w:t>]</w:t>
      </w:r>
      <w:bookmarkEnd w:id="30"/>
    </w:p>
    <w:p>
      <w:pPr>
        <w:pStyle w:val="Heading5"/>
        <w:numPr>
          <w:ilvl w:val="4"/>
          <w:numId w:val="1"/>
        </w:numPr>
        <w:rPr/>
      </w:pPr>
      <w:bookmarkStart w:id="31" w:name="__RefHeading___Toc2156342_1067777946"/>
      <w:bookmarkStart w:id="32" w:name="_Toc12"/>
      <w:bookmarkEnd w:id="31"/>
      <w:r>
        <w:rPr>
          <w:rtl w:val="true"/>
        </w:rPr>
        <w:t>[</w:t>
      </w:r>
      <w:r>
        <w:rPr>
          <w:rtl w:val="true"/>
        </w:rPr>
        <w:t xml:space="preserve">الفصل الأول في المطلق </w:t>
      </w:r>
      <w:r>
        <w:rPr>
          <w:rtl w:val="true"/>
        </w:rPr>
        <w:t>]</w:t>
      </w:r>
      <w:bookmarkEnd w:id="32"/>
    </w:p>
    <w:p>
      <w:pPr>
        <w:pStyle w:val="BookText"/>
        <w:rPr/>
      </w:pP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المطهِّر من الحَدَثِ والخَبَثِ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أنّ الماء المطلق مطهر خاصةً منهما،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للحصر المستفاد من حصر المبتدأ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المبتدأ في الخبر على تقدير تسليمه إنّما يفيد انحصار الماء المطلق في المطهر لا انحصار المطهر في الذي هو المقصود، فإنّه إنما يتم مع حصر الخبر في المبتدأ وهو غير متحقق كما لا يخفى، وإنما التحقيق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مفيدة لحصر الخبر في المبتدأ الذي لم يدلّ عليه دليل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من حصر المبتدأ في الخبر الذي هو مقتضي الجملة،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المفيدة لحصر المطهر فيه، انحصارُ كلّ من المبتدأ والخبر في صاحبه،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التأكيد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فأقسامه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الأقسام حينئذٍ ثلاثة جارٍ على مذهب المشهور من عدم اعتبار كرية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مذهب المصنّف فكان الأولى تثنية القسمة؛ لأنّ الجاري عنده كالواقف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جعلها ثلاثة باعتبار الخلاف فيه أمكن جعله أربعة باعتبار الخلاف في الأواني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هي مدار الطهورية وزوالها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المدار ترتُّب الشيء على الشيء الذي له صلوح العلية</w:t>
      </w:r>
      <w:r>
        <w:rPr>
          <w:rFonts w:eastAsia="Amiri" w:cs="Amiri" w:ascii="Amiri" w:hAnsi="Amiri"/>
          <w:color w:val="111111"/>
          <w:sz w:val="28"/>
          <w:szCs w:val="28"/>
          <w:rtl w:val="true"/>
          <w:lang w:bidi="ar-SA"/>
        </w:rPr>
        <w:t xml:space="preserve">... » </w:t>
      </w:r>
      <w:r>
        <w:rPr>
          <w:rStyle w:val="FootnoteAnchor"/>
          <w:rtl w:val="true"/>
        </w:rPr>
        <w:footnoteReference w:id="85"/>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ما ذكره تعريف للدوران لا للمدار، فإنّ المدار في عرف أهل المناظرة هو الشيء المرتب عليه شيء آخر على وجه يكون للأوّل أعني المرتب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صلوح العلية في الثاني ويختصّ الثاني باسم 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الدوران ينقسم ثلاثة أقسام؛ لأنّ الترتب المذكور إمّا أنْ يكون وجوداً لا عدماً، أو بالعكس، أو معاً</w:t>
      </w:r>
    </w:p>
    <w:p>
      <w:pPr>
        <w:pStyle w:val="BookText"/>
        <w:rPr/>
      </w:pPr>
      <w:r>
        <w:rPr>
          <w:rFonts w:ascii="Amiri" w:hAnsi="Amiri" w:eastAsia="Amiri" w:cs="Amiri"/>
          <w:color w:val="111111"/>
          <w:sz w:val="28"/>
          <w:sz w:val="28"/>
          <w:szCs w:val="28"/>
          <w:rtl w:val="true"/>
          <w:lang w:bidi="ar-SA"/>
        </w:rPr>
        <w:t>فالأوّل كترتب الملك على البيع، فإنّ وجوده مرتب على وجود البيع، ولا يلزم من عدم البيع عدمه لجواز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كالطهارة بالنسبة إلى جواز الصلاة، فإنّ عدمها مستلزم لعدمه، ووجودها قد لا يستلزم وجوده؛ لفقد شرط آخر أو 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كوجوب الرجم بزني المحصن، والأوصاف المذكورة من هذا القسم، وهو عمدة الباب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أيضاً أنّ في عبارة الكتاب تكلُّفاً؛ لأن تغير الأوصاف الثلاثة بالنجاسة إنما يكون مداراً للطهورية، وزوالها أن لو كان للماء المطلق رائحة ولون مخصوص وطعم كذلك، وظاهر عدم اشتراط ذلك، بل عدم وجوده غالباً، وإنّما المراد أنّ الماء إذا اتصف </w:t>
      </w:r>
    </w:p>
    <w:p>
      <w:pPr>
        <w:pStyle w:val="BookText"/>
        <w:rPr/>
      </w:pPr>
      <w:r>
        <w:rPr>
          <w:rFonts w:ascii="Amiri" w:hAnsi="Amiri" w:eastAsia="Amiri" w:cs="Amiri"/>
          <w:color w:val="111111"/>
          <w:sz w:val="28"/>
          <w:sz w:val="28"/>
          <w:szCs w:val="28"/>
          <w:rtl w:val="true"/>
          <w:lang w:bidi="ar-SA"/>
        </w:rPr>
        <w:t xml:space="preserve">بإحدى صفات النَجاسة الثلاثة حكم بتنجيسه، وإن لم يتصف بها أو بأحدها كان طاهراً على أصله سواء اتصف بصفة أُخرى أم لا، فعلى هذا يكون الاتصاف بأوصاف النجاسة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النّجاسة وزوالها لا الطهورية إلا بنوع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جعل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الطهارة </w:t>
      </w:r>
      <w:r>
        <w:rPr>
          <w:rStyle w:val="FootnoteAnchor"/>
          <w:rtl w:val="true"/>
        </w:rPr>
        <w:footnoteReference w:id="86"/>
      </w:r>
      <w:r>
        <w:rPr>
          <w:rFonts w:ascii="Amiri" w:hAnsi="Amiri" w:eastAsia="Amiri" w:cs="Amiri"/>
          <w:color w:val="111111"/>
          <w:sz w:val="28"/>
          <w:sz w:val="28"/>
          <w:szCs w:val="28"/>
          <w:rtl w:val="true"/>
          <w:lang w:bidi="ar-SA"/>
        </w:rPr>
        <w:t>واقتصر ، وهو أشدُّ َتكلُّفاً، وحمل رائحة الماء على سلامته من رائحة مكتسبة وإن لم يكن له في أصله رائحة تجوّز آخر؛ لأنّ الرائحة المحكوم بها عرض لا بدّ لفرضه بطريق الحقيقة من 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تغيّر بعضُه نجس دون ما قبله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إنّما يتمّ لو كان كُرّاً، فإذا نقص نجس أيضاً وإن كان المجموع كُرّاً إن اعتبرنا الكريَّة في الماءالجاري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التعقيب حق لكنَّه ليس بمجرد، فإنّ المعتبر في عدم نجاسة ما بعده أحد الأمرين كونه كُرّاً، أو عدم قطع المتغيّر عمود الماء ليبقى الاتصال بين ما قبل المتغيّر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المجموع كُراً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 كما ينبه عليه في آخر الحاشية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ويلزمه اعتبار الكرّيّة في ماء المطر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حق بالنسبة إلى إطلاق العبارة، والذي تقتضيه عبارة المصنف أنه جرى في هذه الأحكام على مذهب الأصحاب لاعلى مذهبه، وأخذ عبارتهم في عدة مسائل ولكن حيث اعتبر كرّية الجاري فمراده أنّ ماء المطر كالجاري مع كونه كرّاً وإن نَقَصَ ماء المطر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وجه للتخصيص بالجاري؛ لأنّ الماء مطلقاً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يتوجه سؤال اعتبار الكرّ في الجاري دون المطر</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المائين فرق من حيث النصوص</w:t>
      </w:r>
      <w:r>
        <w:rPr>
          <w:rStyle w:val="FootnoteAnchor"/>
          <w:rtl w:val="true"/>
        </w:rPr>
        <w:footnoteReference w:id="92"/>
      </w:r>
      <w:r>
        <w:rPr>
          <w:rFonts w:ascii="Amiri" w:hAnsi="Amiri" w:eastAsia="Amiri" w:cs="Amiri"/>
          <w:color w:val="111111"/>
          <w:sz w:val="28"/>
          <w:sz w:val="28"/>
          <w:szCs w:val="28"/>
          <w:rtl w:val="true"/>
          <w:lang w:bidi="ar-SA"/>
        </w:rPr>
        <w:t xml:space="preserve">؛ فإنّ مَنْ لم يعتبر كرّية الجاري استدل عليه بما ورد من نفي البأس عن البؤل في الجاري </w:t>
      </w:r>
      <w:r>
        <w:rPr>
          <w:rStyle w:val="FootnoteAnchor"/>
          <w:rtl w:val="true"/>
        </w:rPr>
        <w:footnoteReference w:id="93"/>
      </w:r>
      <w:r>
        <w:rPr>
          <w:rFonts w:ascii="Amiri" w:hAnsi="Amiri" w:eastAsia="Amiri" w:cs="Amiri"/>
          <w:color w:val="111111"/>
          <w:sz w:val="28"/>
          <w:sz w:val="28"/>
          <w:szCs w:val="28"/>
          <w:rtl w:val="true"/>
          <w:lang w:bidi="ar-SA"/>
        </w:rPr>
        <w:t xml:space="preserve">، كما ذكره الشيخ </w:t>
      </w:r>
      <w:r>
        <w:rPr>
          <w:rStyle w:val="FootnoteAnchor"/>
          <w:rtl w:val="true"/>
        </w:rPr>
        <w:footnoteReference w:id="94"/>
      </w:r>
      <w:r>
        <w:rPr>
          <w:rFonts w:ascii="Amiri" w:hAnsi="Amiri" w:eastAsia="Amiri" w:cs="Amiri"/>
          <w:color w:val="111111"/>
          <w:sz w:val="28"/>
          <w:sz w:val="28"/>
          <w:szCs w:val="28"/>
          <w:rtl w:val="true"/>
          <w:lang w:bidi="ar-SA"/>
        </w:rPr>
        <w:t xml:space="preserve">، والجماعة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التحقيق لا يدل على مطلوبهم، فلا يخصص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كُرّاً لم ينجسه شيء</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الدال بمفهوم شرطه على انفعاله لو كان دون الكُرّ مطلقاً، بخلاف ماء المطر فإن النصوص </w:t>
      </w:r>
      <w:r>
        <w:rPr>
          <w:rStyle w:val="FootnoteAnchor"/>
          <w:rtl w:val="true"/>
        </w:rPr>
        <w:footnoteReference w:id="97"/>
      </w:r>
      <w:r>
        <w:rPr>
          <w:rFonts w:ascii="Amiri" w:hAnsi="Amiri" w:eastAsia="Amiri" w:cs="Amiri"/>
          <w:color w:val="111111"/>
          <w:sz w:val="28"/>
          <w:sz w:val="28"/>
          <w:szCs w:val="28"/>
          <w:rtl w:val="true"/>
          <w:lang w:bidi="ar-SA"/>
        </w:rPr>
        <w:t>الواردة بحكمه مصرحة بعدم انفعاله بالنجاسة مطلقاً، فتكون مخصصةً لذلك العام أو مقيدة لمطلقه، فحصل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وماء الحمام كالجاري إنْ كان له مادّة هي 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الاكتفاء بكون المجموع من المادة وما في الحوض كُرّاً مع تواصلهما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تنجس الحوض قبل اتصال المادة به اعتبر كُرّية المادة وحدها، وحينئذٍ فيُطهّر الحوض باتصاله بها مطلقاً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وافقتِ النّجاسة الجاري في الصفات فالوجه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بنجاسته إنْ كان يتغيَّر بمثلها على تقدير المخالفة، وإلا فلا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اعتبار التغيّر الحسّي خاصةً لا المقدّر ، ولا فرق بين الجاري وغيره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اشتمل الماء على صفة عرضيّة تمنع من ظهور التغير بالواقع من النجاسة باعتبار أوصافه الذاتية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تقديره سليماً من المعارض لا تقديرها بغير الواقعة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اتصل الواقف القليل بالجاري لم ينجس بالملاقاة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التمثيل بالجاري جارٍ على المشهور من عدم اعتبار كُرّيّته، وعلى مذهب المصنّف فالتمثيل بالكثير أولى، ولافرق حينئذ بين تساوي سطحيهما وعدمه على الأقوى، مع صدق الوحدة عليهما عرفاً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باعتبار النّجاسة الطارئة على الواقف القليل، أما لو سبقت على الاتصال اعتبر في طهارته تساوي السطوح أو عُلق الجاري</w:t>
      </w:r>
      <w:r>
        <w:rPr>
          <w:rFonts w:eastAsia="Amiri" w:cs="Amiri" w:ascii="Amiri" w:hAnsi="Amiri"/>
          <w:color w:val="111111"/>
          <w:sz w:val="28"/>
          <w:szCs w:val="28"/>
          <w:rtl w:val="true"/>
          <w:lang w:bidi="ar-SA"/>
        </w:rPr>
        <w:t xml:space="preserve">. </w:t>
      </w:r>
      <w:bookmarkStart w:id="33" w:name="pg10189_115905"/>
    </w:p>
    <w:p>
      <w:pPr>
        <w:pStyle w:val="Heading5"/>
        <w:numPr>
          <w:ilvl w:val="4"/>
          <w:numId w:val="1"/>
        </w:numPr>
        <w:rPr/>
      </w:pPr>
      <w:bookmarkStart w:id="34" w:name="__RefHeading___Toc2156344_1067777946"/>
      <w:bookmarkStart w:id="35" w:name="_Toc13"/>
      <w:bookmarkEnd w:id="33"/>
      <w:bookmarkEnd w:id="34"/>
      <w:r>
        <w:rPr>
          <w:rtl w:val="true"/>
        </w:rPr>
        <w:t xml:space="preserve">[ </w:t>
      </w:r>
      <w:r>
        <w:rPr>
          <w:rtl w:val="true"/>
        </w:rPr>
        <w:t xml:space="preserve">الفصل الثاني في المضاف والأسار </w:t>
      </w:r>
      <w:r>
        <w:rPr>
          <w:rtl w:val="true"/>
        </w:rPr>
        <w:t>]</w:t>
      </w:r>
      <w:bookmarkEnd w:id="35"/>
    </w:p>
    <w:p>
      <w:pPr>
        <w:pStyle w:val="BookText"/>
        <w:rPr/>
      </w:pP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وجوب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بعد نقله عن الشيخ عدم وجوب التيمم مع جواز الوضوء به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تضاد</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الوضوء مشروط بوجود الماء والتمكن منه، ومطلق بالنسبة إلى تحصيل الماء ،واستعماله فلا يجب إيجاد الماء؛ لعدم وجوب شرط الواجب المشروط، ويجب الوضوء مع حصوله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أنّ الوضوء واجب مطلق، فيجب تحصیل شرطه المقدور من غير فرق بين أفراد شرطه، وإذا كان التيمُّم محصّلاً للماء المطلق وهو مقدور كان واجباً سواء سمّينا هذا الفعل إيجاداً للماء أم لا، وإطلاق كون إيجاد الماء غير واجب نظراً إلى المتبادر من معناه وهو خلقه، فإنّه غير مقدور وإلا فالضابطة القدرة عليه وعدمها وإيجاده بهذا المعنى مقدور، فالتناقض متحقّق</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تعليل الشيخ عدم الوجوب بعدم استلزام الاشتباه في الحسّ إيجاد الحقيقة وصحة الوضوء لصدق الاسم، ففيه، أنّ المعتبر في جواز الوضوء به إن كان صّحة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إسم الماء عليه وجب تحصيله حيث هو قادر عليه، وإن كان وجود حقيقة المطلق في نفس الأمر ولا عبرة بإطلاق الاسم ظاهراً لم يجز الوضوء به حيث لم يحصل الشرط، فاعتبار أحد الأمرين في جواز الوضوء والآخر في تحصيله غير جيد</w:t>
      </w:r>
      <w:r>
        <w:rPr>
          <w:rFonts w:eastAsia="Amiri" w:cs="Amiri" w:ascii="Amiri" w:hAnsi="Amiri"/>
          <w:color w:val="111111"/>
          <w:sz w:val="28"/>
          <w:szCs w:val="28"/>
          <w:rtl w:val="true"/>
          <w:lang w:bidi="ar-SA"/>
        </w:rPr>
        <w:t xml:space="preserve">. </w:t>
      </w:r>
      <w:bookmarkStart w:id="36" w:name="pg10189_115907"/>
    </w:p>
    <w:p>
      <w:pPr>
        <w:pStyle w:val="Heading5"/>
        <w:numPr>
          <w:ilvl w:val="4"/>
          <w:numId w:val="1"/>
        </w:numPr>
        <w:rPr/>
      </w:pPr>
      <w:bookmarkStart w:id="37" w:name="__RefHeading___Toc2156346_1067777946"/>
      <w:bookmarkStart w:id="38" w:name="_Toc14"/>
      <w:bookmarkEnd w:id="36"/>
      <w:bookmarkEnd w:id="37"/>
      <w:r>
        <w:rPr>
          <w:rtl w:val="true"/>
        </w:rPr>
        <w:t xml:space="preserve">[ </w:t>
      </w:r>
      <w:r>
        <w:rPr>
          <w:rtl w:val="true"/>
        </w:rPr>
        <w:t>الفصل الثالث في المستعمَل</w:t>
      </w:r>
      <w:r>
        <w:rPr>
          <w:rtl w:val="true"/>
        </w:rPr>
        <w:t>]</w:t>
      </w:r>
      <w:bookmarkEnd w:id="38"/>
    </w:p>
    <w:p>
      <w:pPr>
        <w:pStyle w:val="BookText"/>
        <w:rPr/>
      </w:pP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وغسالة الحمام لا يجوز استعمالها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 يعبر بكونها نجسة؛ لعدم دليل يدلُّ على نَجاستها، وإنما المروي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الاغتسال بها </w:t>
      </w:r>
      <w:r>
        <w:rPr>
          <w:rStyle w:val="FootnoteAnchor"/>
          <w:rtl w:val="true"/>
        </w:rPr>
        <w:footnoteReference w:id="102"/>
      </w:r>
      <w:r>
        <w:rPr>
          <w:rFonts w:ascii="Amiri" w:hAnsi="Amiri" w:eastAsia="Amiri" w:cs="Amiri"/>
          <w:color w:val="111111"/>
          <w:sz w:val="28"/>
          <w:sz w:val="28"/>
          <w:szCs w:val="28"/>
          <w:rtl w:val="true"/>
          <w:lang w:bidi="ar-SA"/>
        </w:rPr>
        <w:t xml:space="preserve">، لكنّ الرواية مرسلة ضعيفة، ومن ثم حكم في المنتهى بطهارتها </w:t>
      </w:r>
      <w:r>
        <w:rPr>
          <w:rStyle w:val="FootnoteAnchor"/>
          <w:rtl w:val="true"/>
        </w:rPr>
        <w:footnoteReference w:id="103"/>
      </w:r>
      <w:r>
        <w:rPr>
          <w:rFonts w:ascii="Amiri" w:hAnsi="Amiri" w:eastAsia="Amiri" w:cs="Amiri"/>
          <w:color w:val="111111"/>
          <w:sz w:val="28"/>
          <w:sz w:val="28"/>
          <w:szCs w:val="28"/>
          <w:rtl w:val="true"/>
          <w:lang w:bidi="ar-SA"/>
        </w:rPr>
        <w:t>، وفي كثير من كتبه بنجاستها صريحاً</w:t>
      </w:r>
      <w:r>
        <w:rPr>
          <w:rStyle w:val="FootnoteAnchor"/>
          <w:rtl w:val="true"/>
        </w:rPr>
        <w:footnoteReference w:id="104"/>
      </w:r>
      <w:r>
        <w:rPr>
          <w:rFonts w:ascii="Amiri" w:hAnsi="Amiri" w:eastAsia="Amiri" w:cs="Amiri"/>
          <w:color w:val="111111"/>
          <w:sz w:val="28"/>
          <w:sz w:val="28"/>
          <w:szCs w:val="28"/>
          <w:rtl w:val="true"/>
          <w:lang w:bidi="ar-SA"/>
        </w:rPr>
        <w:t xml:space="preserve">، وهو المشهور بين الأصحاب </w:t>
      </w:r>
      <w:r>
        <w:rPr>
          <w:rStyle w:val="FootnoteAnchor"/>
          <w:rtl w:val="true"/>
        </w:rPr>
        <w:footnoteReference w:id="105"/>
      </w:r>
      <w:r>
        <w:rPr>
          <w:rFonts w:ascii="Amiri" w:hAnsi="Amiri" w:eastAsia="Amiri" w:cs="Amiri"/>
          <w:color w:val="111111"/>
          <w:sz w:val="28"/>
          <w:sz w:val="28"/>
          <w:szCs w:val="28"/>
          <w:rtl w:val="true"/>
          <w:lang w:bidi="ar-SA"/>
        </w:rPr>
        <w:t xml:space="preserve">بل ادعى عليه ابن إدريس الإجماع </w:t>
      </w:r>
      <w:r>
        <w:rPr>
          <w:rStyle w:val="FootnoteAnchor"/>
          <w:rtl w:val="true"/>
        </w:rPr>
        <w:footnoteReference w:id="106"/>
      </w:r>
      <w:r>
        <w:rPr>
          <w:rFonts w:ascii="IRNazanin" w:hAnsi="IRNazanin" w:eastAsia="IRNazanin"/>
          <w:color w:val="111111"/>
          <w:sz w:val="28"/>
          <w:sz w:val="28"/>
          <w:szCs w:val="28"/>
          <w:rtl w:val="true"/>
          <w:lang w:bidi="fa-IR"/>
        </w:rPr>
        <w:t>، والعمل به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والمتخلّف في التَوْب بعد عَصْره طاهر، فإن انفصل فهو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الحكم بطهارته رخصة وعفو، وإلّا فهو ماء قليل لاقى نجاسة فيقتصر فيها على موضع الحاجة وهو بقاؤه في الثوب؛ أو على ما اختاره المصنف في المختلف من أنّ الغسالة لا تنجس إلا بعد الانفصال </w:t>
      </w:r>
      <w:r>
        <w:rPr>
          <w:rStyle w:val="FootnoteAnchor"/>
          <w:rtl w:val="true"/>
        </w:rPr>
        <w:footnoteReference w:id="107"/>
      </w:r>
      <w:r>
        <w:rPr>
          <w:rFonts w:ascii="Amiri" w:hAnsi="Amiri" w:eastAsia="Amiri" w:cs="Amiri"/>
          <w:color w:val="111111"/>
          <w:sz w:val="28"/>
          <w:sz w:val="28"/>
          <w:szCs w:val="28"/>
          <w:rtl w:val="true"/>
          <w:lang w:bidi="ar-SA"/>
        </w:rPr>
        <w:t>، وإلا لما طهر المحلّ، وهو ضعيف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أنه بعد الحكم بالطهارة لوقوع العصر المعتبر يطهر المتخلّف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الخلاف في ماء غسالة يحصل بها الطهارة وهي المتممة للعدد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بعدها فهو طاهر مطلقاً،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يتعدد الحكم مطلقاً</w:t>
      </w:r>
      <w:r>
        <w:rPr>
          <w:rFonts w:eastAsia="Amiri" w:cs="Amiri" w:ascii="Amiri" w:hAnsi="Amiri"/>
          <w:color w:val="111111"/>
          <w:sz w:val="28"/>
          <w:szCs w:val="28"/>
          <w:rtl w:val="true"/>
          <w:lang w:bidi="ar-SA"/>
        </w:rPr>
        <w:t xml:space="preserve">. </w:t>
      </w:r>
      <w:bookmarkStart w:id="39" w:name="pg10189_115908"/>
    </w:p>
    <w:p>
      <w:pPr>
        <w:pStyle w:val="Heading5"/>
        <w:numPr>
          <w:ilvl w:val="4"/>
          <w:numId w:val="1"/>
        </w:numPr>
        <w:rPr/>
      </w:pPr>
      <w:bookmarkStart w:id="40" w:name="__RefHeading___Toc2156348_1067777946"/>
      <w:bookmarkStart w:id="41" w:name="_Toc15"/>
      <w:bookmarkEnd w:id="39"/>
      <w:bookmarkEnd w:id="40"/>
      <w:r>
        <w:rPr>
          <w:rtl w:val="true"/>
        </w:rPr>
        <w:t xml:space="preserve">[ </w:t>
      </w:r>
      <w:r>
        <w:rPr>
          <w:rtl w:val="true"/>
        </w:rPr>
        <w:t>الفصل الرابع في تطهير المياه النجسة</w:t>
      </w:r>
      <w:r>
        <w:rPr>
          <w:rtl w:val="true"/>
        </w:rPr>
        <w:t>]</w:t>
      </w:r>
      <w:bookmarkEnd w:id="4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يطهر بإلقاء كر دفعة عليه، لا بإتمامه كُرّاً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الحصر إضافي بقرينة قوله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بإتمامه 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فإنّه يطهر أيضاً بتقاطر المطر عليه، واتصاله بالجاري الكثير، وبمطلقه عند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بالنبع من تحته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اعتبار كُريّة النابع ، أو مع خروجه تَرَشُّحاً، وإلا طهر بالنبع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وجب إلقاء كُرّ آخر، فإن زال وإلا فآخر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يبق مع ذلك كرّ غير معيّن وإلا كفى تمويجه وتقويته على وجه يزيل التغير وزواله بالريح وغيره كما لو تغيَّر ما يزيد عن الكُر وبقى الباقى 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والجاري يطهر بتكاثر الماء وتدافعه حتى يزول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يتم على قول غيره بعدم اعتبار كُريّته</w:t>
      </w:r>
      <w:r>
        <w:rPr>
          <w:rStyle w:val="FootnoteAnchor"/>
          <w:rtl w:val="true"/>
        </w:rPr>
        <w:footnoteReference w:id="108"/>
      </w:r>
      <w:r>
        <w:rPr>
          <w:rFonts w:ascii="Amiri" w:hAnsi="Amiri" w:eastAsia="Amiri" w:cs="Amiri"/>
          <w:color w:val="111111"/>
          <w:sz w:val="28"/>
          <w:sz w:val="28"/>
          <w:szCs w:val="28"/>
          <w:rtl w:val="true"/>
          <w:lang w:bidi="ar-SA"/>
        </w:rPr>
        <w:t xml:space="preserve">وقد جرى عليه فيما تقدَّم كثيراً </w:t>
      </w:r>
      <w:r>
        <w:rPr>
          <w:rStyle w:val="FootnoteAnchor"/>
          <w:rtl w:val="true"/>
        </w:rPr>
        <w:footnoteReference w:id="109"/>
      </w:r>
      <w:r>
        <w:rPr>
          <w:rFonts w:ascii="Amiri" w:hAnsi="Amiri" w:eastAsia="Amiri" w:cs="Amiri"/>
          <w:color w:val="111111"/>
          <w:sz w:val="28"/>
          <w:sz w:val="28"/>
          <w:szCs w:val="28"/>
          <w:rtl w:val="true"/>
          <w:lang w:bidi="ar-SA"/>
        </w:rPr>
        <w:t>أما على قوله فحكمه حكم الواقف، فما كان منه قليلاً فطهره كطهر القليل، وما كان منه كثيراً فطهره كطهر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يسلبه الإطلاق فيخرج عن 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الطهارة أيضاً على الأقوى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ونزح كُرّ لمَوْت الدابة أو الحمار أو البقرة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مورد النص </w:t>
      </w:r>
      <w:r>
        <w:rPr>
          <w:rStyle w:val="FootnoteAnchor"/>
          <w:rtl w:val="true"/>
        </w:rPr>
        <w:footnoteReference w:id="110"/>
      </w:r>
      <w:r>
        <w:rPr>
          <w:rFonts w:ascii="Amiri" w:hAnsi="Amiri" w:eastAsia="Amiri" w:cs="Amiri"/>
          <w:color w:val="111111"/>
          <w:sz w:val="28"/>
          <w:sz w:val="28"/>
          <w:szCs w:val="28"/>
          <w:rtl w:val="true"/>
          <w:lang w:bidi="ar-SA"/>
        </w:rPr>
        <w:t>مع ضعفه الحمار والبغل، وإلحاق غيرهما بغير المنصوص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وثلاثين لماء المطر المخالط للبول، والعَذِرَة، وخُرءِ الكِلابِ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معلق على مخالطة الجميع؛ سواء كانت أعيانها موجودة فيه أم لا، ولو اشتمل على بعضها فإن كان يوجب ذلك أو أزيد فكالجميع، وإن كان يوجب أقل اقتصر على موجبه كبول الصبي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أوجب بعض هؤلاء نزح الجميع فيما لم يرد فيه نص، وبعضهم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الأربعين غير واضح، ومثله قول المصنف في المختلف بثلاثين </w:t>
      </w:r>
      <w:r>
        <w:rPr>
          <w:rStyle w:val="FootnoteAnchor"/>
          <w:rtl w:val="true"/>
        </w:rPr>
        <w:footnoteReference w:id="111"/>
      </w:r>
      <w:r>
        <w:rPr>
          <w:rFonts w:ascii="Amiri" w:hAnsi="Amiri" w:eastAsia="Amiri" w:cs="Amiri"/>
          <w:color w:val="111111"/>
          <w:sz w:val="28"/>
          <w:sz w:val="28"/>
          <w:szCs w:val="28"/>
          <w:rtl w:val="true"/>
          <w:lang w:bidi="ar-SA"/>
        </w:rPr>
        <w:t>، وحيث يحكم بنجاسة الماء فلا يقين بطهارته من حيث النزح بدون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الإنسان بين المسلم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ووجهه شمول لفظ الإنسان لهما، وهو حسن إن وقع الكافر في الماء ميّناً، أما لو وقع حيّاً نجس الماء قبل موته بما لا نص فيه، فلا يزيلها ما نص عليه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أوجبنا بما لا نصَّ فيه ثلاثين أو أربعين وحكمنا بتداخل النجاسات مع الاختلاف كفتِ السبعون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الحوالة في الدلو على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تلك البئر، ولو اختلفت فالأصغر مجزى والأكبر أفضل، ولو انتفت العادة عليها فالأقوى الاكتفاء بما يعتاد على غيرها، ولابد من مراعاة مُسَمّاه عرفاً فلا يكفي نحوآنية الفَخّار حيث لا يُسمّى 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اتخذ آلة تسع العدد فالأقرب الاكتفاء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عطفه على ما سبق بالفاء غير جيد، إذ لا يلزم من الحوالة على المعتاد الاكتفاء </w:t>
      </w:r>
    </w:p>
    <w:p>
      <w:pPr>
        <w:pStyle w:val="BookText"/>
        <w:rPr/>
      </w:pPr>
      <w:r>
        <w:rPr>
          <w:rFonts w:ascii="Amiri" w:hAnsi="Amiri" w:eastAsia="Amiri" w:cs="Amiri"/>
          <w:color w:val="111111"/>
          <w:sz w:val="28"/>
          <w:sz w:val="28"/>
          <w:szCs w:val="28"/>
          <w:rtl w:val="true"/>
          <w:lang w:bidi="ar-SA"/>
        </w:rPr>
        <w:t>بذلك، بل قد ينافيه ؛ لأنّ العدد المعتبر شرعاً لا يدخل فيما اً لا يدخل فيما جمع ماؤُهُ خاصةً ؛ لجواز أنْ يكون للتعدُّد مدخل في التطهير كما اتفق مثله في تطهير غيره، والأقوى عدم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بالنّجاسة من حين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قول المصنف بتنجيسها بالتغير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لإمكان حدوثه حين الوجدان وإن تقدَّم وقوع الجيفة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على القول بتنجيسها بالملاقاة فقد يشكل على تقدير القطع بتقدمها، والأقوى حينئذٍ الحكم بالنجاسة في آخر أوقات إمكان وقوعها حتى لو أمكن حين الوجدان فكالتغيير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فيجوز أن يتولاه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منه التراوح، فإنّ المعتبر فيه القوم، والصحيح أن المراد بهم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تكثرت النّجاسة، تداخل النزح مع الاختلاف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التداخل مطلقاً إلّا أنْ يتحقق الانتقال من الأوّل إلى معنى آخر منها، كما لو صار الدم كثيراً بعد أن كان قليلاً فيدخل الأوّل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يجزئ العدد بعد إخراج النّجاسة أو استحالتها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بالعدد المعتبر إخراجه في طهارة البئر، سواء كان موجب النّجاسة الأُولى أو غيرها، وحينئذ فلا يرد أنّ عدد العَذِرَة اليابسة غير مجزىء بعد استحالتها والمراد بالاستحالة خروج النجاسة عن حقيقتها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بقى الماء متغيّراً بها على وجه لا توجد معه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الماء المتغير بالدم يوجب نزح أكثر الأمرين من العدد المعتبر في الدم، وما به يزول التغيير </w:t>
      </w:r>
      <w:r>
        <w:rPr>
          <w:rStyle w:val="FootnoteAnchor"/>
          <w:rtl w:val="true"/>
        </w:rPr>
        <w:footnoteReference w:id="113"/>
      </w:r>
      <w:r>
        <w:rPr>
          <w:rFonts w:ascii="Amiri" w:hAnsi="Amiri" w:eastAsia="Amiri" w:cs="Amiri"/>
          <w:color w:val="111111"/>
          <w:sz w:val="28"/>
          <w:sz w:val="28"/>
          <w:szCs w:val="28"/>
          <w:rtl w:val="true"/>
          <w:lang w:bidi="ar-SA"/>
        </w:rPr>
        <w:t xml:space="preserve">، فيتحقق الاجتزاء ببعض </w:t>
      </w:r>
    </w:p>
    <w:p>
      <w:pPr>
        <w:pStyle w:val="BookText"/>
        <w:rPr/>
      </w:pPr>
      <w:r>
        <w:rPr>
          <w:rFonts w:ascii="Amiri" w:hAnsi="Amiri" w:eastAsia="Amiri" w:cs="Amiri"/>
          <w:color w:val="111111"/>
          <w:sz w:val="28"/>
          <w:sz w:val="28"/>
          <w:szCs w:val="28"/>
          <w:rtl w:val="true"/>
          <w:lang w:bidi="ar-SA"/>
        </w:rPr>
        <w:t>النزح قبل الاستحالة ما عرفت من أنّ مثل ذلك يعد 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بقاء حقيقة الدم منعنا من الاجتزاء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اتصلت بالنهر الجاري طهرت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تساويه أو يعلو عليها كغيرها من المياه النجسة إذا اتصلت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ولوزال تغيّرها بغير النزح والاتصال فالأقرب نَزْح الجميع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إلا أن يعلم دخول القدر المعتبر في زوال التغيير فيما هو أقل من الجميع، فيجزئ ما يتحقق به زوال التغيير على تقديره</w:t>
      </w:r>
      <w:r>
        <w:rPr>
          <w:rFonts w:eastAsia="Amiri" w:cs="Amiri" w:ascii="Amiri" w:hAnsi="Amiri"/>
          <w:color w:val="111111"/>
          <w:sz w:val="28"/>
          <w:szCs w:val="28"/>
          <w:rtl w:val="true"/>
          <w:lang w:bidi="ar-SA"/>
        </w:rPr>
        <w:t xml:space="preserve">. </w:t>
      </w:r>
      <w:bookmarkStart w:id="42" w:name="pg10189_115912"/>
    </w:p>
    <w:p>
      <w:pPr>
        <w:pStyle w:val="Heading5"/>
        <w:numPr>
          <w:ilvl w:val="4"/>
          <w:numId w:val="1"/>
        </w:numPr>
        <w:rPr/>
      </w:pPr>
      <w:bookmarkStart w:id="43" w:name="__RefHeading___Toc2156350_1067777946"/>
      <w:bookmarkStart w:id="44" w:name="_Toc16"/>
      <w:bookmarkEnd w:id="42"/>
      <w:bookmarkEnd w:id="43"/>
      <w:r>
        <w:rPr>
          <w:rtl w:val="true"/>
        </w:rPr>
        <w:t xml:space="preserve">[ </w:t>
      </w:r>
      <w:r>
        <w:rPr>
          <w:rtl w:val="true"/>
        </w:rPr>
        <w:t>الفصل الخامس في الأحكام</w:t>
      </w:r>
      <w:r>
        <w:rPr>
          <w:rtl w:val="true"/>
        </w:rPr>
        <w:t>]</w:t>
      </w:r>
      <w:bookmarkEnd w:id="4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استعمال الماء النجس في الطهارة وإزالة النجاسة مطلقاً، وفي الأكل والشرب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فسّره المصنف في النهاية </w:t>
      </w:r>
      <w:r>
        <w:rPr>
          <w:rStyle w:val="FootnoteAnchor"/>
          <w:rtl w:val="true"/>
        </w:rPr>
        <w:footnoteReference w:id="114"/>
      </w:r>
      <w:r>
        <w:rPr>
          <w:rFonts w:ascii="Amiri" w:hAnsi="Amiri" w:eastAsia="Amiri" w:cs="Amiri"/>
          <w:color w:val="111111"/>
          <w:sz w:val="28"/>
          <w:sz w:val="28"/>
          <w:szCs w:val="28"/>
          <w:rtl w:val="true"/>
          <w:lang w:bidi="ar-SA"/>
        </w:rPr>
        <w:t>بمعنى عدم الاعتداد به في رفع الحدثين، لا بمعنى الإثم بذلك، ويمكن تفسيره بما نفاه على تقدير اعتقاده شرعيّة ذلك أو مع الاعتداد بالعبادة ه؛ لأنه إدخال في الشرع ماليس منه أو ترك العبادة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الوضوء والتيمُّم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ويجب تقديم الوضوء على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يصلّي في الباقي من الثوبين وعارياً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تجب الصلاة في الباقي خاصةً وتُجزى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يقوم ظنّ النّجاسة مقام العلم ؟ فيه نظر، أقربه ذلك إن استند إلى سبب، وإلا فلا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بالسبب ما نصبه الشارع سبباً لثبوت مثل ذلك، كشهادة العدلين لا مطلق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بالسبب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عدل بنجاسة الماء لم يجب القبول وإن استند إلى السبب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به حصلتِ النّجاسة من نحو البول والدم وغيرهما لا السبب الأول، ونته بالثاني على خلاف بعض العامة </w:t>
      </w:r>
      <w:r>
        <w:rPr>
          <w:rStyle w:val="FootnoteAnchor"/>
          <w:rtl w:val="true"/>
        </w:rPr>
        <w:footnoteReference w:id="115"/>
      </w:r>
      <w:r>
        <w:rPr>
          <w:rFonts w:ascii="Amiri" w:hAnsi="Amiri" w:eastAsia="Amiri" w:cs="Amiri"/>
          <w:color w:val="111111"/>
          <w:sz w:val="28"/>
          <w:sz w:val="28"/>
          <w:szCs w:val="28"/>
          <w:rtl w:val="true"/>
          <w:lang w:bidi="ar-SA"/>
        </w:rPr>
        <w:t xml:space="preserve">، حيث اكتفى به معه لا بدونه للاختلاف في </w:t>
      </w:r>
    </w:p>
    <w:p>
      <w:pPr>
        <w:pStyle w:val="BookText"/>
        <w:rPr/>
      </w:pPr>
      <w:r>
        <w:rPr>
          <w:rFonts w:ascii="Amiri" w:hAnsi="Amiri" w:eastAsia="Amiri" w:cs="Amiri"/>
          <w:color w:val="111111"/>
          <w:sz w:val="28"/>
          <w:sz w:val="28"/>
          <w:szCs w:val="28"/>
          <w:rtl w:val="true"/>
          <w:lang w:bidi="ar-SA"/>
        </w:rPr>
        <w:t>أسباب النجاسات فلا يقبل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قبول العدلين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تفريعه وما قبله بالفاء على السابق أجود وإلا ففيه شائبة التكرار والأقوى اشتراط تبيين العدلين السبب إلا أن يكون مذهبهما كمذهب من أجزأه فيكفي الإطلاق، وحينئذٍ فيمكن أن يريد بالظنِّ الشرعي كشهادة العدلين، ويريد بإستناده إلى السبب تبيين سبب النّجاسة كمعناه الثاني، ولكنّ إطلاق الظن وإرادة ذلك غير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عارضهما مثلهما فالوجه إلحاقه بالمشتبه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يتحقق التعارض بين البينتين بتنافي شهادتهما على وجه لا يمكن الجمع، كما لو شهدت إحداهما بنجاسة في وقت معيّن بكلب معيّن، فتشهد الأخرى بكون الكلب في ذلك الوقت كان في مكان لا يمكنه الوصول فيه إلى الإناء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شهدت إحداهما بنجاسته والأخرى بطهارته حُكم بالنجاسة ولا تعارض؛ لإمكان الجمع باطلاع بينة الإثبات على مالم تطلع عليه بينة النفي، ومثله القول لو تعارضتا في إنائين والقول حينئذ بإلحاقه بالمشتبه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أخبر الفاسق بنجاسة مائه أو طهارته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يقبل في نَجاسته قبل استعمال الغير له بإذنه، أما بعده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اشتبه استناد مَوْت الصيد في القليل إلى الجرح أو الماء احتمل</w:t>
      </w:r>
    </w:p>
    <w:p>
      <w:pPr>
        <w:pStyle w:val="BookText"/>
        <w:rPr/>
      </w:pPr>
      <w:r>
        <w:rPr>
          <w:rFonts w:ascii="Amiri" w:hAnsi="Amiri" w:eastAsia="Amiri" w:cs="Amiri"/>
          <w:color w:val="111111"/>
          <w:sz w:val="28"/>
          <w:sz w:val="28"/>
          <w:szCs w:val="28"/>
          <w:rtl w:val="true"/>
          <w:lang w:bidi="ar-SA"/>
        </w:rPr>
        <w:t>العمل بالأصلين، والوجه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الأصلان هما طهارة الماء وتحريم الصيد؛ لأصالة عدم حصول شرائط تذكيته، إلا أنّ الجمع بينهما يفضي إلى الجمع بين المتنافيين لاقتضاء طهارة الماء حلَّ الصَيْد وتحريمه نَجاسة الماء</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يتحقق التنافى إلا إذا جعل تحريم الصيد مستنداً إلى العلم بعدم التذكية التي </w:t>
      </w:r>
    </w:p>
    <w:p>
      <w:pPr>
        <w:pStyle w:val="BookText"/>
        <w:rPr/>
      </w:pPr>
      <w:r>
        <w:rPr>
          <w:rFonts w:ascii="Amiri" w:hAnsi="Amiri" w:eastAsia="Amiri" w:cs="Amiri"/>
          <w:color w:val="111111"/>
          <w:sz w:val="28"/>
          <w:sz w:val="28"/>
          <w:szCs w:val="28"/>
          <w:rtl w:val="true"/>
          <w:lang w:bidi="ar-SA"/>
        </w:rPr>
        <w:t>هي عبارة عن مَوْته حَتْفَ أنفه، لا إذا جعل مستنداً إلى عدم العلم بالتذكية؛ لأنّ الحكم بطهارة الماء يستلزم عدم العلم بوجود النجاسة لا العلم بعدمها في الواقع، بدليل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لوشك في نَجاسة الواقع ينجس الماء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التنافي هاهنا يتحقق في الثاني أيضاً؛ لأنّ عدم العلم بمَوْت الصيد برميه الموجب لذكاته كافٍ في الحكم بعدم ذكاته المستلزم لنجاسته، فترتفع به أصالة طهارة الماء، وهذا الخلاف ما استدلّ به من الشك في نَجاسة الواقع؛ لأنّ الشك في نجاسة شيءٍ إذا لم يرجع إلى أصل نَجاسته يحكم بأصالة طهارته، والأمر هاهنا من الأول لا من الثاني، فيتحقَّق التنافي، وحينئذ فالقول بنجاسة الماء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يطهر العجين النجس بخَبزه، بل باستحالته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يظهر بوضعه في الكثير بعد خَبزه بحيث يتخلله، وقبل خَبزه إن أمكن ذلك بترقيقه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Style w:val="FootnoteAnchor"/>
          <w:rtl w:val="true"/>
        </w:rPr>
        <w:footnoteReference w:id="117"/>
      </w:r>
      <w:r>
        <w:rPr>
          <w:rFonts w:ascii="Amiri" w:hAnsi="Amiri" w:eastAsia="Amiri" w:cs="Amiri"/>
          <w:color w:val="111111"/>
          <w:sz w:val="28"/>
          <w:sz w:val="28"/>
          <w:szCs w:val="28"/>
          <w:rtl w:val="true"/>
          <w:lang w:bidi="ar-SA"/>
        </w:rPr>
        <w:t>بيعه على مستحلّ الميتة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جواز بَيْعه مع الإعلام بحاله مطلقاً؛ لقبوله التطهير كغيره مما عرض له النّجاسة وقبل زوالها</w:t>
      </w:r>
      <w:r>
        <w:rPr>
          <w:rFonts w:eastAsia="Amiri" w:cs="Amiri" w:ascii="Amiri" w:hAnsi="Amiri"/>
          <w:color w:val="111111"/>
          <w:sz w:val="28"/>
          <w:szCs w:val="28"/>
          <w:rtl w:val="true"/>
          <w:lang w:bidi="ar-SA"/>
        </w:rPr>
        <w:t xml:space="preserve">. </w:t>
      </w:r>
      <w:bookmarkStart w:id="45" w:name="pg10189_115915"/>
    </w:p>
    <w:p>
      <w:pPr>
        <w:pStyle w:val="Heading4"/>
        <w:numPr>
          <w:ilvl w:val="3"/>
          <w:numId w:val="1"/>
        </w:numPr>
        <w:rPr/>
      </w:pPr>
      <w:bookmarkStart w:id="46" w:name="__RefHeading___Toc2156352_1067777946"/>
      <w:bookmarkStart w:id="47" w:name="_Toc17"/>
      <w:bookmarkEnd w:id="45"/>
      <w:bookmarkEnd w:id="46"/>
      <w:r>
        <w:rPr>
          <w:rtl w:val="true"/>
        </w:rPr>
        <w:t>[</w:t>
      </w:r>
      <w:r>
        <w:rPr>
          <w:rtl w:val="true"/>
        </w:rPr>
        <w:t xml:space="preserve">المقصد الثالث في النجاسات </w:t>
      </w:r>
      <w:r>
        <w:rPr>
          <w:rtl w:val="true"/>
        </w:rPr>
        <w:t>]</w:t>
      </w:r>
      <w:bookmarkEnd w:id="47"/>
    </w:p>
    <w:p>
      <w:pPr>
        <w:pStyle w:val="Heading5"/>
        <w:numPr>
          <w:ilvl w:val="4"/>
          <w:numId w:val="1"/>
        </w:numPr>
        <w:rPr/>
      </w:pPr>
      <w:bookmarkStart w:id="48" w:name="__RefHeading___Toc2156354_1067777946"/>
      <w:bookmarkStart w:id="49" w:name="_Toc18"/>
      <w:bookmarkEnd w:id="48"/>
      <w:r>
        <w:rPr>
          <w:rtl w:val="true"/>
        </w:rPr>
        <w:t>[</w:t>
      </w:r>
      <w:r>
        <w:rPr>
          <w:rtl w:val="true"/>
        </w:rPr>
        <w:t xml:space="preserve">الفصل الأول في أنواعها </w:t>
      </w:r>
      <w:r>
        <w:rPr>
          <w:rtl w:val="true"/>
        </w:rPr>
        <w:t>]</w:t>
      </w:r>
      <w:bookmarkEnd w:id="49"/>
    </w:p>
    <w:p>
      <w:pPr>
        <w:pStyle w:val="BookText"/>
        <w:rPr/>
      </w:pP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والميتة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ذي النفس فيشمل الآدمي، فيجب أن يستثني منه المسلم ومَن بحكمه إذا حكم بطهره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 بها العصير إذا غلى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المتأخرين </w:t>
      </w:r>
      <w:r>
        <w:rPr>
          <w:rStyle w:val="FootnoteAnchor"/>
          <w:rtl w:val="true"/>
        </w:rPr>
        <w:footnoteReference w:id="118"/>
      </w:r>
      <w:r>
        <w:rPr>
          <w:rFonts w:ascii="Amiri" w:hAnsi="Amiri" w:eastAsia="Amiri" w:cs="Amiri"/>
          <w:color w:val="111111"/>
          <w:sz w:val="28"/>
          <w:sz w:val="28"/>
          <w:szCs w:val="28"/>
          <w:rtl w:val="true"/>
          <w:lang w:bidi="ar-SA"/>
        </w:rPr>
        <w:t>، ولا دليل لهم على نجاسته كما اعترف به محققوهم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بغَلَيانه صيرورة أعلاه أسفله وباشتداده تحقق مسمّى القوام له، وهو منفكّ عن الغليان حيث لا يكون بالنار قطعاً، فبين الحالين يحرم ولا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يختص بعصير العنب دون الزبيب على الأقوى، ودون غيرهما اتفاقاً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والدم المتخلّف </w:t>
      </w:r>
      <w:r>
        <w:rPr>
          <w:rStyle w:val="FootnoteAnchor"/>
          <w:rtl w:val="true"/>
        </w:rPr>
        <w:footnoteReference w:id="120"/>
      </w:r>
      <w:r>
        <w:rPr>
          <w:rFonts w:ascii="Amiri" w:hAnsi="Amiri" w:eastAsia="Amiri" w:cs="Amiri"/>
          <w:color w:val="111111"/>
          <w:sz w:val="28"/>
          <w:sz w:val="28"/>
          <w:szCs w:val="28"/>
          <w:rtl w:val="true"/>
          <w:lang w:bidi="ar-SA"/>
        </w:rPr>
        <w:t>في اللحم مما لا يقذفه المذبوح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المتخلّف بطبعه في اللحم والعروق والكبد وغيرها، أما ما يبقى في القَصَرَةِ </w:t>
      </w:r>
      <w:r>
        <w:rPr>
          <w:rStyle w:val="FootnoteAnchor"/>
          <w:rtl w:val="true"/>
        </w:rPr>
        <w:footnoteReference w:id="121"/>
      </w:r>
      <w:r>
        <w:rPr>
          <w:rFonts w:ascii="Amiri" w:hAnsi="Amiri" w:eastAsia="Amiri" w:cs="Amiri"/>
          <w:color w:val="111111"/>
          <w:sz w:val="28"/>
          <w:sz w:val="28"/>
          <w:szCs w:val="28"/>
          <w:rtl w:val="true"/>
          <w:lang w:bidi="ar-SA"/>
        </w:rPr>
        <w:t>من الدم الذي يدخل بالنفس أو بعُلُوّ المذبح على باقيه فإنه نجس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طهارة المسوخ ومن عدا الخوارج، والغُلاة، والنواصب والمجسّمة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عدا الفِرَقِ الأربع </w:t>
      </w:r>
      <w:r>
        <w:rPr>
          <w:rStyle w:val="FootnoteAnchor"/>
          <w:rtl w:val="true"/>
        </w:rPr>
        <w:footnoteReference w:id="122"/>
      </w:r>
      <w:r>
        <w:rPr>
          <w:rFonts w:ascii="Amiri" w:hAnsi="Amiri" w:eastAsia="Amiri" w:cs="Amiri"/>
          <w:color w:val="111111"/>
          <w:sz w:val="28"/>
          <w:sz w:val="28"/>
          <w:szCs w:val="28"/>
          <w:rtl w:val="true"/>
          <w:lang w:bidi="ar-SA"/>
        </w:rPr>
        <w:t>معطوف على المسوخ، فيدخل في حيز الأقرب، ونبه به على خلاف من اقتصر على غير المجسمة، وعلى خلاف من ضم إلى الجميع المُجَبِّرَة، أو عمَّم الحكم في كُلِّ مَن خالف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اختاره المصنف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حكمهم من أنكر شيئاً مما علم من الدين ضرورةً، وإن كان على ظاهر الإيمان فلابد من استثنائه؛ لأنه موضع وفاق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وعرق الجُنُب من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الجار يتعلَّق بالجُنُب لا بالعرق، والتقدير أنّ المُجْنِب من حرام في طهارة عرقه قولان أقربهما الطهارة سواء كان من نفس الجماع المحرّم أم بعده، وسواء كان عرقه من فعل مُحرَّم أم محلَّل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 الجُنُب من الحرام فلا خلاف في طهارة عرقه وإن كان من فعل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والمتولّد من الكلب والشاة يتبع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كان ذلك الاسم لأحدهما أم لغيرهما، فإن لم يبق على صورة معلومة فالأقوى طهارته وتحريمه؛ عملاً بالأصل فيهما، ولو اتفق الأبوان فى الحكم تبعهما فيه وإن باينهما في الاسم مطلقاً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المستحيل في بواطن حبّات العنب نجس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 المستحيل من ماء العنب إلى الخمرية، وهو معنى صحيح لا تكلّف فيه خلاف ما قاله بعضهم من أنّ استحالة الخمر تخرجه عن الخمرية </w:t>
      </w:r>
      <w:r>
        <w:rPr>
          <w:rStyle w:val="FootnoteAnchor"/>
          <w:rtl w:val="true"/>
        </w:rPr>
        <w:footnoteReference w:id="123"/>
      </w:r>
      <w:r>
        <w:rPr>
          <w:rFonts w:ascii="Amiri" w:hAnsi="Amiri" w:eastAsia="Amiri" w:cs="Amiri"/>
          <w:color w:val="111111"/>
          <w:sz w:val="28"/>
          <w:sz w:val="28"/>
          <w:szCs w:val="28"/>
          <w:rtl w:val="true"/>
          <w:lang w:bidi="ar-SA"/>
        </w:rPr>
        <w:t>وليس بمراد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إزالة النّجاسة عن البدن والثّوْب للصلاة والطواف ودخول المساجد؛ وعن الأواني لاستعمالها لا مستقراً؛ سواءٌ قلَّتْ أو كثرتْ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الوجوب بمعنى الشرط، وإن لم يكن واجباً فكثيراً ما يطلق عليه كذلك؛ بقرينة إطلاق الصلاة والطواف و إدخال المساجد مطلقاً واستعمال الأواني ولو أُريد معناه الحقيقي وجب تقييد الغاية بكونها واجبة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تقييد دخول المساجد بما لو تعدت النجاسة إلى المسجد أو شيء من الآلة وإلا لم تجب الإزالة، وكذا يجب تقييد استعمال الأوانى بما يتوقف على طهارتها، كأكل المائع فيها والشرب منها وإلا فلا</w:t>
      </w:r>
      <w:r>
        <w:rPr>
          <w:rFonts w:eastAsia="Amiri" w:cs="Amiri" w:ascii="Amiri" w:hAnsi="Amiri"/>
          <w:color w:val="111111"/>
          <w:sz w:val="28"/>
          <w:szCs w:val="28"/>
          <w:rtl w:val="true"/>
          <w:lang w:bidi="ar-SA"/>
        </w:rPr>
        <w:t xml:space="preserve">. </w:t>
      </w:r>
      <w:bookmarkStart w:id="50" w:name="pg10189_115918"/>
    </w:p>
    <w:p>
      <w:pPr>
        <w:pStyle w:val="Heading5"/>
        <w:numPr>
          <w:ilvl w:val="4"/>
          <w:numId w:val="1"/>
        </w:numPr>
        <w:rPr/>
      </w:pPr>
      <w:bookmarkStart w:id="51" w:name="__RefHeading___Toc2156356_1067777946"/>
      <w:bookmarkStart w:id="52" w:name="_Toc19"/>
      <w:bookmarkEnd w:id="50"/>
      <w:bookmarkEnd w:id="51"/>
      <w:r>
        <w:rPr>
          <w:rtl w:val="true"/>
        </w:rPr>
        <w:t xml:space="preserve">[ </w:t>
      </w:r>
      <w:r>
        <w:rPr>
          <w:rtl w:val="true"/>
        </w:rPr>
        <w:t>الفصل الثاني في الأحكام</w:t>
      </w:r>
      <w:r>
        <w:rPr>
          <w:rtl w:val="true"/>
        </w:rPr>
        <w:t>]</w:t>
      </w:r>
      <w:bookmarkEnd w:id="52"/>
    </w:p>
    <w:p>
      <w:pPr>
        <w:pStyle w:val="BookText"/>
        <w:rPr/>
      </w:pP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الدامية وإن كثر مع مشقة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العفو عنها مطلقاً إلى أن تبرأ ، وإن كان ما ذكره المصنّف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وغيرها من الملابس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فى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عموم الرخصة فيما على الإنسان أو معه </w:t>
      </w:r>
      <w:r>
        <w:rPr>
          <w:rStyle w:val="FootnoteAnchor"/>
          <w:rtl w:val="true"/>
        </w:rPr>
        <w:footnoteReference w:id="124"/>
      </w:r>
      <w:r>
        <w:rPr>
          <w:rFonts w:ascii="Amiri" w:hAnsi="Amiri" w:eastAsia="Amiri" w:cs="Amiri"/>
          <w:color w:val="111111"/>
          <w:sz w:val="28"/>
          <w:sz w:val="28"/>
          <w:szCs w:val="28"/>
          <w:rtl w:val="true"/>
          <w:lang w:bidi="ar-SA"/>
        </w:rPr>
        <w:t>، ولا دليل على التخصيص، وإنّما يعفى عنها إذا كانت متنجسة لا بنجاسة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الحكميّة كالبؤل اليابس في الثوب فيكفي غَسله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وجوب غسل البول مرّتين؛ للنصوص الكثيرة </w:t>
      </w:r>
      <w:r>
        <w:rPr>
          <w:rStyle w:val="FootnoteAnchor"/>
          <w:rtl w:val="true"/>
        </w:rPr>
        <w:footnoteReference w:id="125"/>
      </w:r>
      <w:r>
        <w:rPr>
          <w:rFonts w:ascii="Amiri" w:hAnsi="Amiri" w:eastAsia="Amiri" w:cs="Amiri"/>
          <w:color w:val="111111"/>
          <w:sz w:val="28"/>
          <w:sz w:val="28"/>
          <w:szCs w:val="28"/>
          <w:rtl w:val="true"/>
          <w:lang w:bidi="ar-SA"/>
        </w:rPr>
        <w:t>الدالة عليه، والاكتفاء في غيره بالمرة عملاً بالإطلاق، ودخوله في البؤل لمفهوم الموافقة ممنوع؛ لأنّ المعتبر في النّجاسة مائعيّتها لا جرمها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البؤل إمّا أضعف منه في المائعية كالدم، أو مساوٍ له كغيره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في الأثناء ألقى الثوب واستتر بغيره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جوّز حصول النّجاسة حين العلم بها ، أما لو علم تقدُّمها عليه وجب القطع بناءً على ما اختاره المصنف من إعادة الجاهل في الوقت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مالم يفتقر إلى فعل كثير أو استدبار فيستأنف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بقي من الوقت ما يدرك معه بعد القطع ركعة، والأقوى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وتجتزئ المربية للصبي ذات الثوب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بغسله في اليوم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الصبيّة؛ لأنّ مورد النص المولود </w:t>
      </w:r>
      <w:r>
        <w:rPr>
          <w:rStyle w:val="FootnoteAnchor"/>
          <w:rtl w:val="true"/>
        </w:rPr>
        <w:footnoteReference w:id="126"/>
      </w:r>
      <w:r>
        <w:rPr>
          <w:rFonts w:ascii="Amiri" w:hAnsi="Amiri" w:eastAsia="Amiri" w:cs="Amiri"/>
          <w:color w:val="111111"/>
          <w:sz w:val="28"/>
          <w:sz w:val="28"/>
          <w:szCs w:val="28"/>
          <w:rtl w:val="true"/>
          <w:lang w:bidi="ar-SA"/>
        </w:rPr>
        <w:t>وهو 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الرخصة تنجسه ببوله، فلا يعفى عن غيره وإن كان غائطه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وإلحاقه به نظراً إلى إمكان التعبير عنه به بطريق الكناية عدولاً عن ذكر ما يستهجن كما هو عادة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إحداث حكم شرعي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تصلّي باقيه فيه وإن نجس بالصبي لابغيره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زائدة؛ لحصول المعنى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بأنّه يدلُّ على مسألتين منطوقه ومفهومه، والمفهوم أولى بالحكم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أُحبك وإنْ كنتَ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هاهنا كذلك فإنّه يفيد أنه لولم ينجس به صحت الصلاة بطريق أولى بخلاف حذف الواو، فإنّه يقتضي فَساد المعنى؛ لأنّ النّجاسة بالصبي حينئذٍ تكون شرطاً لصحة الصلاة فيلزم أن لا تصح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صحتها مع النّجاسة تدلُّ على صحتها بدونها؛ لمفهوم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جواز الأمرين وأن الواو أفصح </w:t>
      </w:r>
      <w:r>
        <w:rPr>
          <w:rStyle w:val="FootnoteAnchor"/>
          <w:rtl w:val="true"/>
        </w:rPr>
        <w:footnoteReference w:id="128"/>
      </w:r>
      <w:r>
        <w:rPr>
          <w:rFonts w:ascii="Amiri" w:hAnsi="Amiri" w:eastAsia="Amiri" w:cs="Amiri"/>
          <w:color w:val="111111"/>
          <w:sz w:val="28"/>
          <w:sz w:val="28"/>
          <w:szCs w:val="28"/>
          <w:rtl w:val="true"/>
          <w:lang w:bidi="ar-SA"/>
        </w:rPr>
        <w:t>مع مراعاة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بغيره كلاماً مستقلاً؛ لاشتراط كون النّجاسة لا تكون لغير الصبي لا من جملة 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المسكوت عنه هو طهارته لا ما يشمل طهارته ونَجاسته بغيره لئلا يفسد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الضيق يصلّي عارياً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تعيّن الصلاة في المشتبه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يجد إلا النجس تعيّن نزعه وصلّى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الصلاة في النجس، بل هي أفضل من الصلاة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وتطهر الأرض بإجراء الماء الجاري أو الزائد على الكرّ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مذهب الأصحاب</w:t>
      </w:r>
      <w:r>
        <w:rPr>
          <w:rStyle w:val="FootnoteAnchor"/>
          <w:rtl w:val="true"/>
        </w:rPr>
        <w:footnoteReference w:id="129"/>
      </w:r>
      <w:r>
        <w:rPr>
          <w:rFonts w:ascii="Amiri" w:hAnsi="Amiri" w:eastAsia="Amiri" w:cs="Amiri"/>
          <w:color w:val="111111"/>
          <w:sz w:val="28"/>
          <w:sz w:val="28"/>
          <w:szCs w:val="28"/>
          <w:rtl w:val="true"/>
          <w:lang w:bidi="ar-SA"/>
        </w:rPr>
        <w:t xml:space="preserve">من عدم اعتبار كرّيّة الجاري، أما على مذهبه فيعتبر فيه الكثرة </w:t>
      </w:r>
      <w:r>
        <w:rPr>
          <w:rStyle w:val="FootnoteAnchor"/>
          <w:rtl w:val="true"/>
        </w:rPr>
        <w:footnoteReference w:id="130"/>
      </w:r>
      <w:r>
        <w:rPr>
          <w:rFonts w:ascii="Amiri" w:hAnsi="Amiri" w:eastAsia="Amiri" w:cs="Amiri"/>
          <w:color w:val="111111"/>
          <w:sz w:val="28"/>
          <w:sz w:val="28"/>
          <w:szCs w:val="28"/>
          <w:rtl w:val="true"/>
          <w:lang w:bidi="ar-SA"/>
        </w:rPr>
        <w:t>كغيره فلا وجه لتخصيصه واعتبار الزيادة عن الكر لا وجه له والأصح الاكتفاء بكونه مقدار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تطهير الكلب والخنزير إذا وقعا في المملحة فصارا ملحاً، والعَذِرَة إذا امتزجت بالتراب وتقادَمَ عهدُها حتى استحالت تراباً،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طهارة الجميع، ثمّ إن كان الماء مقدار كرّ فصاعداً بقي على طهارته، وإلا نجس ما أصابه الماء من محله ولم يطهر بطهارة المستحيل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العَذِرَة إذا صارت تراباً بالنسبة إلى ما لاصقها من التراب، فإنّه رطوبتها ينجس التراب المخالط ولا يطهر بطهرها، فلو امتزج بترابها حكم بنجاسة الجميع لكنَّها نَجاسة عرضية تقبل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صلّى حاملاً لحيوان غير مأكول صحت صلاته، بخلاف القارورة المصمومة </w:t>
      </w:r>
      <w:r>
        <w:rPr>
          <w:rStyle w:val="FootnoteAnchor"/>
          <w:rtl w:val="true"/>
        </w:rPr>
        <w:footnoteReference w:id="131"/>
      </w:r>
      <w:r>
        <w:rPr>
          <w:rFonts w:ascii="Amiri" w:hAnsi="Amiri" w:eastAsia="Amiri" w:cs="Amiri"/>
          <w:color w:val="111111"/>
          <w:sz w:val="28"/>
          <w:sz w:val="28"/>
          <w:szCs w:val="28"/>
          <w:rtl w:val="true"/>
          <w:lang w:bidi="ar-SA"/>
        </w:rPr>
        <w:t>المشتملة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اشترطنا فيما لا تتم الصلاة فيه، وحده كونه من الملابس وإلّا فلا فرق بينهما، وكذا لا فرق بين المصمومة ، وغيرها، لاشتراكها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 بالطبخ على إشكال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عدمه أقوى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صلّى في نَجاسة معفو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كالدم اليسير، أو فيما لا يتم الصلاة فيه منفرداً في المسجد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تحريم إدخال النجاسة إليه وإن لم تكن ملوّثة، وعلى المختار من اشتراط تعديها في التحريم تصح الصلاة به مالم يتعد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الخمر والجُرَذ</w:t>
      </w:r>
      <w:r>
        <w:rPr>
          <w:rStyle w:val="FootnoteAnchor"/>
          <w:rtl w:val="true"/>
        </w:rPr>
        <w:footnoteReference w:id="132"/>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الاكتفاء فيهما بالمرّة كباقي النجاسات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فقد التراب أجزأ مشابهه من الأشنان والصابون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قيام غيره مقامه وعدم طهره بدونه مطلقاً</w:t>
      </w:r>
      <w:r>
        <w:rPr>
          <w:rFonts w:eastAsia="Amiri" w:cs="Amiri" w:ascii="Amiri" w:hAnsi="Amiri"/>
          <w:color w:val="111111"/>
          <w:sz w:val="28"/>
          <w:szCs w:val="28"/>
          <w:rtl w:val="true"/>
          <w:lang w:bidi="ar-SA"/>
        </w:rPr>
        <w:t xml:space="preserve">. </w:t>
      </w:r>
      <w:bookmarkStart w:id="53" w:name="pg10189_115922"/>
    </w:p>
    <w:p>
      <w:pPr>
        <w:pStyle w:val="Heading4"/>
        <w:numPr>
          <w:ilvl w:val="3"/>
          <w:numId w:val="1"/>
        </w:numPr>
        <w:rPr/>
      </w:pPr>
      <w:bookmarkStart w:id="54" w:name="__RefHeading___Toc2156358_1067777946"/>
      <w:bookmarkStart w:id="55" w:name="_Toc20"/>
      <w:bookmarkEnd w:id="53"/>
      <w:bookmarkEnd w:id="54"/>
      <w:r>
        <w:rPr>
          <w:rtl w:val="true"/>
        </w:rPr>
        <w:t>المقصد الرابع في الوضوء</w:t>
      </w:r>
      <w:bookmarkEnd w:id="55"/>
    </w:p>
    <w:p>
      <w:pPr>
        <w:pStyle w:val="Heading5"/>
        <w:numPr>
          <w:ilvl w:val="4"/>
          <w:numId w:val="1"/>
        </w:numPr>
        <w:rPr/>
      </w:pPr>
      <w:bookmarkStart w:id="56" w:name="__RefHeading___Toc2156360_1067777946"/>
      <w:bookmarkStart w:id="57" w:name="_Toc21"/>
      <w:bookmarkEnd w:id="56"/>
      <w:r>
        <w:rPr>
          <w:rtl w:val="true"/>
        </w:rPr>
        <w:t>[</w:t>
      </w:r>
      <w:r>
        <w:rPr>
          <w:rtl w:val="true"/>
        </w:rPr>
        <w:t>الفصل الأوّل في أفعاله</w:t>
      </w:r>
      <w:r>
        <w:rPr>
          <w:rtl w:val="true"/>
        </w:rPr>
        <w:t>]</w:t>
      </w:r>
      <w:bookmarkEnd w:id="57"/>
    </w:p>
    <w:p>
      <w:pPr>
        <w:pStyle w:val="BookText"/>
        <w:rPr/>
      </w:pP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 وهي إرادة إيجاد الفعل على الوجه المأمور به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هاهنا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فإن كان الأوّل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الثاني لم تنحصر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كونها من فروض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باختيار أنّها للعهد،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لصدقه على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صادق على إرادة الله تعالى طاعة العباد، وأنّ النية قد تتناول التكليفات العقلية، وأنّه منقوض بنية الإحرام والصيام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عنها على وجه يقتضي إرادة العموم من النية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بين اختياره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وهو الوضوء، وما أورده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عنه من التدافع، فإنه متى حمل على نية الوضوء لم يرد شيء مما ذكر ولا ينفعه جعله مطلق النية مقصوداً بالتبع والقصد الثاني مراعاةً في البحث الأخير؛ لأنّ الاعتبار في البعض هو المقصود بالذات لا بالتبع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من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للعهد أن يكون التعريف لنيَّة الوضوء الواجب خاصةً بجعلها من الفروض، فيخرج الوضوء المندوب، فتقل فائدة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الأمر عند المصنّف حقيقة في الوجوب</w:t>
      </w:r>
      <w:r>
        <w:rPr>
          <w:rStyle w:val="FootnoteAnchor"/>
          <w:rtl w:val="true"/>
        </w:rPr>
        <w:footnoteReference w:id="135"/>
      </w:r>
      <w:r>
        <w:rPr>
          <w:rFonts w:ascii="Amiri" w:hAnsi="Amiri" w:eastAsia="Amiri" w:cs="Amiri"/>
          <w:color w:val="111111"/>
          <w:sz w:val="28"/>
          <w:sz w:val="28"/>
          <w:szCs w:val="28"/>
          <w:rtl w:val="true"/>
          <w:lang w:bidi="ar-SA"/>
        </w:rPr>
        <w:t>، فيدلُّ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الوجه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الواجب، مع أنّ إرادة الجنس باللام وتعريف مطلق النيَّة غير ضارّ من الجهة التي ذكرها؛ لأنّ جعلها من فروض الوضوء لا يدلُّ على أنها ليست من فروض غيره من الواجبات إلّا بالمفهوم الضعيف، ويؤيده إرادة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شرط فى كُلّ 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الضمير يرجع إلى النيَّة المعرفة، وإذا خصصت بالوضوء لا تكون شرطاً مطلقاً كذلك، ويترتب على ما ذكرناه وجه ثالث وهو كون التعريف لنيَّة الأفعال الواجبة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فنظم العبارة ليس بذلك 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رفع حَدَثٍ والواقع غيره فإن كان غلطاً صح وإلا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الغلط الواقع هنا في النية لا في اللفظ، ووجه الصحة حينئذٍ أنه قصد رفع المانع في الجملة ولكن غلط في تعيين سببه، وذلك لا يخلّ بكونه منويّاً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مع كون الغلط في اللفظ لافي القصد؛ لأنّ قصد رفع المانع في ضمن فرد مخصوص من أفراده وهو ليس بواقع في قوَّة عدم نية رفع المانع؛ لأنّ فيه </w:t>
      </w:r>
    </w:p>
    <w:p>
      <w:pPr>
        <w:pStyle w:val="BookText"/>
        <w:rPr/>
      </w:pPr>
      <w:r>
        <w:rPr>
          <w:rFonts w:ascii="Amiri" w:hAnsi="Amiri" w:eastAsia="Amiri" w:cs="Amiri"/>
          <w:color w:val="111111"/>
          <w:sz w:val="28"/>
          <w:sz w:val="28"/>
          <w:szCs w:val="28"/>
          <w:rtl w:val="true"/>
          <w:lang w:bidi="ar-SA"/>
        </w:rPr>
        <w:t>ماليس بواقع وهو متجه وإن كان الأوّل لا يخلو من قوَّة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نوى ما يُستحبُّ له كقراءة القرآن فالأقرب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الخلاف ما يستحبُّ له مع عدم كونها شرطاً فيه كالصلاة المندوبة فإنّ نيَّة استباحتها صحيحة بغير إشكال، ولعلَّ تمثيله بقراءة القرآن 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تقوى الصحة إذا نوى إيقاع ذلك على الوجه الكامل ليكون متوقفاً على الطهارة، أما مجرد استباحته فلا؛ لحصولها بدونه، فتكون نيته حينئذ غير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المصنف في كثير من كتبه </w:t>
      </w:r>
      <w:r>
        <w:rPr>
          <w:rStyle w:val="FootnoteAnchor"/>
          <w:rtl w:val="true"/>
        </w:rPr>
        <w:footnoteReference w:id="137"/>
      </w:r>
      <w:r>
        <w:rPr>
          <w:rFonts w:ascii="Amiri" w:hAnsi="Amiri" w:eastAsia="Amiri" w:cs="Amiri"/>
          <w:color w:val="111111"/>
          <w:sz w:val="28"/>
          <w:sz w:val="28"/>
          <w:szCs w:val="28"/>
          <w:rtl w:val="true"/>
          <w:lang w:bidi="ar-SA"/>
        </w:rPr>
        <w:t>بصحة نيَّة استباحته كذلك، ولعلّه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يُعقِّبَ كلّ عضو بالسابق عليه عند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للموالاة تفسيران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المتابعة بحسب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مراعاة الجفاف ومنهم من قيَّد وجمع </w:t>
      </w:r>
      <w:r>
        <w:rPr>
          <w:rStyle w:val="FootnoteAnchor"/>
          <w:rtl w:val="true"/>
        </w:rPr>
        <w:footnoteReference w:id="13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المتابعة اختياراً ومراعاة الجفاف اضطراراً </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الشارح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عندي إنّ هذا هو القول الأولى؛ لأنّ القائل به لا يحكم بالبطلان بمجرَّد الإخلال بالمتابعة مالم يجفّ البلل، فلم يبقَ لوجوبِ المتابعة معنى إلا ترتب الإثم على فواتها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للموالاة تفسيرات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المتابعة مطلقاً فإنْ أخل بها أثم ولم تبطل إلا بالجفاف، وهو مذهب المصنف</w:t>
      </w:r>
      <w:r>
        <w:rPr>
          <w:rStyle w:val="FootnoteAnchor"/>
          <w:rtl w:val="true"/>
        </w:rPr>
        <w:footnoteReference w:id="142"/>
      </w:r>
      <w:r>
        <w:rPr>
          <w:rFonts w:ascii="Amiri" w:hAnsi="Amiri" w:eastAsia="Amiri" w:cs="Amiri"/>
          <w:color w:val="111111"/>
          <w:sz w:val="28"/>
          <w:sz w:val="28"/>
          <w:szCs w:val="28"/>
          <w:rtl w:val="true"/>
          <w:lang w:bidi="ar-SA"/>
        </w:rPr>
        <w:t xml:space="preserve">وجماعة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الجفاف، وهو قول الأكثر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المتابعة مع الاختيار، فإن أخلّ بها بطل وضوؤه، ومع الاضطرار مراعاة الجفاف، وهو قول الشيخ في المبسوط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يظهر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أنّ الأقوال كلَّها ،له والمفيد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أطلق القول بأنّها المتابعة لكن لم يبين الحكم لو أخلَّ بها، هل تبطل بذلك كقول المبسوط </w:t>
      </w:r>
      <w:r>
        <w:rPr>
          <w:rStyle w:val="FootnoteAnchor"/>
          <w:rtl w:val="true"/>
        </w:rPr>
        <w:footnoteReference w:id="146"/>
      </w:r>
      <w:r>
        <w:rPr>
          <w:rFonts w:ascii="Amiri" w:hAnsi="Amiri" w:eastAsia="Amiri" w:cs="Amiri"/>
          <w:color w:val="111111"/>
          <w:sz w:val="28"/>
          <w:sz w:val="28"/>
          <w:szCs w:val="28"/>
          <w:rtl w:val="true"/>
          <w:lang w:bidi="ar-SA"/>
        </w:rPr>
        <w:t xml:space="preserve">أم بمراعاة الجفاف كالقول بالتفصيل؟ وإن كان ظاهره هو الأوّل، فتكون الأقوال حينئذٍ أربعة، ولكنّ التفاسير التي نقلها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مجملة والتفريع عليها أيضاً غير جيد؛ لأنه لم يفرع على قول الشيخ بالبطلان مع عدم المتابعة اختياراً، فلذلك ظهر للشارح المحقق </w:t>
      </w:r>
      <w:r>
        <w:rPr>
          <w:rStyle w:val="FootnoteAnchor"/>
          <w:rtl w:val="true"/>
        </w:rPr>
        <w:footnoteReference w:id="148"/>
      </w:r>
      <w:r>
        <w:rPr>
          <w:rFonts w:ascii="Amiri" w:hAnsi="Amiri" w:eastAsia="Amiri" w:cs="Amiri"/>
          <w:color w:val="111111"/>
          <w:sz w:val="28"/>
          <w:sz w:val="28"/>
          <w:szCs w:val="28"/>
          <w:rtl w:val="true"/>
          <w:lang w:bidi="ar-SA"/>
        </w:rPr>
        <w:t>أن التفصيل هو الأولى من حيث التفريع الآتي حيث شركهما في الإثم فقط ولم يذكر الإبطال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الاعتذار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بأنّ الإثم يحصل مع الإيطال أيضاً من حيث النهي عن إبطال العمل فاشترك التفسيران فيه وإن اختص أحدها بأمر آخر وهو الإبطال على بعض الوجوه</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القائل به لا يحكم بالبطلان بمجرد الإخلال</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فليس بجيّد، فإنّ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به </w:t>
      </w:r>
      <w:r>
        <w:rPr>
          <w:rStyle w:val="FootnoteAnchor"/>
          <w:rtl w:val="true"/>
        </w:rPr>
        <w:footnoteReference w:id="150"/>
      </w:r>
      <w:r>
        <w:rPr>
          <w:rFonts w:ascii="Amiri" w:hAnsi="Amiri" w:eastAsia="Amiri" w:cs="Amiri"/>
          <w:color w:val="111111"/>
          <w:sz w:val="28"/>
          <w:sz w:val="28"/>
          <w:szCs w:val="28"/>
          <w:rtl w:val="true"/>
          <w:lang w:bidi="ar-SA"/>
        </w:rPr>
        <w:t xml:space="preserve">، ونقله عن الشهيد في الذكرى </w:t>
      </w:r>
      <w:r>
        <w:rPr>
          <w:rStyle w:val="FootnoteAnchor"/>
          <w:rtl w:val="true"/>
        </w:rPr>
        <w:footnoteReference w:id="151"/>
      </w:r>
      <w:r>
        <w:rPr>
          <w:rFonts w:ascii="Amiri" w:hAnsi="Amiri" w:eastAsia="Amiri" w:cs="Amiri"/>
          <w:color w:val="111111"/>
          <w:sz w:val="28"/>
          <w:sz w:val="28"/>
          <w:szCs w:val="28"/>
          <w:rtl w:val="true"/>
          <w:lang w:bidi="ar-SA"/>
        </w:rPr>
        <w:t>، والمحقق في المعتبر</w:t>
      </w:r>
      <w:r>
        <w:rPr>
          <w:rStyle w:val="FootnoteAnchor"/>
          <w:rtl w:val="true"/>
        </w:rPr>
        <w:footnoteReference w:id="152"/>
      </w:r>
      <w:r>
        <w:rPr>
          <w:rFonts w:ascii="Amiri" w:hAnsi="Amiri" w:eastAsia="Amiri" w:cs="Amiri"/>
          <w:color w:val="111111"/>
          <w:sz w:val="28"/>
          <w:sz w:val="28"/>
          <w:szCs w:val="28"/>
          <w:rtl w:val="true"/>
          <w:lang w:bidi="ar-SA"/>
        </w:rPr>
        <w:t>، وحينئذٍ فتحرير الأقوال من الجميع غير جيد، وكذا تفريع الحاشية عليها</w:t>
      </w:r>
      <w:r>
        <w:rPr>
          <w:rFonts w:eastAsia="Amiri" w:cs="Amiri" w:ascii="Amiri" w:hAnsi="Amiri"/>
          <w:color w:val="111111"/>
          <w:sz w:val="28"/>
          <w:szCs w:val="28"/>
          <w:rtl w:val="true"/>
          <w:lang w:bidi="ar-SA"/>
        </w:rPr>
        <w:t xml:space="preserve">. </w:t>
      </w:r>
      <w:bookmarkStart w:id="58" w:name="pg10189_115927"/>
    </w:p>
    <w:p>
      <w:pPr>
        <w:pStyle w:val="Heading5"/>
        <w:numPr>
          <w:ilvl w:val="4"/>
          <w:numId w:val="1"/>
        </w:numPr>
        <w:rPr/>
      </w:pPr>
      <w:bookmarkStart w:id="59" w:name="__RefHeading___Toc2156362_1067777946"/>
      <w:bookmarkStart w:id="60" w:name="_Toc22"/>
      <w:bookmarkEnd w:id="58"/>
      <w:bookmarkEnd w:id="59"/>
      <w:r>
        <w:rPr>
          <w:rtl w:val="true"/>
        </w:rPr>
        <w:t xml:space="preserve">[ </w:t>
      </w:r>
      <w:r>
        <w:rPr>
          <w:rtl w:val="true"/>
        </w:rPr>
        <w:t>الفصل الثالث في أحكامه</w:t>
      </w:r>
      <w:r>
        <w:rPr>
          <w:rtl w:val="true"/>
        </w:rPr>
        <w:t>]</w:t>
      </w:r>
      <w:bookmarkEnd w:id="60"/>
    </w:p>
    <w:p>
      <w:pPr>
        <w:pStyle w:val="BookText"/>
        <w:rPr/>
      </w:pP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وذو الجبيرةِ يَنْزِعُها مع المُكنة أو يُكَوِّرُ المَاءَ حَتَّى يَصِلَ إلى البَشَرَةِ، فإن تعذرا 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يَتَخَيَّر كذلك إذا كانتْ في محلّ الغَسل؛ أما لو كانتْ في محل المشح وجب نزعُها مع الإمكان مطلقاً، وإلّا مَسَحَ عليها إن كانت طاهرةً أو وَضَع عليها طاهراً ومَسَحَ عليه إنْ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يُجْزِىء في الغُسْل بعد طهارتها إن كانت البشرة مع جريانه عليها على الوجه المعتبر في الغُسْل بعد طهارتها إن كانت 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تجدَّد حَدَثهما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المبطون مع تجدد حَدَثه في أثناء الصلاة يتطهر ويبني عليها مالم يفعل منافياً غير الطهارة؛ هذا إذا لم يكن له فترة تسع الصلاة وإلا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والسَلَسُ كالمبطون في الأخير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تيقنهما مُتَّحِدَين متعاقِبَين وشكّ في المتأخّر؛ فإن لم يعلم حاله قَبْلَ زمانهما تطهر وإلا استصحبه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الشهيد رحمه الله في حاشيته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بالاستصحاب التلازم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البناء على الأول</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هذا المعنى غير واضح في إطلاق لفظ الاستصحاب، بل الأولى في وجه تجوّزه أنّ حقيقته الحكم بنفس السابق من طهارة 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من الحكم على </w:t>
      </w:r>
    </w:p>
    <w:p>
      <w:pPr>
        <w:pStyle w:val="BookText"/>
        <w:rPr/>
      </w:pPr>
      <w:r>
        <w:rPr>
          <w:rFonts w:ascii="Amiri" w:hAnsi="Amiri" w:eastAsia="Amiri" w:cs="Amiri"/>
          <w:color w:val="111111"/>
          <w:sz w:val="28"/>
          <w:sz w:val="28"/>
          <w:szCs w:val="28"/>
          <w:rtl w:val="true"/>
          <w:lang w:bidi="ar-SA"/>
        </w:rPr>
        <w:t xml:space="preserve">تقدير تحقق الوصفين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بمثل السابق منهما، فكان ذلك لازم الاستصحاب فأطلق الملزوم وأراد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استعمال هذه اللفظة في هذه المسألة أنّ بعض العامة </w:t>
      </w:r>
      <w:r>
        <w:rPr>
          <w:rStyle w:val="FootnoteAnchor"/>
          <w:rtl w:val="true"/>
        </w:rPr>
        <w:footnoteReference w:id="154"/>
      </w:r>
      <w:r>
        <w:rPr>
          <w:rFonts w:ascii="Amiri" w:hAnsi="Amiri" w:eastAsia="Amiri" w:cs="Amiri"/>
          <w:color w:val="111111"/>
          <w:sz w:val="28"/>
          <w:sz w:val="28"/>
          <w:szCs w:val="28"/>
          <w:rtl w:val="true"/>
          <w:lang w:bidi="ar-SA"/>
        </w:rPr>
        <w:t>كان يذهب إلى الحكم باستصحاب الحالة السابقة عليهما حقيقةً؛ نظراً إلى تساقط الواقع من الطهارة والحَدَث بتعارضهما، فنزلا منزلة المعدوم ورجع إلى السابق منهما فاستعمل المصنّف تلك العبارة مع عدم ذهابه إلى ذلك الحكم، فحصل التجوّز وافتقر إلى تكلُّف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حكاه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الحاشية </w:t>
      </w:r>
      <w:r>
        <w:rPr>
          <w:rStyle w:val="FootnoteAnchor"/>
          <w:rtl w:val="true"/>
        </w:rPr>
        <w:footnoteReference w:id="155"/>
      </w:r>
      <w:r>
        <w:rPr>
          <w:rFonts w:ascii="Amiri" w:hAnsi="Amiri" w:eastAsia="Amiri" w:cs="Amiri"/>
          <w:color w:val="111111"/>
          <w:sz w:val="28"/>
          <w:sz w:val="28"/>
          <w:szCs w:val="28"/>
          <w:rtl w:val="true"/>
          <w:lang w:bidi="ar-SA"/>
        </w:rPr>
        <w:t xml:space="preserve">عن بعض العامة </w:t>
      </w:r>
      <w:r>
        <w:rPr>
          <w:rStyle w:val="FootnoteAnchor"/>
          <w:rtl w:val="true"/>
        </w:rPr>
        <w:footnoteReference w:id="156"/>
      </w:r>
      <w:r>
        <w:rPr>
          <w:rFonts w:ascii="IRNazanin" w:hAnsi="IRNazanin" w:eastAsia="IRNazanin"/>
          <w:color w:val="111111"/>
          <w:sz w:val="28"/>
          <w:sz w:val="28"/>
          <w:szCs w:val="28"/>
          <w:rtl w:val="true"/>
          <w:lang w:bidi="fa-IR"/>
        </w:rPr>
        <w:t xml:space="preserve">من الأخذ بضدِّ ما علمه فهو قول لبعض علمائنا </w:t>
      </w:r>
      <w:r>
        <w:rPr>
          <w:rStyle w:val="FootnoteAnchor"/>
          <w:rtl w:val="true"/>
        </w:rPr>
        <w:footnoteReference w:id="157"/>
      </w:r>
      <w:r>
        <w:rPr>
          <w:rFonts w:ascii="Amiri" w:hAnsi="Amiri" w:eastAsia="Amiri" w:cs="Amiri"/>
          <w:color w:val="111111"/>
          <w:sz w:val="28"/>
          <w:sz w:val="28"/>
          <w:szCs w:val="28"/>
          <w:rtl w:val="true"/>
          <w:lang w:bidi="ar-SA"/>
        </w:rPr>
        <w:t>، ومال إليه المحقق في المعتبر</w:t>
      </w:r>
      <w:r>
        <w:rPr>
          <w:rStyle w:val="FootnoteAnchor"/>
          <w:rtl w:val="true"/>
        </w:rPr>
        <w:footnoteReference w:id="158"/>
      </w:r>
      <w:r>
        <w:rPr>
          <w:rFonts w:ascii="Amiri" w:hAnsi="Amiri" w:eastAsia="Amiri" w:cs="Amiri"/>
          <w:color w:val="111111"/>
          <w:sz w:val="28"/>
          <w:sz w:val="28"/>
          <w:szCs w:val="28"/>
          <w:rtl w:val="true"/>
          <w:lang w:bidi="ar-SA"/>
        </w:rPr>
        <w:t xml:space="preserve">، وهو قول جيد إنْ ثبت كون الأحداث من قبيل المعرّفات ولا تأثير للاحق منها بمثله، حيث حصل التعريف بالسابق ليترتب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سبق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تأثير الحَدَث المفروض غير معلوم ؛ لجواز معاقبة الحدث السابق، وتأثير الطهارة في رفع الحَدَث معلوم فيؤخذ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كلّ واحد من الأحداث سبب فى الطهارة وإنْ ،تعاقبت، ولا يضر تعدُّد الأسباب، وينبه عليه حكمهم بصحة رفع الثاني ويرتفع 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شبهة في أن المكلّف بعد هذا الحَدَث بلافصل على حاله يمنع من الدخول في الصلاة، فأثر الحَدَث بضده معلوم كأثر الطهارة بعدها فتكافا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فالحكم بلزوم الطهارة في غير ما فرضه المصنف مطلقاً أقوى، وهو أشكل فروض المسألة لا ما اقتصر عليه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ترك غَسْل أحد المخرجين وصلّى أعاد الصلاة خاصة، وإن كان ناسياً أو جاهلاً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زوائد الكتاب إلى قوله معترضاً على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مذهبه إعادة جاهل النّجاسة في الوقت صدق عليه الإعادة في الجملة فلا يضر إدخاله، غايته أنّ المعطوف عليه يعيد مطلقاً، وهذا يعيد في الوقت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أدخله يكون قد استعمل الإعادة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الوقت وخارجه، والثاني فيه خاصةً ولا يجوز استعمال المشترك في المعنيين معاً خصوصاً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للإعادة في اصطلاح الأصوليين 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ثانياً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خلل في الأوّل، وما فعل ثانياً مطلقاً، وهو المراد من الإعادة في العبارة حيث أوجبها على العامد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أدخل الجاهل بالنجاسة في اللفظ، وأراد الإعادة بالمعنى الأول لم يتم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أراد الثاني تناولت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ينافي مذهبه، وإن أراد المعنيين معاً حصل الالتباسُ على تقدير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غايته أنّ المعطوف عليه يعيد مطلقاً</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يريد به العامد والناسي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يعيد في الوقت</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يريد به الجاهل من غير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مع إطلاقه يشمل جاهل الأصل والحكم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منهما حكمه حكم العامد، فلا يتوجه أنّ المعطوف حينئذ يعيد في الوقت بل ينقسم إلى قسمين فتختل العبارة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والأولى أن يقال في توجيه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 مذهب المصنّف إعادة العامدِ والناسي وجاهل الحكم مطلقاً وجاهل الأصل في الوقت، قيد الجاهل بالحكم؛ ليخرج الجاهل بالأصل حذراً من دخوله في الإطلاق المنافي لإطلاق الحكم بالإعادة وإطلاق المحقق له محمول على ما قيَّده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بناءً على ما علم من مذهبه من عدم إعادة الجاهل بالأصل مطلقاً، وقد صرّح به في باب النجاسات </w:t>
      </w:r>
      <w:r>
        <w:rPr>
          <w:rStyle w:val="FootnoteAnchor"/>
          <w:rtl w:val="true"/>
        </w:rPr>
        <w:footnoteReference w:id="162"/>
      </w:r>
      <w:r>
        <w:rPr>
          <w:rFonts w:ascii="Amiri" w:hAnsi="Amiri" w:eastAsia="Amiri" w:cs="Amiri"/>
          <w:color w:val="111111"/>
          <w:sz w:val="28"/>
          <w:sz w:val="28"/>
          <w:szCs w:val="28"/>
          <w:rtl w:val="true"/>
          <w:lang w:bidi="ar-SA"/>
        </w:rPr>
        <w:t xml:space="preserve">أو لما ذكره الشهيد في الحاشية </w:t>
      </w:r>
      <w:r>
        <w:rPr>
          <w:rStyle w:val="FootnoteAnchor"/>
          <w:rtl w:val="true"/>
        </w:rPr>
        <w:footnoteReference w:id="163"/>
      </w:r>
      <w:r>
        <w:rPr>
          <w:rFonts w:ascii="Amiri" w:hAnsi="Amiri" w:eastAsia="Amiri" w:cs="Amiri"/>
          <w:color w:val="111111"/>
          <w:sz w:val="28"/>
          <w:sz w:val="28"/>
          <w:szCs w:val="28"/>
          <w:rtl w:val="true"/>
          <w:lang w:bidi="ar-SA"/>
        </w:rPr>
        <w:t xml:space="preserve">من العذرين والثاني منهما مناسب لمذهب المحقق </w:t>
      </w:r>
      <w:r>
        <w:rPr>
          <w:rStyle w:val="FootnoteAnchor"/>
          <w:rtl w:val="true"/>
        </w:rPr>
        <w:footnoteReference w:id="164"/>
      </w:r>
      <w:r>
        <w:rPr>
          <w:rFonts w:ascii="Amiri" w:hAnsi="Amiri" w:eastAsia="Amiri" w:cs="Amiri"/>
          <w:color w:val="111111"/>
          <w:sz w:val="28"/>
          <w:sz w:val="28"/>
          <w:szCs w:val="28"/>
          <w:rtl w:val="true"/>
          <w:lang w:bidi="ar-SA"/>
        </w:rPr>
        <w:t>، فإنه أطلق الإعادة على العامد والناسي والجاهل الشامل للوقت وخارجه، مع أن مذهبه عدم إعادة الجاهل الأصل مطلقاً</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بإعادته مطلقاً، فكان إطلاقه الجاهل مخصوصاً بجاهل الحكم، كما قيده المصنف، وكيف كان فتقييد المصنّف له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بذلك أنّ الفائدتين اللتين ذكرهما يصلحان لعبارة الشرائع </w:t>
      </w:r>
      <w:r>
        <w:rPr>
          <w:rStyle w:val="FootnoteAnchor"/>
          <w:rtl w:val="true"/>
        </w:rPr>
        <w:footnoteReference w:id="166"/>
      </w:r>
      <w:r>
        <w:rPr>
          <w:rFonts w:ascii="Amiri" w:hAnsi="Amiri" w:eastAsia="Amiri" w:cs="Amiri"/>
          <w:color w:val="111111"/>
          <w:sz w:val="28"/>
          <w:sz w:val="28"/>
          <w:szCs w:val="28"/>
          <w:rtl w:val="true"/>
          <w:lang w:bidi="ar-SA"/>
        </w:rPr>
        <w:t>لا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الإخلال من طهارتين أعاد أربعاً صبحاً ومغرباً وأربعاً مرتين والمسافر يجتزئ بالثنائيتين والمغرب بينهما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أوجب في الحاضر رباعيتين؛ لجواز فَسادِ طهارتي رباعيتين، وأوجب الصبح والمغرب لاحتمال فَساد طهارتهما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طهارة 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توسّط المغرب بين الرباعيتين؛ محافظةً على الترتيب؛ لجواز فساد طهارتي المغرب والعشاء، </w:t>
      </w:r>
    </w:p>
    <w:p>
      <w:pPr>
        <w:pStyle w:val="BookText"/>
        <w:rPr/>
      </w:pPr>
      <w:r>
        <w:rPr>
          <w:rFonts w:ascii="Amiri" w:hAnsi="Amiri" w:eastAsia="Amiri" w:cs="Amiri"/>
          <w:color w:val="111111"/>
          <w:sz w:val="28"/>
          <w:sz w:val="28"/>
          <w:szCs w:val="28"/>
          <w:rtl w:val="true"/>
          <w:lang w:bidi="ar-SA"/>
        </w:rPr>
        <w:t xml:space="preserve">فلابد من تأخُر رباعية أو أحدى المتقدّمتين الظهر أو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مغرباً، ثُم رباعية متردّدةً بين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وجب إدخال العصر مع الثانية ولم يُكتف بها مع الأولى؛ لجواز فسادِ طهارتي الظهر والعصر، فتقع الأولى للظهر، وإنّما وجب إدخالها مع الأولى أيضاً؛ لجواز فساد طهارتي العصر والعشاء، فتقع الأولى للعصر والثانية للعشاء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اجتزأ المسافر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ثنائيتين ومغرب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لتماثل ما عدا المغرب عدداً، والعلم بعدم الزيادة عن فريضتين، ويجب توسط المغرب بينهما؛ لجواز كون الواجب كلّ واحد من الثلاث التي قبلها، أو هي ،والعشاء فيصلّي ثنائيةً يطلق فيها بين الصبح والظهر والعصر، ثُمّ مغرباً، ثُمّ ثنائية يطلق فيها بين الظهر والعصر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وجب الإطلاق الثلاثي هنا لجواز فوات الصبح والظهر، فتقع الأولى عن الصبح فلابد من التعرّض في الثانية إلى الظهر حتى ينصرف إليها على ذلك التقدير، وكذا ما بعدها على وجه يصح على جميع الاحتمالات، وهو متحقق على الوجه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إن كان في وقت المغرب والعشاء يجب عليه نية الأداء في المغرب والجمع بينه وبين القضاء القضاء في الرباعيَّة الثانية ويتحتّم القضاء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الجهر والإخفات فما تعيَّنت لحقها حكمها فيهما، وما أُطلِقت بين متفقي الحكم يبقي حكمها، وبين مختلفين يتخيَّر أيَّهما شاء وكذا الحكم في جميع المسائل السابقة والآتية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جواز إطلاق النيّة فيهما ،والتعيين، فيأتي بثالثة، ويتخير بين تعيين الظهر أو العصر أو العشاء فيطلق بين الباقيتين مراعياً للترتيب، وله الإطلاق الثنائي فيكتفي بالمرتين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بالأقربيّةِ إلى الخلافِ الواقع فيمن فاتته فريضةً مجهولة، فإنّه هل يجزيه إطلاق النية بين كلّ متماثلين عدداً، أم لا بُدَّ من تعيين الفريضة فيصلّي مَنْ فاته بعض الخمس الخمس ؟ ورجّح المصنف جواز الإطلاق، لحصول البراءة، وأصالة عدم وجوب </w:t>
      </w:r>
    </w:p>
    <w:p>
      <w:pPr>
        <w:pStyle w:val="BookText"/>
        <w:rPr/>
      </w:pPr>
      <w:r>
        <w:rPr>
          <w:rFonts w:ascii="Amiri" w:hAnsi="Amiri" w:eastAsia="Amiri" w:cs="Amiri"/>
          <w:color w:val="111111"/>
          <w:sz w:val="28"/>
          <w:sz w:val="28"/>
          <w:szCs w:val="28"/>
          <w:rtl w:val="true"/>
          <w:lang w:bidi="ar-SA"/>
        </w:rPr>
        <w:t>الزائد والتعيين؛ لحصول البَراءَة به كذلك، فكانا طريقين إلى بَراءَة الذمة فيتخيَّر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النصُّ </w:t>
      </w:r>
      <w:r>
        <w:rPr>
          <w:rStyle w:val="FootnoteAnchor"/>
          <w:rtl w:val="true"/>
        </w:rPr>
        <w:footnoteReference w:id="168"/>
      </w:r>
      <w:r>
        <w:rPr>
          <w:rFonts w:ascii="Amiri" w:hAnsi="Amiri" w:eastAsia="Amiri" w:cs="Amiri"/>
          <w:color w:val="111111"/>
          <w:sz w:val="28"/>
          <w:sz w:val="28"/>
          <w:szCs w:val="28"/>
          <w:rtl w:val="true"/>
          <w:lang w:bidi="ar-SA"/>
        </w:rPr>
        <w:t>بجواز الإطلاق فيمن نسي فريضةً مجهولة من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الطريق واحد، وتخيل عدم جواز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جواز التردُّد في النيَّة مع إمكان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بمدعاه لعدم الجزم عند نيَّة كلّ فريضة أنّها الواجبة، ونمنع اشتراط الجزم مطلقاً حيث يكون للمكلَّف طريق إليه هاهنا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بعدم جواز الخمس مع التعيين؛ لما فيه من زيادة التردّد، والواجب الاقتصار منه على قدر الحاجة، وبشاهد النص السابق، وكلاهما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جواز إطلاق الجميع وتعيينه جواز تعيين بعض وإطلاق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وعبارة المصنّف يمكن أخذ الاحتمالات الثلاثة منها ،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جواز إطلاق النية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القسم الأول، والتعيين إشارة إلى الثاني، ويمكن كون الجميع 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يطلق فيهما ويعين معاً بجعل الواو بمعنى مع وسياق العبارة يدلُّ</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عوده إلى الأقرب وهو ثنائية المسافر، وإلى القريب وهو رباعيّةُ الحاضر، بقرينة ويتخيّر بين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إذ لو أراد المسافر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 الصبح والظهر إلى آخره، وإلى الحاضر والمسافر 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الأوّل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العبارة الإشارة إلى قسمى الإطلاق خاصةً والتعيين خاصةً، فحكمُ الإطلاق ذكرناه في المسألة السابقة والتعيين ظاهر، وكذا إن كان المراد الثاني، وهو باعتبار الحاضر والثالث يعلم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فيأتي بثالثة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صورة التعيين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في المسافر؛ لأنّ له أربع صلوات متماثلات وأي اثنتين عينهما احتمل أن يكون الفاسد الباقيتين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واعتذر بعضهم بأنّ المراد بالثالثة الثالثة المجزية وهي في قوة الرابعة لا الثالثة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البعد، وينافيه 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 الظهر أو العصر أو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معنى للتخيير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المراد الاحتمال الثالث خاصةً، وهو الإطلاق والتعيين في صورة واحدة حتى يسلم من ذلك، ولكن يشكل إرادة ثنائيتي المسافر من جهة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ويتخيَّر بين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قلناه فإنّه كان ينبغي أن يتخيَّر بين تعيين الصبح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بأنّ ذكر البعض غير مخصص ليس بجيّد؛ لأن الكلام في السكوت عنها مع دخولها في الحكم الموجب للإبهام لافي خروجها، وعوده إلى رباعيتي الحاضر يشكل أيضاً من جهة أخرى، وهي عدم الفائدة في الإطلاق حينئذ إذا أتى بثالثة؛ لأنه لا يكون إلّامع زيادة ما في الذمة عن عدد 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الأمران متساويان ويترتب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فيطلق في الباقيتين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عيّن الظهر مثلاً بقي في ذِمَّته عصر وعشاء وقد أوجب عليه رباعيتين فلا وجه للإطلاق، وإن أراد الثالث وهو عوده إلى الحاضر والمسافر معاً ورد عليه ماورد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عوده إلى رباعيتي الحاضر أسلم عن الطعن وبقرينة ويتخيَّر بين الظهر أو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ويبقي الكلام في الإطلاق، فإنّه وإن لم تكن فائدة من تلك الجهة التي ذكرت لكن يمكن أن يكون ذلك إشارة إلى جوازه من حيث عدم تحقق ما في الذمة من الفرائض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السيد عميد الدين عبر في شرحه عن أصل الإطلاق بما لافائدة فيه، فإنّه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كل واحدة من الرباعيتين وعنى به حالة إطلاقهما من غير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أربع ركعات عمّا في ذمّتي إن ظهراً فظهراً وإن عصراً فعصراً وإن عشاء فعشاء، والمسافر يقول في كلِّ 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ركعتين عمّا في ذِمَّتي إن صبحاً فصيحاً وإن ظهراً فظهراً وإن عصراً فعصراً وإن عشاء فعشاء</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عبارته ولا وجة لذكر الفريضة الأولى في الإطلاق الثاني، ولا للأخيرة في الأوّل، ولا للثانية في الثالث ،وهكذا على أنا يمكننا توجيهها بوجه أقرب من هذا، وهو أنه إذا عيَّن الظهر مثلاً يصلي رباعية أُخرى يطلق فيها بين العصر والعشاء، ثم يصلي المغرب، ثمّ العشاء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ذكر العشاء مع العصر إمكان كون الفاسد الظهر والعشاء، فيكون في ذكرها تعجيل لبراءة الذمة من الصلاة، وهذه الفائدة كافية في جواز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الرباعية الثانية فلما لم يكن في إطلاقها فائدة عينها للعشاء، ولا ينافي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تعيين أحد الثلاث ويطلق بين الباقيتين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على ما قررناه يكون المراد بالباقيتين الباقيتين من الخمس لا الرباعيتين اللتين أمر بفعلهما، فإذا أطلق في مثالنا بالرباعية الثانية بين العصر والعشاء فقد أطلق بين الباقينين، فيصنع بالرباعية الأخرى ما يريد؛ لعدم ذكره لها يقيناً، لكنّ العلة التي ذكرناها في الإطلاق من تعجيل براءة الذمة آتية في غير هذه الصورة، فينبغي مثلاً عند اختيار إطلاق الرباعيتين معاً في المسألة أنْ يطلق في الأُولى بين الظهر والعصر والعشاء، وبعد المغرب يطلق في الثانية بين العصر والعشاء؛ لجواز فَساد طهارتي الصبح والعشاء، فيحصل بذكرها الفائدة التي أشرنا إليها، وكذا القول في غيرها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وجه حسن لم يتعرَّضوا له ومن تعرَّض للإطلاق ذكر مالا فائدة فيه، كما تلوناه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ونرجع إلى تمام الوجه،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 الظهر أو أطلق في الرباعية الثانية بين العصر ،والعشاء، ثُمّ عيَّن العشاء في الثالثة كما قلناه، وإن عيَّن العصر صلّى بعد الصبح رباعية يطلق فيها بين الظهر والعشاء، ثُمّ صلّى العصر معيَّنة، ثُمّ بعد المغرب عشاء معيَّنة وهي الرباعية الثالثة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وفائدة العشاء حينئذٍ تعجيل قضائها لو كانت مع الصبح وإن اختار تعيين العشاء صلّى بعد الصبح رباعيَّة مطلقة بين الظهر والعصر، ثُمّ أُخرى بين العصر والعشاء، ثُمّ </w:t>
      </w:r>
    </w:p>
    <w:p>
      <w:pPr>
        <w:pStyle w:val="BookText"/>
        <w:rPr/>
      </w:pPr>
      <w:r>
        <w:rPr>
          <w:rFonts w:ascii="Amiri" w:hAnsi="Amiri" w:eastAsia="Amiri" w:cs="Amiri"/>
          <w:color w:val="111111"/>
          <w:sz w:val="28"/>
          <w:sz w:val="28"/>
          <w:szCs w:val="28"/>
          <w:rtl w:val="true"/>
          <w:lang w:bidi="ar-SA"/>
        </w:rPr>
        <w:t>يصلي العشاء معيَّنةً بعد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قلناه، له أن يطلق فى الأولى بين الظهر والعصر والعشاء تعجيلاً لبراءة الذِمَّة لجواز فواتها مع الصبح ، وفي الثانية بين العصر والعشاء؛ لجواز فسادها مع الظهر، وتعيين العشاء أخيراً؛ لعدم الفائدة ولإمكان فسادها مع المغرب وجب 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يصدق الإطلاق بين الباقيتين كما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المسافر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عيَّن الصبحَ صلّى بعدها الثنائية الثانية وأطلقها بين الظهر والعصر، ثمّ يصلّي المغرب، ثمّ يصلّي ثنائية يطلق فيها بين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وجب ذكر العصر؛ لجواز فَساد الظهر والعصر فوقعت الثنائية الثانية للظهر وهذه للعصر، وإنّما أخَّرت إلى بعد المغرب لمكان العشاء؛ لاحتمال أن يكون الفاسد المغرب والعشاء، وله إضافة العشاء إلى الثنائية الثانية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تعيين الظهر صلّى ثنائيّةً يطلق فيها بين الصبح والعصر، ثمّ صلّى الظهر معيَّنةً، ثمّ ،المغرب، ثمّ الثنائية الثالثة يطلق فيها بين العصر والعشاء؛ وإنّما وجب ذكر العصر في الثنائية الأولى؛ لجواز أن يكون العصر الأولى الفائتة فيتعجل القضاء، وإن كان الفاسد الظهر والعصر مثلاً كانت العصر المطلوبة في نفس الأمر ما ذكرت مع العشاء؛ لوجوب الترتيب، ولا تأتي الفائدة المتقدمة في إضافة العشاء إلى الثنائية الأولى هنا؛ لعدم إمكان كونها أولى الباقيتين، بل لا بُدَّ أنْ تكون الثانية فترتب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تعيين العصر صلّى ثنائيةً يطلق فيها بين الصبح والظهر، ثمّ يصلّي العصر معيَّنة، ثمّ المغرب، ثمّ ثنائيّة يطلق فيها بين الظهر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يُعلم ممّا سلف</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اختار العشاء صلّى ثنائية يطلق فيها بين الصبح و الظهر والعصر، ثمّ أُخرى بين الظهر والعصر والعشاء ولا يضرُّ ما يأتي من العشاء المعيَّنة؛ لجواز كون الفائت الصبح أو الظهر أو العصر أو العشاء فيحصل التعجيل، ثمّ يصلي المغرب، ثمّ العشاء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الجهر والإخفات ما أسلفناه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الترك من طهارتين فى يومين فإن ذكر التفريق صلّى عن كلّ يوم ثلاث صلوات؛ وإن ذكر جمعهما في يوم واشتبه صلّى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ذكر التفريق يكون الحكم كما سلف </w:t>
      </w:r>
      <w:r>
        <w:rPr>
          <w:rStyle w:val="FootnoteAnchor"/>
          <w:rtl w:val="true"/>
        </w:rPr>
        <w:footnoteReference w:id="171"/>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تطهر وصلّى وأحْدَثَ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غير أنه هناك يقع الشكُ في طهارة يوم وهاهنا في يومين، وإنما أتى به ليفرع عليه مسألة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الثلاث مخصوص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العصر فعن كلّ يوم اثنتين ووجه صلاته أربعاً مع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جمعهما 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 ولا فائدة في إعادته مع اتحاد اليومين حكماً؛ لذكره صورتي السفر والحضر، بل ذكر المصنّف له فائدتين إحداهما مع اختلافهما حكماً إما يكون أحدهما سفراً والآخر حضراً، أو أحدهما أحدهما والآخر مخيَّراً في تمامه و تقصيره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الاختلاف الأوّل يزيد ثنائيّةً مع الأربع؛ لجواز كون العشاء من يوم السفر لرباعيتين أو إحدى الرباعيات مع الصبح؛ فيصلّي أولاً ثنائية يطلق فيها بين الصبح والظهر وله إضافة العصر، ثمّ يصلِّي رباعيّةً يطلقها بين الظهر والعصر، ثمّ يصلّي المغرب، ثمّ ثنائية يطلقها بين الظهر والعصر والعشاء، ثمّ رباعيَّة مطلقة بين العصر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ترتيب بين الثنائيتين والرباعيتين وإن كان اختلافهما بكون أحد اليومين تماماً والآخر مخيَّراً، فإن اختار التمام فعن كل يوم ثلاث صلوات، وإن اختار القصر فكما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سفراً والآخر مخيَّراً، فإن اختار التمام فظاهر، أو القصر فعن كلِّ يوم فريضتين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اختياره في المخيّر يحتمل أن يراد به وقت الفعل الأول الواقع أداءً، فمتى علم وقت القضاء أنّه كان وقت الأداء يتخيَّر القصر أو التمام لزمه حكمه، وهو الذي فهمه بعض الأفاضل </w:t>
      </w:r>
      <w:r>
        <w:rPr>
          <w:rStyle w:val="FootnoteAnchor"/>
          <w:rtl w:val="true"/>
        </w:rPr>
        <w:footnoteReference w:id="172"/>
      </w:r>
      <w:r>
        <w:rPr>
          <w:rFonts w:ascii="Amiri" w:hAnsi="Amiri" w:eastAsia="Amiri" w:cs="Amiri"/>
          <w:color w:val="111111"/>
          <w:sz w:val="28"/>
          <w:sz w:val="28"/>
          <w:szCs w:val="28"/>
          <w:rtl w:val="true"/>
          <w:lang w:bidi="ar-SA"/>
        </w:rPr>
        <w:t xml:space="preserve">، وفرّع عليه أنه لوشك فيما تخيّر وجب عليه الخمس؛ أخذاً بالاحتياط </w:t>
      </w:r>
    </w:p>
    <w:p>
      <w:pPr>
        <w:pStyle w:val="BookText"/>
        <w:rPr/>
      </w:pPr>
      <w:r>
        <w:rPr>
          <w:rFonts w:ascii="Amiri" w:hAnsi="Amiri" w:eastAsia="Amiri" w:cs="Amiri"/>
          <w:color w:val="111111"/>
          <w:sz w:val="28"/>
          <w:sz w:val="28"/>
          <w:szCs w:val="28"/>
          <w:rtl w:val="true"/>
          <w:lang w:bidi="ar-SA"/>
        </w:rPr>
        <w:t xml:space="preserve">ويحتمل أنّ المراد به وقت القضاء؛ بناءً على أنّ مافات من الصلوات في أماكن التخيير يتخيَّر في قضائه، وهنا ما فسد طهارته من الصلوات فقد فاتت في الأماكن الثانية في تقديم فائتة اليوم على حاضرته كما هو مذهب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وتوضيحه أنّه مع القول بعدم وجود تقديم فائتة اليوم أو الفائتة مطلقاً على الحاضرة، وذَكَر فَساد الطهارتين في وقت المغرب والعشاء، فإنه يصلي المغرب والعشاء مُعَیَنَتَيْن أداءً، ثمّ يقضي ما تقدَّم على وجهه ولا يتغيّر العدد، وإن أوجبنا تقديم فائتة اليوم على حاضرته فلابُدَّ أنْ يصلي الصبح أولاً ثمّ الرباعية المذكورة والثنائية، حيث تكونان معرفتين؛ لجواز كون الفاسد مافات وقته فيُقضى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الفائدة توجد مع التماثل والاختلاف، ووجهها يعلم ممّا سبق، غير أنه يزيد في الرباعية التي يذكر معها العشاء التردُّد بين الأداء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ففرضها في ثلاث 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تماماً، فيصلي الصبح، ثم رباعيّةً يطلق فيها بين الظهر والعصر قضاءً، ثمّ مغرباً يردّدها بين الأداء والقضاء، ثمّ رباعيّة يطلق فيها بين العصر قضاءً والعشاء أداءً وقضاء؛ لاحتمال كونها للماضي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قصراً، فيصلي ثنائيةً يطلق فيها بين الصبح والظهر والعصر قضاء، ثمّ يصلّى المغرب مردّدة بين الأداء والقضاء، ثمّ ثنائيةً مطلقة بين الظهر والعصر والعشاء مردّدة بين الأداء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مختلفين، فيصلي ثنائيةً مطلقة بين الصبح والظهر والعصر قضاء، ثمّ رباعيّةً مطلقة الظهر والعصر قضاءً، ثمّ مغرباً أداءً وقضاء، ثم ثنائية مطلقة بين الظهر والعصر والعشاء مردّدة بين الأداء والقضاء، ثمّ رباعية مطلقة بين العصر والعشاء مردّدة بين الأداء والقضاء أيضاً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على تقدير جهله في وقت العشاء بحكمه فيها من القصر والتمام، بأن يجهل كونه فى أوّل وقتها كان مسافراً سفراً يوجب القصر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سهل مع اعتبار وقت الوجوب في القصر والتمام، أما لو اعتبرنا وقتَ الأداء فأمره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أنّ جعل اليومين ظرفاً للطهارتين لا ينافي كونَ اليوم ظرفاً لهما، فإنّ الظرف الزماني للفعل لا تشترط فيه المطابقة بمقدار الفعل فيصح أن يقال لما وقع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صح تقسيم المصنف حكم الطهارتين الواقعتين في يومين إلى ذكر تفريقهما وجمعهما في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الخمس بثلاث طهارات، فإن جمع بين الرباعيتين بطهارة صلّى أربعاً ،صبحاً ومغرباً، وأربعاً مرتين، والمسافر يجتزئ بثنائيتين والمغرب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وجب أربع مرتين مع الجمع بين رباعيتين؛ لإمكان كون الحَدَثِ بعد طهارتهما فيفسدان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عدم الجمع فلا يمكن بطلان ،رباعيّتين، ثمّ مع جمعه بين الرباعيتين إما أن يعلم كيفية الجمع أم لا، فإن علم كيفيته فله 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الصبح بطهارة، ثمّ الظهرين بطهارة، ثمّ العشاءين بطهارة، وهاهنا إن كان الفساد متعلقاً بالظهرين لم يتعلق بغيرهما، فلا يجب تقديم الصبح في قضاء الأربع المذكورة، بل يجب أن يصلّي بعد المغرب رباعيّة؛ لجواز فساد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يصلّي أربعاً مردّدةً بين الظهر والعصر، وصبحاً، ثمّ مغرباً، أربعاً مردّدة بين العصر والعشاء؛ وأن يصلّي المغرب أوّلاً والصبح أخيراً ويُوَسّط الرباعيتين بالترديد المقرر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الصبح والظهرين بطهارة وكلُّ واحدة من المغرب والعشاء بطهارة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وهاهنا يجب أن يصلّي الصبح مثل الرباعيتين؛ لأنّ فَسادها مستلزم لفَسادها فيقدّم في القضاء، ويجوز أن يصلي المغرب قبل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في إطلاق الرباعيّتين ،هاهنا، بل يُعيّن الأولى للظهر، ويُطلق الثانية بين العصر والعشاء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الصبح بطهارة، ثمّ الظهرين والمغرب بطهارة، ثمّ العشاء بطهارة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يجب تأخير المغرب عن الرباعيتين، ويتخيّر في وضع الصبح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المغرب فلعدم إمكان فَسادها وفساد العشاء فلا ترتيب بينهما، وأما الصبح فعلى تقدير فَسادها يختصّ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الصبح بطهارة، والظهر بطهارة، ثمّ الباقي بطهارة فيتخيَّر في الصبح أيضاً، ويجب توسط المغرب بين الرباعيتين،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ولولم يعلم كيفية الجمع بين الرباعيتين فلابُدَّ من الخَمس؛ لجواز وقوع الأولى فيجب بعد المغرب رباعية، ووقوع الثالثة فيجب تقديم رباعيتين عليها، ولابد من الصبح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البَراءةِ موقوف على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اكتفى بالثلاث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إذا علم أنه لم يجمع بين رباعيتين مع صلاة الخمس بثلاث طهارات وله صورتان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الصبح والظهر بطهارة، ثم العصر والعشائين بطهارة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الصبح والظهر بطهارة، ثمّ العصر والمغرب بطهارة، ثم العشاء بطهارة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علمه بالحال إن كان الواقع الصورة الأولى يجب تقديم الصبح والمغرب على الرباعية؛ أما الصبح؛ فلجواز فساد طهارتها فتفسد الظهر فيحافظ على الترتيب، وأمّا المغرب؛ فلجواز فساد طهارتها فتفسد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 أنه صلّى بالصورة الثانية وجب أن يصلِّي الصبح أولاً، ثمّ الرباعية والمغرب أخيراً؛ لجواز فساد العصر فتفسد المغرب، ومع اشتباه الحال فلابد من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رباعية قبل المغرب، وأُخرى بعدها؛ لإمكان وقوع الصورة الأولى فيجب تأخير الرباعية عن المغرب، والثانية فيجب تقديمها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الرباعيتين مع الصبح والمغرب؛ محافظةً على الترتيب 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الأداء والقضاء والجهر والإخفات قد تقدَّم الكلام فيه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61" w:name="pg10189_115940"/>
    </w:p>
    <w:p>
      <w:pPr>
        <w:pStyle w:val="Heading4"/>
        <w:numPr>
          <w:ilvl w:val="3"/>
          <w:numId w:val="1"/>
        </w:numPr>
        <w:rPr/>
      </w:pPr>
      <w:bookmarkStart w:id="62" w:name="__RefHeading___Toc2156364_1067777946"/>
      <w:bookmarkStart w:id="63" w:name="_Toc23"/>
      <w:bookmarkEnd w:id="61"/>
      <w:bookmarkEnd w:id="62"/>
      <w:r>
        <w:rPr>
          <w:rtl w:val="true"/>
        </w:rPr>
        <w:t xml:space="preserve">[ </w:t>
      </w:r>
      <w:r>
        <w:rPr>
          <w:rtl w:val="true"/>
        </w:rPr>
        <w:t xml:space="preserve">المقصد الخامس في غُسل الجنابة </w:t>
      </w:r>
      <w:r>
        <w:rPr>
          <w:rtl w:val="true"/>
        </w:rPr>
        <w:t>]</w:t>
      </w:r>
      <w:bookmarkEnd w:id="63"/>
    </w:p>
    <w:p>
      <w:pPr>
        <w:pStyle w:val="Heading5"/>
        <w:numPr>
          <w:ilvl w:val="4"/>
          <w:numId w:val="1"/>
        </w:numPr>
        <w:rPr/>
      </w:pPr>
      <w:bookmarkStart w:id="64" w:name="__RefHeading___Toc2156366_1067777946"/>
      <w:bookmarkStart w:id="65" w:name="_Toc24"/>
      <w:bookmarkEnd w:id="64"/>
      <w:r>
        <w:rPr>
          <w:rtl w:val="true"/>
        </w:rPr>
        <w:t>[</w:t>
      </w:r>
      <w:r>
        <w:rPr>
          <w:rtl w:val="true"/>
        </w:rPr>
        <w:t xml:space="preserve">الفصل الأول في سببه وكيفيته </w:t>
      </w:r>
      <w:r>
        <w:rPr>
          <w:rtl w:val="true"/>
        </w:rPr>
        <w:t>]</w:t>
      </w:r>
      <w:bookmarkEnd w:id="65"/>
    </w:p>
    <w:p>
      <w:pPr>
        <w:pStyle w:val="BookText"/>
        <w:rPr/>
      </w:pP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في فرج البهيمة إلا مع الإنزال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الوجوب به قُوَّة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منهما الائتمامُ بالآخَرِ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بطلانُ صلاة المأموم للقطع بأنّه إما محدث أو إمامه محدث، وكذا القول في كُلِّ فعل يتوقف صحته من أحدهما على صحته من الآخر، كما لو توقف عدد صلاة الجمعة عليهما فلا تتم بهما، بل يُعدّان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يتوقف صح، كدخولهما المسجد وإن كانا مجتمعين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الغُسل لنفسه أو لغيره خلاف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غُسل الجنابة، أمّا غيره من أغسالِ الأحياء فلا خلاف في وجوبه لغيره، كما لا خلاف في وجوب غُسْل الميّت لنفسه، وإن توقفت الصلاة عليه فإنّ ذلك من باب </w:t>
      </w:r>
    </w:p>
    <w:p>
      <w:pPr>
        <w:pStyle w:val="BookText"/>
        <w:rPr/>
      </w:pPr>
      <w:r>
        <w:rPr>
          <w:rFonts w:ascii="Amiri" w:hAnsi="Amiri" w:eastAsia="Amiri" w:cs="Amiri"/>
          <w:color w:val="111111"/>
          <w:sz w:val="28"/>
          <w:sz w:val="28"/>
          <w:szCs w:val="28"/>
          <w:rtl w:val="true"/>
          <w:lang w:bidi="ar-SA"/>
        </w:rPr>
        <w:t>الواجب المرتب كترتب الدفن على الصلاة لا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في اعتبار نية الرفع، أو استباحة مشروطة به، وفي نية الوجوب وعدمه عند التكليف بمشروط به فعلى المختار ينوي الندب ويرتفع به الحدّث، وعلى ما اختاره المصنّف ينوي الوجوب مطلقاً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يعتبر نيَّة الوجه اقتصر على القربة في الحالين</w:t>
      </w:r>
      <w:r>
        <w:rPr>
          <w:rFonts w:eastAsia="Amiri" w:cs="Amiri" w:ascii="Amiri" w:hAnsi="Amiri"/>
          <w:color w:val="111111"/>
          <w:sz w:val="28"/>
          <w:szCs w:val="28"/>
          <w:rtl w:val="true"/>
          <w:lang w:bidi="ar-SA"/>
        </w:rPr>
        <w:t xml:space="preserve">. </w:t>
      </w:r>
      <w:bookmarkStart w:id="66" w:name="pg10189_115942"/>
    </w:p>
    <w:p>
      <w:pPr>
        <w:pStyle w:val="Heading5"/>
        <w:numPr>
          <w:ilvl w:val="4"/>
          <w:numId w:val="1"/>
        </w:numPr>
        <w:rPr/>
      </w:pPr>
      <w:bookmarkStart w:id="67" w:name="__RefHeading___Toc2156368_1067777946"/>
      <w:bookmarkStart w:id="68" w:name="_Toc25"/>
      <w:bookmarkEnd w:id="66"/>
      <w:bookmarkEnd w:id="67"/>
      <w:r>
        <w:rPr>
          <w:rtl w:val="true"/>
        </w:rPr>
        <w:t xml:space="preserve">[ </w:t>
      </w:r>
      <w:r>
        <w:rPr>
          <w:rtl w:val="true"/>
        </w:rPr>
        <w:t>الفصل الثاني في الأحكام</w:t>
      </w:r>
      <w:r>
        <w:rPr>
          <w:rtl w:val="true"/>
        </w:rPr>
        <w:t>]</w:t>
      </w:r>
      <w:bookmarkEnd w:id="68"/>
    </w:p>
    <w:p>
      <w:pPr>
        <w:pStyle w:val="BookText"/>
        <w:rPr/>
      </w:pP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يقصد أقرب الأبواب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في باب التيمُّم أنّ التيمُّمَ يستباح به ما يستباح بالمائية، ومن جملته الكون في المسجد بلُبْتٍ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الجمع بينه وبين وجوب خروجه من أقرب الأبواب الدال على عدم إباحته للبث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اختصاص التيتُم بذلك هاهنا وإن قدر على الغُسل فيهما؛ نظراً إلى إطلاق النص</w:t>
      </w:r>
      <w:r>
        <w:rPr>
          <w:rStyle w:val="FootnoteAnchor"/>
          <w:rtl w:val="true"/>
        </w:rPr>
        <w:footnoteReference w:id="176"/>
      </w:r>
      <w:r>
        <w:rPr>
          <w:rFonts w:ascii="Amiri" w:hAnsi="Amiri" w:eastAsia="Amiri" w:cs="Amiri"/>
          <w:color w:val="111111"/>
          <w:sz w:val="28"/>
          <w:sz w:val="28"/>
          <w:szCs w:val="28"/>
          <w:rtl w:val="true"/>
          <w:lang w:bidi="ar-SA"/>
        </w:rPr>
        <w:t>، وحينئذ فيكون التيمم غير مبيح لغير الخروج من العبادات، إذ لا يباح بالتيمم مع القدرة على الغُسلِ أو على إمكانِ الغُسل خارج المسجد وإن أو جبناه فيه مع إمكانه؛ لأنّه يصدق عليه حينئذ أنّه قادر على الغُسل فلا يبيح التيمم اللبت فيهما وإن أباح الخروج للضرورة؛ ولعدم إمكانِ الغُسل حينئذ، وإنّما يُمكن بعده، فيجب تعجيل الخروج منه من حيث القدرة على الغُسل خارجه، فيقتصر بالإباحة على محلِّ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عجزه بعد الخروج عن الغُسل المرض ونحوه استباح بالتيمم ما يستبيحه بالغسل، ولم يجب حينئذ تعجيل الخروج، بل يجوز له الصلاة فيه أيضاً؛ عملاً بالقاعدة الآتية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الفائدة حينئذٍ في النية عند من يعتبر نيَّة الاستباحة، ففي الأوّل ينوي استباحة الخروج خاصَّةً فلا يجزيه نيّة استباحة غيره وفي الثاني له نيَّة استباحة </w:t>
      </w:r>
    </w:p>
    <w:p>
      <w:pPr>
        <w:pStyle w:val="BookText"/>
        <w:rPr/>
      </w:pPr>
      <w:r>
        <w:rPr>
          <w:rFonts w:ascii="Amiri" w:hAnsi="Amiri" w:eastAsia="Amiri" w:cs="Amiri"/>
          <w:color w:val="111111"/>
          <w:sz w:val="28"/>
          <w:sz w:val="28"/>
          <w:szCs w:val="28"/>
          <w:rtl w:val="true"/>
          <w:lang w:bidi="ar-SA"/>
        </w:rPr>
        <w:t>مشروطة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القول باختصاص الحكم بالتيمم أو اشتراطه بتعذر الغُسل فى المسجد في نيَّة البدليّة من الغُسل ،وعدمه فعلى الثاني ينوي البدلية منه، وعلى الأوّل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عليه اسم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نفس المحل الذي عليه الاسم وهو يرجع إلى نفس نقش الاسم؛ لأنّ ذلك هو حقيقة الاستعلاء في الممسوس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إطلاق اللفظ على ما هو أعم من ذلك بحيث يشمل ما كتب عليه الاسم في غير محل كتابته؛ لأن ذلك مجاز بدليل صحة سلبه عنه،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المحلّ المخصوص منه ليس عليه اسم الله، وصحَّةُ السلب دليل على كَوْن الإطلاق مجازاً،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أخذ ماله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المسجدين إذا لم يستلزم اللَبْتَ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بال أو استبرأ وإلّا أعاد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بالاستبراء هنا الاجتهاد في إخراج بقايا المني بالمسحات المشهورة، وهذا خلاف الاستبراء المتقدم بالبول، ثمّ بهذا، وإنّما يكتفي بالاستبراء مع عدم إمكان البَوْل وإلّا أعاد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موالاة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بالذات، وقد تجب بالعرض، كغُسل ذي الحَدَثِ الدائم كالمستحاضة، ومع ضيق الوقت إلّا عن الصلاة بعده موالياً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تجدد أحدُهما في الأثناء أعاد فيهما على الأقوى</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موضع الخلاف منها ما لو كان المتخلّلُ أصغَر ، ولكن نسب الخلاف إليهما باعتبار وقوعه في المجموع من حيث هو مجموع والأقوى الاكتفاء بإتمامه والوضوء بعده، وإن كانت الإعادة، ثمّ الوضوء بعده 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الملفوف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كغيره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 المرتمسُ لُمْعَةً لم يُصِبْها الماءُ، فأقوى الاحتمالات الاجتزاء بغسلها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الإعادة؛ لعدم صدق الوحدة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الأقوى مع عدم صدق الوحدة عرفاً، وإلا فالأول</w:t>
      </w:r>
      <w:r>
        <w:rPr>
          <w:rFonts w:eastAsia="Amiri" w:cs="Amiri" w:ascii="Amiri" w:hAnsi="Amiri"/>
          <w:color w:val="111111"/>
          <w:sz w:val="28"/>
          <w:szCs w:val="28"/>
          <w:rtl w:val="true"/>
          <w:lang w:bidi="ar-SA"/>
        </w:rPr>
        <w:t xml:space="preserve">. </w:t>
      </w:r>
      <w:bookmarkStart w:id="69" w:name="pg10189_115945"/>
    </w:p>
    <w:p>
      <w:pPr>
        <w:pStyle w:val="Heading4"/>
        <w:numPr>
          <w:ilvl w:val="3"/>
          <w:numId w:val="1"/>
        </w:numPr>
        <w:rPr/>
      </w:pPr>
      <w:bookmarkStart w:id="70" w:name="__RefHeading___Toc2156370_1067777946"/>
      <w:bookmarkStart w:id="71" w:name="_Toc26"/>
      <w:bookmarkEnd w:id="69"/>
      <w:bookmarkEnd w:id="70"/>
      <w:r>
        <w:rPr>
          <w:rtl w:val="true"/>
        </w:rPr>
        <w:t xml:space="preserve">[ </w:t>
      </w:r>
      <w:r>
        <w:rPr>
          <w:rtl w:val="true"/>
        </w:rPr>
        <w:t>المقصد السادس فى الحَيْض</w:t>
      </w:r>
      <w:r>
        <w:rPr>
          <w:rtl w:val="true"/>
        </w:rPr>
        <w:t>]</w:t>
      </w:r>
      <w:bookmarkEnd w:id="71"/>
    </w:p>
    <w:p>
      <w:pPr>
        <w:pStyle w:val="Heading5"/>
        <w:numPr>
          <w:ilvl w:val="4"/>
          <w:numId w:val="1"/>
        </w:numPr>
        <w:rPr/>
      </w:pPr>
      <w:bookmarkStart w:id="72" w:name="__RefHeading___Toc2156372_1067777946"/>
      <w:bookmarkStart w:id="73" w:name="_Toc27"/>
      <w:bookmarkEnd w:id="72"/>
      <w:r>
        <w:rPr>
          <w:rtl w:val="true"/>
        </w:rPr>
        <w:t>[</w:t>
      </w:r>
      <w:r>
        <w:rPr>
          <w:rtl w:val="true"/>
        </w:rPr>
        <w:t>الفصل الأول في ماهيته</w:t>
      </w:r>
      <w:r>
        <w:rPr>
          <w:rtl w:val="true"/>
        </w:rPr>
        <w:t>]</w:t>
      </w:r>
      <w:bookmarkEnd w:id="73"/>
    </w:p>
    <w:p>
      <w:pPr>
        <w:pStyle w:val="BookText"/>
        <w:rPr/>
      </w:pP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وللقُرْحِ إن خرج من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اعتبار الجانب في الحَيْضِ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الواردة باعتباره مرسلة مضطربة </w:t>
      </w:r>
      <w:r>
        <w:rPr>
          <w:rStyle w:val="FootnoteAnchor"/>
          <w:rtl w:val="true"/>
        </w:rPr>
        <w:footnoteReference w:id="177"/>
      </w:r>
      <w:r>
        <w:rPr>
          <w:rFonts w:ascii="Amiri" w:hAnsi="Amiri" w:eastAsia="Amiri" w:cs="Amiri"/>
          <w:color w:val="111111"/>
          <w:sz w:val="28"/>
          <w:sz w:val="28"/>
          <w:szCs w:val="28"/>
          <w:rtl w:val="true"/>
          <w:lang w:bidi="ar-SA"/>
        </w:rPr>
        <w:t xml:space="preserve">لا يعتد بها في إثبات الأحكام الشرعيّة، واشتهارها على هذه الحالة غيرُ جابر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ما تراه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أو بعد سن اليأس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عُلم سنها، أمّا لوجُهِلَ حُكِمَ بما جمع شرائط الحَيْض به مع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يجمع بين ما ذكرهنا وبين ما يأتي من أنّ الحَيْضَ دليل على البلوغ، فإنّه مع العلم بالسنّ لا تتحقق الدلالة به لذلك، وإنّما يظهر مع الجهل به، مع أن أصل الحكم مبني على الغالبِ من عدم رؤية من نقص سنّها عن التسع لدم يمكن أن يكون حَيْضاً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سِتُّون للقُرَشِيَّةِ والنَبَطية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على النبطيّةِ نصّ ظاهر، وإنما ذكرها المفيد </w:t>
      </w:r>
      <w:r>
        <w:rPr>
          <w:rStyle w:val="FootnoteAnchor"/>
          <w:rtl w:val="true"/>
        </w:rPr>
        <w:footnoteReference w:id="180"/>
      </w:r>
      <w:r>
        <w:rPr>
          <w:rFonts w:ascii="Amiri" w:hAnsi="Amiri" w:eastAsia="Amiri" w:cs="Amiri"/>
          <w:color w:val="111111"/>
          <w:sz w:val="28"/>
          <w:sz w:val="28"/>
          <w:szCs w:val="28"/>
          <w:rtl w:val="true"/>
          <w:lang w:bidi="ar-SA"/>
        </w:rPr>
        <w:t xml:space="preserve">، وتبعه الجماعة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يقتضي إلحاقها بغيرها، ومثل هذه الشهرة لا تكفي في إثباتِ الأحكام، فاختصاص الستين بالقُرَشيّةِ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ويُجامع الحمل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ينقطع عليه فالحَيْض 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ذاتَ عادةٍ أو كانتْ عادتها ثلاثة أو لم يصادف الدم الذي قبل العاشر جزءاً من عادتها، وإلا فجميعُ العادةِ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التي يتساوى دمها أخذاً وانقطاعاً شهرين متواليين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التعريف صادق على المعتادة وقتاً وعدداً، وهو أنفع أقسامها؛ لجمعها فائدتي العادة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الرجوع إليها عند تجاوز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والتحيُّض برؤية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لها العدد دون الوقت استقرَّتْ عادتها به أيضاً، وتثبت لها الفائدة الأُولى قطعاً والثانية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تكرَّر الوقتُ من دونِ العددِ لم تتحقق به العادة مطلقاً إلا على القول بتوقف جلوس غير المعتادة على مضيّ ثلاثة من أوّله، فتستفيد الوقتية التحيض برؤيته، لكن سيأتي أنّ الأقوى عدم توقف غيرها عليه فتنتفي فائدة الوقتية مطلقاً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بالشهر على تعريف المصنف الهلالي؛ لعدم انتظام الوقت بدونه، ولو أُريد </w:t>
      </w:r>
    </w:p>
    <w:p>
      <w:pPr>
        <w:pStyle w:val="BookText"/>
        <w:rPr/>
      </w:pPr>
      <w:r>
        <w:rPr>
          <w:rFonts w:ascii="Amiri" w:hAnsi="Amiri" w:eastAsia="Amiri" w:cs="Amiri"/>
          <w:color w:val="111111"/>
          <w:sz w:val="28"/>
          <w:sz w:val="28"/>
          <w:szCs w:val="28"/>
          <w:rtl w:val="true"/>
          <w:lang w:bidi="ar-SA"/>
        </w:rPr>
        <w:t>ما يشمل المعتادة عدداً، فالمراد به ما يحصل فيه حَيْضُ وطُهر صحيحان، وهو ثَلاثَةَ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مضطربةً أو مُبْتَدِئَةٌ رجعت إلى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يستثنى من ذلك المضطربة العددِ مع ذكرِ الوقتِ ومعارضة التمييز له، فإنّها تُقدّم الوقتَ بِناءً على ترجيح العادة لو عارضها التمييز، ولو وافق الوقت قدم على ما يعتبر معه من الروايات </w:t>
      </w:r>
      <w:r>
        <w:rPr>
          <w:rStyle w:val="FootnoteAnchor"/>
          <w:rtl w:val="true"/>
        </w:rPr>
        <w:footnoteReference w:id="182"/>
      </w:r>
      <w:r>
        <w:rPr>
          <w:rFonts w:ascii="Amiri" w:hAnsi="Amiri" w:eastAsia="Amiri" w:cs="Amiri"/>
          <w:color w:val="111111"/>
          <w:sz w:val="28"/>
          <w:sz w:val="28"/>
          <w:szCs w:val="28"/>
          <w:rtl w:val="true"/>
          <w:lang w:bidi="ar-SA"/>
        </w:rPr>
        <w:t>، والاقتصار على ثلاثة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وشروطه اختلاف لون الدم، ومُجاوَزَتُه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مفروضةٌ في مجاوزة الدم العشرة، فلا وجه لاشتراطه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فُقدن أو اختلفن فإلى عادة أقرانها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مع اختلافِهنَّ ترجع إلى الأكثر، وكذا في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التمييز والعادة، فالأقوى العادة إن اختلفا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الخلاف ما إذا لم يمكن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يتخلّل بينهما أقل الطُّهر ولو بدم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جُمع بينهما وحُكم بالحَيْضِ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في الجميعِ عَمَلَ المستحاضة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تخييرها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التكليفاتِ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انعكس الفرضُ تحيَّضت بثلاثة واغتسلت في كُلّ وقت يحتمل الانقطاع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أرادت الاحتياط، وإلا اجتزأت بأخذ إحدى الروايات</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وألحقها بالثلاثة </w:t>
      </w:r>
    </w:p>
    <w:p>
      <w:pPr>
        <w:pStyle w:val="BookText"/>
        <w:rPr/>
      </w:pPr>
      <w:r>
        <w:rPr>
          <w:rFonts w:ascii="Amiri" w:hAnsi="Amiri" w:eastAsia="Amiri" w:cs="Amiri"/>
          <w:color w:val="111111"/>
          <w:sz w:val="28"/>
          <w:sz w:val="28"/>
          <w:szCs w:val="28"/>
          <w:rtl w:val="true"/>
          <w:lang w:bidi="ar-SA"/>
        </w:rPr>
        <w:t xml:space="preserve">المتيقنة متقدّمة عليها أو متأخّرة أو بالتفريق على حسب ما علمته ما علمته من الوقت والمراد بالوقت المحتمل للانقطاع في المسألتين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كُلّ عبادة واجبةٍ مشروطة بالغُسل و مندوبة كذلك إذا أرادت فعلها لا مطلق الوقت المحتمل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فالخامس والسادس حَيْض بيقين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والأربعةُ السابقة محتملة للحَيْض والطُّهر، فيجمع فيها بين تكليفي الحائض والمستحاضة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والأربعة الأخيرة محتملة لهما وللانقطاع، فيضم إليها تكليف المنقطعة إن أرادت الاحتياط، وإلّا أكملتْ المتيقن بإحدى الروايات </w:t>
      </w:r>
      <w:r>
        <w:rPr>
          <w:rStyle w:val="FootnoteAnchor"/>
          <w:rtl w:val="true"/>
        </w:rPr>
        <w:footnoteReference w:id="186"/>
      </w:r>
      <w:r>
        <w:rPr>
          <w:rFonts w:ascii="Amiri" w:hAnsi="Amiri" w:eastAsia="Amiri" w:cs="Amiri"/>
          <w:color w:val="111111"/>
          <w:sz w:val="28"/>
          <w:sz w:val="28"/>
          <w:szCs w:val="28"/>
          <w:rtl w:val="true"/>
          <w:lang w:bidi="ar-SA"/>
        </w:rPr>
        <w:t>متقدماً أو متأخراً أو بالتفريق وجعلت الباقي استحاضة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رَدُّ الناسيةِ للعدد والوقت إلى أسْوَأ الاحتمالاتِ في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الاحتياط عند المصنّف </w:t>
      </w:r>
      <w:r>
        <w:rPr>
          <w:rStyle w:val="FootnoteAnchor"/>
          <w:rtl w:val="true"/>
        </w:rPr>
        <w:footnoteReference w:id="187"/>
      </w:r>
      <w:r>
        <w:rPr>
          <w:rFonts w:ascii="Amiri" w:hAnsi="Amiri" w:eastAsia="Amiri" w:cs="Amiri"/>
          <w:color w:val="111111"/>
          <w:sz w:val="28"/>
          <w:sz w:val="28"/>
          <w:szCs w:val="28"/>
          <w:rtl w:val="true"/>
          <w:lang w:bidi="ar-SA"/>
        </w:rPr>
        <w:t xml:space="preserve">وغيره </w:t>
      </w:r>
      <w:r>
        <w:rPr>
          <w:rStyle w:val="FootnoteAnchor"/>
          <w:rtl w:val="true"/>
        </w:rPr>
        <w:footnoteReference w:id="188"/>
      </w:r>
      <w:r>
        <w:rPr>
          <w:rFonts w:ascii="Amiri" w:hAnsi="Amiri" w:eastAsia="Amiri" w:cs="Amiri"/>
          <w:color w:val="111111"/>
          <w:sz w:val="28"/>
          <w:sz w:val="28"/>
          <w:szCs w:val="28"/>
          <w:rtl w:val="true"/>
          <w:lang w:bidi="ar-SA"/>
        </w:rPr>
        <w:t xml:space="preserve">، ليس على وجه الوجوب، بل عندهم بل عندهم أنّها ترجع حينئذٍ إلى الروايات </w:t>
      </w:r>
      <w:r>
        <w:rPr>
          <w:rStyle w:val="FootnoteAnchor"/>
          <w:rtl w:val="true"/>
        </w:rPr>
        <w:footnoteReference w:id="189"/>
      </w:r>
      <w:r>
        <w:rPr>
          <w:rFonts w:ascii="Amiri" w:hAnsi="Amiri" w:eastAsia="Amiri" w:cs="Amiri"/>
          <w:color w:val="111111"/>
          <w:sz w:val="28"/>
          <w:sz w:val="28"/>
          <w:szCs w:val="28"/>
          <w:rtl w:val="true"/>
          <w:lang w:bidi="ar-SA"/>
        </w:rPr>
        <w:t>، وتجعل الباقي 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العمل بالاحتياط المذكور، فقال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الاحتياط هنا بالرد إلى أسوأ الاحتمالات ليس مذهباً لنا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في الخلاف </w:t>
      </w:r>
      <w:r>
        <w:rPr>
          <w:rStyle w:val="FootnoteAnchor"/>
          <w:rtl w:val="true"/>
        </w:rPr>
        <w:footnoteReference w:id="191"/>
      </w:r>
      <w:r>
        <w:rPr>
          <w:rFonts w:ascii="Amiri" w:hAnsi="Amiri" w:eastAsia="Amiri" w:cs="Amiri"/>
          <w:color w:val="111111"/>
          <w:sz w:val="28"/>
          <w:sz w:val="28"/>
          <w:szCs w:val="28"/>
          <w:rtl w:val="true"/>
          <w:lang w:bidi="ar-SA"/>
        </w:rPr>
        <w:t>ادّعى الإجماع على الرجوع إلى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الاحتياط مع ذلك حسناً؛ لأنّ طريق تلك الروايات غير نقي، فلا يمنع الاحتياط </w:t>
      </w:r>
    </w:p>
    <w:p>
      <w:pPr>
        <w:pStyle w:val="BookText"/>
        <w:rPr/>
      </w:pPr>
      <w:r>
        <w:rPr>
          <w:rFonts w:ascii="Amiri" w:hAnsi="Amiri" w:eastAsia="Amiri" w:cs="Amiri"/>
          <w:color w:val="111111"/>
          <w:sz w:val="28"/>
          <w:sz w:val="28"/>
          <w:szCs w:val="28"/>
          <w:rtl w:val="true"/>
          <w:lang w:bidi="ar-SA"/>
        </w:rPr>
        <w:t>بحصول السَّكَ في زمن الحَيْض المقتضي؛ لعدم يقين البراءة بدون الجمع بين التكليفين أو التكاليف، وإن جاز العمل بها لاشتهارها بين الأصحاب أو للإجماع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منع الزوج من الوط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السيّد، ولكن لا كفارة هاهنا وإن قلنا بها فى الحَيْض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وأمرها بالصلواتِ والغُسْلِ عندَ كُلِّ 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منه ومن حكمه بعده بقضاءِ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كيفيته أنها لا تقضي الصلاة، وبه صرح في التذكرة </w:t>
      </w:r>
      <w:r>
        <w:rPr>
          <w:rStyle w:val="FootnoteAnchor"/>
          <w:rtl w:val="true"/>
        </w:rPr>
        <w:footnoteReference w:id="192"/>
      </w:r>
      <w:r>
        <w:rPr>
          <w:rFonts w:ascii="Amiri" w:hAnsi="Amiri" w:eastAsia="Amiri" w:cs="Amiri"/>
          <w:color w:val="111111"/>
          <w:sz w:val="28"/>
          <w:sz w:val="28"/>
          <w:szCs w:val="28"/>
          <w:rtl w:val="true"/>
          <w:lang w:bidi="ar-SA"/>
        </w:rPr>
        <w:t>محتجاً بالحَرَج، وبأنّها إن كانتْ طاهراً حال الأداء صح وإلا فلا تكليف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بناءً على الاحتياط القضاءُ؛ لإمكانِ انقطاع الحيض في خلالها، ولو في آخر الوقت إذا بقي قدرُ الطهارة وركعة فيجب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مختاره في النهاية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نقلاً عن العلّامة قطب الدين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تُصلِّي كُلَّ صلاة مرتين في أوّل الوقت وفي آخره؛ لأنه إن كان أحدهما حَيْضاً صح الآخر،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صلت دائماً أوّل الوقت أو آخره قضت بعد كُلّ أحد عشر صلاةً مشتبهة، وإن كانت تصلّي أوله تارةً وآخره أُخرى فَضَتْ بعدَ كُلّ أحد عشر صلاتين مشتبهتين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صلاتها مرَّتين أوّل الوقت وآخره لا تُوجب القطع بالصحة أيضاً؛ لجواز أن تكون حائضاً في وقت الأولى، ويستمر إلى أثناء غسل ما وقعت آخر الوقت أو أثنائها نفسها بحيث يبقى من الوقتِ بقدر الطهارة وركعةٍ، فيجب فعلها مرة أخرى وقضاؤها مع الفوات، بل طريق الاحتياط حينئذٍ على هذا الوجه أن تصلي الصلاة الواحدة مرَّتين في أوّل الوقت وخارجه، فتصلّي الصبح مثلاً في وقتها وبعد طلوع الشمس إلى عشرة أيام من حين الفراغ من الأولى و هو تمام الظهر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كانت حائضاً في مجموع الوقت فلا قضاء، وإن طَهرت بعد الصلاة بحيث يمكن فعلها وقع القضاء في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جعلت الغُسْلَ في آخر الوقت أيضاً أو فعلت منها معه أقل من ركعة بحيث لم تدرك من الوقتِ سواه أيضاً صح؛ لأنّ الحَيْض إن صادفها حينئذٍ وانقطع لم يجب القضاء، وكذا لوصلتها أداءً بحيث أدركت بعد الغُسْلِ قدر ركعة لا أزيد؛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أدركت أزيد من ركعة ولو قليلاً لأمكن فَسادُ الصلاتين ووجوب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 كلام القطب على ذلك أمكن، لكنَّه خلاف الظاهر من صلاتها آخر الوقت، فإنّ مقتضاه فعل جميعها آخره قضيّة للظرفية وإنّما اعتبرنا فعلها للأُولى فى أوّل الوقت؛ لأنّها لو أخَّرتها عنه بحيث يمضي من أوّله مقدار فعلها بعد الطهارة أمكن أن يطرأ الحَيْضُ في أثنائها، فتفسد الصلاتان ويجب القضاءُ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 بقضاء فريضة لوصلت أوّل الوقت أو آخره، فوجهه أنّها إذا صلّت أوّلَ الوقت جاز انقطاعُ الحَيْض عقيبها فيلزمها قضاؤها؛ لإمكان استدراكها في الوقت، وغاية إمكان انتهاء الظهر في مثل ذلك الوقت من اليوم الحادي عشر فتصح صلاتها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قائم في الفرائضِ الخَمس من اليوم الأول فتفسد منها واحدة مجهولة فتقضي ثلاثاً أو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صلّت في آخره أمكن انتهاء الظهر قبل فعلها فتفسد ويجب قضاؤها؛ لسبق الظهر في الوقت السابق عليها، ويستمرُّ الحَيْضُ إلى مثل ذلك الوقتِ من الحادي عشر الواقعة فيه؛ لوقوعها حينئذٍ في الظهر فتفسد واحدة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حكم ما لو صلّت أوّله تارةً وآخرَه أُخرى، فإنه يمكن حينئذٍ فَساد الصلاتين؛ والمراد بصلاتها كذلك أنّها لم تضبط ،وقتها، بل جوزت صلاتها في أوّل الوقت وآخرها لأنّها كانت تصلّى أوّله تارةً وآخره أخرى، واحتملت في كُلّ واحدة ذلك؛ لأنّها كانت تُصلِّي الصبح في أوّل الوقت مثلاً والظهر آخره، والعصر أوله وهكذا دائماً، كما فهمه بعضهم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فالحكم ليس بصحيح، بل يلزمها في الأوّل قضاء صلاتين لإمكانِ </w:t>
      </w:r>
    </w:p>
    <w:p>
      <w:pPr>
        <w:pStyle w:val="BookText"/>
        <w:rPr/>
      </w:pPr>
      <w:r>
        <w:rPr>
          <w:rFonts w:ascii="Amiri" w:hAnsi="Amiri" w:eastAsia="Amiri" w:cs="Amiri"/>
          <w:color w:val="111111"/>
          <w:sz w:val="28"/>
          <w:sz w:val="28"/>
          <w:szCs w:val="28"/>
          <w:rtl w:val="true"/>
          <w:lang w:bidi="ar-SA"/>
        </w:rPr>
        <w:t>انقطاعِ الحَيْضِ في أثناء الصبح، فيجب قضاؤها، وفي أثناء العصر والعشاء فتفسد الصلاتان ويجب قضاؤهما مع الظهر والمغرب، فيتوقف قضاؤهما على قضاء يوم أربع صبح ومغرب ورباعيتين مترددتين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قضاء ثلاث فرائض؛ لإمكان طروءِ الحَيْضِ في أوّلِ الصبح، فيجب قضاؤها كما مرّ، وطرؤه في أُولى الظهرين أو العشائين فتفسد الصلاتان ويجب قضاؤهما لخلو أوّل الوقت من المانع كما مرّ، وانقطاعه في أثناء غسل الأوّل منهما الأوّل منهما أو في أثنائها في الحادي عشر فيجب قضاؤها، لفساد طهارتها، وحكمها حينئذٍ في القضاء حكم مَنْ فاته صلاتان من يوم وواحدة من يوم، فإن اجتزأت بالترديد اعتبر سبع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ثم رباعية مترددة بين الظهرين، ثمّ ،مغرب، ثمّ رباعيَّة متردّدة بين العصر والعشاء، هذا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ثلاث إحداها رباعيَّة متردّدة بين الثلاث وهو ظاهر، وفي الثالث قضاء أربع صلوات مشتبهات من يومين؛ لإمكان ابتداء الحيض في أثناء الصبح فتفسد ويجب قضاؤها كما مرّ أو في أولى الظهرين أو العشائين كذلك، ويمكن التدارك وإمكانُ انقطاعه في الثانية منهما فتفسدان أيضاً كما مرَّ ويمكن التدارك، وكذا لوصلت في وسط الوقتِ دائماً، وحينئذٍ فتصلِّي ثماني صلوات كُلُّ أربع عن يومٍ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ماذكره العلامة قطب الدين يناسب مذهب العامة القائلين باختصاص كُلِّ صلاة بوقتِ لاتشاركها فيه الأُخرى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لأنّ العامة وإن قالوا بالاختصاص، لكن أوجبوا على مدرك خمس ركعات من آخر الوقت فعل الظهرين والعشائين وقضاؤهما لو فاتنا حينئذ، وصرَّحوا في كتبهم في هذه المسألة بوجوب قضائها في هذه الفروض، مثل ما ذكرناه لامثل ما ذكره العلامة وعلَّلوه بنحو ما قرّرناه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اعتادت مقادير مختلفةٌ متسقةٌ، ثمّ استحيضت رجعت إلى نوبة ذلك </w:t>
      </w:r>
    </w:p>
    <w:p>
      <w:pPr>
        <w:pStyle w:val="BookText"/>
        <w:rPr/>
      </w:pPr>
      <w:r>
        <w:rPr>
          <w:rFonts w:ascii="Amiri" w:hAnsi="Amiri" w:eastAsia="Amiri" w:cs="Amiri"/>
          <w:color w:val="111111"/>
          <w:sz w:val="28"/>
          <w:sz w:val="28"/>
          <w:szCs w:val="28"/>
          <w:rtl w:val="true"/>
          <w:lang w:bidi="ar-SA"/>
        </w:rPr>
        <w:t>الشهر، فإن نسيتها رجعت إلى الأقل فالأقل إلى أن تنتهى إلى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w:t>
      </w:r>
      <w:r>
        <w:rPr>
          <w:rStyle w:val="FootnoteAnchor"/>
          <w:rtl w:val="true"/>
        </w:rPr>
        <w:footnoteReference w:id="196"/>
      </w:r>
      <w:r>
        <w:rPr>
          <w:rFonts w:ascii="Amiri" w:hAnsi="Amiri" w:eastAsia="Amiri" w:cs="Amiri"/>
          <w:color w:val="111111"/>
          <w:sz w:val="28"/>
          <w:sz w:val="28"/>
          <w:szCs w:val="28"/>
          <w:rtl w:val="true"/>
          <w:lang w:bidi="ar-SA"/>
        </w:rPr>
        <w:t>أنّ العادة تثبت باستواء وقتِ الدم في شهرين على الوجه الذي فصل، ونبه على أنها قد تحصل مع اختلافِ عدده على بعض الوجوه، وذلك بأن يتكرر الاختلاف وينضبط على وجه يتحقق معه العود المرتب عليه العادة بأن ترى في شهر ثلاثة أيام وفي شهر أربعة وفي شهر خمسة، ثُمّ في الرابع ثلاثة، ثمّ أربعة، ثمّ خمسة، فتتحقق العادة على هذا الوجه المختلفِ المتّسق، ومنه يظهر معنى اعتيادها المقادير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بالمتَّسقةِ وقوع تلك الأعدادِ على وجه معيَّن لا تختلف، سواء كان على النهج الطبيعي للعدد كما مثلنا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غيره كما لو تأخرت الأربعة عن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وتحقق العادة بذلك هو المعروفُ من المذهب وعليه العمل، وإن أمكن في المسألة وجهان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تحققها مطلقاً للاختلاف الموجب لنقص كُلِّ عدد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ما اشتركت فيه الأوقات من العدد، وهو الثلاثة في المثال، كما ذهب إليه المصنّف </w:t>
      </w:r>
      <w:r>
        <w:rPr>
          <w:rStyle w:val="FootnoteAnchor"/>
          <w:rtl w:val="true"/>
        </w:rPr>
        <w:footnoteReference w:id="197"/>
      </w:r>
      <w:r>
        <w:rPr>
          <w:rFonts w:ascii="IRNazanin" w:hAnsi="IRNazanin" w:eastAsia="IRNazanin"/>
          <w:color w:val="111111"/>
          <w:sz w:val="28"/>
          <w:sz w:val="28"/>
          <w:szCs w:val="28"/>
          <w:rtl w:val="true"/>
          <w:lang w:bidi="fa-IR"/>
        </w:rPr>
        <w:t xml:space="preserve">، وبعض الأصحاب </w:t>
      </w:r>
      <w:r>
        <w:rPr>
          <w:rStyle w:val="FootnoteAnchor"/>
          <w:rtl w:val="true"/>
        </w:rPr>
        <w:footnoteReference w:id="198"/>
      </w:r>
      <w:r>
        <w:rPr>
          <w:rFonts w:ascii="Amiri" w:hAnsi="Amiri" w:eastAsia="Amiri" w:cs="Amiri"/>
          <w:color w:val="111111"/>
          <w:sz w:val="28"/>
          <w:sz w:val="28"/>
          <w:szCs w:val="28"/>
          <w:rtl w:val="true"/>
          <w:lang w:bidi="ar-SA"/>
        </w:rPr>
        <w:t xml:space="preserve">في معتادة الوقت دون </w:t>
      </w:r>
      <w:r>
        <w:rPr>
          <w:rStyle w:val="FootnoteAnchor"/>
          <w:rtl w:val="true"/>
        </w:rPr>
        <w:footnoteReference w:id="199"/>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فإذا استُحيضت المعتادة للمقادير المذكورة فإن تجاوز دمها العشرة فامتزج حَيْضُها بطهرها رجعت إلى نوبة ذلك الشهر الذي حصل فيه التجاوز من الأعداد، وفي الذي بعده إلى عدده أيضاً،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مع ذكرها العدد ظاهر، فإن نسيت نوبته من الأعدادِ مطلقاً أخذت الأقل دائماً مادامت مستحيضة؛ لأنّ كُلَّ يأتي عليها يحتمله، فإن نفت الأقل رجعت إلى الأقل غير المنفي، وهكذا تنتقل إلى غيره إلى أن تنتهي إلى الطرف الأعلى من طرفي القلَّة، وهو الأربعةُ في المثالِ، </w:t>
      </w:r>
    </w:p>
    <w:p>
      <w:pPr>
        <w:pStyle w:val="BookText"/>
        <w:rPr/>
      </w:pPr>
      <w:r>
        <w:rPr>
          <w:rFonts w:ascii="Amiri" w:hAnsi="Amiri" w:eastAsia="Amiri" w:cs="Amiri"/>
          <w:color w:val="111111"/>
          <w:sz w:val="28"/>
          <w:sz w:val="28"/>
          <w:szCs w:val="28"/>
          <w:rtl w:val="true"/>
          <w:lang w:bidi="ar-SA"/>
        </w:rPr>
        <w:t>والخمسة لو اعتادت رابعاً فستة ،وهكذا ففي مثالنا إذا نفت الثلاثة أخذت الأربعة حينئذٍ من الشهر الأول، وأما غيره فلم يتعرض له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وتحريره أنّها تأخذ ثلاثةَ؛ لأنّ الشهر الأوّل كان محتملاً؛ لكونه شهر الأربعةِ والخمسة، فإن كان شهر الخمسة فالثاني شهر الثلاثة أو الأربعة فهو شهر الخمسة فتأخذ الثلاثة؛ لأنّها المتيقّن، وفي الشهر الثالث تأخذ ثلاثة كذلك؛ لأنّ الأوّل إن كان الأربعة فهذا شهر الثلاثة أو الخمسة فهذا شهر الأربعة فتأخذ المتيقن، وفي الرابع تأخذ أربعة؛ لأنّ الأوّل إن كان شهر الأربعة فهذا شهر الأربعة أو الخمسة فهو شهر الخمسة فتأخذ الأربعة كما ذكر، وهكذا تأخذ ثلاثة شهرين وأربعة شهراً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المقادير المعتادة أربعة رابعها ستة ونفت الثلاثة أخذت أربعة، ثمّ ثلاثة في ثلاثة، ثمّ أربعة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المقادير على غير النهج فالحكم كذلك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العادة كما تتحقَّق بالأعداد المختلفة متّحدة كما ذكر </w:t>
      </w:r>
      <w:r>
        <w:rPr>
          <w:rStyle w:val="FootnoteAnchor"/>
          <w:rtl w:val="true"/>
        </w:rPr>
        <w:footnoteReference w:id="200"/>
      </w:r>
      <w:r>
        <w:rPr>
          <w:rFonts w:ascii="Amiri" w:hAnsi="Amiri" w:eastAsia="Amiri" w:cs="Amiri"/>
          <w:color w:val="111111"/>
          <w:sz w:val="28"/>
          <w:sz w:val="28"/>
          <w:szCs w:val="28"/>
          <w:rtl w:val="true"/>
          <w:lang w:bidi="ar-SA"/>
        </w:rPr>
        <w:t>تتحقق بها متعدّدة مكرّرة، كأن ترى شهرين ثلاثةً ثلاثةً، وشهرين أربعةً أربعةً، وشهرين خمسةً خمسةً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يستفاد ممّا ذكرناه، ففي المثال لو نفت الثلاثة أخذت أربعة في الأوّل، ثمّ ثلاثة في أربعة لاحتمال الأوّل الخمسة والأربعة المتكرّرتين فتجري الاحتمال في أربعة، ثمّ أربعة مرَّتين، ثمّ ثلاثة أربعاً وهكذا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انا متى حكمنا بقدرٍ أقل ممّا يمكن فرضُه للشهر فالأولى الاحتياط لها بالجمع بين التكليفات إلى تمام أكثر الأعداد، فتغتسل للحيض في فرض الثلاثة والأربعة والخمسة مع أخذ الثلاثة على الرابع، وعلى الخامس حيث تحتملها، وتعمل في وسط اليوم أعمال المستحاضة إن لم تحتمل الاستحاضة بانقطاع، ومع أحد الأربعة على الخامس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دار الاحتمال بين الثلاثةِ والخمسة اقتصرت على الاغتسال عليهما وهكذا</w:t>
      </w:r>
      <w:r>
        <w:rPr>
          <w:rFonts w:eastAsia="Amiri" w:cs="Amiri" w:ascii="Amiri" w:hAnsi="Amiri"/>
          <w:color w:val="111111"/>
          <w:sz w:val="28"/>
          <w:szCs w:val="28"/>
          <w:rtl w:val="true"/>
          <w:lang w:bidi="ar-SA"/>
        </w:rPr>
        <w:t xml:space="preserve">. </w:t>
      </w:r>
      <w:bookmarkStart w:id="74" w:name="pg10189_115954"/>
    </w:p>
    <w:p>
      <w:pPr>
        <w:pStyle w:val="Heading4"/>
        <w:numPr>
          <w:ilvl w:val="3"/>
          <w:numId w:val="1"/>
        </w:numPr>
        <w:rPr/>
      </w:pPr>
      <w:bookmarkStart w:id="75" w:name="__RefHeading___Toc2156374_1067777946"/>
      <w:bookmarkStart w:id="76" w:name="_Toc28"/>
      <w:bookmarkEnd w:id="74"/>
      <w:bookmarkEnd w:id="75"/>
      <w:r>
        <w:rPr>
          <w:rtl w:val="true"/>
        </w:rPr>
        <w:t>[</w:t>
      </w:r>
      <w:r>
        <w:rPr>
          <w:rtl w:val="true"/>
        </w:rPr>
        <w:t xml:space="preserve">المقصد السابع في الاستحاضة </w:t>
      </w:r>
      <w:r>
        <w:rPr>
          <w:rtl w:val="true"/>
        </w:rPr>
        <w:t>]</w:t>
      </w:r>
      <w:bookmarkEnd w:id="76"/>
    </w:p>
    <w:p>
      <w:pPr>
        <w:pStyle w:val="BookText"/>
        <w:rPr/>
      </w:pP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وغُسْل آخر للمغرب والعشاء مع الاستمرار، وإلا فاثنان أو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استمرار الدم في مجموع اليوم إلى وقتِ المغرب والعشاء، كما هو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 أنّه لولم يستمر كذلك بأن انقطع بعد الظهرين لم يجب للعشائين، وهو يناسب القول بأنّ المعتبر في كميّته بأوقات الصلوات لكن يخالفه من وجه آخر وهو أنّه على ذلك القول يحكم بما يوجد منه وقت الصلاة وإن لم يكن كذلك في غير وقتها فلو كان قليلاً ثمّ كُثر وقت الصلاة خاصةً وجب الغُسْل، فقد تجب الأغسالُ الثلاثة وإن لم يستمرّ، وحينئذٍ فلا يناسب إطلاق العبارة واحداً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فائنان أو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يستمر إلى وقت المغرب، فائنان إن استمر إلى وقت الظهرين، أو واحد إن وجدت وقت الصبح خاصَّةً، وليس على إطلاقه أيضاً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في حكم المسألة أنّ الكثرة متى وُجدت أوجبت الغُسل للصلاة التي يتعقبها سواء بقيت إليها أم لا، فلو طرأت بعد الصبح أو استمرت مع سبقها إلى بعد الغُسْل للصبح وجب الغُسلُ للظهرين وإن لم يستمر إلى وقتها، وكذا لو طرأت بعد الظهرين أو استمرَّت بعدهما ، وإن انقطعت قبل المغرب يجب الغُسل لها للعشائين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أخلّت بالأغسال لم يصح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الإخلال بالأغسال بالإخلال بواحدٍ منها، وهو يقتضي بإطلاقه توقف الصوم على غسل العشائين، والأقوى أن صوم اليوم الماضي لا يتوقف عليه لسبق صحته قبل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يتوقف عليه الصَوْمُ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استمرار الكثرة إلى الصبح أو طروء التوسط ولم تغتسل للعشائين دخل في غسل الصبح، ومع ذلك لا ينافي توقف الصَوْم على الأغسال في الجملة وإن حكمنا</w:t>
      </w:r>
      <w:r>
        <w:rPr>
          <w:rStyle w:val="FootnoteAnchor"/>
          <w:rtl w:val="true"/>
        </w:rPr>
        <w:footnoteReference w:id="201"/>
      </w:r>
      <w:r>
        <w:rPr>
          <w:rFonts w:ascii="IRNazanin" w:hAnsi="IRNazanin" w:eastAsia="IRNazanin"/>
          <w:color w:val="111111"/>
          <w:sz w:val="28"/>
          <w:sz w:val="28"/>
          <w:szCs w:val="28"/>
          <w:rtl w:val="true"/>
          <w:lang w:bidi="fa-IR"/>
        </w:rPr>
        <w:t>بتداخلها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وانقطاع دمها للبرء يوجب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كون الانقطاع موجباً للوضوء أو لغيره من الطهارات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والحقُّ أنّ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الدم السابق على الانقطاع، وهو قد يكون موجباً للوضوء كما لو كان قليلاً أو متوسطاً في غير وقت الصبح وقد يكون موجباً للغسل كالكثير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فإذا طرأ انقطاعه بعد الطهارة منه في وقتها أو من قبل أن تتطهر وجب للدمِ الخارج الذي لحقه الانقطاع ما كان يجب قبله من وضوء أو غُسل</w:t>
      </w:r>
      <w:r>
        <w:rPr>
          <w:rFonts w:eastAsia="Amiri" w:cs="Amiri" w:ascii="Amiri" w:hAnsi="Amiri"/>
          <w:color w:val="111111"/>
          <w:sz w:val="28"/>
          <w:szCs w:val="28"/>
          <w:rtl w:val="true"/>
          <w:lang w:bidi="ar-SA"/>
        </w:rPr>
        <w:t xml:space="preserve">. </w:t>
      </w:r>
      <w:bookmarkStart w:id="77" w:name="pg10189_115956"/>
    </w:p>
    <w:p>
      <w:pPr>
        <w:pStyle w:val="Heading4"/>
        <w:numPr>
          <w:ilvl w:val="3"/>
          <w:numId w:val="1"/>
        </w:numPr>
        <w:rPr/>
      </w:pPr>
      <w:bookmarkStart w:id="78" w:name="__RefHeading___Toc2156376_1067777946"/>
      <w:bookmarkStart w:id="79" w:name="_Toc29"/>
      <w:bookmarkEnd w:id="77"/>
      <w:bookmarkEnd w:id="78"/>
      <w:r>
        <w:rPr>
          <w:rtl w:val="true"/>
        </w:rPr>
        <w:t xml:space="preserve">[ </w:t>
      </w:r>
      <w:r>
        <w:rPr>
          <w:rtl w:val="true"/>
        </w:rPr>
        <w:t xml:space="preserve">المقصد الثامن في النفاس </w:t>
      </w:r>
      <w:r>
        <w:rPr>
          <w:rtl w:val="true"/>
        </w:rPr>
        <w:t>]</w:t>
      </w:r>
      <w:bookmarkEnd w:id="79"/>
    </w:p>
    <w:p>
      <w:pPr>
        <w:pStyle w:val="BookText"/>
        <w:rPr/>
      </w:pP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تر إلا في العاشر فهو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أنها لم تر الدم إلا في العاشر خاصَّةً وانقطع عليه ليصح الحكم بكونه نفاساً مطلقاً، وهذا هو الظاهر من الحصر المستفاد من الاستثناء المنفي، ولو فرض أنه تجاوز العشرة فلا نفاس لها إلا أن تكون عادتها عشرة أو مُبْتَدِئة أو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رأته مع يوم الولادة خاصة فالعشرة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فيه كما سبق في المسألة التي قبله وهو أن تريد رؤيته فيها خاصَّةً من غير أن يتجاوز العشرة، وإلا فالأوّلُ خاصَّةً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والنفساء كالحائض في جميع الأحكام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الأحكام الواجبة والمحرَّمة والمكروهة لا مطلق الأحكام، فإنّها تفارقها في بعضها كالأقل مطلقاً والأكثر على بعض الوجوه ودلالة الحَيْض على البلوغ دون النفاسِ، لتحقق الدلالة بالحمل قبله، وانقضاء العدّة بالحَيْض دونه غالباً، ورجوع الحائض إلى عادتها فيه ونسائها والتمييز والروايات دونَ النُفَساء، وعدم اشتراط أقلّ الطهر بين النفاسين دون الحيض، والخلاف في اعتبار أقل الطهر بين الحيض والنفاس دون الحيضتين، إلى غير ذلك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80" w:name="pg10189_115957"/>
    </w:p>
    <w:p>
      <w:pPr>
        <w:pStyle w:val="Heading4"/>
        <w:numPr>
          <w:ilvl w:val="3"/>
          <w:numId w:val="1"/>
        </w:numPr>
        <w:rPr/>
      </w:pPr>
      <w:bookmarkStart w:id="81" w:name="__RefHeading___Toc2156378_1067777946"/>
      <w:bookmarkStart w:id="82" w:name="_Toc30"/>
      <w:bookmarkEnd w:id="80"/>
      <w:bookmarkEnd w:id="81"/>
      <w:r>
        <w:rPr>
          <w:rtl w:val="true"/>
        </w:rPr>
        <w:t>[</w:t>
      </w:r>
      <w:r>
        <w:rPr>
          <w:rtl w:val="true"/>
        </w:rPr>
        <w:t xml:space="preserve">المقصد التاسع في غُسل الأموات </w:t>
      </w:r>
      <w:r>
        <w:rPr>
          <w:rtl w:val="true"/>
        </w:rPr>
        <w:t>]</w:t>
      </w:r>
      <w:bookmarkEnd w:id="82"/>
    </w:p>
    <w:p>
      <w:pPr>
        <w:pStyle w:val="Heading5"/>
        <w:numPr>
          <w:ilvl w:val="4"/>
          <w:numId w:val="1"/>
        </w:numPr>
        <w:rPr/>
      </w:pPr>
      <w:bookmarkStart w:id="83" w:name="__RefHeading___Toc2156380_1067777946"/>
      <w:bookmarkStart w:id="84" w:name="_Toc31"/>
      <w:bookmarkEnd w:id="83"/>
      <w:r>
        <w:rPr>
          <w:rtl w:val="true"/>
        </w:rPr>
        <w:t>[</w:t>
      </w:r>
      <w:r>
        <w:rPr>
          <w:rtl w:val="true"/>
        </w:rPr>
        <w:t>مقدمة</w:t>
      </w:r>
      <w:r>
        <w:rPr>
          <w:rtl w:val="true"/>
        </w:rPr>
        <w:t>]</w:t>
      </w:r>
      <w:bookmarkEnd w:id="84"/>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الوصيّة على كُلِّ مَن عليه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حقٌّ يمكن قضاؤه بعده كالدين وإن لم يكن لتركته وفاء به للعموم، ولإمكان إيفائه من بعض الحقوق والمعتبر من الوصية ما يثبت شرعاً ليمكن إنفاذها لو تشاحٌ الورثة لا مطلق الوصيّة، وإنّما تجب حيث لا يعلم الحقُّ بدونها، فلو كان قد أشهد به شاهدين قام مقامها ومقتضى العبارةِ أنّ من ليس عليه حقٌّ لا تجب عليه الوصيّة، سواء كان له حقٌّ أم لم يكن له ولا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في الأوّل؛ حفظاً لحقِّ الورثة </w:t>
      </w:r>
      <w:r>
        <w:rPr>
          <w:rStyle w:val="FootnoteAnchor"/>
          <w:rtl w:val="true"/>
        </w:rPr>
        <w:footnoteReference w:id="203"/>
      </w:r>
      <w:r>
        <w:rPr>
          <w:rFonts w:ascii="Amiri" w:hAnsi="Amiri" w:eastAsia="Amiri" w:cs="Amiri"/>
          <w:color w:val="111111"/>
          <w:sz w:val="28"/>
          <w:sz w:val="28"/>
          <w:szCs w:val="28"/>
          <w:rtl w:val="true"/>
          <w:lang w:bidi="ar-SA"/>
        </w:rPr>
        <w:t>،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مطلقاً للأمر بها كذلك </w:t>
      </w:r>
      <w:r>
        <w:rPr>
          <w:rStyle w:val="FootnoteAnchor"/>
          <w:rtl w:val="true"/>
        </w:rPr>
        <w:footnoteReference w:id="204"/>
      </w:r>
      <w:r>
        <w:rPr>
          <w:rFonts w:ascii="IRNazanin" w:hAnsi="IRNazanin" w:eastAsia="IRNazanin"/>
          <w:color w:val="111111"/>
          <w:sz w:val="28"/>
          <w:sz w:val="28"/>
          <w:szCs w:val="28"/>
          <w:rtl w:val="true"/>
          <w:lang w:bidi="fa-IR"/>
        </w:rPr>
        <w:t xml:space="preserve">، وهو أحوط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bookmarkStart w:id="85" w:name="pg10189_115958"/>
    </w:p>
    <w:p>
      <w:pPr>
        <w:pStyle w:val="Heading5"/>
        <w:numPr>
          <w:ilvl w:val="4"/>
          <w:numId w:val="1"/>
        </w:numPr>
        <w:rPr/>
      </w:pPr>
      <w:bookmarkStart w:id="86" w:name="__RefHeading___Toc2156382_1067777946"/>
      <w:bookmarkStart w:id="87" w:name="_Toc32"/>
      <w:bookmarkEnd w:id="85"/>
      <w:bookmarkEnd w:id="86"/>
      <w:r>
        <w:rPr>
          <w:rtl w:val="true"/>
        </w:rPr>
        <w:t xml:space="preserve">[ </w:t>
      </w:r>
      <w:r>
        <w:rPr>
          <w:rtl w:val="true"/>
        </w:rPr>
        <w:t>الفصل الأوّل في الغسل</w:t>
      </w:r>
      <w:r>
        <w:rPr>
          <w:rtl w:val="true"/>
        </w:rPr>
        <w:t>]</w:t>
      </w:r>
      <w:bookmarkEnd w:id="87"/>
    </w:p>
    <w:p>
      <w:pPr>
        <w:pStyle w:val="Heading6"/>
        <w:numPr>
          <w:ilvl w:val="5"/>
          <w:numId w:val="1"/>
        </w:numPr>
        <w:rPr/>
      </w:pPr>
      <w:bookmarkStart w:id="88" w:name="__RefHeading___Toc2156384_1067777946"/>
      <w:bookmarkStart w:id="89" w:name="_Toc33"/>
      <w:bookmarkEnd w:id="88"/>
      <w:r>
        <w:rPr>
          <w:rtl w:val="true"/>
        </w:rPr>
        <w:t>[</w:t>
      </w:r>
      <w:r>
        <w:rPr>
          <w:rtl w:val="true"/>
        </w:rPr>
        <w:t>المطلب الأوّل</w:t>
      </w:r>
      <w:r>
        <w:rPr>
          <w:rtl w:val="true"/>
        </w:rPr>
        <w:t xml:space="preserve">: </w:t>
      </w:r>
      <w:r>
        <w:rPr>
          <w:rtl w:val="true"/>
        </w:rPr>
        <w:t>الفاعل والمحلّ</w:t>
      </w:r>
      <w:r>
        <w:rPr>
          <w:rtl w:val="true"/>
        </w:rPr>
        <w:t>]</w:t>
      </w:r>
      <w:bookmarkEnd w:id="89"/>
    </w:p>
    <w:p>
      <w:pPr>
        <w:pStyle w:val="BookText"/>
        <w:rPr/>
      </w:pP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الحنوط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على تقدير وجود محاله ،وعدمه، وإن كان في الثاني أضعف ووجهه في الأوّل الحكم بمساواته للميّت الموجب له واستصحاب الحكم السابق، وأنّ المساواة لا تقتضيه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ما ذكر في وفي الثاني ما ذكر في الأوّل وفقد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اختصاص الإشكالِ بالثاني ليس بجيّد؛ لضعفه جداً، وكذا رفع الإشكال عن الوجوب مع وجود محلّه، وعن عدمه مع فقده؛ لأنه موجود فيهما خصوصاً في الأول والأقوى الوجوب مع وجوده لامع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المرأة يُغسلها زوجها،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من وراء الثياب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فُقد المسلمُ وذاتُ الرحم أمرت الأجنبيّةُ الكافر بأن يغتسل، تُمّ يغسله غُسْل المسلمين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وتبعه عليه المصنِّفُ وجماعة</w:t>
      </w:r>
      <w:r>
        <w:rPr>
          <w:rStyle w:val="FootnoteAnchor"/>
          <w:rtl w:val="true"/>
        </w:rPr>
        <w:footnoteReference w:id="206"/>
      </w:r>
      <w:r>
        <w:rPr>
          <w:rFonts w:ascii="Amiri" w:hAnsi="Amiri" w:eastAsia="Amiri" w:cs="Amiri"/>
          <w:color w:val="111111"/>
          <w:sz w:val="28"/>
          <w:sz w:val="28"/>
          <w:szCs w:val="28"/>
          <w:rtl w:val="true"/>
          <w:lang w:bidi="ar-SA"/>
        </w:rPr>
        <w:t xml:space="preserve">، ومستنده رواية </w:t>
      </w:r>
      <w:r>
        <w:rPr>
          <w:rStyle w:val="FootnoteAnchor"/>
          <w:rtl w:val="true"/>
        </w:rPr>
        <w:footnoteReference w:id="207"/>
      </w:r>
      <w:r>
        <w:rPr>
          <w:rFonts w:ascii="Amiri" w:hAnsi="Amiri" w:eastAsia="Amiri" w:cs="Amiri"/>
          <w:color w:val="111111"/>
          <w:sz w:val="28"/>
          <w:sz w:val="28"/>
          <w:szCs w:val="28"/>
          <w:rtl w:val="true"/>
          <w:lang w:bidi="ar-SA"/>
        </w:rPr>
        <w:t xml:space="preserve">ضعيفة لا تصلحُ لتأسيس ما خالف الأصل في مواضع، فالقولُ بسقوطه </w:t>
      </w:r>
      <w:bookmarkStart w:id="90" w:name="pg10189_115959"/>
    </w:p>
    <w:p>
      <w:pPr>
        <w:pStyle w:val="BookText"/>
        <w:rPr/>
      </w:pPr>
      <w:bookmarkEnd w:id="90"/>
      <w:r>
        <w:rPr>
          <w:rFonts w:ascii="Amiri" w:hAnsi="Amiri" w:eastAsia="Amiri" w:cs="Amiri"/>
          <w:color w:val="111111"/>
          <w:sz w:val="28"/>
          <w:sz w:val="28"/>
          <w:szCs w:val="28"/>
          <w:rtl w:val="true"/>
          <w:lang w:bidi="ar-SA"/>
        </w:rPr>
        <w:t xml:space="preserve">كما اختاره في المعتبر </w:t>
      </w:r>
      <w:r>
        <w:rPr>
          <w:rStyle w:val="FootnoteAnchor"/>
          <w:rtl w:val="true"/>
        </w:rPr>
        <w:footnoteReference w:id="208"/>
      </w:r>
      <w:r>
        <w:rPr>
          <w:rFonts w:ascii="IRNazanin" w:hAnsi="IRNazanin" w:eastAsia="IRNazanin"/>
          <w:color w:val="111111"/>
          <w:sz w:val="28"/>
          <w:sz w:val="28"/>
          <w:szCs w:val="28"/>
          <w:rtl w:val="true"/>
          <w:lang w:bidi="fa-IR"/>
        </w:rPr>
        <w:t>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إعادةِ الغُسْل لو وُجد المسلم بعده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اخترناه لا إشكال في وجوب الإعادة، ووجوبه أيضاً على مختاره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يغسل مخالفاً فإن اضطرَّ غَسَّله غُسل أهل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المخالفُ الذي يجوز تغسيله بأن لا يكون من إحدى الفرق المحكوم بكفرها، ولامنافاة بين وجوبه عليه كفايةً، وكراهته؛ لأنّ محل الوجوب كلّي والكراهة مختصّةٌ به، وإنّما يُكْرَه مع وجود من يغسله غيره وإلا انتفت؛ لتعينه حينئذٍ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المصنّف وغيره </w:t>
      </w:r>
      <w:r>
        <w:rPr>
          <w:rStyle w:val="FootnoteAnchor"/>
          <w:rtl w:val="true"/>
        </w:rPr>
        <w:footnoteReference w:id="209"/>
      </w:r>
      <w:r>
        <w:rPr>
          <w:rFonts w:ascii="Amiri" w:hAnsi="Amiri" w:eastAsia="Amiri" w:cs="Amiri"/>
          <w:color w:val="111111"/>
          <w:sz w:val="28"/>
          <w:sz w:val="28"/>
          <w:szCs w:val="28"/>
          <w:rtl w:val="true"/>
          <w:lang w:bidi="ar-SA"/>
        </w:rPr>
        <w:t>تعيُّنُ غُسلِ أهل الخلافِ حينئذٍ، وإنّما يتمُّ مع علمه بكيفيته عندهم وإلّا أجزأ تغسيله بغُسل أهل الحقِّ</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2156386_1067777946"/>
      <w:bookmarkStart w:id="92" w:name="_Toc34"/>
      <w:bookmarkEnd w:id="91"/>
      <w:r>
        <w:rPr>
          <w:rtl w:val="true"/>
        </w:rPr>
        <w:t>[</w:t>
      </w:r>
      <w:r>
        <w:rPr>
          <w:rtl w:val="true"/>
        </w:rPr>
        <w:t xml:space="preserve">المطلب الثاني في الكيفية </w:t>
      </w:r>
      <w:r>
        <w:rPr>
          <w:rtl w:val="true"/>
        </w:rPr>
        <w:t>]</w:t>
      </w:r>
      <w:bookmarkEnd w:id="9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يستر عورته، ثم يغسله ناوياً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طُرح فيه من السدرِ ما يقعُ عليه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الترتيب ليس بجيّد، بل الحقُّ، وإنّما يجب الستر مع مبصريّة الغاسل وعدم وثوقه بكفّ البصر أو وجود ناظر محترم غيره وإلا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خِيفَ تناتُرُ جِلد المحترق والمجدور لو غسله يَمَّمه مرَّة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ثلاث مرّاتٍ بدل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وفَتْقُ قميصه ونزعُه من تحته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بإذنِ الوارث والولد المختص به، فلو تعذر لصغر ونحوه لم يَجُز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سقوط الترتيب مع غَمسه في الكثير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سقوطه بين الأعضاء لا بينَ الأعْسال الثلاثةِ، والسقوط أقوى كالجنابة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ويكفي وضع الخليط فوق الماء الذي فوقه وإن بقي مع الخليط الآخر، وبهذا يظهر أنّ المراد بالقراح هو الماء المطلق الذي لا يشترط فيه الخليط لا الخالي من كلّ شيءٍ، ولا من الخليطين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وينبه عليه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أغسله بماء وسدر، ثمّ بماء الكافور، ثمّ بماء القراح</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أصابت الكفنَ غُسلت منه مالم يُطرح في القبر فيُقرض</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حينئذٍ ستر المقطوع ولو بثوب غيره ، هذا إذا لم يتفاحش القطعُ بحيثُ يُفضي إلى هَتْك الميّت وإلّا غسلت مع الإمكان، وبدونه يسقط</w:t>
      </w:r>
      <w:r>
        <w:rPr>
          <w:rFonts w:eastAsia="Amiri" w:cs="Amiri" w:ascii="Amiri" w:hAnsi="Amiri"/>
          <w:color w:val="111111"/>
          <w:sz w:val="28"/>
          <w:szCs w:val="28"/>
          <w:rtl w:val="true"/>
          <w:lang w:bidi="ar-SA"/>
        </w:rPr>
        <w:t xml:space="preserve">. </w:t>
      </w:r>
      <w:bookmarkStart w:id="93" w:name="pg10189_115961"/>
    </w:p>
    <w:p>
      <w:pPr>
        <w:pStyle w:val="Heading5"/>
        <w:numPr>
          <w:ilvl w:val="4"/>
          <w:numId w:val="1"/>
        </w:numPr>
        <w:rPr/>
      </w:pPr>
      <w:bookmarkStart w:id="94" w:name="__RefHeading___Toc2156388_1067777946"/>
      <w:bookmarkStart w:id="95" w:name="_Toc35"/>
      <w:bookmarkEnd w:id="93"/>
      <w:bookmarkEnd w:id="94"/>
      <w:r>
        <w:rPr>
          <w:rtl w:val="true"/>
        </w:rPr>
        <w:t>الفصل الثاني في التكفين</w:t>
      </w:r>
      <w:bookmarkEnd w:id="95"/>
    </w:p>
    <w:p>
      <w:pPr>
        <w:pStyle w:val="Heading6"/>
        <w:numPr>
          <w:ilvl w:val="5"/>
          <w:numId w:val="1"/>
        </w:numPr>
        <w:rPr/>
      </w:pPr>
      <w:bookmarkStart w:id="96" w:name="__RefHeading___Toc2156390_1067777946"/>
      <w:bookmarkStart w:id="97" w:name="_Toc36"/>
      <w:bookmarkEnd w:id="96"/>
      <w:r>
        <w:rPr>
          <w:rtl w:val="true"/>
        </w:rPr>
        <w:t>[</w:t>
      </w:r>
      <w:r>
        <w:rPr>
          <w:rtl w:val="true"/>
        </w:rPr>
        <w:t>المطلب الأول في جنسه وقدره</w:t>
      </w:r>
      <w:r>
        <w:rPr>
          <w:rtl w:val="true"/>
        </w:rPr>
        <w:t>]</w:t>
      </w:r>
      <w:bookmarkEnd w:id="97"/>
    </w:p>
    <w:p>
      <w:pPr>
        <w:pStyle w:val="BookText"/>
        <w:rPr/>
      </w:pP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ممّا تجوز الصلاة فيه، فيحرم في الحرير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صلاة الرجل فلا تصح فى الحرير مطلقاً اتفاقاً، وزاد الأكثر كونه غير جلد</w:t>
      </w:r>
      <w:r>
        <w:rPr>
          <w:rStyle w:val="FootnoteAnchor"/>
          <w:rtl w:val="true"/>
        </w:rPr>
        <w:footnoteReference w:id="211"/>
      </w:r>
      <w:r>
        <w:rPr>
          <w:rFonts w:ascii="Amiri" w:hAnsi="Amiri" w:eastAsia="Amiri" w:cs="Amiri"/>
          <w:color w:val="111111"/>
          <w:sz w:val="28"/>
          <w:sz w:val="28"/>
          <w:szCs w:val="28"/>
          <w:rtl w:val="true"/>
          <w:lang w:bidi="ar-SA"/>
        </w:rPr>
        <w:t>وإن جازت الصلاة فيه؛ للأمر بنزعه عن الشهيد فهاهنا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وتُزادُ لفافَةٌ أخرى لِتَدْيَيْها ونَمْطاً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مستندها رواية </w:t>
      </w:r>
      <w:r>
        <w:rPr>
          <w:rStyle w:val="FootnoteAnchor"/>
          <w:rtl w:val="true"/>
        </w:rPr>
        <w:footnoteReference w:id="213"/>
      </w:r>
      <w:r>
        <w:rPr>
          <w:rFonts w:ascii="Amiri" w:hAnsi="Amiri" w:eastAsia="Amiri" w:cs="Amiri"/>
          <w:color w:val="111111"/>
          <w:sz w:val="28"/>
          <w:sz w:val="28"/>
          <w:szCs w:val="28"/>
          <w:rtl w:val="true"/>
          <w:lang w:bidi="ar-SA"/>
        </w:rPr>
        <w:t>ضعيفة مرسلة مقطوعة، وإثبات الحكم بمثل ذلك مشكل وإن كان مستحبّاً، خصوصاً إذا لم يتوقف على إذن الوارث، وإن لم يكن إثباتها موضع 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والعمامة ليست من الكفن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ورد في بعض الأخبار</w:t>
      </w:r>
      <w:r>
        <w:rPr>
          <w:rStyle w:val="FootnoteAnchor"/>
          <w:rtl w:val="true"/>
        </w:rPr>
        <w:footnoteReference w:id="214"/>
      </w:r>
      <w:r>
        <w:rPr>
          <w:rFonts w:ascii="Amiri" w:hAnsi="Amiri" w:eastAsia="Amiri" w:cs="Amiri"/>
          <w:color w:val="111111"/>
          <w:sz w:val="28"/>
          <w:sz w:val="28"/>
          <w:szCs w:val="28"/>
          <w:rtl w:val="true"/>
          <w:lang w:bidi="ar-SA"/>
        </w:rPr>
        <w:t xml:space="preserve">، والمراد أنها ليست من الكفن الواجب؛ للتصريح بكونها من الكفن في الجملة فى رواية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يكفّن الميِّتُ في خمسةِ أثواب قميص وإزارٍ وخِرْقَةٍ يُعْصَب بها وسطه، وبُرْدٍ يَلقُ فيه، وعمامة يعتم بها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98" w:name="pg10189_115962"/>
    </w:p>
    <w:p>
      <w:pPr>
        <w:pStyle w:val="BookText"/>
        <w:rPr/>
      </w:pPr>
      <w:bookmarkEnd w:id="98"/>
      <w:r>
        <w:rPr>
          <w:rFonts w:ascii="Amiri" w:hAnsi="Amiri" w:eastAsia="Amiri" w:cs="Amiri"/>
          <w:color w:val="111111"/>
          <w:sz w:val="28"/>
          <w:sz w:val="28"/>
          <w:szCs w:val="28"/>
          <w:rtl w:val="true"/>
          <w:lang w:bidi="ar-SA"/>
        </w:rPr>
        <w:t xml:space="preserve">وعلى هذا فلا وجه لذكر المصنف رحمه الله أنها ليست منه ولكنّه فهم أنّها ليست من الكفنِ مطلقاً، حتّى فرع عليه أنّ النباش لو سرقها لم يُقطع؛ لأنّ القبر حرز للكفن </w:t>
      </w:r>
      <w:r>
        <w:rPr>
          <w:rStyle w:val="FootnoteAnchor"/>
          <w:rtl w:val="true"/>
        </w:rPr>
        <w:footnoteReference w:id="216"/>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الحكم المبني عليه ضعيفاً كان الفرع أولى بالضعف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تشاح الورثة اقتصر على الواجب؛ ويُخرج ما أوصى به من الزائد عليه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تشاحوا في مقدار الكفن مع اتفاقهم على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ماله فإنّه يقتصر حينئذٍ على الواجب منه، أما لو أراد بعضُهم إخراج الزائد من حصته فلا حرج</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2156392_1067777946"/>
      <w:bookmarkStart w:id="100" w:name="_Toc37"/>
      <w:bookmarkEnd w:id="99"/>
      <w:r>
        <w:rPr>
          <w:rtl w:val="true"/>
        </w:rPr>
        <w:t>[</w:t>
      </w:r>
      <w:r>
        <w:rPr>
          <w:rtl w:val="true"/>
        </w:rPr>
        <w:t>المطلب الثاني في الكيفية</w:t>
      </w:r>
      <w:r>
        <w:rPr>
          <w:rtl w:val="true"/>
        </w:rPr>
        <w:t>]</w:t>
      </w:r>
      <w:bookmarkEnd w:id="100"/>
    </w:p>
    <w:p>
      <w:pPr>
        <w:pStyle w:val="BookText"/>
        <w:rPr/>
      </w:pPr>
      <w:r>
        <w:rPr>
          <w:rFonts w:eastAsia="Amiri" w:cs="Amiri" w:ascii="Amiri" w:hAnsi="Amiri"/>
          <w:color w:val="111111"/>
          <w:sz w:val="28"/>
          <w:szCs w:val="28"/>
          <w:lang w:bidi="ar-SA"/>
        </w:rPr>
        <w:t>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عدم الاكتفاء به في الصلاة إذا لم ينو ما يتضمَّن رفعَ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حكم فيما قبل بكون استباحة ما يستحبُّ له كقراءة القرآن سبباً للصحة، وهذا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يحتمل تقرير ،هما والفرق أنّ شرعيّة الوضوءِ لِقراءة القرآن لتحصيله على الوجه الأكمل، وهو متوقف على رفع الحدث، وقد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التكفينُ فإنّه موقوفٌ على إيجاد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أنّه غير مستقل برفع الحدث، فلم يتوقف التكفين على رفع الحدث، بل على مجرَّدِ الصورة فافترقا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الفرق نظربين؛ لأنّ كلَّ واحدٍ من التكفين والقراءة لا يتوقف أصلُ فعله على الوضوء، وفي كلّ منهما يتوقف عليه، فإنّه لا معنى لاستحباب الوضوء للتكفين إلّا إيقاع التكفين على وجه أكمل منه بدونه، فإنْ كان ذلك دالاً على نية رفعِ الحَدَثِ فليكن كذلك فيهما وإلّا انتفى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والحقُّ أنّ نيَّة ذلك فى معنى نيّة الاستباحة لما لا يحصل بدونه، فإنّ ذلك الوجه الأكمل لا يحصل بدونه، وهو في معنى نيّة رفع الحَدَث أيضاً حيث يمكن رفعه </w:t>
      </w:r>
      <w:r>
        <w:rPr>
          <w:rStyle w:val="FootnoteAnchor"/>
          <w:rtl w:val="true"/>
        </w:rPr>
        <w:footnoteReference w:id="218"/>
      </w:r>
      <w:r>
        <w:rPr>
          <w:rFonts w:ascii="Amiri" w:hAnsi="Amiri" w:eastAsia="Amiri" w:cs="Amiri"/>
          <w:color w:val="111111"/>
          <w:sz w:val="28"/>
          <w:sz w:val="28"/>
          <w:szCs w:val="28"/>
          <w:rtl w:val="true"/>
          <w:lang w:bidi="ar-SA"/>
        </w:rPr>
        <w:t>فيرتفع الحدث بذلك، هذا</w:t>
      </w:r>
      <w:r>
        <w:rPr>
          <w:rStyle w:val="FootnoteAnchor"/>
          <w:rtl w:val="true"/>
        </w:rPr>
        <w:footnoteReference w:id="219"/>
      </w:r>
      <w:r>
        <w:rPr>
          <w:rFonts w:ascii="Amiri" w:hAnsi="Amiri" w:eastAsia="Amiri" w:cs="Amiri"/>
          <w:color w:val="111111"/>
          <w:sz w:val="28"/>
          <w:sz w:val="28"/>
          <w:szCs w:val="28"/>
          <w:rtl w:val="true"/>
          <w:lang w:bidi="ar-SA"/>
        </w:rPr>
        <w:t>إذا اعتبرنا نية أحد الأمرين وإلا فلا إشكال 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يلزم من عدم ارتفاع الحَدَثِ أو حصولِ الاستباحة حيث لا ينوي، أو حيث لا يقع عدم صحة الوضوء بدونه؛ بل قد يصح وإن لم يبح، كما هو ظاهر في كثيرٍ من مواردِ الوضوء الذي لا يبيح و عبارته هاهنا صريحةً في ذلك حيث اعتبر الوضوء ولم يكتف به في الصلاة، ولا يُنافيه قوله فيما تقدّم أنّه يشترط نيَّة أحدِ الأمرين؛ لأنّ ذلك شرط في الوضوء الذي يبيحُ الصلاة ونحوها حيث كان من مقدّماتها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وطيّ جانب اللفافة الأيسر على الأيمن وبالعكس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أن يريد بالأيسر والأيمن فيهما أيسر اللفافة وأيمنها، والمراد حينئذٍ أنّه يستحب أن تكون اللفافة عريضة بحيث يُرَدّ طرفُها من الجانب الأيسر على طرفها من الجانب الأيمن، ويريد بالعكس التخيير في عكسه أو في لفافة أُخرى بجعل اللفافة جنساً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صرّح المفيد في المقنعة، فإنّه أنت الضمائر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جانبها الأيمن على جانبها الأيسر</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يراد جعل جانب اللفافة الأيسر على جانب الميّتِ الأيمن وبالعكس، والمعنى لا يختلف</w:t>
      </w:r>
      <w:r>
        <w:rPr>
          <w:rFonts w:eastAsia="Amiri" w:cs="Amiri" w:ascii="Amiri" w:hAnsi="Amiri"/>
          <w:color w:val="111111"/>
          <w:sz w:val="28"/>
          <w:szCs w:val="28"/>
          <w:rtl w:val="true"/>
          <w:lang w:bidi="ar-SA"/>
        </w:rPr>
        <w:t xml:space="preserve">. </w:t>
      </w:r>
      <w:bookmarkStart w:id="101" w:name="pg10189_115964"/>
    </w:p>
    <w:p>
      <w:pPr>
        <w:pStyle w:val="Heading5"/>
        <w:numPr>
          <w:ilvl w:val="4"/>
          <w:numId w:val="1"/>
        </w:numPr>
        <w:rPr/>
      </w:pPr>
      <w:bookmarkStart w:id="102" w:name="__RefHeading___Toc2156394_1067777946"/>
      <w:bookmarkStart w:id="103" w:name="_Toc38"/>
      <w:bookmarkEnd w:id="101"/>
      <w:bookmarkEnd w:id="102"/>
      <w:r>
        <w:rPr>
          <w:rtl w:val="true"/>
        </w:rPr>
        <w:t xml:space="preserve">[ </w:t>
      </w:r>
      <w:r>
        <w:rPr>
          <w:rtl w:val="true"/>
        </w:rPr>
        <w:t xml:space="preserve">الفصل الثالث في الصلاة عليه </w:t>
      </w:r>
      <w:r>
        <w:rPr>
          <w:rtl w:val="true"/>
        </w:rPr>
        <w:t>]</w:t>
      </w:r>
      <w:bookmarkEnd w:id="103"/>
    </w:p>
    <w:p>
      <w:pPr>
        <w:pStyle w:val="Heading6"/>
        <w:numPr>
          <w:ilvl w:val="5"/>
          <w:numId w:val="1"/>
        </w:numPr>
        <w:rPr/>
      </w:pPr>
      <w:bookmarkStart w:id="104" w:name="__RefHeading___Toc2156396_1067777946"/>
      <w:bookmarkStart w:id="105" w:name="_Toc39"/>
      <w:bookmarkEnd w:id="104"/>
      <w:r>
        <w:rPr>
          <w:rtl w:val="true"/>
        </w:rPr>
        <w:t>[</w:t>
      </w:r>
      <w:r>
        <w:rPr>
          <w:rtl w:val="true"/>
        </w:rPr>
        <w:t>المطلب الأوّل</w:t>
      </w:r>
      <w:r>
        <w:rPr>
          <w:rtl w:val="true"/>
        </w:rPr>
        <w:t>: ]</w:t>
      </w:r>
      <w:bookmarkEnd w:id="105"/>
    </w:p>
    <w:p>
      <w:pPr>
        <w:pStyle w:val="BookText"/>
        <w:rPr/>
      </w:pP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واجبة على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مَيِّت مُظهر للشهادتين وإن كان ابن ستّ سنين ممّن له حكم الإسلام، سواء الذكر والأنثى، والحر والعبد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 الوجوب على إظهار الشهادتين يقتضي وجوبها على جميع فِرَقِ المسلمين وإن حكم بكفرهم؛ لأنّ إظهار الشهادتين متحقق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حكمُهم </w:t>
      </w:r>
      <w:r>
        <w:rPr>
          <w:rStyle w:val="FootnoteAnchor"/>
          <w:rtl w:val="true"/>
        </w:rPr>
        <w:footnoteReference w:id="221"/>
      </w:r>
      <w:r>
        <w:rPr>
          <w:rFonts w:ascii="IRNazanin" w:hAnsi="IRNazanin" w:eastAsia="IRNazanin"/>
          <w:color w:val="111111"/>
          <w:sz w:val="28"/>
          <w:sz w:val="28"/>
          <w:szCs w:val="28"/>
          <w:rtl w:val="true"/>
          <w:lang w:bidi="fa-IR"/>
        </w:rPr>
        <w:t xml:space="preserve">بلعن المنافق فيها الشامل للناصب و الخارجي، فإنّ ذلك فرع جواز الصلاة عليه، وفي صلاة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على الناصبي دليل على الجواز وإن لم يكن تقيَّة؛ لأنّ ظاهر سياق الخبر يدلُّ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يدخل فيه المرتد بإنكار بعض ما علم ضرورةً من الدين، فإنّ الصلاة عليه غير جائزة قطعاً كغيره من المرتدّين ويمكن تكلف إخراجه، بل إخراج الفِرَق الكافرة من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له 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المذكورين ليس لهم حكم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مراده بالقيد إدراج الصبي والمجنون المتولدين من المسلم ولقيط دار الإسلام، ومَن في حكمهم؛ لأنّ لهم حكم الإسلام وإن لم يكونوا مسلمين حقيقةً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إدخال الثلاثةِ من حيث جعله ابن الست وصليّاً؛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مظهرٍ </w:t>
      </w:r>
      <w:bookmarkStart w:id="106" w:name="pg10189_115965"/>
    </w:p>
    <w:p>
      <w:pPr>
        <w:pStyle w:val="BookText"/>
        <w:rPr/>
      </w:pPr>
      <w:bookmarkEnd w:id="106"/>
      <w:r>
        <w:rPr>
          <w:rFonts w:ascii="Amiri" w:hAnsi="Amiri" w:eastAsia="Amiri" w:cs="Amiri"/>
          <w:color w:val="111111"/>
          <w:sz w:val="28"/>
          <w:sz w:val="28"/>
          <w:szCs w:val="28"/>
          <w:rtl w:val="true"/>
          <w:lang w:bidi="ar-SA"/>
        </w:rPr>
        <w:t>للشهادتين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له حكم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له، فيُعتبر فيمن يدخل في ذلك إظهارُ الشهادتين، مع أنّ الطفل ومَن في معناه لا يشترط في لحوق حكم المسلم له إظهار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يشكل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ابن 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القسم المطويّ في الوصليّة المتناول له الحكم بطريق أولى على قاعدة أنّ الوصليّة من لم يكن ابن ست سنين، شامل أو مختص بمن نقص عنها، فيفسد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المصنف رحمه الله جعل وهو بلوغ الستّ هو الغاية الدنيا لمن تجب عليه الصلاة، فالمسكوتُ عنه الداخلُ في الحكم هو من زاد لكنّ العبارة لا تُساعد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والصدرُ كالميت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القلبُ وجميعُ عظامِ المَيِّت على الأقوى</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2156398_1067777946"/>
      <w:bookmarkStart w:id="108" w:name="_Toc40"/>
      <w:bookmarkEnd w:id="107"/>
      <w:r>
        <w:rPr>
          <w:rtl w:val="true"/>
        </w:rPr>
        <w:t>[</w:t>
      </w:r>
      <w:r>
        <w:rPr>
          <w:rtl w:val="true"/>
        </w:rPr>
        <w:t>المطلب الثاني في المصلّي</w:t>
      </w:r>
      <w:r>
        <w:rPr>
          <w:rtl w:val="true"/>
        </w:rPr>
        <w:t>]</w:t>
      </w:r>
      <w:bookmarkEnd w:id="1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والأولى بها هو الأولى بالميراث، فالابن أولى من الجد، والأخ من الأبوين أولى من الأخ لأحدهما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ضابط الأولوية بأولوية الميراث جيد، وتفريع أولوية بعض من ذكر بالغاً ليس بجيِّد، فإنّ الأبَ ليس أولى من الابن بالميراث، وكذا الأخ من الأبوين مع الأخ من والزوج مع باقي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حمل أولوية الميراثِ على كثرة النصيب؛ لتخلّفه في الأب أيضاً وغيره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يريد بالأولوية إن كان الأولى بالميراث أولى بها ممّن ليس بوارت أصلاً، فالابن أولى من الجد والأخ من العمّ وهكذا، ثمّ إن اتحد الأولى بالميراتِ اختص، وإن تعدد قدّم الأبُ على الابن وباقي من ذكر تقديمه مع اشتراكهما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الإرث، وحينئذٍ فالتعليلُ بالأولوية مطّرد في جميع المراتب وإنما يتخلّف فَساد تفريع المصنِّف</w:t>
      </w:r>
      <w:r>
        <w:rPr>
          <w:rFonts w:eastAsia="Amiri" w:cs="Amiri" w:ascii="Amiri" w:hAnsi="Amiri"/>
          <w:color w:val="111111"/>
          <w:sz w:val="28"/>
          <w:szCs w:val="28"/>
          <w:rtl w:val="true"/>
          <w:lang w:bidi="ar-SA"/>
        </w:rPr>
        <w:t xml:space="preserve">. </w:t>
      </w:r>
      <w:bookmarkStart w:id="109" w:name="pg10189_115966"/>
    </w:p>
    <w:p>
      <w:pPr>
        <w:pStyle w:val="BookText"/>
        <w:rPr/>
      </w:pPr>
      <w:bookmarkEnd w:id="109"/>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والفقيه العبد أولى من غيره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يناسب التفريع على أولوية الإرث؛ لأنّ العبد ليس بوارث والأولى أن يراد به فيما لو تعدد الأئمة غير الأولياء، فإنّ الفقه حينئذ مرجّح على الحرية كإمامة اليومية، وينبه عليه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الهاشمى أولى إن قدَّمَه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 ذلك خروج عن باب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والهاشمي الجامع للشرائط أولى إنْ قدمه الولي، وينبغي له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ومستنده غير واضح، ولا بأس به لما فيه من إكرام رسول الله صلى الله عليه وسلم ورعاية حقه</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2156400_1067777946"/>
      <w:bookmarkStart w:id="111" w:name="_Toc41"/>
      <w:bookmarkEnd w:id="110"/>
      <w:r>
        <w:rPr>
          <w:rtl w:val="true"/>
        </w:rPr>
        <w:t>[</w:t>
      </w:r>
      <w:r>
        <w:rPr>
          <w:rtl w:val="true"/>
        </w:rPr>
        <w:t xml:space="preserve">المطلب الثالث في مقدماتها </w:t>
      </w:r>
      <w:r>
        <w:rPr>
          <w:rtl w:val="true"/>
        </w:rPr>
        <w:t>]</w:t>
      </w:r>
      <w:bookmarkEnd w:id="111"/>
    </w:p>
    <w:p>
      <w:pPr>
        <w:pStyle w:val="BookText"/>
        <w:rPr/>
      </w:pPr>
      <w:r>
        <w:rPr>
          <w:rFonts w:eastAsia="Amiri" w:cs="Amiri" w:ascii="Amiri" w:hAnsi="Amiri"/>
          <w:color w:val="111111"/>
          <w:sz w:val="28"/>
          <w:szCs w:val="28"/>
          <w:lang w:bidi="ar-SA"/>
        </w:rPr>
        <w:t>230/1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كَفَنُ طُرِحَ في القبر، ثمّ صُلّي عليه بعد تغسيله وسَتْرِ عورته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تعذر سَتْره خارج القبر، وإلا قدم على وضعه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الرجُلِ ممّا يلي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يحاذي بصدرها وسطه، فإن كان عبداً وُسطَ بينهما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العبارة ضابطة لكيفية الوضع عند الاجتماع؛ لأنّ كلَّ واحدٍ من العبدِ والخنثى قد يكون ممن تجب عليه الصلاة وقد لا يكون، وكذا الصبي والصبية وكذا أبهم الحكم بتأخُرِ الخنثى، فإنّ المراد به تأخره عن القبلة نحو الإمام مع أنه فرض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الحكم في ذلك أنْ يُجعل الرجلُ الحرّ ممّا يلي الإمام، ثمّ الصبيُّ الحرُّ لس، ثمّ العبد البالغ، ثمّ العبد لست ثمّ الخنثى الحرّ البالغ ، ثم الخنثى الحرّ لست، ثمّ الخنثى الرقيق كذلك، ثمّ المرأة الحرّة، ثمّ الأمةُ، ثمّ الطفل الحرّ لدون ست، ثم العبد كذلك، ثمّ الخنثى الحرّ، ثمّ الرقيق كذلك، ثمّ الأُنثى كذلك، ويراعى الصدر والوسط من الذكور والأناث، ويتخير أحدهما في الخنائي ولو تعدّد الصنف الواحد جُعل الأفضل ممايلي الإمام، ومع التساوي فالقرعة</w:t>
      </w:r>
      <w:r>
        <w:rPr>
          <w:rFonts w:eastAsia="Amiri" w:cs="Amiri" w:ascii="Amiri" w:hAnsi="Amiri"/>
          <w:color w:val="111111"/>
          <w:sz w:val="28"/>
          <w:szCs w:val="28"/>
          <w:rtl w:val="true"/>
          <w:lang w:bidi="ar-SA"/>
        </w:rPr>
        <w:t xml:space="preserve">. </w:t>
      </w:r>
      <w:bookmarkStart w:id="112" w:name="pg10189_115967"/>
    </w:p>
    <w:p>
      <w:pPr>
        <w:pStyle w:val="Heading6"/>
        <w:numPr>
          <w:ilvl w:val="5"/>
          <w:numId w:val="1"/>
        </w:numPr>
        <w:rPr/>
      </w:pPr>
      <w:bookmarkStart w:id="113" w:name="__RefHeading___Toc2156402_1067777946"/>
      <w:bookmarkStart w:id="114" w:name="_Toc42"/>
      <w:bookmarkEnd w:id="112"/>
      <w:bookmarkEnd w:id="113"/>
      <w:r>
        <w:rPr>
          <w:rtl w:val="true"/>
        </w:rPr>
        <w:t>[</w:t>
      </w:r>
      <w:r>
        <w:rPr>
          <w:rtl w:val="true"/>
        </w:rPr>
        <w:t>المطلب الرابع في كيفيتها</w:t>
      </w:r>
      <w:r>
        <w:rPr>
          <w:rtl w:val="true"/>
        </w:rPr>
        <w:t>]</w:t>
      </w:r>
      <w:bookmarkEnd w:id="114"/>
    </w:p>
    <w:p>
      <w:pPr>
        <w:pStyle w:val="BookText"/>
        <w:rPr/>
      </w:pP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ووقوفه حتى تُرفَع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وقوفُ المصلّي مطلقاً على الأقوى، لكن لو كان المصلي جميع من حضر استثنى منهم أقل ما يحصل به رفع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في الذكرى </w:t>
      </w:r>
      <w:r>
        <w:rPr>
          <w:rStyle w:val="FootnoteAnchor"/>
          <w:rtl w:val="true"/>
        </w:rPr>
        <w:footnoteReference w:id="223"/>
      </w:r>
      <w:r>
        <w:rPr>
          <w:rFonts w:ascii="IRNazanin" w:hAnsi="IRNazanin" w:eastAsia="IRNazanin"/>
          <w:color w:val="111111"/>
          <w:sz w:val="28"/>
          <w:sz w:val="28"/>
          <w:szCs w:val="28"/>
          <w:rtl w:val="true"/>
          <w:lang w:bidi="fa-IR"/>
        </w:rPr>
        <w:t>بالإمام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تَكرارها على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المصلّي الواحد، أو مع منافاة التعجيل</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2156404_1067777946"/>
      <w:bookmarkStart w:id="116" w:name="_Toc43"/>
      <w:bookmarkEnd w:id="115"/>
      <w:r>
        <w:rPr>
          <w:rtl w:val="true"/>
        </w:rPr>
        <w:t>[</w:t>
      </w:r>
      <w:r>
        <w:rPr>
          <w:rtl w:val="true"/>
        </w:rPr>
        <w:t>المطلب الخامس في الأحكام</w:t>
      </w:r>
      <w:r>
        <w:rPr>
          <w:rtl w:val="true"/>
        </w:rPr>
        <w:t>]</w:t>
      </w:r>
      <w:bookmarkEnd w:id="116"/>
    </w:p>
    <w:p>
      <w:pPr>
        <w:pStyle w:val="BookText"/>
        <w:rPr/>
      </w:pP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 عليه يوماً وليلة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التجديد، وكذا لمن فاته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سبق الإمام بتكبيرة فصاعداً استحبّ إعادتها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سبقه ظاناً تكبيرة أو ناسياً، ولو كان عامداً استمر إلى أن تلحقه كاليومية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تخيّر بين الإتمام واستئناف الصلاة على الثانية، وبين الإبطال والاستئناف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تحريمُ الإبطال اختياراً؛ نعم، يتخيَّر بين إكمالها على الأولى وإدخال الثانية معها بالنيّة، ويقتصر في المشترك على واحد وتختص كل واحدة بذكرها المختصّ بها مع الاختلاف، ويتخيَّر في تقويم أيهما شاء، ويتخيَّر بين الإتيان بضمير المذكر والمؤنث لو اجتمعا بتأويل الميت والجنازة، ومع الاختلاف يختصّ كلّ بضميره ويجوز خلافه بالتأويل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صفّاً مدرجاً ثمّ يقفُ الإمام عند وسط الصف</w:t>
      </w:r>
      <w:r>
        <w:rPr>
          <w:rFonts w:eastAsia="Amiri" w:cs="Amiri" w:ascii="Amiri" w:hAnsi="Amiri"/>
          <w:color w:val="111111"/>
          <w:sz w:val="28"/>
          <w:szCs w:val="28"/>
          <w:rtl w:val="true"/>
          <w:lang w:bidi="ar-SA"/>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الصفّ المدرّج أن يجعل رأس كلّ واحدٍ عند وَرِكِ الآخر على التدريج صفّاً واحداً وإن طال، ويقف الإمامُ وسطهم وإن خرج عن محاذاة أوله 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قال في الذكرى أنه يجعلهم ،صفّين كتراص البنّاء؛ لئلا يلزم الانحراف عن القبلة </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اعترافه بأنّ الأوّلَ ظاهرُ الرواية والأظهر الأوّل، هذا كلّه إذا كانوا من صنفٍ واحدٍ، فلو كانوا ذكوراً وإناثاً جعل رأس المرأة الأولى عند إلية الرجل الأخير، ورأس الثانية عند رأسِ الأولى إلى آخرهنَّ، ثمّ يقوم الإمامُ وسط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 هذا التفصيل رواية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17" w:name="pg10189_115969"/>
    </w:p>
    <w:p>
      <w:pPr>
        <w:pStyle w:val="Heading5"/>
        <w:numPr>
          <w:ilvl w:val="4"/>
          <w:numId w:val="1"/>
        </w:numPr>
        <w:rPr/>
      </w:pPr>
      <w:bookmarkStart w:id="118" w:name="__RefHeading___Toc2156406_1067777946"/>
      <w:bookmarkStart w:id="119" w:name="_Toc44"/>
      <w:bookmarkEnd w:id="117"/>
      <w:bookmarkEnd w:id="118"/>
      <w:r>
        <w:rPr>
          <w:rtl w:val="true"/>
        </w:rPr>
        <w:t xml:space="preserve">[ </w:t>
      </w:r>
      <w:r>
        <w:rPr>
          <w:rtl w:val="true"/>
        </w:rPr>
        <w:t xml:space="preserve">الفصل الخامس في اللواحق </w:t>
      </w:r>
      <w:r>
        <w:rPr>
          <w:rtl w:val="true"/>
        </w:rPr>
        <w:t>]</w:t>
      </w:r>
      <w:bookmarkEnd w:id="119"/>
    </w:p>
    <w:p>
      <w:pPr>
        <w:pStyle w:val="BookText"/>
        <w:rPr/>
      </w:pP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بعد اندراسها عن وجه الأرض جملةً، أمّا رَبُّها مع بقاء أثرها فلا كَراهيّةَ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في الأرضِ المُسَبَّلَةِ وإلا وجب تقييده بما إذا لم تَندَرِس عِظامُه، أما مع اندراسها فيسقط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تصويره بصورة المقابر؛ لما فيه من منع غيره من الدفنِ بغير حق، واستثنى بعضُ </w:t>
      </w:r>
      <w:r>
        <w:rPr>
          <w:rStyle w:val="FootnoteAnchor"/>
          <w:rtl w:val="true"/>
        </w:rPr>
        <w:footnoteReference w:id="226"/>
      </w:r>
      <w:r>
        <w:rPr>
          <w:rFonts w:ascii="IRNazanin" w:hAnsi="IRNazanin" w:eastAsia="IRNazanin"/>
          <w:color w:val="111111"/>
          <w:sz w:val="28"/>
          <w:sz w:val="28"/>
          <w:szCs w:val="28"/>
          <w:rtl w:val="true"/>
          <w:lang w:bidi="fa-IR"/>
        </w:rPr>
        <w:t xml:space="preserve">الأصحابِ من كَراهيّةِ تجديدها وتجصيصها مطلقاً قبور الأنبياء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فيه من تعظيم شعائر الله تعالى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به قبور العلماء والصالحين؛ لذلك؛ ولأنّ مستند الكراهية غير نقي السند وإن كان مشهوراً، فيقتصر فيه على ما لا يعارضه مزيّة بينها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والمُقام عندها، والتظليل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يتعلق به غرض صحيح ديني كالإقامة عندها للزيارة وقراءة القرآن، والاتعاظ والتظليل لدفع أذى الحَرِّ والبَرْدِ عن الزائرين، ونحو ذلك، وإلا لم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 ميّتين في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ابتداءً اختياراً، أما مع الضرورة فلا يُكره، أو مع دفنِ الأول فيحرم نبشه للثاني إن لم يكن الدفنُ في أزَج معد لدفن جماعةٍ وإلّا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والنقل إلا إلى أحدِ المَشاهِدِ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يحصل من النقل مُثلَةٌ بالميِّتِ بأن يسيل دمه ونحو ذلك، وإلَّا حَرُم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ميّتين على جنازة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عندَ أصحابنا إطلاق البدعة على المُحَرَّمِ</w:t>
      </w:r>
      <w:r>
        <w:rPr>
          <w:rStyle w:val="FootnoteAnchor"/>
          <w:rtl w:val="true"/>
        </w:rPr>
        <w:footnoteReference w:id="227"/>
      </w:r>
      <w:r>
        <w:rPr>
          <w:rFonts w:ascii="Amiri" w:hAnsi="Amiri" w:eastAsia="Amiri" w:cs="Amiri"/>
          <w:color w:val="111111"/>
          <w:sz w:val="28"/>
          <w:sz w:val="28"/>
          <w:szCs w:val="28"/>
          <w:rtl w:val="true"/>
          <w:lang w:bidi="ar-SA"/>
        </w:rPr>
        <w:t>، وقد تُطلق على مالم يكن في عهد النبي صلى الله عليه وسلم وإن لم يكن فعله مُحَرَّماً، بل ربما وجب أو استحبّ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وقسمها بعضُهم </w:t>
      </w:r>
      <w:r>
        <w:rPr>
          <w:rStyle w:val="FootnoteAnchor"/>
          <w:rtl w:val="true"/>
        </w:rPr>
        <w:footnoteReference w:id="228"/>
      </w:r>
      <w:r>
        <w:rPr>
          <w:rFonts w:ascii="Amiri" w:hAnsi="Amiri" w:eastAsia="Amiri" w:cs="Amiri"/>
          <w:color w:val="111111"/>
          <w:sz w:val="28"/>
          <w:sz w:val="28"/>
          <w:szCs w:val="28"/>
          <w:rtl w:val="true"/>
          <w:lang w:bidi="ar-SA"/>
        </w:rPr>
        <w:t xml:space="preserve">إلى الأقسام الخمسة وهو الأنسب هاهنا؛ لأنّ الصحيحَ كَراهيّة ذلك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تشترط الرطوبة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المواضع الثلاثة، وهي الثلاثة، وهي القطعة الخالية من عظم، وكون الميت من غير الناس، و منهم قبل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والأخير فواضح؛ لأنّ نجاسة ميّت الآدمي تتعدى عنده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الثاني؛ فمستنده إطلاق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29"/>
      </w:r>
      <w:r>
        <w:rPr>
          <w:rFonts w:ascii="Amiri" w:hAnsi="Amiri" w:eastAsia="Amiri" w:cs="Amiri"/>
          <w:color w:val="111111"/>
          <w:sz w:val="28"/>
          <w:sz w:val="28"/>
          <w:szCs w:val="28"/>
          <w:rtl w:val="true"/>
          <w:lang w:bidi="ar-SA"/>
        </w:rPr>
        <w:t xml:space="preserve">ويمكن بغسل يده، والأقوى اشتراطه بالرطوبة كغيره من النجاسات؛ لضعف المستند المخرج له عن غيره ولا يجوز عودُ الإشارة إلى غُسْلِ المس، كما فهمه الشارح المحقق </w:t>
      </w:r>
      <w:r>
        <w:rPr>
          <w:rStyle w:val="FootnoteAnchor"/>
          <w:rtl w:val="true"/>
        </w:rPr>
        <w:footnoteReference w:id="230"/>
      </w:r>
      <w:r>
        <w:rPr>
          <w:rFonts w:ascii="Amiri" w:hAnsi="Amiri" w:eastAsia="Amiri" w:cs="Amiri"/>
          <w:color w:val="111111"/>
          <w:sz w:val="28"/>
          <w:sz w:val="28"/>
          <w:szCs w:val="28"/>
          <w:rtl w:val="true"/>
          <w:lang w:bidi="ar-SA"/>
        </w:rPr>
        <w:t>نظراً إلى منافاة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له لمنع المنافاة حينئذ ؛ لأنّ غُسْل المس لا تعلّق له بالرطوبة وعدمها إجماعاً، بل إمّا ثابت مطلقاً أو منفي مطلقاً، فلا فائدة في التنبيه على عدم اشتراطها فيه بخلاف الثلاثة، للخلاف فيها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النّجاسة هنا حُكميّة، فلو مسّه بغيرِ رطوبة، ثمّ مسَّ رَطْباً لم ينجس</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هنا إلى نَجاسةِ بدنِ الميّت وإلى نجاسة بدنِ الماس له وعلى التقديرين يمكن أن يريد بالحكمية ما لا جرم له ولا عين يشار إليها كالبول </w:t>
      </w:r>
    </w:p>
    <w:p>
      <w:pPr>
        <w:pStyle w:val="BookText"/>
        <w:rPr/>
      </w:pPr>
      <w:r>
        <w:rPr>
          <w:rFonts w:ascii="Amiri" w:hAnsi="Amiri" w:eastAsia="Amiri" w:cs="Amiri"/>
          <w:color w:val="111111"/>
          <w:sz w:val="28"/>
          <w:sz w:val="28"/>
          <w:szCs w:val="28"/>
          <w:rtl w:val="true"/>
          <w:lang w:bidi="ar-SA"/>
        </w:rPr>
        <w:t>اليابس، وقد تقدَّم في بابِ النّجاسات إطلاقه الحكميّة على هذا المعنى، وأن يريد بها الحَدَثِيّة كما هو أحد معانيها، وأن يريد بها ما يقبل التطهير بخلاف العينية وهي نفس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جسم إحدى النجاسات العشر كبدنِ الميّتة غير الآدمي والكلب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الحكم على كل تقدير من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النّجاسة العينيّة المقابلة لها حكمُها كذلك، فلا وجه لتخصيصها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هو خلافُ المعروفِ من ،مذهبه فإنّه قد تقدَّم منه الجزم بأنّه ينجس الملاقي 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نَجاسة الميت حدثيةٌ من وجه خبثيّةٌ من آخر فلا يتم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التفريعُ عليها؛ لأنّها حينئذٍ لا تنجس الملاقي لها مطلقاً، فلا وجه للتقييد بكون مسه بغير رطوبة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مقابل الظاهر گون بدنه لا يقبل التطهير، ولا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لا وجه للتفريع حينئذ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أُريد المعنى الثاني من الأولين لم يتم على الأول حكمه بعدم تنجس الملاقي له برطوبة؛ لأنّ النجاسة الحكمية بذلك المعنى تتعدّى مع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وفساد الآخرين واضح مما ذكرناه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والأولى إرادة المعنى الأول وإن لم يكن المعنى معه جزلاً؛ لأنه أبعد عن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ويُعتذر عن الإشكال الأول بأنّ وجة تخصيص الحكمة مشابهتها لها في الصورة والمعنى، بل هي على ذلك التقدير بعض أفرادها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بأنه رجوع عمّا ذهب إليه سابقاً وهو سهل عند المصنف، مع أن دليله وجيه لولا أنه خلاف المعروفِ من المذهب والأخبارُ </w:t>
      </w:r>
      <w:r>
        <w:rPr>
          <w:rStyle w:val="FootnoteAnchor"/>
          <w:rtl w:val="true"/>
        </w:rPr>
        <w:footnoteReference w:id="231"/>
      </w:r>
      <w:r>
        <w:rPr>
          <w:rFonts w:ascii="Amiri" w:hAnsi="Amiri" w:eastAsia="Amiri" w:cs="Amiri"/>
          <w:color w:val="111111"/>
          <w:sz w:val="28"/>
          <w:sz w:val="28"/>
          <w:szCs w:val="28"/>
          <w:rtl w:val="true"/>
          <w:lang w:bidi="ar-SA"/>
        </w:rPr>
        <w:t xml:space="preserve">التي دلّت على تعدّي نَجاسته مطلقاً يمكن تقييدها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 يابس ذكيّ</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وبالإجماع على عدم تعدّي نَجاسةِ الكلب والخنزير وأشباههما، مع أن نجاستهما أقوى من نَجاسةِ الميت</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الثالث بأنّ كونَها حَدَثيّة قد عُلم من موضع آخر ومن أول المبحث فبقي المعنى الآخر فبيّنه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تختار للحكميّة معنى رابعاً، وهو أن يراد بها ما حكم الشارع بتطهيرها من غير أن يلحقها حكم غيرها من النجاسات العينية فإنّ ذلك أوفقُ للتفريع، ويكون المراد بكونها حكميةً حينئذٍ مع مسه بغير رطوبة، كما يظهر من التفريع وإن كانت العبارة مطلقة، وبقرينة عدم اعتبار الرطوبة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حينئذٍ أنّ نَجاسة ماش الميت بغير رطوبة محكوم بتطهيرها شرعاً من غير أن يتعدّى إلى غيرها مطلقاً، وهذا المعنى بعينه أراده ابن إدريس، حيث حكم بأنّ الميّت لو أصاب بعض أعضائه مائع نَجُس ذلك المائعُ، ولو وقع ذلك المائع في مائع آخر لم ينجس </w:t>
      </w:r>
      <w:r>
        <w:rPr>
          <w:rStyle w:val="FootnoteAnchor"/>
          <w:rtl w:val="true"/>
        </w:rPr>
        <w:footnoteReference w:id="233"/>
      </w:r>
      <w:r>
        <w:rPr>
          <w:rFonts w:ascii="Amiri" w:hAnsi="Amiri" w:eastAsia="Amiri" w:cs="Amiri"/>
          <w:color w:val="111111"/>
          <w:sz w:val="28"/>
          <w:sz w:val="28"/>
          <w:szCs w:val="28"/>
          <w:rtl w:val="true"/>
          <w:lang w:bidi="ar-SA"/>
        </w:rPr>
        <w:t>، محتجاً بأن نَجاسته حكميّة لاعينيّة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ما بناه عليه غير صحيح إلّا أنّ ما ادعاه من الحكميّة لا يطابق شيئاً من المعاني الثلاثة المشهورة</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0189_115974"/>
      <w:bookmarkStart w:id="121" w:name="pg10189_115974"/>
      <w:bookmarkEnd w:id="121"/>
    </w:p>
    <w:p>
      <w:pPr>
        <w:pStyle w:val="Heading3"/>
        <w:numPr>
          <w:ilvl w:val="2"/>
          <w:numId w:val="1"/>
        </w:numPr>
        <w:rPr/>
      </w:pPr>
      <w:bookmarkStart w:id="122" w:name="pg10189_115974"/>
      <w:bookmarkStart w:id="123" w:name="__RefHeading___Toc2156408_1067777946"/>
      <w:bookmarkStart w:id="124" w:name="_Toc45"/>
      <w:bookmarkEnd w:id="122"/>
      <w:bookmarkEnd w:id="123"/>
      <w:r>
        <w:rPr>
          <w:rtl w:val="true"/>
        </w:rPr>
        <w:t>كتاب الصلاة</w:t>
      </w:r>
      <w:bookmarkEnd w:id="124"/>
    </w:p>
    <w:p>
      <w:pPr>
        <w:pStyle w:val="Heading4"/>
        <w:numPr>
          <w:ilvl w:val="3"/>
          <w:numId w:val="1"/>
        </w:numPr>
        <w:rPr/>
      </w:pPr>
      <w:bookmarkStart w:id="125" w:name="__RefHeading___Toc2156410_1067777946"/>
      <w:bookmarkStart w:id="126" w:name="_Toc46"/>
      <w:bookmarkEnd w:id="125"/>
      <w:r>
        <w:rPr>
          <w:rtl w:val="true"/>
        </w:rPr>
        <w:t>المقصد الأوّل فى المقدمات</w:t>
      </w:r>
      <w:bookmarkEnd w:id="126"/>
    </w:p>
    <w:p>
      <w:pPr>
        <w:pStyle w:val="Heading5"/>
        <w:numPr>
          <w:ilvl w:val="4"/>
          <w:numId w:val="1"/>
        </w:numPr>
        <w:rPr/>
      </w:pPr>
      <w:bookmarkStart w:id="127" w:name="__RefHeading___Toc2156412_1067777946"/>
      <w:bookmarkStart w:id="128" w:name="_Toc47"/>
      <w:bookmarkEnd w:id="127"/>
      <w:r>
        <w:rPr>
          <w:rtl w:val="true"/>
        </w:rPr>
        <w:t>[</w:t>
      </w:r>
      <w:r>
        <w:rPr>
          <w:rtl w:val="true"/>
        </w:rPr>
        <w:t xml:space="preserve">الفصل الأوّل في أعدادها </w:t>
      </w:r>
      <w:r>
        <w:rPr>
          <w:rtl w:val="true"/>
        </w:rPr>
        <w:t>]</w:t>
      </w:r>
      <w:bookmarkEnd w:id="128"/>
    </w:p>
    <w:p>
      <w:pPr>
        <w:pStyle w:val="BookText"/>
        <w:rPr/>
      </w:pPr>
      <w:r>
        <w:rPr>
          <w:rFonts w:ascii="Amiri" w:hAnsi="Amiri" w:eastAsia="Amiri" w:cs="Amiri"/>
          <w:color w:val="111111"/>
          <w:sz w:val="28"/>
          <w:sz w:val="28"/>
          <w:szCs w:val="28"/>
          <w:rtl w:val="true"/>
          <w:lang w:bidi="ar-SA"/>
        </w:rPr>
        <w:t>المقصد الأوّل في المقدمات</w:t>
      </w:r>
    </w:p>
    <w:p>
      <w:pPr>
        <w:pStyle w:val="BookText"/>
        <w:rPr/>
      </w:pPr>
      <w:r>
        <w:rPr>
          <w:rFonts w:ascii="Amiri" w:hAnsi="Amiri" w:eastAsia="Amiri" w:cs="Amiri"/>
          <w:color w:val="111111"/>
          <w:sz w:val="28"/>
          <w:sz w:val="28"/>
          <w:szCs w:val="28"/>
          <w:rtl w:val="true"/>
          <w:lang w:bidi="ar-SA"/>
        </w:rPr>
        <w:t>المقصد الثاني في أفعال الصلاة وتروكها</w:t>
      </w:r>
    </w:p>
    <w:p>
      <w:pPr>
        <w:pStyle w:val="BookText"/>
        <w:rPr/>
      </w:pPr>
      <w:r>
        <w:rPr>
          <w:rFonts w:ascii="Amiri" w:hAnsi="Amiri" w:eastAsia="Amiri" w:cs="Amiri"/>
          <w:color w:val="111111"/>
          <w:sz w:val="28"/>
          <w:sz w:val="28"/>
          <w:szCs w:val="28"/>
          <w:rtl w:val="true"/>
          <w:lang w:bidi="ar-SA"/>
        </w:rPr>
        <w:t>المقصد الثالث في باقي الصلوات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الرابع في التوابع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وللعشاء ركعتان من جلوس</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الجلوس ثابت لهما بالأصالة بخلافِ غيرهما من النوافل والوجه في ذلك أنّ النافلة الراتبة أربع وثلاثون، ضعف الفريضة، وهي بدون هاتين الركعتين ثلاث وثلاثون، فلمّا افتقرت إلى واحدة ونهي عن البتيراء جُمِع بينهما مع إرادة الاقتصار على ما يتم به العددُ برَكعتين من جلوس ولو صلّاهما من قيام كان أفضل وزاد خيراً، وكانت الركعة الزائدة بمنزلة صلاة زائدة عن الراتبة، وفي الأخبارِ ما يدلّ على أفضليّةِ القيام</w:t>
      </w:r>
      <w:r>
        <w:rPr>
          <w:rStyle w:val="FootnoteAnchor"/>
          <w:rtl w:val="true"/>
        </w:rPr>
        <w:footnoteReference w:id="234"/>
      </w:r>
      <w:r>
        <w:rPr>
          <w:rFonts w:ascii="IRNazanin" w:hAnsi="IRNazanin" w:eastAsia="IRNazanin"/>
          <w:color w:val="111111"/>
          <w:sz w:val="28"/>
          <w:sz w:val="28"/>
          <w:szCs w:val="28"/>
          <w:rtl w:val="true"/>
          <w:lang w:bidi="fa-IR"/>
        </w:rPr>
        <w:t xml:space="preserve">، وماورد منها بالجلوس </w:t>
      </w:r>
      <w:r>
        <w:rPr>
          <w:rStyle w:val="FootnoteAnchor"/>
          <w:rtl w:val="true"/>
        </w:rPr>
        <w:footnoteReference w:id="235"/>
      </w:r>
      <w:r>
        <w:rPr>
          <w:rFonts w:ascii="Amiri" w:hAnsi="Amiri" w:eastAsia="Amiri" w:cs="Amiri"/>
          <w:color w:val="111111"/>
          <w:sz w:val="28"/>
          <w:sz w:val="28"/>
          <w:szCs w:val="28"/>
          <w:rtl w:val="true"/>
          <w:lang w:bidi="ar-SA"/>
        </w:rPr>
        <w:t>غير منافٍ له، بل هو محمول على ما ذكرناه</w:t>
      </w:r>
      <w:r>
        <w:rPr>
          <w:rFonts w:eastAsia="Amiri" w:cs="Amiri" w:ascii="Amiri" w:hAnsi="Amiri"/>
          <w:color w:val="111111"/>
          <w:sz w:val="28"/>
          <w:szCs w:val="28"/>
          <w:rtl w:val="true"/>
          <w:lang w:bidi="ar-SA"/>
        </w:rPr>
        <w:t xml:space="preserve">. </w:t>
      </w:r>
      <w:bookmarkStart w:id="129" w:name="pg10189_115977"/>
    </w:p>
    <w:p>
      <w:pPr>
        <w:pStyle w:val="Heading5"/>
        <w:numPr>
          <w:ilvl w:val="4"/>
          <w:numId w:val="1"/>
        </w:numPr>
        <w:rPr/>
      </w:pPr>
      <w:bookmarkStart w:id="130" w:name="__RefHeading___Toc2156414_1067777946"/>
      <w:bookmarkStart w:id="131" w:name="_Toc48"/>
      <w:bookmarkEnd w:id="129"/>
      <w:bookmarkEnd w:id="130"/>
      <w:r>
        <w:rPr>
          <w:rtl w:val="true"/>
        </w:rPr>
        <w:t xml:space="preserve">[ </w:t>
      </w:r>
      <w:r>
        <w:rPr>
          <w:rtl w:val="true"/>
        </w:rPr>
        <w:t>الفصل الثاني في أوقاتها</w:t>
      </w:r>
      <w:r>
        <w:rPr>
          <w:rtl w:val="true"/>
        </w:rPr>
        <w:t>]</w:t>
      </w:r>
      <w:bookmarkEnd w:id="131"/>
    </w:p>
    <w:p>
      <w:pPr>
        <w:pStyle w:val="Heading6"/>
        <w:numPr>
          <w:ilvl w:val="5"/>
          <w:numId w:val="1"/>
        </w:numPr>
        <w:rPr/>
      </w:pPr>
      <w:bookmarkStart w:id="132" w:name="__RefHeading___Toc2156416_1067777946"/>
      <w:bookmarkStart w:id="133" w:name="_Toc49"/>
      <w:bookmarkEnd w:id="132"/>
      <w:r>
        <w:rPr>
          <w:rtl w:val="true"/>
        </w:rPr>
        <w:t>[</w:t>
      </w:r>
      <w:r>
        <w:rPr>
          <w:rtl w:val="true"/>
        </w:rPr>
        <w:t xml:space="preserve">المطلب الأول في تعيينها </w:t>
      </w:r>
      <w:r>
        <w:rPr>
          <w:rtl w:val="true"/>
        </w:rPr>
        <w:t>]</w:t>
      </w:r>
      <w:bookmarkEnd w:id="133"/>
    </w:p>
    <w:p>
      <w:pPr>
        <w:pStyle w:val="BookText"/>
        <w:rPr/>
      </w:pP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والمماثلة بين الفيء الزائد والظِلٍّ الأوّل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الظل الباقي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المماثلة إنما تتم مع تحقق ظلّ باقٍ، وهو متخلف في كثير من البلاد ومختلف في سائرها، وأطوله في وقتِ قِصَرِ النهار وأقصرُهُ في طوله، ويلزم على هذا أن يكون وقت الظهر في اليوم الطويل أقصر منه في القصير وهو خلاف الواقع، وربما اتفق الظل الأول على تقدير وجوده أقل من مقدار الصلاة، وهو خلافُ القاعدة المتَّفقِ عليها من استحالة أن يكلف الله بعبادة في وقتٍ يَقصُرُ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فهذا قول شنيع ومستنده رواية ضعيفة مرسلة </w:t>
      </w:r>
      <w:r>
        <w:rPr>
          <w:rStyle w:val="FootnoteAnchor"/>
          <w:rtl w:val="true"/>
        </w:rPr>
        <w:footnoteReference w:id="236"/>
      </w:r>
      <w:r>
        <w:rPr>
          <w:rFonts w:ascii="Amiri" w:hAnsi="Amiri" w:eastAsia="Amiri" w:cs="Amiri"/>
          <w:color w:val="111111"/>
          <w:sz w:val="28"/>
          <w:sz w:val="28"/>
          <w:szCs w:val="28"/>
          <w:rtl w:val="true"/>
          <w:lang w:bidi="ar-SA"/>
        </w:rPr>
        <w:t>قاصرة عن إفادته، فلا وجة للمصير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وللإجزاء إلى أن يبقى للغروبِ مقدارُ ثَمانِ ركعات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يمتد متسعاً إلى هذا المقدار، ثمّ يتضيَّق حينئذ ؛ لأنه يبقى منه بقدر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يبقى للغروب مقدار أربع ركعات؛ لأنّ وقت الإجزاء للظهر يمتد إلى ذلك الوقت وإن تضيّق آخرُه ؛ إذ مطلقُ الوقتِ أعمُّ من المُضيَّق وكذا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العصرِ إلى أن يبقى منه مقدار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حينئذٍ يتضيَّق ولا ينتهي إلا بالغروب وكذا القولُ في باقي الفرائضِ الخَمسِ، فإنّه يجوز في استثناء قدرها من آخره لما ذكرناه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والنوافل ما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المنع من النافلة لمن عليه فريضةٌ، والأقوى جوازها ما لم يَضُرَّ بها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 في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والعشاء يستحبُّ تأخيرها إلى ذَهَابِ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 استحباب تأخير العصر إلى المثل؛ لعدم نص صريح عليه؛ وللإجماع على جواز فعلها في وقت الظهر، بخلافِ العشاء، فقد قيل بمنع تقديمها في وقتِ المغرب اختياراً كما يمنع من تأخير المغرب إلى وقت العشاء، والأقوى استحباب تأخير العصر إلى المثل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والمتنفّلُ يؤخّر بقدر نافلة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يؤخّر الفجر بقدر نافلتِها، وإنّما لم يذكرها لاستحباب تقديمها بعد صلاة الليل فقد لا تبقى بعد الفجر، لكن قد حكم باستحباب إعادتها بعده، فكان ينبغي استثناء وقتها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الأربع للظهر أو للعصر ؟ فيه احتمال، وتظهر الفائدة في المغرب والعشاء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أدرك من وقت الظهرين مقدار أربع فهي مختصة بالعصر قطعاً، وإن أدرك مقدار خَمسٍ فللظهر منها ركعة أيضاً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الثلاثة التي تتبعها للظهر هل تصيرلها تبعاً بواسطة وجوبها أم تبقى للعصر ولكن تزاحمها الظهر فيها، كما تزاحم العصر المغرب بثلاث لو أدرك من وقتها مقدارَ رَكعة؟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كل واحد من الأمرين وهو في قوَّة احتمالين في المسألة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يظهر أنّ إطلاق الاحتمال على الأربع يحتاج إلى تجوز؛ لأنّ الاحتمال في الثلاث خاصة، ولكنّه في الظهر سهل؛ لأنّ الركعة الأخرى لها مجاز إطلاق الإشكال </w:t>
      </w:r>
    </w:p>
    <w:p>
      <w:pPr>
        <w:pStyle w:val="BookText"/>
        <w:rPr/>
      </w:pPr>
      <w:r>
        <w:rPr>
          <w:rFonts w:ascii="Amiri" w:hAnsi="Amiri" w:eastAsia="Amiri" w:cs="Amiri"/>
          <w:color w:val="111111"/>
          <w:sz w:val="28"/>
          <w:sz w:val="28"/>
          <w:szCs w:val="28"/>
          <w:rtl w:val="true"/>
          <w:lang w:bidi="ar-SA"/>
        </w:rPr>
        <w:t>على المجموع وإن اختص ببعضه، وفي العصر متجوز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ففائدة الاحتمالين منتفية في الظهرين؛ لأنّهما يجبان على التقديرين، وإنّما تظهر فائدتهما في العشائين، فإنّا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الأربع للظهر، وجب العشاءان بإدراك الأربع؛ لأنّها حينئذ بمنزلة الخمس في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للعصر مطلقاً وإنّما زاحمتها الظهر فيما اختصت الأربع بالعشاء لأنها بقدرها، والحقُّ أنّ هذه الفائدة منتفية؛ لأنّ الاحتمال إنّما يجري على تقدير إدراكِ رَكعة من وقت الأولى كالخمس بالنسبة إلى الظهرين، أما لو أدرك مقدار أربع اختصت الثانية قطعاً؛ لأنّه بقدرِها، وحينئذٍ فلا فائدةً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ابتداءُ النوافل عند طلوع الشمس وغروبها وقيامها إلى أن تزول إلا يوم الجمعة، وبعد صلاتي الصبح والعصر إلا ما له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بابتداء النوافل فعلها في هذه الأوقاتِ بحيث لا يشرع فيها إلا فيها، ويحترز به عن استدامتها كما لو شرع فيها قبلها فدخلت وهو فيها، فإنه لا يقطعها حينئذ؛ للنهي عن القطع، فيكون مخصصاً لذلك المكروه ترجيحاً لسبقه وحملاً للتكليف على المبتدأ؛ لأنّه المعروف منه لا لكون الواقع فيه بعض الصلاة فلا يتناوله النهي لمنعه؛ إذ يُكره ابتداؤها فيه وإن أكملها خارجه مع أنّ الواقع فيه حينئذٍ بعضها، وحينئذ فلا ينافي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له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جعلنا الابتداء هنا كنايةً عن فعل الصلاةِ التي لا سبب لها، بل ما يبتدؤها الإنسان ويحدِثها من الصلوات المطلقة لكان استثناء ذات السبب مستدركاً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فاستثناء يومِ الجمعة منقطع ويمكن الغناء عنه؛ لأنّ نافلته من ذواتِ الأسباب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سبب شرعيّتِه متقدماً على الوقتِ أو مقارناً له، أو ما خصه الشارع بوضع و شرعيّةٍ خلاف ما يحدثه الإنسانُ من مطلق النافلة لا مطلق السبب؛ إذ ما من صلاة إلا ولها سببٌ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ظنَّ الخروج صارت قضاء، فلو كذب ظنُّه فالأداء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بالظنّ هنا ما يجوز اعتماده منه شرعاً لا مطلقه، وإنما يبقى الأداء إذا لم يكن فعلها قضاءً حينئذٍ وإلا ففي وجوب إعادتها مع تبيّن بقاء الوقتِ أداءً قولان مأخذهما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السابق المقتضي للإجزاء، وظهورُ فَساد ظنّه، والأقوى الأوّلُ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بخلافِ ما لو أدّاها قبل الوقتِ ظانّاً دخوله، فإنّه يجب عليه إعادتها أداءً؛ لأنّ دخول الوقتِ سبب للتكليف متجدّد؛ ولأن الشارع لم يتعبد بالعبادة قبل وقتها إلا ما استثنى بخلاف ما بعده </w:t>
      </w:r>
      <w:r>
        <w:rPr>
          <w:rFonts w:eastAsia="Amiri" w:cs="Amiri" w:ascii="Amiri" w:hAnsi="Amiri"/>
          <w:color w:val="111111"/>
          <w:sz w:val="28"/>
          <w:szCs w:val="28"/>
          <w:rtl w:val="true"/>
          <w:lang w:bidi="ar-SA"/>
        </w:rPr>
        <w:t xml:space="preserve">. </w:t>
      </w:r>
      <w:bookmarkStart w:id="134" w:name="pg10189_115981"/>
    </w:p>
    <w:p>
      <w:pPr>
        <w:pStyle w:val="Heading5"/>
        <w:numPr>
          <w:ilvl w:val="4"/>
          <w:numId w:val="1"/>
        </w:numPr>
        <w:rPr/>
      </w:pPr>
      <w:bookmarkStart w:id="135" w:name="__RefHeading___Toc2156418_1067777946"/>
      <w:bookmarkStart w:id="136" w:name="_Toc50"/>
      <w:bookmarkEnd w:id="134"/>
      <w:bookmarkEnd w:id="135"/>
      <w:r>
        <w:rPr>
          <w:rtl w:val="true"/>
        </w:rPr>
        <w:t xml:space="preserve">[ </w:t>
      </w:r>
      <w:r>
        <w:rPr>
          <w:rtl w:val="true"/>
        </w:rPr>
        <w:t xml:space="preserve">الفصل الثالث في القبلة </w:t>
      </w:r>
      <w:r>
        <w:rPr>
          <w:rtl w:val="true"/>
        </w:rPr>
        <w:t>]</w:t>
      </w:r>
      <w:bookmarkEnd w:id="136"/>
    </w:p>
    <w:p>
      <w:pPr>
        <w:pStyle w:val="Heading6"/>
        <w:numPr>
          <w:ilvl w:val="5"/>
          <w:numId w:val="1"/>
        </w:numPr>
        <w:rPr/>
      </w:pPr>
      <w:bookmarkStart w:id="137" w:name="__RefHeading___Toc2156420_1067777946"/>
      <w:bookmarkStart w:id="138" w:name="_Toc51"/>
      <w:bookmarkEnd w:id="137"/>
      <w:r>
        <w:rPr>
          <w:rtl w:val="true"/>
        </w:rPr>
        <w:t>[</w:t>
      </w:r>
      <w:r>
        <w:rPr>
          <w:rtl w:val="true"/>
        </w:rPr>
        <w:t>المطلب الأوّل الماهيّة</w:t>
      </w:r>
      <w:r>
        <w:rPr>
          <w:rtl w:val="true"/>
        </w:rPr>
        <w:t>]</w:t>
      </w:r>
      <w:bookmarkEnd w:id="138"/>
    </w:p>
    <w:p>
      <w:pPr>
        <w:pStyle w:val="BookText"/>
        <w:rPr/>
      </w:pP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وجهتها لمن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بالجهةِ هنا السَمْتُ الذي يجوزُ كَوْنُ الكعبة فيه ويقطع بعدم خروجها عنه لأمارةٍ شرعيَّةٍ، ولا يُعتبر العلم بكونها فيه ولا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انهدمت الجُدران استقبل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الجهة المشتملة على العَيْنِ خاصةً لا الجهة السابقة، إلا أن يكون بعيداً فرضُه الجهة على تقدير وجودها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بعضُ بدنِه عن جهةِ الكعبة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خرج عن عَيْنِ الكعبة؛ لما تقرّر، وسيأتي من أنّ الجِهَة إنّما تُعتبر للبعيد ولا يُتصوّر فيها خروجُ بعض البدن عنها دون بعض، وقد تجوّز في استعمالها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وعلامتهم جعلُ الفجر على المَنْكِب الأيسر، والمغرب على الأيمن، والجَدي بحذاء المَنْكِبِ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العلامات الثلاث ليست على وتيرة واحدة، والاكتفاء بكلّ واحدة منها مطلقاً بعيد، والأجودُ تنزيلها على جهاتِ بلادِ العراق فأهل أوساطه كبغداد يعتمدون العلامة الوسطى وهي الجَدْي، وأطرافه الغربية يعتمدون الأخيرة، وأطرافه الشرقية كالبصرة يزيدون انحرافاً نحو المغرب عن أوساطه بالاجتهاد والعلامة الأولى ليست منضبطةً كما لا يخفى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لهم التياسُرُ قليلاً إلى يَسارِ المصلّي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الحكم مبنيّ على أن فرض البعيد استقبال الحرم، وأنه عن يمين الكعبة أقلّ ممّا منه عن يسارها، كما رواه المفضّل بن عمر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xml:space="preserve">، لكن المستند ضعيف كالأصل فالمبني عليه أضعف والعجب أنّ المصنّف صرّح في التذكرة </w:t>
      </w:r>
      <w:r>
        <w:rPr>
          <w:rStyle w:val="FootnoteAnchor"/>
          <w:rtl w:val="true"/>
        </w:rPr>
        <w:footnoteReference w:id="238"/>
      </w:r>
      <w:r>
        <w:rPr>
          <w:rFonts w:ascii="Amiri" w:hAnsi="Amiri" w:eastAsia="Amiri" w:cs="Amiri"/>
          <w:color w:val="111111"/>
          <w:sz w:val="28"/>
          <w:sz w:val="28"/>
          <w:szCs w:val="28"/>
          <w:rtl w:val="true"/>
          <w:lang w:bidi="ar-SA"/>
        </w:rPr>
        <w:t xml:space="preserve">، والنهاية </w:t>
      </w:r>
      <w:r>
        <w:rPr>
          <w:rStyle w:val="FootnoteAnchor"/>
          <w:rtl w:val="true"/>
        </w:rPr>
        <w:footnoteReference w:id="239"/>
      </w:r>
      <w:r>
        <w:rPr>
          <w:rFonts w:ascii="Amiri" w:hAnsi="Amiri" w:eastAsia="Amiri" w:cs="Amiri"/>
          <w:color w:val="111111"/>
          <w:sz w:val="28"/>
          <w:sz w:val="28"/>
          <w:szCs w:val="28"/>
          <w:rtl w:val="true"/>
          <w:lang w:bidi="ar-SA"/>
        </w:rPr>
        <w:t>بأن الحكم مبني على ما ذكرناه مع عدم حكمه بالمبني عليه، ثم جزم هنا بالاستحباب مطلقاً</w:t>
      </w:r>
      <w:r>
        <w:rPr>
          <w:rStyle w:val="FootnoteAnchor"/>
          <w:rtl w:val="true"/>
        </w:rPr>
        <w:footnoteReference w:id="240"/>
      </w:r>
      <w:r>
        <w:rPr>
          <w:rFonts w:ascii="Amiri" w:hAnsi="Amiri" w:eastAsia="Amiri" w:cs="Amiri"/>
          <w:color w:val="111111"/>
          <w:sz w:val="28"/>
          <w:sz w:val="28"/>
          <w:szCs w:val="28"/>
          <w:rtl w:val="true"/>
          <w:lang w:bidi="ar-SA"/>
        </w:rPr>
        <w:t>، ولعلّه عوّل على ما ادعاه الشيخ من الإجماع عليه فجزم بالمصير إليه مطلقاً، والأصح عدم جوازه مطلقاً فضلاً عن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بَنَات النَّعْش حالَ غَيْبوبتِها خَلْفَ الأُذن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بغيبوبتها ميلُها عن دائرة نصف النهار لا الغيبوبة المتعارفة وهو نهاية انحطاطِها وخفائها في الأفُقِ على تقديره؛ لأنّها حينئذٍ تميلُ عن قبلةِ الشامي وعن مسامتةِ الأذن، كمالا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ومغيب سُهَيْلٍ على العَيْنِ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مغيب سهيل إن اعتبرنا المعنى المعتبر في غيبوبة بنات نعش خالف غيره من العلامات؛ لأن جعله حينئذٍ على العَيْنِ اليُمنى يوجب استقبال نقطة الجنوب تقريباً، وهو لا يطابق قبلةَ الشامي أيضاً؛ لأنّها مائلة عنها نحو المشرق بنحو ثلث ما بينها وبين نقطة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اعتبر غَيْبُوبته المقابلة لطلوعه وهو نهاية انحطاطه عن المغرب وخفائه أو قربه عن مسامتة العين خصوصاً مع مراعاة طلوعه بينَ العَيْنَيْنِ، فإنّ المراد به أوّلُ بُروزه عن الأفق فى الأرض المعتدلة من بلاد الشام ليطابق سمت قبلتها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وعلامتهم جعل الجدي وقت طلوعه بين العَيْنين، وسُهَيْلٍ وقت غَيْبُوبَتِهِ بين الكَتِفَين</w:t>
      </w:r>
      <w:r>
        <w:rPr>
          <w:rFonts w:eastAsia="Amiri" w:cs="Amiri" w:ascii="Amiri" w:hAnsi="Amiri"/>
          <w:color w:val="111111"/>
          <w:sz w:val="28"/>
          <w:szCs w:val="28"/>
          <w:rtl w:val="true"/>
          <w:lang w:bidi="ar-SA"/>
        </w:rPr>
        <w:t xml:space="preserve">...». </w:t>
      </w:r>
      <w:bookmarkStart w:id="139" w:name="pg10189_115983"/>
    </w:p>
    <w:p>
      <w:pPr>
        <w:pStyle w:val="BookText"/>
        <w:rPr/>
      </w:pPr>
      <w:bookmarkEnd w:id="139"/>
      <w:r>
        <w:rPr>
          <w:rFonts w:ascii="Amiri" w:hAnsi="Amiri" w:eastAsia="Amiri" w:cs="Amiri"/>
          <w:color w:val="111111"/>
          <w:sz w:val="28"/>
          <w:sz w:val="28"/>
          <w:szCs w:val="28"/>
          <w:rtl w:val="true"/>
          <w:lang w:bidi="ar-SA"/>
        </w:rPr>
        <w:t xml:space="preserve">هاتان العلامتان متضادَّتان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الجَدْي طالعاً بين العَيْنَيْن يوجب استقبال نقطة الشمال فتكون نقطة الجنوب بين الكَتِفَين، وسُهَيْل إنّما يكون حينئذٍ بين الكَتِفَيْنِ إذا كان في غاية ارتفاعه ليكون على دائرة نصف النهار والمارة بنقطتي الجنوبِ والشمال، فإذا غاب ،سُهَيْل، بل مال عن غاية ارتفاعِهِ خرج عن مسامتةِ الجَدْي طالعاً ولم يكن حينئذٍ بين الكتفين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بلادَ اليَمَن بعضُها يناسب العلامة الأولى كعَدَن وما والاها؛ لمقاربتها لمكَّةَ فى الطول ونقصانها عنها في العرض وهي مقابلة لبعض جهات العراق كما مرّ، وبعضُها يناسب العلامة الثانية إذا أخذ المغيب بمعناه المتعارف وهو ما قابل الطلوع وهو صنعاء وما والاها؛ لأنّه مقابل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إطلاق العلامتين أو إطلاق مقابلة اليماني للشامي أو للعراقي كما صنع بعضهم</w:t>
      </w:r>
      <w:r>
        <w:rPr>
          <w:rStyle w:val="FootnoteAnchor"/>
          <w:rtl w:val="true"/>
        </w:rPr>
        <w:footnoteReference w:id="241"/>
      </w:r>
      <w:r>
        <w:rPr>
          <w:rFonts w:ascii="Amiri" w:hAnsi="Amiri" w:eastAsia="Amiri" w:cs="Amiri"/>
          <w:color w:val="111111"/>
          <w:sz w:val="28"/>
          <w:sz w:val="28"/>
          <w:szCs w:val="28"/>
          <w:rtl w:val="true"/>
          <w:lang w:bidi="ar-SA"/>
        </w:rPr>
        <w:t>فليس بجيّد</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2156422_1067777946"/>
      <w:bookmarkStart w:id="141" w:name="_Toc52"/>
      <w:bookmarkEnd w:id="140"/>
      <w:r>
        <w:rPr>
          <w:rtl w:val="true"/>
        </w:rPr>
        <w:t>[</w:t>
      </w:r>
      <w:r>
        <w:rPr>
          <w:rtl w:val="true"/>
        </w:rPr>
        <w:t>المطلب الثاني</w:t>
      </w:r>
      <w:r>
        <w:rPr>
          <w:rtl w:val="true"/>
        </w:rPr>
        <w:t xml:space="preserve">: </w:t>
      </w:r>
      <w:r>
        <w:rPr>
          <w:rtl w:val="true"/>
        </w:rPr>
        <w:t xml:space="preserve">المستقبل له </w:t>
      </w:r>
      <w:r>
        <w:rPr>
          <w:rtl w:val="true"/>
        </w:rPr>
        <w:t>]</w:t>
      </w:r>
      <w:bookmarkEnd w:id="141"/>
    </w:p>
    <w:p>
      <w:pPr>
        <w:pStyle w:val="BookText"/>
        <w:rPr/>
      </w:pPr>
      <w:r>
        <w:rPr>
          <w:rFonts w:eastAsia="Amiri" w:cs="Amiri" w:ascii="Amiri" w:hAnsi="Amiri"/>
          <w:color w:val="111111"/>
          <w:sz w:val="28"/>
          <w:szCs w:val="28"/>
          <w:lang w:bidi="ar-SA"/>
        </w:rPr>
        <w:t>252/1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الندب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وجوب الاستقبال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الشرط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بل أقوال والمروي عدم اشتراطه فيه للماشي والراكب مطلقاً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للجلوس للقضاء، وللدعاء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الأشهر استحباب الاستدبار للقاضي ليكون وجهُ الخُصوم إلى القبلة، وهو مختار المصنّف في كتاب القضاء من هذا الكتاب، وجعل استحباب استقباله قولاً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صلاة جنازة؛ لأنّ الركن الأظهر فيها القيام</w:t>
      </w:r>
      <w:r>
        <w:rPr>
          <w:rFonts w:eastAsia="Amiri" w:cs="Amiri" w:ascii="Amiri" w:hAnsi="Amiri"/>
          <w:color w:val="111111"/>
          <w:sz w:val="28"/>
          <w:szCs w:val="28"/>
          <w:rtl w:val="true"/>
          <w:lang w:bidi="ar-SA"/>
        </w:rPr>
        <w:t xml:space="preserve">». </w:t>
      </w:r>
      <w:bookmarkStart w:id="142" w:name="pg10189_115984"/>
    </w:p>
    <w:p>
      <w:pPr>
        <w:pStyle w:val="BookText"/>
        <w:rPr/>
      </w:pPr>
      <w:bookmarkEnd w:id="142"/>
      <w:r>
        <w:rPr>
          <w:rFonts w:ascii="IRNazanin" w:hAnsi="IRNazanin" w:eastAsia="IRNazanin"/>
          <w:color w:val="111111"/>
          <w:sz w:val="28"/>
          <w:sz w:val="28"/>
          <w:szCs w:val="28"/>
          <w:rtl w:val="true"/>
          <w:lang w:bidi="fa-IR"/>
        </w:rPr>
        <w:t xml:space="preserve">كَوْنُ القيام هو الركن الأظهر فيها لا يقتضي المنع من فعلها على الراحلة؛ لأنّه أعمّ من إيقاعها حينئذٍ قائماً وعدمه، والأولى التعليل لعموم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على الدابة الفريضة، إلا مريض</w:t>
      </w:r>
      <w:r>
        <w:rPr>
          <w:rFonts w:eastAsia="IRNazanin" w:cs="IRNazanin"/>
          <w:color w:val="111111"/>
          <w:sz w:val="28"/>
          <w:szCs w:val="28"/>
          <w:rtl w:val="true"/>
          <w:lang w:bidi="fa-IR"/>
        </w:rPr>
        <w:t>...»</w:t>
      </w:r>
      <w:r>
        <w:rPr>
          <w:rStyle w:val="FootnoteAnchor"/>
          <w:rtl w:val="true"/>
        </w:rPr>
        <w:footnoteReference w:id="243"/>
      </w:r>
      <w:r>
        <w:rPr>
          <w:rFonts w:ascii="Amiri" w:hAnsi="Amiri" w:eastAsia="Amiri" w:cs="Amiri"/>
          <w:color w:val="111111"/>
          <w:sz w:val="28"/>
          <w:sz w:val="28"/>
          <w:szCs w:val="28"/>
          <w:rtl w:val="true"/>
          <w:lang w:bidi="ar-SA"/>
        </w:rPr>
        <w:t>لأنّ صلاة الجنازة إذا كانت واجبةً فهى فريضةً، ويبقى الحكم فيها على تقدير الندب يحتاجُ إلى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صحة الفريضة على بعير معقول أو أرجُوحَةٍ معلقة بالجبال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المنع من الفريضة على البعير مطلقاً؛ لعموم الخبر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الأُرجوحة وما في معناها فالأصل يقتضي الصحة مع تحققِ الاستقرار في جميع الأحوال التي يعتبر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ويستقبل بتكبيرة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الاستقبالُ بما أمكن من الصلاة ويسقط المتعذِّر سواء في ذلك التكبير وغيره</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2156424_1067777946"/>
      <w:bookmarkStart w:id="144" w:name="_Toc53"/>
      <w:bookmarkEnd w:id="143"/>
      <w:r>
        <w:rPr>
          <w:rtl w:val="true"/>
        </w:rPr>
        <w:t>[</w:t>
      </w:r>
      <w:r>
        <w:rPr>
          <w:rtl w:val="true"/>
        </w:rPr>
        <w:t>المطلب الثالث</w:t>
      </w:r>
      <w:r>
        <w:rPr>
          <w:rtl w:val="true"/>
        </w:rPr>
        <w:t xml:space="preserve">: </w:t>
      </w:r>
      <w:r>
        <w:rPr>
          <w:rtl w:val="true"/>
        </w:rPr>
        <w:t xml:space="preserve">المستقبل </w:t>
      </w:r>
      <w:r>
        <w:rPr>
          <w:rtl w:val="true"/>
        </w:rPr>
        <w:t>]</w:t>
      </w:r>
      <w:bookmarkEnd w:id="144"/>
    </w:p>
    <w:p>
      <w:pPr>
        <w:pStyle w:val="BookText"/>
        <w:rPr/>
      </w:pP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الاستقبال مع العلم بالجهة، فإن جَهلها عَوّل على ما وضعه الشرع 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يريد بالجهة هاهنا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استعمله مراراً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ليناسب ما بعده، فإنّ ما وضعه الشارعُ علامةً للجهةِ بالمعنى المتعارف أكثرُه مفيد للعلم بها، فلا يجوزُ تعليق التعويل عليه على عدم العلم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فيشمل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قريبٌ من العَيْنِ ولا يمكنه معرفتها كالمحبوس بمكة، والمريض، والبعيد عنها بحيث يكون فرضه الجهة المتعارفة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يريد بها الجهة بالمعنى المتعارفِ، ويريد بالعلم بها للبعيد استفادتها من نحو محراب المعصوم، ومع تعذره يرجع إلى ما نصبه الشارع وإن كان بعضه مفيداً للعلم </w:t>
      </w:r>
    </w:p>
    <w:p>
      <w:pPr>
        <w:pStyle w:val="BookText"/>
        <w:rPr/>
      </w:pPr>
      <w:r>
        <w:rPr>
          <w:rFonts w:ascii="Amiri" w:hAnsi="Amiri" w:eastAsia="Amiri" w:cs="Amiri"/>
          <w:color w:val="111111"/>
          <w:sz w:val="28"/>
          <w:sz w:val="28"/>
          <w:szCs w:val="28"/>
          <w:rtl w:val="true"/>
          <w:lang w:bidi="ar-SA"/>
        </w:rPr>
        <w:t>بها إلا أنه لا يرجع إليه حينئذٍ مطلقاً؛ لما تحقق من عدم جواز الاجتهاد بتلك العلامات بما يخالف محراب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بالعلم بها معنى ثالثاً ثالثاً وهو ما يشمل العلاماتِ الشرعيَّة المفيدة للعلم بالجهة، ويريد بالأمارة التي ترجع إليها عند عدم العلم العلامة المنصوبة من الشرع المفيدة للظنّ كالأهوية والقمر، فإنّ جواز الرجوع إليها مشروط بتعدرِ الرجوع إلى العلاماتِ النجومية وما في معناه من المفيد للعلم بالجهة، كما لا يخفى على من مارس تلك العلامات ويؤيد إرادة هذا المعنى تسميته لذلك أمارةً، فإنّها تُطلق على الدليل المفيد للظن غالباً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 مرّاتٍ إلى أربع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كلّ مرّة إلى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يكتفِ بالصلاة إلى الأربع عن ذكر المرّات؛ لئلا يوهم الاكتفاء بصلاة واحدة تقع إلى الأربع جهات بحيث توزّع أفعالها عليها فلا تكرار في العبارة كما قيل، ولا يوهم فعل الصلاةِ أربع مرات كلَّ مرّةٍ إلى أربع جهات؛ لأنّ فعل الأربع مرات إلى الأربع جهات يقتضي بإطلاقه كل مرة إلى جهة، والزائد عليه لادليل في اللفظ عليه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رجع الأعمى إلى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لأمارة حصلت له صحت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 الأمارة غيرُ كافٍ في جواز الرجوع إليها وترك التقليد، بل منها ما يجب تقديمه على التقليدِ كمحراب المسجد، فإنه بمنزلة العلامة النجومية للمبصر؛ إذ يجوز له التعويلُ عليه وترك الاجتهاد، فالأعمى أولى فيقدم على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لا يصح اعتماده مطلقاً كالأمارة المفيدة للظنّ حيث لا يأذن الشارع فيها، فيجب عليه حينئذٍ الإعادة وإن طابق فعله القبلة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يتخيَّر بينه وبين التقليدِ كما لو نصب له المبصرُ الذي يجوز له تقليده علامةً، فإنه يجوز له التعويل عليها مع وثوقه بعدم تغيرها ويجوز له التقليد، بل هذا في </w:t>
      </w:r>
    </w:p>
    <w:p>
      <w:pPr>
        <w:pStyle w:val="BookText"/>
        <w:rPr/>
      </w:pPr>
      <w:r>
        <w:rPr>
          <w:rFonts w:ascii="Amiri" w:hAnsi="Amiri" w:eastAsia="Amiri" w:cs="Amiri"/>
          <w:color w:val="111111"/>
          <w:sz w:val="28"/>
          <w:sz w:val="28"/>
          <w:szCs w:val="28"/>
          <w:rtl w:val="true"/>
          <w:lang w:bidi="ar-SA"/>
        </w:rPr>
        <w:t>الحقيقةِ نوع منه إلّا أنّه يدخل في التعويل على الأمارة، ولا يكاد يرجع إلى تعويله على رأيه إلا بتكلُّف وعلى تقدير تعويله على الأمارة المجوّزة لفعله إنّما تصح صلاته إذا لم يتبيَّن الانحراف عن القبلة على وجه يوجب الإعادة مطلقاً أو في الوقت، فإنّه حينئذٍ كتبين الخطا في القبلة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الانحراف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باليسير ما لا يبلغ حدَّ اليمين واليسار وإن كان فاحشاً، وكان الأولى التعيين بما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أعاد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الانحراف يبلغ اليمين واليسار، أو يزيد عليه بما لا يبلغ حدّ الاستدبار، وهو القدر الذي يقابل ما يجوز استقباله اختياراً، وما خرج عن ذلك كله فهو الاستدبار الذي حكم بإيجابه الإعادة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حكمه حكم ما قبله فيعيد في الوقتِ خاصة؛ لضعف مستند المخرج 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تبيَّن الخطأ بعد الصلاة، ولو كان في أثنائها استقام في الأوّل مطلقاً وفي الباقي إن لم يبق من الوقت ما يسع ركعةً بعد الإبطال وإلّا أعاد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تضادّ اجتهاد اثنين لم يأتمَّ أحدهما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بلغ الاختلاف حداً يوجب إعادة الصلاة لو تبيَّن الخطأُ على بعض الوجوه كالبالغ حدّ اليمين واليسار، أما دونه فلا يمنع الائتمام لصحة صلاتهما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ويقلد العام والأعمى الأعلم منهما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المجتهدين المختلفين، والمراد بالأعلم منهما الأعلمُ بأدلَّةِ القبلة، ولواتفقا في العلم أو اشتبه الحال قلّد أورعهما، وكذا القول في نظائره</w:t>
      </w:r>
      <w:r>
        <w:rPr>
          <w:rFonts w:eastAsia="Amiri" w:cs="Amiri" w:ascii="Amiri" w:hAnsi="Amiri"/>
          <w:color w:val="111111"/>
          <w:sz w:val="28"/>
          <w:szCs w:val="28"/>
          <w:rtl w:val="true"/>
          <w:lang w:bidi="ar-SA"/>
        </w:rPr>
        <w:t xml:space="preserve">. </w:t>
      </w:r>
      <w:bookmarkStart w:id="145" w:name="pg10189_115987"/>
    </w:p>
    <w:p>
      <w:pPr>
        <w:pStyle w:val="Heading5"/>
        <w:numPr>
          <w:ilvl w:val="4"/>
          <w:numId w:val="1"/>
        </w:numPr>
        <w:rPr/>
      </w:pPr>
      <w:bookmarkStart w:id="146" w:name="__RefHeading___Toc2156426_1067777946"/>
      <w:bookmarkStart w:id="147" w:name="_Toc54"/>
      <w:bookmarkEnd w:id="145"/>
      <w:bookmarkEnd w:id="146"/>
      <w:r>
        <w:rPr>
          <w:rtl w:val="true"/>
        </w:rPr>
        <w:t xml:space="preserve">[ </w:t>
      </w:r>
      <w:r>
        <w:rPr>
          <w:rtl w:val="true"/>
        </w:rPr>
        <w:t xml:space="preserve">الفصل الرابع في اللباس </w:t>
      </w:r>
      <w:r>
        <w:rPr>
          <w:rtl w:val="true"/>
        </w:rPr>
        <w:t>]</w:t>
      </w:r>
      <w:bookmarkEnd w:id="147"/>
    </w:p>
    <w:p>
      <w:pPr>
        <w:pStyle w:val="Heading6"/>
        <w:numPr>
          <w:ilvl w:val="5"/>
          <w:numId w:val="1"/>
        </w:numPr>
        <w:rPr/>
      </w:pPr>
      <w:bookmarkStart w:id="148" w:name="__RefHeading___Toc2156428_1067777946"/>
      <w:bookmarkStart w:id="149" w:name="_Toc55"/>
      <w:bookmarkEnd w:id="148"/>
      <w:r>
        <w:rPr>
          <w:rtl w:val="true"/>
        </w:rPr>
        <w:t>[</w:t>
      </w:r>
      <w:r>
        <w:rPr>
          <w:rtl w:val="true"/>
        </w:rPr>
        <w:t>المطلب الأوّل في جنسه</w:t>
      </w:r>
      <w:r>
        <w:rPr>
          <w:rtl w:val="true"/>
        </w:rPr>
        <w:t>]</w:t>
      </w:r>
      <w:bookmarkEnd w:id="14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تجوز الصلاة في الثيابِ المتخذة من النباتِ، أو جِلدِ ما يؤكل لحمه مع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الحصر اشتراط اسم القَوْبِ في الساتر فلو تستّر بالورق والحشيش لم يصح مع عدم صدقه، و سيأتي في كلامه ما يصرّح به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مطلقاً</w:t>
      </w:r>
      <w:r>
        <w:rPr>
          <w:rStyle w:val="FootnoteAnchor"/>
          <w:rtl w:val="true"/>
        </w:rPr>
        <w:footnoteReference w:id="246"/>
      </w:r>
      <w:r>
        <w:rPr>
          <w:rFonts w:ascii="IRNazanin" w:hAnsi="IRNazanin" w:eastAsia="IRNazanin"/>
          <w:color w:val="111111"/>
          <w:sz w:val="28"/>
          <w:sz w:val="28"/>
          <w:szCs w:val="28"/>
          <w:rtl w:val="true"/>
          <w:lang w:bidi="fa-IR"/>
        </w:rPr>
        <w:t xml:space="preserve">؛ لرواية عليّ بن جعفر عن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47"/>
      </w:r>
      <w:r>
        <w:rPr>
          <w:rFonts w:ascii="Amiri" w:hAnsi="Amiri" w:eastAsia="Amiri" w:cs="Amiri"/>
          <w:color w:val="111111"/>
          <w:sz w:val="28"/>
          <w:sz w:val="28"/>
          <w:szCs w:val="28"/>
          <w:rtl w:val="true"/>
          <w:lang w:bidi="ar-SA"/>
        </w:rPr>
        <w:t>والأقوى مع الاختيار اعتبارُ إطلاق اسم التَوْبِ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شرط فيها، فلو تركه مع القدرة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شرط فى الجملة وهو كذلك، لكن إنّما يشترط مع إمكانه لا بدونه بخلاف الطهارة فإنّها شرط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شرطية الاستقبال مقيّدة بالعلم بها وإلا افتقر إلى التفصيل، فالشروط ليست على وتيرة واحدة وإنّما اشتركت في أصل الاشتراط في الجملة</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2156430_1067777946"/>
      <w:bookmarkStart w:id="151" w:name="_Toc56"/>
      <w:bookmarkEnd w:id="150"/>
      <w:r>
        <w:rPr>
          <w:rtl w:val="true"/>
        </w:rPr>
        <w:t>[</w:t>
      </w:r>
      <w:r>
        <w:rPr>
          <w:rtl w:val="true"/>
        </w:rPr>
        <w:t>المطلب الثاني في ستر العورة</w:t>
      </w:r>
      <w:r>
        <w:rPr>
          <w:rtl w:val="true"/>
        </w:rPr>
        <w:t>]</w:t>
      </w:r>
      <w:bookmarkEnd w:id="15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ويكفيه ثوب واحد يحول بين الناظرِ ولَونِ البَشَرة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مقتضاه عدمُ اشتراطِ سَتْرَ ،حجمها، وبذلك صرَّح في غيره </w:t>
      </w:r>
      <w:r>
        <w:rPr>
          <w:rStyle w:val="FootnoteAnchor"/>
          <w:rtl w:val="true"/>
        </w:rPr>
        <w:footnoteReference w:id="248"/>
      </w:r>
      <w:r>
        <w:rPr>
          <w:rFonts w:ascii="Amiri" w:hAnsi="Amiri" w:eastAsia="Amiri" w:cs="Amiri"/>
          <w:color w:val="111111"/>
          <w:sz w:val="28"/>
          <w:sz w:val="28"/>
          <w:szCs w:val="28"/>
          <w:rtl w:val="true"/>
          <w:lang w:bidi="ar-SA"/>
        </w:rPr>
        <w:t>، والأقوى اعتبار ستره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الصبيّة والأمَةَ فإن أعتقت في الأثناء وجب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الاستثناء منقطع، وليستا داخلتين في الحرّةِ التي يجب عليها سَتْرُ رأسها إلا أن يجعل الوجة بمعنى الشرط، فتدخل الصبيّة الحُرّة ويصير استثناؤها متصلاً، ولو حذف الألف ارتفع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افتقرت إلى المنافي استأنفت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أدركت بعد الاستئناف ركعةً في الوقت وإلا استمرت؛ لأنَّ السَتْرَ شرط مع القدرةِ عليه في الوقتِ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والصبيّةُ تستأنف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أدركت من الوقتِ قدر الطهارة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التَوْبَ ستَر بغيره من وَرَق الشجر والطين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تقديم الورق على الطين ومثله الحشيش إلا أن يمكن جعلهما تَوْباً يصدق عليه اسمه فيلحق بالنباتِ ويُقدَّم على المنثورِ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السثر شرطاً في صلاة الجنازة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أنّها صلاة مجازية فلا تدخل في إطلاق اشتراطِ السَتْر في الصلاة،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حقيقية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اشتراطه مطلقاً؛ للتأسي وليحصل معه يقينُ البَراءَة</w:t>
      </w:r>
      <w:r>
        <w:rPr>
          <w:rFonts w:eastAsia="Amiri" w:cs="Amiri" w:ascii="Amiri" w:hAnsi="Amiri"/>
          <w:color w:val="111111"/>
          <w:sz w:val="28"/>
          <w:szCs w:val="28"/>
          <w:rtl w:val="true"/>
          <w:lang w:bidi="ar-SA"/>
        </w:rPr>
        <w:t xml:space="preserve">. </w:t>
      </w:r>
      <w:bookmarkStart w:id="152" w:name="pg10189_115989"/>
    </w:p>
    <w:p>
      <w:pPr>
        <w:pStyle w:val="Heading5"/>
        <w:numPr>
          <w:ilvl w:val="4"/>
          <w:numId w:val="1"/>
        </w:numPr>
        <w:rPr/>
      </w:pPr>
      <w:bookmarkStart w:id="153" w:name="__RefHeading___Toc2156432_1067777946"/>
      <w:bookmarkStart w:id="154" w:name="_Toc57"/>
      <w:bookmarkEnd w:id="152"/>
      <w:bookmarkEnd w:id="153"/>
      <w:r>
        <w:rPr>
          <w:rtl w:val="true"/>
        </w:rPr>
        <w:t xml:space="preserve">[ </w:t>
      </w:r>
      <w:r>
        <w:rPr>
          <w:rtl w:val="true"/>
        </w:rPr>
        <w:t>الفصل الخامس في المكان</w:t>
      </w:r>
      <w:r>
        <w:rPr>
          <w:rtl w:val="true"/>
        </w:rPr>
        <w:t>]</w:t>
      </w:r>
      <w:bookmarkEnd w:id="154"/>
    </w:p>
    <w:p>
      <w:pPr>
        <w:pStyle w:val="Heading6"/>
        <w:numPr>
          <w:ilvl w:val="5"/>
          <w:numId w:val="1"/>
        </w:numPr>
        <w:rPr/>
      </w:pPr>
      <w:bookmarkStart w:id="155" w:name="__RefHeading___Toc2156434_1067777946"/>
      <w:bookmarkStart w:id="156" w:name="_Toc58"/>
      <w:bookmarkEnd w:id="155"/>
      <w:r>
        <w:rPr>
          <w:rtl w:val="true"/>
        </w:rPr>
        <w:t>[</w:t>
      </w:r>
      <w:r>
        <w:rPr>
          <w:rtl w:val="true"/>
        </w:rPr>
        <w:t xml:space="preserve">المطلب الأوّل </w:t>
      </w:r>
      <w:r>
        <w:rPr>
          <w:rtl w:val="true"/>
        </w:rPr>
        <w:t>]</w:t>
      </w:r>
      <w:bookmarkEnd w:id="156"/>
    </w:p>
    <w:p>
      <w:pPr>
        <w:pStyle w:val="BookText"/>
        <w:rPr/>
      </w:pP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ضاق المكانُ عنهما صلّى الرجلُ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التقدّمُ على طريق الاستحقاق إن لم يكن المكانُ مِلْكاً لها وإلّا الاستحباب وإنما يتقدّم كذلك مع سَعَةِ الوقتِ وإلّا جاز لهما الصلاة معاً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اشتراط صحة صلاة المرأة 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التحريم أو الكراهية صحة صلاتهما معاً، فلا وجه لتخصيصها</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2156436_1067777946"/>
      <w:bookmarkStart w:id="158" w:name="_Toc59"/>
      <w:bookmarkEnd w:id="157"/>
      <w:r>
        <w:rPr>
          <w:rtl w:val="true"/>
        </w:rPr>
        <w:t>[</w:t>
      </w:r>
      <w:r>
        <w:rPr>
          <w:rtl w:val="true"/>
        </w:rPr>
        <w:t>المطلب الثاني في المساجد</w:t>
      </w:r>
      <w:r>
        <w:rPr>
          <w:rtl w:val="true"/>
        </w:rPr>
        <w:t>]</w:t>
      </w:r>
      <w:bookmarkEnd w:id="158"/>
    </w:p>
    <w:p>
      <w:pPr>
        <w:pStyle w:val="BookText"/>
        <w:rPr/>
      </w:pP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يفتقر المصلُّون إلى التظليل لدفع الحَرَّ والبرد، وإلا استحب ولو لبعضها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وإخراج الحصى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مستند كراهة إخراجها رواية وهب بن وهب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أخرج أحدُكم الحَصاة من المسجدِ فليردّها مكانها، أو في مسجدٍ آخر فإنّها تسبّح </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وهي قاصرة عن الدلالة متناً وسنداً، فإنّ الأمر بالردّ ظاهر في الوجوبِ فيحرم الإخراجُ، ووهب الراوي ضعيفٌ جِدّاً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الحَصاة إن كانت جزءً من المسجد أو فرشه حَرم إخراجها ووجب ردُّها </w:t>
      </w:r>
    </w:p>
    <w:p>
      <w:pPr>
        <w:pStyle w:val="BookText"/>
        <w:rPr/>
      </w:pPr>
      <w:r>
        <w:rPr>
          <w:rFonts w:ascii="Amiri" w:hAnsi="Amiri" w:eastAsia="Amiri" w:cs="Amiri"/>
          <w:color w:val="111111"/>
          <w:sz w:val="28"/>
          <w:sz w:val="28"/>
          <w:szCs w:val="28"/>
          <w:rtl w:val="true"/>
          <w:lang w:bidi="ar-SA"/>
        </w:rPr>
        <w:t>إليه أو إلى غيره من المساجد كغيرها من أجزائه ،وآلاتِه، وإن كانتْ قُمامَةً استحبّ إخراجها بغير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والتنقُل قائماً بل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غيرُ مختص بالمسجد بل يُكره التنقُل قائماً مطلقاً، والظاهرُ أنّ محل الكراهيّةِ ما يحتاج فيه إلى معونة اليد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وإدخال النّجاسةِ إليها وإزالتها فيها، والدفن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تحريم إدخالها إليها مطلقاً، وعلى المختار من اشتراط تعديها إليها أو إلى آلاتها يجب تقييده فيها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استعمال آلته في غيره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لاتحادِ المالكِ وهو الله تعالى بخلاف المشاهد؛ لأنّ خصوصيّة المدفون بها مقصودةً للواقف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فى الأوّلين اشتراط غناء المنقول منه أو حاجة المنقول إليه أو أولويته بكثرة المصلين ونحوها، وفي حكم غناء الأوّلِ استيلاء الخراب عليه مع عدم إمكان إعادته بماله أو 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بناء المساجدِ على بئر الغائط إذا طُمَّت وانقطعت رائحته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الحكم صحيحة عبدالله بن سنان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تحقق استحالة عذرته تراباً، وحينئذٍ فيسلم من الإشكال بأنّ صيرورة البقعة مسجداً مع بقاء عَيْن النّجاسةِ يستلزم تنجسه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حمل الحكمة على ذلك، أو على ما إذا كان الموقوف ظهره الطاهر خاصةً أو ما يُمكن تطهيره</w:t>
      </w:r>
      <w:r>
        <w:rPr>
          <w:rFonts w:eastAsia="Amiri" w:cs="Amiri" w:ascii="Amiri" w:hAnsi="Amiri"/>
          <w:color w:val="111111"/>
          <w:sz w:val="28"/>
          <w:szCs w:val="28"/>
          <w:rtl w:val="true"/>
          <w:lang w:bidi="ar-SA"/>
        </w:rPr>
        <w:t xml:space="preserve">. </w:t>
      </w:r>
      <w:bookmarkStart w:id="159" w:name="pg10189_115991"/>
    </w:p>
    <w:p>
      <w:pPr>
        <w:pStyle w:val="Heading5"/>
        <w:numPr>
          <w:ilvl w:val="4"/>
          <w:numId w:val="1"/>
        </w:numPr>
        <w:rPr/>
      </w:pPr>
      <w:bookmarkStart w:id="160" w:name="__RefHeading___Toc2156438_1067777946"/>
      <w:bookmarkStart w:id="161" w:name="_Toc60"/>
      <w:bookmarkEnd w:id="159"/>
      <w:bookmarkEnd w:id="160"/>
      <w:r>
        <w:rPr>
          <w:rtl w:val="true"/>
        </w:rPr>
        <w:t xml:space="preserve">[ </w:t>
      </w:r>
      <w:r>
        <w:rPr>
          <w:rtl w:val="true"/>
        </w:rPr>
        <w:t xml:space="preserve">الفصل السادس في الأذان والإقامة </w:t>
      </w:r>
      <w:r>
        <w:rPr>
          <w:rtl w:val="true"/>
        </w:rPr>
        <w:t>]</w:t>
      </w:r>
      <w:bookmarkEnd w:id="161"/>
    </w:p>
    <w:p>
      <w:pPr>
        <w:pStyle w:val="Heading6"/>
        <w:numPr>
          <w:ilvl w:val="5"/>
          <w:numId w:val="1"/>
        </w:numPr>
        <w:rPr/>
      </w:pPr>
      <w:bookmarkStart w:id="162" w:name="__RefHeading___Toc2156440_1067777946"/>
      <w:bookmarkStart w:id="163" w:name="_Toc61"/>
      <w:bookmarkEnd w:id="162"/>
      <w:r>
        <w:rPr>
          <w:rtl w:val="true"/>
        </w:rPr>
        <w:t>[</w:t>
      </w:r>
      <w:r>
        <w:rPr>
          <w:rtl w:val="true"/>
        </w:rPr>
        <w:t>المطلب الثاني في المؤذن</w:t>
      </w:r>
      <w:r>
        <w:rPr>
          <w:rtl w:val="true"/>
        </w:rPr>
        <w:t>]</w:t>
      </w:r>
      <w:bookmarkEnd w:id="163"/>
    </w:p>
    <w:p>
      <w:pPr>
        <w:pStyle w:val="BookText"/>
        <w:rPr/>
      </w:pP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تشاحوا قُدِّم الأعلم، ومع التساوي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التشاح لأخذ الرزق من بيتِ المال حيث لا يحتاج إلى أزيد من واحد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بالأعلمِ مَن فَقِة الأذان ومنه معرفةُ الأوقاتِ لا مطلقة، وإنّما ينتقل بعده إلى القرعة مع انتفاء غيره من مرجّحاتِ الأذان كالمبصريّة، ونَداوَةِ الصوتِ؛ والمحافظة على الأوقاتِ، ونحوها وإلا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التساوى فيها أو فقدها يُقدّم الأورعُ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من يرتضيه الجيران ثم القرعة</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2156442_1067777946"/>
      <w:bookmarkStart w:id="165" w:name="_Toc62"/>
      <w:bookmarkEnd w:id="164"/>
      <w:r>
        <w:rPr>
          <w:rtl w:val="true"/>
        </w:rPr>
        <w:t>[</w:t>
      </w:r>
      <w:r>
        <w:rPr>
          <w:rtl w:val="true"/>
        </w:rPr>
        <w:t>المطلب الثالث في كيفيّته</w:t>
      </w:r>
      <w:r>
        <w:rPr>
          <w:rtl w:val="true"/>
        </w:rPr>
        <w:t>]</w:t>
      </w:r>
      <w:bookmarkEnd w:id="165"/>
    </w:p>
    <w:p>
      <w:pPr>
        <w:pStyle w:val="BookText"/>
        <w:rPr/>
      </w:pP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التثويب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التثويبُ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الصبح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الحيعلتين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فإنّه يرجع إلى الدعاء إلى الصلاة بعد الدعاء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حيعلتين</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ويطلق أيضاً على إعادة الحيّعلتين بين الأذان والإقامة مرتين </w:t>
      </w:r>
      <w:r>
        <w:rPr>
          <w:rStyle w:val="FootnoteAnchor"/>
          <w:rtl w:val="true"/>
        </w:rPr>
        <w:footnoteReference w:id="251"/>
      </w:r>
      <w:r>
        <w:rPr>
          <w:rFonts w:ascii="Amiri" w:hAnsi="Amiri" w:eastAsia="Amiri" w:cs="Amiri"/>
          <w:color w:val="111111"/>
          <w:sz w:val="28"/>
          <w:sz w:val="28"/>
          <w:szCs w:val="28"/>
          <w:rtl w:val="true"/>
          <w:lang w:bidi="ar-SA"/>
        </w:rPr>
        <w:t>، وفيه معنى الرجوع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Style w:val="FootnoteAnchor"/>
          <w:rtl w:val="true"/>
        </w:rPr>
        <w:footnoteReference w:id="252"/>
      </w:r>
      <w:r>
        <w:rPr>
          <w:rFonts w:ascii="Amiri" w:hAnsi="Amiri" w:eastAsia="Amiri" w:cs="Amiri"/>
          <w:color w:val="111111"/>
          <w:sz w:val="28"/>
          <w:sz w:val="28"/>
          <w:szCs w:val="28"/>
          <w:rtl w:val="true"/>
          <w:lang w:bidi="ar-SA"/>
        </w:rPr>
        <w:t>تصريح بإرادة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تحريمه بالمعنيين إلا للتقيّة</w:t>
      </w:r>
      <w:r>
        <w:rPr>
          <w:rFonts w:eastAsia="Amiri" w:cs="Amiri" w:ascii="Amiri" w:hAnsi="Amiri"/>
          <w:color w:val="111111"/>
          <w:sz w:val="28"/>
          <w:szCs w:val="28"/>
          <w:rtl w:val="true"/>
          <w:lang w:bidi="ar-SA"/>
        </w:rPr>
        <w:t xml:space="preserve">. </w:t>
      </w:r>
      <w:bookmarkStart w:id="166" w:name="pg10189_115992"/>
    </w:p>
    <w:p>
      <w:pPr>
        <w:pStyle w:val="Heading6"/>
        <w:numPr>
          <w:ilvl w:val="5"/>
          <w:numId w:val="1"/>
        </w:numPr>
        <w:rPr/>
      </w:pPr>
      <w:bookmarkStart w:id="167" w:name="__RefHeading___Toc2156444_1067777946"/>
      <w:bookmarkStart w:id="168" w:name="_Toc63"/>
      <w:bookmarkEnd w:id="166"/>
      <w:bookmarkEnd w:id="167"/>
      <w:r>
        <w:rPr>
          <w:rtl w:val="true"/>
        </w:rPr>
        <w:t>[</w:t>
      </w:r>
      <w:r>
        <w:rPr>
          <w:rtl w:val="true"/>
        </w:rPr>
        <w:t>المطلب الرابع في الأحكام</w:t>
      </w:r>
      <w:r>
        <w:rPr>
          <w:rtl w:val="true"/>
        </w:rPr>
        <w:t>]</w:t>
      </w:r>
      <w:bookmarkEnd w:id="16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اجتزأ بالتكبيرتين وقد قامت الصلاة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يكمّل بعده الإقامة، وهو المراد بالتكبيرتين حملاً لتثنيته على التكبير والتهليل باسم أحدهما؛ ليطابق الرواية الواردة بذلك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69" w:name="pg10189_115993"/>
    </w:p>
    <w:p>
      <w:pPr>
        <w:pStyle w:val="Heading4"/>
        <w:numPr>
          <w:ilvl w:val="3"/>
          <w:numId w:val="1"/>
        </w:numPr>
        <w:rPr/>
      </w:pPr>
      <w:bookmarkStart w:id="170" w:name="__RefHeading___Toc2156446_1067777946"/>
      <w:bookmarkStart w:id="171" w:name="_Toc64"/>
      <w:bookmarkEnd w:id="169"/>
      <w:bookmarkEnd w:id="170"/>
      <w:r>
        <w:rPr>
          <w:rtl w:val="true"/>
        </w:rPr>
        <w:t>[</w:t>
      </w:r>
      <w:r>
        <w:rPr>
          <w:rtl w:val="true"/>
        </w:rPr>
        <w:t xml:space="preserve">المقصد الثاني في أفعال الصلاة وتُرُوكِها </w:t>
      </w:r>
      <w:r>
        <w:rPr>
          <w:rtl w:val="true"/>
        </w:rPr>
        <w:t>]</w:t>
      </w:r>
      <w:bookmarkEnd w:id="171"/>
    </w:p>
    <w:p>
      <w:pPr>
        <w:pStyle w:val="Heading5"/>
        <w:numPr>
          <w:ilvl w:val="4"/>
          <w:numId w:val="1"/>
        </w:numPr>
        <w:rPr/>
      </w:pPr>
      <w:bookmarkStart w:id="172" w:name="__RefHeading___Toc2156448_1067777946"/>
      <w:bookmarkStart w:id="173" w:name="_Toc65"/>
      <w:bookmarkEnd w:id="172"/>
      <w:r>
        <w:rPr>
          <w:rtl w:val="true"/>
        </w:rPr>
        <w:t>[</w:t>
      </w:r>
      <w:r>
        <w:rPr>
          <w:rtl w:val="true"/>
        </w:rPr>
        <w:t>الفصل الأول</w:t>
      </w:r>
      <w:r>
        <w:rPr>
          <w:rtl w:val="true"/>
        </w:rPr>
        <w:t xml:space="preserve">: </w:t>
      </w:r>
      <w:r>
        <w:rPr>
          <w:rtl w:val="true"/>
        </w:rPr>
        <w:t xml:space="preserve">القيام </w:t>
      </w:r>
      <w:r>
        <w:rPr>
          <w:rtl w:val="true"/>
        </w:rPr>
        <w:t>]</w:t>
      </w:r>
      <w:bookmarkEnd w:id="173"/>
    </w:p>
    <w:p>
      <w:pPr>
        <w:pStyle w:val="BookText"/>
        <w:rPr/>
      </w:pP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عن القيام أصلاً صلّى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عن القيام بجميع مراتبه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الاستقلال والاعتماد والانحناء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العجز عنه بكل وجه حتى لو أمكنه فعل بعض مراتبه بمشقة بالغة لا تتحمل عادةً وجب؛ لأنّ تحمل مثل ذلك غير مقصود شرعاً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فالأقوى اعتبارُ العجز العادي وهو الذي لا يُتَحمَّل مثله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عن القُعُودِ صلّى مُضطجعاً على الجانب الأيمن مستقبلاً بمقاديم بديه القبلة كالموضوع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عجز عن القعود بجميع مراتبه كما سلف في القيام، فلو قدر عليه ولو بالاعتماد على شيء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يذكر الاضطجاع على الأيسر؛ لخلو الأخبار المعتبرة عنه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وجوبه مع تعذَّرِ الأيمن مقدّماً على الاستلقاء</w:t>
      </w:r>
      <w:r>
        <w:rPr>
          <w:rFonts w:eastAsia="Amiri" w:cs="Amiri" w:ascii="Amiri" w:hAnsi="Amiri"/>
          <w:color w:val="111111"/>
          <w:sz w:val="28"/>
          <w:szCs w:val="28"/>
          <w:rtl w:val="true"/>
          <w:lang w:bidi="ar-SA"/>
        </w:rPr>
        <w:t xml:space="preserve">. </w:t>
      </w:r>
      <w:bookmarkStart w:id="174" w:name="pg10189_115994"/>
    </w:p>
    <w:p>
      <w:pPr>
        <w:pStyle w:val="Heading5"/>
        <w:numPr>
          <w:ilvl w:val="4"/>
          <w:numId w:val="1"/>
        </w:numPr>
        <w:rPr/>
      </w:pPr>
      <w:bookmarkStart w:id="175" w:name="__RefHeading___Toc2156450_1067777946"/>
      <w:bookmarkStart w:id="176" w:name="_Toc66"/>
      <w:bookmarkEnd w:id="174"/>
      <w:bookmarkEnd w:id="175"/>
      <w:r>
        <w:rPr>
          <w:rtl w:val="true"/>
        </w:rPr>
        <w:t xml:space="preserve">[ </w:t>
      </w:r>
      <w:r>
        <w:rPr>
          <w:rtl w:val="true"/>
        </w:rPr>
        <w:t>الفصل الثاني</w:t>
      </w:r>
      <w:r>
        <w:rPr>
          <w:rtl w:val="true"/>
        </w:rPr>
        <w:t xml:space="preserve">: </w:t>
      </w:r>
      <w:r>
        <w:rPr>
          <w:rtl w:val="true"/>
        </w:rPr>
        <w:t xml:space="preserve">النية </w:t>
      </w:r>
      <w:r>
        <w:rPr>
          <w:rtl w:val="true"/>
        </w:rPr>
        <w:t>]</w:t>
      </w:r>
      <w:bookmarkEnd w:id="176"/>
    </w:p>
    <w:p>
      <w:pPr>
        <w:pStyle w:val="BookText"/>
        <w:rPr/>
      </w:pPr>
      <w:r>
        <w:rPr>
          <w:rFonts w:eastAsia="Amiri" w:cs="Amiri" w:ascii="Amiri" w:hAnsi="Amiri"/>
          <w:color w:val="111111"/>
          <w:sz w:val="28"/>
          <w:szCs w:val="28"/>
          <w:lang w:bidi="ar-SA"/>
        </w:rPr>
        <w:t>269/1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يستديم القصدَ حُكماً إلى الفَراغِ بحيث لا يقصد ببعض الأفعالِ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تفريع على أصل الاستدامة؛ لأنّ نيّة الخروج تنافيها، وهو مستلزم لما تضمنته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الأفعال، واحترز به عمّا لو قصد بالهُويّ قتل حيّةٍ وأخذَ حاجةٍ، فإنّه ينافي الاستدامة الحكميّة من تلك الحيثية وإن لم ينافها مطلقاً، ولو نوى الرياءَ ببعض أفعالها خرجت به أيضاً عن الأفعال؛ لأنّ إطلاق الصلاةِ محمول على المشروع منها، فما ليس بمشروع لا يعد من أفعالها، فلايرد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وارد على العبارة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في الأُولى الخروج في الثانية، فالوجه عدم البطلان إن رفض القصد قبل البلوغ إلى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جميع ذلك وما بعده مبطل وإن لم يكن منافياً بالفعل؛ لمنافاته الواجب من الاستدامة الحكميّة الموجب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شَكٍّ فيما نواه بعد الانتقال بنى على ما هو فيها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ما هو فيه ينافي السَّكَ في النيّةِ ؛ لأنه يوجب السَّكَ فيما هو فيه وتفسيره بأنّه ما فى اعتقادِه أنّه الآن يفعله إن أريد بالاعتقاد معناه الأخص فكالأول، وإن الأعم رجع إلى أنه يبني على ما ظنّ أنّه نواه، وهو بعيد عن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أن يريد به ما قام إليه كما عبر به الشهيد </w:t>
      </w:r>
      <w:r>
        <w:rPr>
          <w:rStyle w:val="FootnoteAnchor"/>
          <w:rtl w:val="true"/>
        </w:rPr>
        <w:footnoteReference w:id="255"/>
      </w:r>
      <w:r>
        <w:rPr>
          <w:rFonts w:ascii="Amiri" w:hAnsi="Amiri" w:eastAsia="Amiri" w:cs="Amiri"/>
          <w:color w:val="111111"/>
          <w:sz w:val="28"/>
          <w:sz w:val="28"/>
          <w:szCs w:val="28"/>
          <w:rtl w:val="true"/>
          <w:lang w:bidi="ar-SA"/>
        </w:rPr>
        <w:t xml:space="preserve">وغيره </w:t>
      </w:r>
      <w:r>
        <w:rPr>
          <w:rStyle w:val="FootnoteAnchor"/>
          <w:rtl w:val="true"/>
        </w:rPr>
        <w:footnoteReference w:id="256"/>
      </w:r>
      <w:r>
        <w:rPr>
          <w:rFonts w:ascii="IRNazanin" w:hAnsi="IRNazanin" w:eastAsia="IRNazanin"/>
          <w:color w:val="111111"/>
          <w:sz w:val="28"/>
          <w:sz w:val="28"/>
          <w:szCs w:val="28"/>
          <w:rtl w:val="true"/>
          <w:lang w:bidi="fa-IR"/>
        </w:rPr>
        <w:t>عملاً بالظاهر، وهو 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أوقع الواجب من الأفعالِ بنيّة النَذب بطلت الصلاة، وكذا لو عَكَسَ إن كان ذكراً، أو فعلاً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اعتبار نيّة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 المأمور نيته، فإن كان عدوله عن الواجب إلى الندب بطل مطلقاً؛ لأن فعله على غير الوجه المأمور به فلا يجزئ، ويمنع إعادته لاستلزامه زيادة الواجب عمداً؛ لأنّ المعتبر صورته لاكونه واجباً حقيقةً؛ لأنّ ذلك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عكس بأن نوى الندب الواجب، فإن كان ذكراً اعتبر في إبطاله الحرفان كالكلام الأجنبي؛ لأنه حينئذٍ ليس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فعلاً التحق بالفعل الخارج عنها فتُعتبر فيه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 فيها؛ لأنّ الوجوب فيه يؤكده؛ لاشتراك الواجب والنذب في أصل الإذن في الفعل، ويزيد الواجب بالمنع من تركه وهو غير مؤثر إذا كان الفعل مشروعاً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النية إنّما تُؤثر فى الشيء القابل لمتعلّقها، والمندوب يستحيل وقوعه واجباً فنيته كنية المحال فلا تؤثر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لأنّ الوجه المعتبر في العبادة لا يتم إلا بفصله لا بالجنس المشترك، ونمنع كَوْنَ فصل الواجب مؤكداً، بل منافياً له كليّاً كما أنّ متعلقهما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والنية المنافية وإن لم تقلب الفعل إلى مقتضاها لكن تخرجه عن موضوعِه؛ لأنّ الأفعال لاتتمايز إلا بالنيات، فيصير الفعلُ بذلك غير مندوب لعدم نيته ولا واجب لعدم صحته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خارجاً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لم نعتبر نيّة الوجه؛ لأنا حينئذٍ إِنّما نجتزئ بالفعل مع عدم </w:t>
      </w:r>
    </w:p>
    <w:p>
      <w:pPr>
        <w:pStyle w:val="BookText"/>
        <w:rPr/>
      </w:pPr>
      <w:r>
        <w:rPr>
          <w:rFonts w:ascii="Amiri" w:hAnsi="Amiri" w:eastAsia="Amiri" w:cs="Amiri"/>
          <w:color w:val="111111"/>
          <w:sz w:val="28"/>
          <w:sz w:val="28"/>
          <w:szCs w:val="28"/>
          <w:rtl w:val="true"/>
          <w:lang w:bidi="ar-SA"/>
        </w:rPr>
        <w:t>نيّةٍ معارضةٍ لأصل الفعل المعتبر شرعاً أمّا معها فلا؛ لأنّ الفعل يتبع النية، فإذا لم تكن صحيحةً كان الفعل كذلك، وغايته أن يكون خارجاً عن الصلاة،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فالمعتبر من الفعل في القسم الثاني مجموع ما وقع منه نية الوجوب لا القدر الزائد عن المستحب، كما لو نوى بجلسة الاستراحة الوجوب فإنّ المعتبر حينئذٍ جميع ما وقع بعد النية؛ لأنه صار باعتبارها غير مشروع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قيل باعتبار الزائدِ خاصةً؛ نظراً إلى انصراف مقدار المندوب إليه كما مر، وقد عرفت ضعفه</w:t>
      </w:r>
      <w:r>
        <w:rPr>
          <w:rFonts w:eastAsia="Amiri" w:cs="Amiri" w:ascii="Amiri" w:hAnsi="Amiri"/>
          <w:color w:val="111111"/>
          <w:sz w:val="28"/>
          <w:szCs w:val="28"/>
          <w:rtl w:val="true"/>
          <w:lang w:bidi="ar-SA"/>
        </w:rPr>
        <w:t xml:space="preserve">. </w:t>
      </w:r>
      <w:bookmarkStart w:id="177" w:name="pg10189_115997"/>
    </w:p>
    <w:p>
      <w:pPr>
        <w:pStyle w:val="Heading5"/>
        <w:numPr>
          <w:ilvl w:val="4"/>
          <w:numId w:val="1"/>
        </w:numPr>
        <w:rPr/>
      </w:pPr>
      <w:bookmarkStart w:id="178" w:name="__RefHeading___Toc2156452_1067777946"/>
      <w:bookmarkStart w:id="179" w:name="_Toc67"/>
      <w:bookmarkEnd w:id="177"/>
      <w:bookmarkEnd w:id="178"/>
      <w:r>
        <w:rPr>
          <w:rtl w:val="true"/>
        </w:rPr>
        <w:t xml:space="preserve">[ </w:t>
      </w:r>
      <w:r>
        <w:rPr>
          <w:rtl w:val="true"/>
        </w:rPr>
        <w:t>الفصل الثالث تكبيرة الإحرام</w:t>
      </w:r>
      <w:r>
        <w:rPr>
          <w:rtl w:val="true"/>
        </w:rPr>
        <w:t>]</w:t>
      </w:r>
      <w:bookmarkEnd w:id="1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كبّر له ثالثاً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استدامة النيّة أوّل الثالث فعلاً أو إحداثها عنده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حينئذٍ بطلانها بالشفْعِ، وصحتها بالوتر مالم ينو الخروج قبله فتصح بما بعدها مطلقاً، ولا يشترط في المبطل مقارنته للنيّة، بل يكفي فيه نية كونه للافتتاح بخلافِ المصحح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تركُ المدّ في لفظِ الجلالةِ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إنّما يستحبّ ترك مالا يبلغ منه صيرورة الأوّل بصورة الاستفهام والثاني بصورة الجمع، وإلا كان تركه واجباً؛ لأنه حينئذٍ مبطل وإن لم يقصد الاستفهام والجمع على الأصح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أُريد مد الألف بعد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على الطبيعي منه لم يتقيد بقيد لكن في گراهته مطلقاً نظر، ولعلّ المكروة منه حينئذٍ ما زاد عن المعتاد منه وهو القدر المسمّى بمَدِّ التعظيم</w:t>
      </w:r>
      <w:r>
        <w:rPr>
          <w:rFonts w:eastAsia="IRNazanin" w:cs="IRNazanin"/>
          <w:color w:val="111111"/>
          <w:sz w:val="28"/>
          <w:szCs w:val="28"/>
          <w:rtl w:val="true"/>
          <w:lang w:bidi="fa-IR"/>
        </w:rPr>
        <w:t xml:space="preserve">. </w:t>
      </w:r>
      <w:bookmarkStart w:id="180" w:name="pg10189_115998"/>
    </w:p>
    <w:p>
      <w:pPr>
        <w:pStyle w:val="Heading5"/>
        <w:numPr>
          <w:ilvl w:val="4"/>
          <w:numId w:val="1"/>
        </w:numPr>
        <w:rPr/>
      </w:pPr>
      <w:bookmarkStart w:id="181" w:name="__RefHeading___Toc2156454_1067777946"/>
      <w:bookmarkStart w:id="182" w:name="_Toc68"/>
      <w:bookmarkEnd w:id="180"/>
      <w:bookmarkEnd w:id="181"/>
      <w:r>
        <w:rPr>
          <w:rtl w:val="true"/>
        </w:rPr>
        <w:t>[</w:t>
      </w:r>
      <w:r>
        <w:rPr>
          <w:rtl w:val="true"/>
        </w:rPr>
        <w:t>الفصل الرابع</w:t>
      </w:r>
      <w:r>
        <w:rPr>
          <w:rtl w:val="true"/>
        </w:rPr>
        <w:t xml:space="preserve">: </w:t>
      </w:r>
      <w:r>
        <w:rPr>
          <w:rtl w:val="true"/>
        </w:rPr>
        <w:t>القراءة</w:t>
      </w:r>
      <w:r>
        <w:rPr>
          <w:rtl w:val="true"/>
        </w:rPr>
        <w:t>]</w:t>
      </w:r>
      <w:bookmarkEnd w:id="18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مطلق الإخلال بالموالاة، بل إذا كان بقراءة من غيرها عمداً، أو مع خروجه عن كونه مصلياً، و سيأتي تفصيله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القِرانُ بقِراءة أزيد من سورةٍ وإن لم تكن الثانية، وبتكرار الواحدة أو بعضها والأقوى كَراهَتُه إن لم يعتقد مشروعيته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خصه لكونه مورد النهي </w:t>
      </w:r>
      <w:r>
        <w:rPr>
          <w:rStyle w:val="FootnoteAnchor"/>
          <w:rtl w:val="true"/>
        </w:rPr>
        <w:footnoteReference w:id="259"/>
      </w:r>
      <w:r>
        <w:rPr>
          <w:rFonts w:ascii="Amiri" w:hAnsi="Amiri" w:eastAsia="Amiri" w:cs="Amiri"/>
          <w:color w:val="111111"/>
          <w:sz w:val="28"/>
          <w:sz w:val="28"/>
          <w:szCs w:val="28"/>
          <w:rtl w:val="true"/>
          <w:lang w:bidi="ar-SA"/>
        </w:rPr>
        <w:t>، وموضع خلافِ المخالفِ وإلا فإنّه مبطل في جميعِ أحوال الصلاةِ وإن كان عقيب دعاء كالقنوتِ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خالَفَ ترتيب الآيات ناسياً استأنف القراءة إن لم يركع، فإن ذكر بعده 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استأنف القِراءة إن لم يمكنه البناء على السابق بحيث لا يخل بالموالاة كما لوقرأ النصف الثاني من الحمد، ثُمّ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اكتفى حينئذٍ بالبناء عليه فيقرأ النصف الثاني خاصَّةً مع النسيان؛ أمّا مع العمد فيبطل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يكفي مع إمكان التعلّم نظر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الأجودُ عدم جوازه في الفريضة مع الاختيار، ومع التعذّر يقدم الائتمام عليه مع إمكانه </w:t>
      </w:r>
    </w:p>
    <w:p>
      <w:pPr>
        <w:pStyle w:val="BookText"/>
        <w:rPr/>
      </w:pPr>
      <w:r>
        <w:rPr>
          <w:rFonts w:ascii="Amiri" w:hAnsi="Amiri" w:eastAsia="Amiri" w:cs="Amiri"/>
          <w:color w:val="111111"/>
          <w:sz w:val="28"/>
          <w:sz w:val="28"/>
          <w:szCs w:val="28"/>
          <w:rtl w:val="true"/>
          <w:lang w:bidi="ar-SA"/>
        </w:rPr>
        <w:t>فإن تعذر جاز إن لم يفتقر إلى فعل كثير، ويجوز في النافلة مطلقاً مالم يستلزم منافياً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قدَّم السورة على الحمد أعاد، وناسياً يستأنف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الاكتفاء بإعادة السورةِ خاصة؛ ليتحقق الترتيب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الجهرِ إسماع القريب تحقيقاً أو تقديراً؛ وحد الإخفات إسماعُ نفسه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الجهر والإخفات كيفيتان متضادّتان لا تجتمعان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فأقلُّ الجهر إسماع القريب ولو تقديراً مع صدق اسم الجهر عليه عرفاً، وأكثره أن لا يبلغ العلو المفرط بحيث يخرج عن مسمَّى القِراءة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الإخفاتِ إسماع نفيه جميع الحروفِ الممكن سماعها ولو تقديراً، وأكثره أن لا يبلغ الجهر وأن يَسْمَعَ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والضحى وألم نشرح 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أنّهما ،سورتان، ولكن يجب الجمعُ بينهما في الفريضة لمختارِ قِراءة أحدهما، وهذا القدرُ لا يدلُّ على الوحدة، وفي النصوص </w:t>
      </w:r>
      <w:r>
        <w:rPr>
          <w:rStyle w:val="FootnoteAnchor"/>
          <w:rtl w:val="true"/>
        </w:rPr>
        <w:footnoteReference w:id="260"/>
      </w:r>
      <w:r>
        <w:rPr>
          <w:rFonts w:ascii="Amiri" w:hAnsi="Amiri" w:eastAsia="Amiri" w:cs="Amiri"/>
          <w:color w:val="111111"/>
          <w:sz w:val="28"/>
          <w:sz w:val="28"/>
          <w:szCs w:val="28"/>
          <w:rtl w:val="true"/>
          <w:lang w:bidi="ar-SA"/>
        </w:rPr>
        <w:t>تصريح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يضعفُ الخلاف في وجوبِ البَسْمَلَة بينهما وعدمه، ويتضحُ القولُ بالوجوب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أخل بالموالاة فقرأ بينها من غيرها ناسياً، أو قطع القراءة وسكت استأنف القراءة، وعمداً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قطع القِراءة بالسكوتِ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بنيّة قطعها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وإن تعمَّد إلا أن يخرج عن كونه قارئاً فتبطل القراءة، أو كونه مصلّياً فتبطل الصلاة؛ نعم، لو كان بنية قطع القراءة أبداً فهو في معنى نيّة قطع الصلاة فتبطل الصلاة به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الإخلال بالموالاة بقراءة غيرها عمداً أبطل الصلاة وسهواً يستأنف القِراءة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وقصار المفصَّل في الظهرين والمغرب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أنّ الظهر كالعشاء في استحباب قراءة المتوسطات </w:t>
      </w:r>
      <w:r>
        <w:rPr>
          <w:rStyle w:val="FootnoteAnchor"/>
          <w:rtl w:val="true"/>
        </w:rPr>
        <w:footnoteReference w:id="261"/>
      </w:r>
      <w:r>
        <w:rPr>
          <w:rFonts w:ascii="IRNazanin" w:hAnsi="IRNazanin" w:eastAsia="IRNazanin"/>
          <w:color w:val="111111"/>
          <w:sz w:val="28"/>
          <w:sz w:val="28"/>
          <w:szCs w:val="28"/>
          <w:rtl w:val="true"/>
          <w:lang w:bidi="fa-IR"/>
        </w:rPr>
        <w:t>، وهو أولى</w:t>
      </w:r>
      <w:r>
        <w:rPr>
          <w:rFonts w:eastAsia="IRNazanin" w:cs="IRNazanin"/>
          <w:color w:val="111111"/>
          <w:sz w:val="28"/>
          <w:szCs w:val="28"/>
          <w:rtl w:val="true"/>
          <w:lang w:bidi="fa-IR"/>
        </w:rPr>
        <w:t xml:space="preserve">. </w:t>
      </w:r>
      <w:bookmarkStart w:id="183" w:name="pg10189_116000"/>
    </w:p>
    <w:p>
      <w:pPr>
        <w:pStyle w:val="Heading5"/>
        <w:numPr>
          <w:ilvl w:val="4"/>
          <w:numId w:val="1"/>
        </w:numPr>
        <w:rPr/>
      </w:pPr>
      <w:bookmarkStart w:id="184" w:name="__RefHeading___Toc2156456_1067777946"/>
      <w:bookmarkStart w:id="185" w:name="_Toc69"/>
      <w:bookmarkEnd w:id="183"/>
      <w:bookmarkEnd w:id="184"/>
      <w:r>
        <w:rPr>
          <w:rtl w:val="true"/>
        </w:rPr>
        <w:t>[</w:t>
      </w:r>
      <w:r>
        <w:rPr>
          <w:rtl w:val="true"/>
        </w:rPr>
        <w:t xml:space="preserve">الفصل الخامس في الركوع </w:t>
      </w:r>
      <w:r>
        <w:rPr>
          <w:rtl w:val="true"/>
        </w:rPr>
        <w:t>]</w:t>
      </w:r>
      <w:bookmarkEnd w:id="18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الانحناء بقدر وضع يديه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بقدرِ لو أراد وضع يديه عليهما وضعهما، والمعتبر من يديه باطنهما فلايك بلوغ رؤوس الأصابع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والقائم على هيئة الراكع لكبَرٍ أو مرض يزيد انحناء يسيراً للفرق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الفرق بذلك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أمكن بعض الانحناء حال القراءة ولو بالاعتماد على شيء وجب، وتحقق الفرق حينئذٍ وإن لم يكن الوجوب لأجله، كما أنه لو استلزمت زيادة الانحناء الخروج على حد الراكع لم يصح وإن أوجبنا الفرق تَمّ؛ لأنّ تحصيل حالة الركوع الاختيارية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شرع في الذكرِ الواجب قبل انتهاء الركوع، أو شرع في النهوض قبل إكماله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الحال أنه لو أعاد 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 الأوّل باستلزامه زيادة الواجب وفعل المنهي عنه وإن كان ذكراً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بأن العود يستلزم زيادة الركوع عمداً وهو مبطل، والأقوى البطلان فيهما إلا أن يكون العود في الثاني قبل تجاوز حد الراكع، بأن يكون قد زاد عن أقله في الانحناء وشرع فيه زمن الزائد فيمكن حينئذ التدارك</w:t>
      </w:r>
      <w:r>
        <w:rPr>
          <w:rFonts w:eastAsia="Amiri" w:cs="Amiri" w:ascii="Amiri" w:hAnsi="Amiri"/>
          <w:color w:val="111111"/>
          <w:sz w:val="28"/>
          <w:szCs w:val="28"/>
          <w:rtl w:val="true"/>
          <w:lang w:bidi="ar-SA"/>
        </w:rPr>
        <w:t xml:space="preserve">. </w:t>
      </w:r>
      <w:bookmarkStart w:id="186" w:name="pg10189_116001"/>
    </w:p>
    <w:p>
      <w:pPr>
        <w:pStyle w:val="Heading5"/>
        <w:numPr>
          <w:ilvl w:val="4"/>
          <w:numId w:val="1"/>
        </w:numPr>
        <w:rPr/>
      </w:pPr>
      <w:bookmarkStart w:id="187" w:name="__RefHeading___Toc2156458_1067777946"/>
      <w:bookmarkStart w:id="188" w:name="_Toc70"/>
      <w:bookmarkEnd w:id="186"/>
      <w:bookmarkEnd w:id="187"/>
      <w:r>
        <w:rPr>
          <w:rtl w:val="true"/>
        </w:rPr>
        <w:t xml:space="preserve">[ </w:t>
      </w:r>
      <w:r>
        <w:rPr>
          <w:rtl w:val="true"/>
        </w:rPr>
        <w:t xml:space="preserve">الفصل السادس السجود </w:t>
      </w:r>
      <w:r>
        <w:rPr>
          <w:rtl w:val="true"/>
        </w:rPr>
        <w:t>]</w:t>
      </w:r>
      <w:bookmarkEnd w:id="188"/>
    </w:p>
    <w:p>
      <w:pPr>
        <w:pStyle w:val="BookText"/>
        <w:rPr/>
      </w:pP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يساوي موضعُ جَبْهَته موقفَه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خصّ الزيادة؛ لورودِها في رواية عبدالله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وألحق به بعض الأصحاب النقيصة بذلك القدر</w:t>
      </w:r>
      <w:r>
        <w:rPr>
          <w:rStyle w:val="FootnoteAnchor"/>
          <w:rtl w:val="true"/>
        </w:rPr>
        <w:footnoteReference w:id="263"/>
      </w:r>
      <w:r>
        <w:rPr>
          <w:rFonts w:ascii="Amiri" w:hAnsi="Amiri" w:eastAsia="Amiri" w:cs="Amiri"/>
          <w:color w:val="111111"/>
          <w:sz w:val="28"/>
          <w:sz w:val="28"/>
          <w:szCs w:val="28"/>
          <w:rtl w:val="true"/>
          <w:lang w:bidi="ar-SA"/>
        </w:rPr>
        <w:t>، وهو حسن ومقتضى اعتبارِ المسجدِ والموقف عدم اعتبار غيره من المساجد، فلا يقدح اختلافها، وهو موافق للأصل مع تحقق السجودِ بدونه واختصاص الأوّل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ذلك في بقية المساجد</w:t>
      </w:r>
      <w:r>
        <w:rPr>
          <w:rStyle w:val="FootnoteAnchor"/>
          <w:rtl w:val="true"/>
        </w:rPr>
        <w:footnoteReference w:id="264"/>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استوعب سجد على أحد الجِبَينين، فإن تعذر فعلى ذَقَنِه، فإنْ تعذَّر أوْمَاً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القدرُ المجوّز للانتقال إلى أحدِ الجَبينين تعدُّرُ السجودِ على الجَبْهَةِ مطلقاً ولو على ما يمنع السجود عليه، وحيث ينتقل إلى الجبينين يتخيَّر بينهما وإن كان تقديم الأيمن أولى، وحيث ينتقل إلى الذقن يجب كشفُ الشعر عنه لتقع البَشَرة على ما يصح السجود عليه مع الإمكان وإلّا سقط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والتسبيح ثلاثاً أو خمساً أو سبعاً فما زاد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عكس الترتيب الذي ذكره في الركوع مع اشتراكهما في أفضلية الأكثر وإجزاء الأقل بتقدير الجهة المختلفة، فذكر في الأوّلِ الأفضل وأراد أنّ الأقل منه دونه في </w:t>
      </w:r>
    </w:p>
    <w:p>
      <w:pPr>
        <w:pStyle w:val="BookText"/>
        <w:rPr/>
      </w:pPr>
      <w:r>
        <w:rPr>
          <w:rFonts w:ascii="Amiri" w:hAnsi="Amiri" w:eastAsia="Amiri" w:cs="Amiri"/>
          <w:color w:val="111111"/>
          <w:sz w:val="28"/>
          <w:sz w:val="28"/>
          <w:szCs w:val="28"/>
          <w:rtl w:val="true"/>
          <w:lang w:bidi="ar-SA"/>
        </w:rPr>
        <w:t xml:space="preserve">الفضل، وهاهنا ترقى إلى الأفضل وهو أولى خصوصاً مع ضميمة ما زادهاهنا دون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ويقضيها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بالقضاء هنا الإتيان بها حيث ذكر؛ لأنّها واجبة على الفور، فإذا أخَّرها عمداً أو نسيها فعلها حينئذٍ</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أنّه لا يجب فيها التعرض للأداء والقضاء مطلقاً</w:t>
      </w:r>
      <w:r>
        <w:rPr>
          <w:rFonts w:eastAsia="Amiri" w:cs="Amiri" w:ascii="Amiri" w:hAnsi="Amiri"/>
          <w:color w:val="111111"/>
          <w:sz w:val="28"/>
          <w:szCs w:val="28"/>
          <w:rtl w:val="true"/>
          <w:lang w:bidi="ar-SA"/>
        </w:rPr>
        <w:t xml:space="preserve">. </w:t>
      </w:r>
      <w:bookmarkStart w:id="189" w:name="pg10189_116003"/>
    </w:p>
    <w:p>
      <w:pPr>
        <w:pStyle w:val="Heading5"/>
        <w:numPr>
          <w:ilvl w:val="4"/>
          <w:numId w:val="1"/>
        </w:numPr>
        <w:rPr/>
      </w:pPr>
      <w:bookmarkStart w:id="190" w:name="__RefHeading___Toc2156460_1067777946"/>
      <w:bookmarkStart w:id="191" w:name="_Toc71"/>
      <w:bookmarkEnd w:id="189"/>
      <w:bookmarkEnd w:id="190"/>
      <w:r>
        <w:rPr>
          <w:rtl w:val="true"/>
        </w:rPr>
        <w:t xml:space="preserve">[ </w:t>
      </w:r>
      <w:r>
        <w:rPr>
          <w:rtl w:val="true"/>
        </w:rPr>
        <w:t xml:space="preserve">الفصل السابع التشهد </w:t>
      </w:r>
      <w:r>
        <w:rPr>
          <w:rtl w:val="true"/>
        </w:rPr>
        <w:t>]</w:t>
      </w:r>
      <w:bookmarkEnd w:id="191"/>
    </w:p>
    <w:p>
      <w:pPr>
        <w:pStyle w:val="BookText"/>
        <w:rPr/>
      </w:pP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تابع في الجهر والإخفات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استحباب الجهرية مطلقاً لغير المأموم، وله استحباب الإخفاتِ به مطلقاً</w:t>
      </w:r>
      <w:r>
        <w:rPr>
          <w:rFonts w:eastAsia="Amiri" w:cs="Amiri" w:ascii="Amiri" w:hAnsi="Amiri"/>
          <w:color w:val="111111"/>
          <w:sz w:val="28"/>
          <w:szCs w:val="28"/>
          <w:rtl w:val="true"/>
          <w:lang w:bidi="ar-SA"/>
        </w:rPr>
        <w:t xml:space="preserve">. </w:t>
      </w:r>
      <w:bookmarkStart w:id="192" w:name="pg10189_116004"/>
    </w:p>
    <w:p>
      <w:pPr>
        <w:pStyle w:val="Heading5"/>
        <w:numPr>
          <w:ilvl w:val="4"/>
          <w:numId w:val="1"/>
        </w:numPr>
        <w:rPr/>
      </w:pPr>
      <w:bookmarkStart w:id="193" w:name="__RefHeading___Toc2156462_1067777946"/>
      <w:bookmarkStart w:id="194" w:name="_Toc72"/>
      <w:bookmarkEnd w:id="192"/>
      <w:bookmarkEnd w:id="193"/>
      <w:r>
        <w:rPr>
          <w:rtl w:val="true"/>
        </w:rPr>
        <w:t xml:space="preserve">[ </w:t>
      </w:r>
      <w:r>
        <w:rPr>
          <w:rtl w:val="true"/>
        </w:rPr>
        <w:t>الفصل الثامن التروك</w:t>
      </w:r>
      <w:r>
        <w:rPr>
          <w:rtl w:val="true"/>
        </w:rPr>
        <w:t>]</w:t>
      </w:r>
      <w:bookmarkEnd w:id="1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الحرف الواحدِ المُفهم والحرف بعده مَدَّةُ والكلام المُكْرَةِ عليه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النظر في عدم البطلان بالأوّل ضعيف جداً؛ لأن الحرف المفهم كالأمر من الأفعال المعتلة الطرفين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 والنصوص الواردة بإبطال الكلام تتناوله</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فيها ما يدلُّ على اعتبار الحرفين، بل إطلاق اسم الكلام وهو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الثاني بعكس الحكم؛ لأنّ الحرف الممدود ليس بحرفين وصاعداً وإن طال، فإنّ المدّة ليست بحرفٍ وإنّما هى صلةٌ للحرفِ، فلا وجه للشَكٍّ في عدمِ 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 موضعُ نظرٍ من حيث إطلاق رفع ما استكره منها عليه الدالّ بظاهره على رفع حكمه مطلقاً، ومن جملته بطلان الصلاة به، ومن إمكان إرادة رفع المؤاخذة عليه خاصةً فيقع الشك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به كما يبطل</w:t>
      </w:r>
    </w:p>
    <w:p>
      <w:pPr>
        <w:pStyle w:val="BookText"/>
        <w:rPr/>
      </w:pPr>
      <w:r>
        <w:rPr>
          <w:rFonts w:ascii="Amiri" w:hAnsi="Amiri" w:eastAsia="Amiri" w:cs="Amiri"/>
          <w:color w:val="111111"/>
          <w:sz w:val="28"/>
          <w:sz w:val="28"/>
          <w:szCs w:val="28"/>
          <w:rtl w:val="true"/>
          <w:lang w:bidi="ar-SA"/>
        </w:rPr>
        <w:t>بالإكراه على غيره من المنافيات وإن لم يأثم فاعلها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والتكفير وهو وضع اليمين على الشمال وبالعكس</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تحريم التكفير في الصلاة لا شبهة فيه والنصوص</w:t>
      </w:r>
      <w:r>
        <w:rPr>
          <w:rStyle w:val="FootnoteAnchor"/>
          <w:rtl w:val="true"/>
        </w:rPr>
        <w:footnoteReference w:id="266"/>
      </w:r>
      <w:r>
        <w:rPr>
          <w:rFonts w:ascii="Amiri" w:hAnsi="Amiri" w:eastAsia="Amiri" w:cs="Amiri"/>
          <w:color w:val="111111"/>
          <w:sz w:val="28"/>
          <w:sz w:val="28"/>
          <w:szCs w:val="28"/>
          <w:rtl w:val="true"/>
          <w:lang w:bidi="ar-SA"/>
        </w:rPr>
        <w:t xml:space="preserve">واردة بالنهي عنه المقتضي له </w:t>
      </w:r>
    </w:p>
    <w:p>
      <w:pPr>
        <w:pStyle w:val="BookText"/>
        <w:rPr/>
      </w:pPr>
      <w:r>
        <w:rPr>
          <w:rFonts w:ascii="Amiri" w:hAnsi="Amiri" w:eastAsia="Amiri" w:cs="Amiri"/>
          <w:color w:val="111111"/>
          <w:sz w:val="28"/>
          <w:sz w:val="28"/>
          <w:szCs w:val="28"/>
          <w:rtl w:val="true"/>
          <w:lang w:bidi="ar-SA"/>
        </w:rPr>
        <w:t>فلا بُعد فيه بعد ورود النص وإن جاز وضع اليدين كيف شاء؛ لأن إدخال بعض المسلمين ذلك في أصل العبادة مع عدم صحته جاز أن يكون موجباً لتحريمه تصويرها به وإن لم يعتقد شرعيّة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إبطاله الصلاة فإنّه لا دليل عليه حيث إنّه فعل خارج عن حقيقة الصلاة فلا يقتضي تحريمه الابطال كنظائره، ولكن الشيخ في الخلاف</w:t>
      </w:r>
      <w:r>
        <w:rPr>
          <w:rStyle w:val="FootnoteAnchor"/>
          <w:rtl w:val="true"/>
        </w:rPr>
        <w:footnoteReference w:id="267"/>
      </w:r>
      <w:r>
        <w:rPr>
          <w:rFonts w:ascii="Amiri" w:hAnsi="Amiri" w:eastAsia="Amiri" w:cs="Amiri"/>
          <w:color w:val="111111"/>
          <w:sz w:val="28"/>
          <w:sz w:val="28"/>
          <w:szCs w:val="28"/>
          <w:rtl w:val="true"/>
          <w:lang w:bidi="ar-SA"/>
        </w:rPr>
        <w:t>ادعى الإجماع على تحريمه والإبطال به فإن تمّ كان ذلك هو الحجّة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فيهما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بالتحريم قائل بالابطال ولا يجوز الفصل، وهو متَّجه إن تمّت المقدّمة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أنّهما لا يبطلان إلا مع الكثرة، كغيرهما من الأفعال؛ لعدم دليل يخصهما بالحكم فيلحقان الأفعال بدليلها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الوتر لمريدِ الصَوْمِ من غير استدبار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الاستثناء من الشرب خاصةً، ولابد من تقييده بخوفِ العطش بدونه ولو في النهار، وبخوفِ فجاءة الصبح قبل الفراغ من مطلوبه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الاستدبار غيره من المنافياتِ غير الشرب فلا وجه لتخصيصه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ركعت وضعت يديها فوقَ رُكبتيها على فَخِذيها لئلا تتطأطأ كثيرا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العلة لا تتمّ إلا مع تصورِ انحنائها إلى ذلك المقدار ، لا بالجمع بين بلوغها حدَّ ركوعِ الرجل مع الاقتصارِ حينئذٍ على وضع يديها فوق ركبتيها كما لا يخفى </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باختصاصها بذلك لذلك، ولا بعد فيه مع النص</w:t>
      </w:r>
      <w:r>
        <w:rPr>
          <w:rStyle w:val="FootnoteAnchor"/>
          <w:rtl w:val="true"/>
        </w:rPr>
        <w:footnoteReference w:id="268"/>
      </w:r>
      <w:r>
        <w:rPr>
          <w:rFonts w:ascii="Amiri" w:hAnsi="Amiri" w:eastAsia="Amiri" w:cs="Amiri"/>
          <w:color w:val="111111"/>
          <w:sz w:val="28"/>
          <w:sz w:val="28"/>
          <w:szCs w:val="28"/>
          <w:rtl w:val="true"/>
          <w:lang w:bidi="ar-SA"/>
        </w:rPr>
        <w:t>عليه، أو القولُ بجوازهما معاً لهما مع استحباب الفرق بينهما ببلوغ الرجل بيديه عَيْنَ رُكْبَتَيْه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حسنةِ زرارة </w:t>
      </w:r>
      <w:r>
        <w:rPr>
          <w:rStyle w:val="FootnoteAnchor"/>
          <w:rtl w:val="true"/>
        </w:rPr>
        <w:footnoteReference w:id="269"/>
      </w:r>
      <w:r>
        <w:rPr>
          <w:rFonts w:ascii="Amiri" w:hAnsi="Amiri" w:eastAsia="Amiri" w:cs="Amiri"/>
          <w:color w:val="111111"/>
          <w:sz w:val="28"/>
          <w:sz w:val="28"/>
          <w:szCs w:val="28"/>
          <w:rtl w:val="true"/>
          <w:lang w:bidi="ar-SA"/>
        </w:rPr>
        <w:t>ما يرشد إليه، ولمّا كان مستند الفرق المذكور موقوفاً على زرارة بعد الحكمِ الأولِ وإن كان مضمونه مشهوراً بين الأصحاب، والأجودُ تساويهما في الحكم المشهور</w:t>
      </w:r>
      <w:r>
        <w:rPr>
          <w:rFonts w:eastAsia="Amiri" w:cs="Amiri" w:ascii="Amiri" w:hAnsi="Amiri"/>
          <w:color w:val="111111"/>
          <w:sz w:val="28"/>
          <w:szCs w:val="28"/>
          <w:rtl w:val="true"/>
          <w:lang w:bidi="ar-SA"/>
        </w:rPr>
        <w:t xml:space="preserve">. </w:t>
      </w:r>
      <w:bookmarkStart w:id="195" w:name="pg10189_116007"/>
    </w:p>
    <w:p>
      <w:pPr>
        <w:pStyle w:val="Heading4"/>
        <w:numPr>
          <w:ilvl w:val="3"/>
          <w:numId w:val="1"/>
        </w:numPr>
        <w:rPr/>
      </w:pPr>
      <w:bookmarkStart w:id="196" w:name="__RefHeading___Toc2156464_1067777946"/>
      <w:bookmarkStart w:id="197" w:name="_Toc73"/>
      <w:bookmarkEnd w:id="195"/>
      <w:bookmarkEnd w:id="196"/>
      <w:r>
        <w:rPr>
          <w:rtl w:val="true"/>
        </w:rPr>
        <w:t xml:space="preserve">[ </w:t>
      </w:r>
      <w:r>
        <w:rPr>
          <w:rtl w:val="true"/>
        </w:rPr>
        <w:t xml:space="preserve">المقصد الثالث في باقي الصلوات </w:t>
      </w:r>
      <w:r>
        <w:rPr>
          <w:rtl w:val="true"/>
        </w:rPr>
        <w:t>]</w:t>
      </w:r>
      <w:bookmarkEnd w:id="197"/>
    </w:p>
    <w:p>
      <w:pPr>
        <w:pStyle w:val="Heading5"/>
        <w:numPr>
          <w:ilvl w:val="4"/>
          <w:numId w:val="1"/>
        </w:numPr>
        <w:rPr/>
      </w:pPr>
      <w:bookmarkStart w:id="198" w:name="__RefHeading___Toc2156466_1067777946"/>
      <w:bookmarkStart w:id="199" w:name="_Toc74"/>
      <w:bookmarkEnd w:id="198"/>
      <w:r>
        <w:rPr>
          <w:rtl w:val="true"/>
        </w:rPr>
        <w:t>[</w:t>
      </w:r>
      <w:r>
        <w:rPr>
          <w:rtl w:val="true"/>
        </w:rPr>
        <w:t xml:space="preserve">الفصل الأول في الجمعة </w:t>
      </w:r>
      <w:r>
        <w:rPr>
          <w:rtl w:val="true"/>
        </w:rPr>
        <w:t>]</w:t>
      </w:r>
      <w:bookmarkEnd w:id="199"/>
    </w:p>
    <w:p>
      <w:pPr>
        <w:pStyle w:val="Heading6"/>
        <w:numPr>
          <w:ilvl w:val="5"/>
          <w:numId w:val="1"/>
        </w:numPr>
        <w:rPr/>
      </w:pPr>
      <w:bookmarkStart w:id="200" w:name="__RefHeading___Toc2156468_1067777946"/>
      <w:bookmarkStart w:id="201" w:name="_Toc75"/>
      <w:bookmarkEnd w:id="200"/>
      <w:r>
        <w:rPr>
          <w:rtl w:val="true"/>
        </w:rPr>
        <w:t>[</w:t>
      </w:r>
      <w:r>
        <w:rPr>
          <w:rtl w:val="true"/>
        </w:rPr>
        <w:t>المطلب الأول</w:t>
      </w:r>
      <w:r>
        <w:rPr>
          <w:rtl w:val="true"/>
        </w:rPr>
        <w:t xml:space="preserve">: </w:t>
      </w:r>
      <w:r>
        <w:rPr>
          <w:rtl w:val="true"/>
        </w:rPr>
        <w:t xml:space="preserve">الشرائط </w:t>
      </w:r>
      <w:r>
        <w:rPr>
          <w:rtl w:val="true"/>
        </w:rPr>
        <w:t>]</w:t>
      </w:r>
      <w:bookmarkEnd w:id="201"/>
    </w:p>
    <w:p>
      <w:pPr>
        <w:pStyle w:val="BookText"/>
        <w:rPr/>
      </w:pP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خرج</w:t>
      </w:r>
      <w:r>
        <w:rPr>
          <w:rStyle w:val="FootnoteAnchor"/>
          <w:rtl w:val="true"/>
        </w:rPr>
        <w:footnoteReference w:id="270"/>
      </w:r>
      <w:r>
        <w:rPr>
          <w:rFonts w:ascii="Amiri" w:hAnsi="Amiri" w:eastAsia="Amiri" w:cs="Amiri"/>
          <w:color w:val="111111"/>
          <w:sz w:val="28"/>
          <w:sz w:val="28"/>
          <w:szCs w:val="28"/>
          <w:rtl w:val="true"/>
          <w:lang w:bidi="ar-SA"/>
        </w:rPr>
        <w:t xml:space="preserve">متلبِّساً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جمعةً إماماً كان أو مأموماً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 اعتبارُ إدراكِ رَكعة منها في الوقتِ كاليوميّة؛ لعموم الخبر </w:t>
      </w:r>
      <w:r>
        <w:rPr>
          <w:rStyle w:val="FootnoteAnchor"/>
          <w:rtl w:val="true"/>
        </w:rPr>
        <w:footnoteReference w:id="271"/>
      </w:r>
      <w:r>
        <w:rPr>
          <w:rFonts w:ascii="Amiri" w:hAnsi="Amiri" w:eastAsia="Amiri" w:cs="Amiri"/>
          <w:color w:val="111111"/>
          <w:sz w:val="28"/>
          <w:sz w:val="28"/>
          <w:szCs w:val="28"/>
          <w:rtl w:val="true"/>
          <w:lang w:bidi="ar-SA"/>
        </w:rPr>
        <w:t>، وإخراج الجمعة منه لا وجه 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اتساع الوقت لها وللخُطْبَتَين مخفّفةً وجبتْ، وإلا سقطتْ ووجبت الظهر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ضمير الجمعة والخطبتين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بالتخفيف الإتيان بأقل الواجب، والمراد بالعلم هاهنا ما يشمل الظنَّ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اتساع الوقتِ لذلك وبدونه تسقط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من الوقتِ ركعة فقد أدركَ </w:t>
      </w:r>
    </w:p>
    <w:p>
      <w:pPr>
        <w:pStyle w:val="BookText"/>
        <w:rPr/>
      </w:pP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r>
        <w:rPr>
          <w:rStyle w:val="FootnoteAnchor"/>
          <w:rtl w:val="true"/>
        </w:rPr>
        <w:footnoteReference w:id="272"/>
      </w:r>
      <w:r>
        <w:rPr>
          <w:rFonts w:ascii="Amiri" w:hAnsi="Amiri" w:eastAsia="Amiri" w:cs="Amiri"/>
          <w:color w:val="111111"/>
          <w:sz w:val="28"/>
          <w:sz w:val="28"/>
          <w:szCs w:val="28"/>
          <w:rtl w:val="true"/>
          <w:lang w:bidi="ar-SA"/>
        </w:rPr>
        <w:t>شامل لها حيث الجميع أداء كما يدلُّ عليه الخبر، وكَوْنُ ما خرج من الوقتِ تابعاً لما وقع فيه وأنّ الجمعة لا تُقضى لا يقدح هاهنا بوجه؛ إذ الغرضُ وقوعها مؤداةً وإن كان بعضُها خارج الوقتِ للعموم، والأقوى الاكتفاء بإدراكِ رَكعة كاليومية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تشترط الحرّية على رأي، وفي الأبرص والأجذم والأعمى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رأي الشيخ </w:t>
      </w:r>
      <w:r>
        <w:rPr>
          <w:rStyle w:val="FootnoteAnchor"/>
          <w:rtl w:val="true"/>
        </w:rPr>
        <w:footnoteReference w:id="273"/>
      </w:r>
      <w:r>
        <w:rPr>
          <w:rFonts w:ascii="Amiri" w:hAnsi="Amiri" w:eastAsia="Amiri" w:cs="Amiri"/>
          <w:color w:val="111111"/>
          <w:sz w:val="28"/>
          <w:sz w:val="28"/>
          <w:szCs w:val="28"/>
          <w:rtl w:val="true"/>
          <w:lang w:bidi="ar-SA"/>
        </w:rPr>
        <w:t>الأقوى عدم اشتراط الحرّية؛ نعم يُشترط إذنُ المولى وكراهة إمامة الثلاثةِ خاصةً؛ جمعاً بين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تجوز في حالِ الغَيبة والتمكن من الاجتماع بشرائط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بالشرائط هاهنا ما عدا إذنِ الإمام على الخصوص؛ لأنّ الغرض عدمُ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يريد بها الجميع، ويريد مع إذن الإمام عموماً بحضور الفقيه كما هو أحد الأقوال في المسألة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اختياره في المنتهى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وبالجوازِ هنا معناه الأعم الشامل للوجوب، وهو المراد هنا وإن كان تخييراً كما هو ظاهرُ اتفاقِ القائلين بصحتها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به؛ لأنه موضعُ النزاع؛ إذ من الأصحابِ من منع منها حينئذٍ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جوزها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يعبّرون عنها حينئذٍ بالاستحباب </w:t>
      </w:r>
      <w:r>
        <w:rPr>
          <w:rStyle w:val="FootnoteAnchor"/>
          <w:rtl w:val="true"/>
        </w:rPr>
        <w:footnoteReference w:id="276"/>
      </w:r>
      <w:r>
        <w:rPr>
          <w:rFonts w:ascii="Amiri" w:hAnsi="Amiri" w:eastAsia="Amiri" w:cs="Amiri"/>
          <w:color w:val="111111"/>
          <w:sz w:val="28"/>
          <w:sz w:val="28"/>
          <w:szCs w:val="28"/>
          <w:rtl w:val="true"/>
          <w:lang w:bidi="ar-SA"/>
        </w:rPr>
        <w:t>، ومرادهم أيضاً ذلك بناءً على أنّها أفضلُ الواجب على التخيير فتكون مستحبّةٌ عَيْناً وإن وجبت تخييراً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وجوبها حينئذٍ وعدم اشتراطها بالإمام ومن نصبه مطلقاً لإطلاق الأدلة </w:t>
      </w:r>
    </w:p>
    <w:p>
      <w:pPr>
        <w:pStyle w:val="BookText"/>
        <w:rPr/>
      </w:pPr>
      <w:r>
        <w:rPr>
          <w:rFonts w:ascii="Amiri" w:hAnsi="Amiri" w:eastAsia="Amiri" w:cs="Amiri"/>
          <w:color w:val="111111"/>
          <w:sz w:val="28"/>
          <w:sz w:val="28"/>
          <w:szCs w:val="28"/>
          <w:rtl w:val="true"/>
          <w:lang w:bidi="ar-SA"/>
        </w:rPr>
        <w:t>القطعية من الكتاب</w:t>
      </w:r>
      <w:r>
        <w:rPr>
          <w:rStyle w:val="FootnoteAnchor"/>
          <w:rtl w:val="true"/>
        </w:rPr>
        <w:footnoteReference w:id="277"/>
      </w:r>
      <w:r>
        <w:rPr>
          <w:rFonts w:ascii="Amiri" w:hAnsi="Amiri" w:eastAsia="Amiri" w:cs="Amiri"/>
          <w:color w:val="111111"/>
          <w:sz w:val="28"/>
          <w:sz w:val="28"/>
          <w:szCs w:val="28"/>
          <w:rtl w:val="true"/>
          <w:lang w:bidi="ar-SA"/>
        </w:rPr>
        <w:t xml:space="preserve">والسنَّةِ </w:t>
      </w:r>
      <w:r>
        <w:rPr>
          <w:rStyle w:val="FootnoteAnchor"/>
          <w:rtl w:val="true"/>
        </w:rPr>
        <w:footnoteReference w:id="278"/>
      </w:r>
      <w:r>
        <w:rPr>
          <w:rFonts w:ascii="Amiri" w:hAnsi="Amiri" w:eastAsia="Amiri" w:cs="Amiri"/>
          <w:color w:val="111111"/>
          <w:sz w:val="28"/>
          <w:sz w:val="28"/>
          <w:szCs w:val="28"/>
          <w:rtl w:val="true"/>
          <w:lang w:bidi="ar-SA"/>
        </w:rPr>
        <w:t>، وهو ظاهر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على اشتراطها بأحدهما لو سلم مختص بحالةِ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وانتفاء الواجب العيني بالإجماع إن تم يوجب القول بالوجوب التخييري؛ إذ لا أقل منه، وحينئذٍ فينوي بها الوجوب وتُجْزِئُ عن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غيره فيصلّي الظهر ويحتمل الدخول معهم؛ لأنها جمعة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هاهنا مبني على جوازها مع غير المأذون من الإمام، فإن اشترطناء مطلقاً أو على بعض الوجوه وحصل مقتضي الصحة في الإمام المستناب جاز الدخول معه فيها؛ لتحقق الشرط كالمبتدئ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المستناب غير جامع للشرائط بأن كان مستنيبه غيرَ الإمامِ أو غير مجتهد مع غيبته حيث يعتبره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لغير من يحرم ابتداء الدخول معه حينئذ، وإن جاز للأول للنهي عن إبطاله العمل؛ ولأنّه يغتفر في الاستدامة ما لا يغتفر في الابتداء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عدم اشتراط الطهارة، وعدم وجوبِ الإصغاء إليه، وانتفاءُ تحريم الكلام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اشتراط طهارة الخطيب من الحَدَثِ والخَبَث على حدّ ما يعتبر في الصلاة، ووجوبُ إصغاء جميع من يمكن في حقه السماع من المأمومين، وتحريم الكلام عليهم وعلى الإمام، وقد ذكر بعض </w:t>
      </w:r>
      <w:r>
        <w:rPr>
          <w:rStyle w:val="FootnoteAnchor"/>
          <w:rtl w:val="true"/>
        </w:rPr>
        <w:footnoteReference w:id="279"/>
      </w:r>
      <w:r>
        <w:rPr>
          <w:rFonts w:ascii="Amiri" w:hAnsi="Amiri" w:eastAsia="Amiri" w:cs="Amiri"/>
          <w:color w:val="111111"/>
          <w:sz w:val="28"/>
          <w:sz w:val="28"/>
          <w:szCs w:val="28"/>
          <w:rtl w:val="true"/>
          <w:lang w:bidi="ar-SA"/>
        </w:rPr>
        <w:t>أهل اللغة أنّ الإصغاء هو الاستماع مع ترك الكلام</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فيكون الجمع بينهما مؤكداً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آخرين أنه أعم</w:t>
      </w:r>
      <w:r>
        <w:rPr>
          <w:rStyle w:val="FootnoteAnchor"/>
          <w:rtl w:val="true"/>
        </w:rPr>
        <w:footnoteReference w:id="281"/>
      </w:r>
      <w:r>
        <w:rPr>
          <w:rFonts w:ascii="Amiri" w:hAnsi="Amiri" w:eastAsia="Amiri" w:cs="Amiri"/>
          <w:color w:val="111111"/>
          <w:sz w:val="28"/>
          <w:sz w:val="28"/>
          <w:szCs w:val="28"/>
          <w:rtl w:val="true"/>
          <w:lang w:bidi="ar-SA"/>
        </w:rPr>
        <w:t>وهو الذي يقتضيه العُرف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الكلام في أثنائها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السياق أنّ الحكم متعلّق بالإمام، والسابق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لا تكرار في اللفظ؛ لأنّ الأوّل اقتضاء انتفاء التحريم والثاني إثبات الكراهية، وهما غيران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شَكٍّ هل كان رافعاً أو راكعاً رجّحنا الاحتياط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الاحتياط لا يصلح مرجحاً على الاستصحاب بنفيه، خصوصاً مع اشتمال الاستصحاب على حكم واجب أو بتركه على محرّم، وهو هاهنا كذلك، فإنّ استصحاب عدم الرفع يقتضي صحة الصلاة ووجوب المضي فيها وتحريم قطعها فلا يجوز رفع ذلك بمجرد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تعليل الحكم بأن الأصل عدم رفع الإمام، كما أنّ الأصل عدم إدراكه قبله؛ لأنهما حادثان تعارضا فتساقطا، وبقي مع أصالة عدم الإدراك بقاء المكلف في عهدة الواجب فيرجح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الأجود إعادةُ جُمُعةٍ وظُهرٍ في الأخير وظهرٍ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بطلتا إن اقترنتا أو اشتبه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بالاشتباه إن كان في السبق والاقتران فموجبه الجُمُعة لاغير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باختيار الأول</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الأولى أن يراد بالاشتباه في الأولى اشتباه الحال الشامل للصور الثلاثة الأخيرة، وأن يراد ببطلانهما عدم صحتهما معاً؛ لإمكان بطلانهما وبطلان كلّ واحدة على حدتها، فلا يحصل القطع بصحتهما معاً، فالبطلان يرجع إلى مجموعهما من حيث هو مجموع وهو حكم إجمالي، ثُمّ فصَّله أخيراً بأحكام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الثالثة الحكم ظاهر حيث أوجب الجمعة المانع لبطلانها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الأوليين وجه المناسبة بين الحكم ببطلانهما ووجوب الظهر أنه لو حكم بصحتهما لم يجب عليهما شيء، فلمّا </w:t>
      </w:r>
      <w:bookmarkStart w:id="202" w:name="pg10189_116011"/>
    </w:p>
    <w:p>
      <w:pPr>
        <w:pStyle w:val="BookText"/>
        <w:rPr/>
      </w:pPr>
      <w:bookmarkEnd w:id="202"/>
      <w:r>
        <w:rPr>
          <w:rFonts w:ascii="Amiri" w:hAnsi="Amiri" w:eastAsia="Amiri" w:cs="Amiri"/>
          <w:color w:val="111111"/>
          <w:sz w:val="28"/>
          <w:sz w:val="28"/>
          <w:szCs w:val="28"/>
          <w:rtl w:val="true"/>
          <w:lang w:bidi="ar-SA"/>
        </w:rPr>
        <w:t>أوجب عليهما الظهر دلّ على صحتهما معاً؛ إذ لا يجامع صحة الجمعة وجوب الظهر، فأطلق البطلان عليهما لهذا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خلاف الظاهر إلّا أنّه خيرٌ من تفريق حكم المسألة، أو اضطراب الحكم في كلام متقارب</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156470_1067777946"/>
      <w:bookmarkStart w:id="204" w:name="_Toc76"/>
      <w:bookmarkEnd w:id="203"/>
      <w:r>
        <w:rPr>
          <w:rtl w:val="true"/>
        </w:rPr>
        <w:t>[</w:t>
      </w:r>
      <w:r>
        <w:rPr>
          <w:rtl w:val="true"/>
        </w:rPr>
        <w:t>المطلب الثاني في ماهيتها وآدابها</w:t>
      </w:r>
      <w:r>
        <w:rPr>
          <w:rtl w:val="true"/>
        </w:rPr>
        <w:t>]</w:t>
      </w:r>
      <w:bookmarkEnd w:id="204"/>
    </w:p>
    <w:p>
      <w:pPr>
        <w:pStyle w:val="BookText"/>
        <w:rPr/>
      </w:pP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سقطت عن أحدهما فهو سائغ 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تحريمه عليهما؛ لأنّ الآخر مع علمه بالحال معين على الإثم والعدوان المنهى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نوى بهما للثانية أو أهمل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الصحة مع إهمال النية وانصرافهما إلى الأولى كما لونواها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 أنّ يوم الجمعة وقت لهذه النافلة مطلقاً إلّا أنّ تفريقها سداساً كما ذكر أفضل، ودونه جعل ست بين الفرضين ودونه فعلها متى شاء من النهار</w:t>
      </w:r>
      <w:r>
        <w:rPr>
          <w:rFonts w:eastAsia="Amiri" w:cs="Amiri" w:ascii="Amiri" w:hAnsi="Amiri"/>
          <w:color w:val="111111"/>
          <w:sz w:val="28"/>
          <w:szCs w:val="28"/>
          <w:rtl w:val="true"/>
          <w:lang w:bidi="ar-SA"/>
        </w:rPr>
        <w:t xml:space="preserve">. </w:t>
      </w:r>
      <w:bookmarkStart w:id="205" w:name="pg10189_116012"/>
    </w:p>
    <w:p>
      <w:pPr>
        <w:pStyle w:val="Heading5"/>
        <w:numPr>
          <w:ilvl w:val="4"/>
          <w:numId w:val="1"/>
        </w:numPr>
        <w:rPr/>
      </w:pPr>
      <w:bookmarkStart w:id="206" w:name="__RefHeading___Toc2156472_1067777946"/>
      <w:bookmarkStart w:id="207" w:name="_Toc77"/>
      <w:bookmarkEnd w:id="205"/>
      <w:bookmarkEnd w:id="206"/>
      <w:r>
        <w:rPr>
          <w:rtl w:val="true"/>
        </w:rPr>
        <w:t xml:space="preserve">[ </w:t>
      </w:r>
      <w:r>
        <w:rPr>
          <w:rtl w:val="true"/>
        </w:rPr>
        <w:t xml:space="preserve">الفصل الثاني في صلاة العِيدَيْنِ </w:t>
      </w:r>
      <w:r>
        <w:rPr>
          <w:rtl w:val="true"/>
        </w:rPr>
        <w:t>]</w:t>
      </w:r>
      <w:bookmarkEnd w:id="207"/>
    </w:p>
    <w:p>
      <w:pPr>
        <w:pStyle w:val="BookText"/>
        <w:rPr/>
      </w:pPr>
      <w:r>
        <w:rPr>
          <w:rFonts w:ascii="Amiri" w:hAnsi="Amiri" w:eastAsia="Amiri" w:cs="Amiri"/>
          <w:color w:val="111111"/>
          <w:sz w:val="28"/>
          <w:sz w:val="28"/>
          <w:szCs w:val="28"/>
          <w:rtl w:val="true"/>
          <w:lang w:bidi="ar-SA"/>
        </w:rPr>
        <w:t>المطلب الثاني في الأحكام</w:t>
      </w:r>
    </w:p>
    <w:p>
      <w:pPr>
        <w:pStyle w:val="BookText"/>
        <w:rPr/>
      </w:pP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وسقط التكبير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الأقوى وإن كان التكبير أُولى، وأجود منه تأخير الاقتداء إلى الركعة الثانية إن اتفق</w:t>
      </w:r>
      <w:r>
        <w:rPr>
          <w:rFonts w:eastAsia="Amiri" w:cs="Amiri" w:ascii="Amiri" w:hAnsi="Amiri"/>
          <w:color w:val="111111"/>
          <w:sz w:val="28"/>
          <w:szCs w:val="28"/>
          <w:rtl w:val="true"/>
          <w:lang w:bidi="ar-SA"/>
        </w:rPr>
        <w:t xml:space="preserve">. </w:t>
      </w:r>
      <w:bookmarkStart w:id="208" w:name="pg10189_116013"/>
    </w:p>
    <w:p>
      <w:pPr>
        <w:pStyle w:val="Heading5"/>
        <w:numPr>
          <w:ilvl w:val="4"/>
          <w:numId w:val="1"/>
        </w:numPr>
        <w:rPr/>
      </w:pPr>
      <w:bookmarkStart w:id="209" w:name="__RefHeading___Toc2156474_1067777946"/>
      <w:bookmarkStart w:id="210" w:name="_Toc78"/>
      <w:bookmarkEnd w:id="208"/>
      <w:bookmarkEnd w:id="209"/>
      <w:r>
        <w:rPr>
          <w:rtl w:val="true"/>
        </w:rPr>
        <w:t>[</w:t>
      </w:r>
      <w:r>
        <w:rPr>
          <w:rtl w:val="true"/>
        </w:rPr>
        <w:t>الفصل الثالث في الكُسُوف</w:t>
      </w:r>
      <w:r>
        <w:rPr>
          <w:rtl w:val="true"/>
        </w:rPr>
        <w:t>]</w:t>
      </w:r>
      <w:bookmarkEnd w:id="210"/>
    </w:p>
    <w:p>
      <w:pPr>
        <w:pStyle w:val="Heading6"/>
        <w:numPr>
          <w:ilvl w:val="5"/>
          <w:numId w:val="1"/>
        </w:numPr>
        <w:rPr/>
      </w:pPr>
      <w:bookmarkStart w:id="211" w:name="__RefHeading___Toc2156476_1067777946"/>
      <w:bookmarkStart w:id="212" w:name="_Toc79"/>
      <w:bookmarkEnd w:id="211"/>
      <w:r>
        <w:rPr>
          <w:rtl w:val="true"/>
        </w:rPr>
        <w:t>[</w:t>
      </w:r>
      <w:r>
        <w:rPr>
          <w:rtl w:val="true"/>
        </w:rPr>
        <w:t xml:space="preserve">المطلب الأوّل الماهيّة </w:t>
      </w:r>
      <w:r>
        <w:rPr>
          <w:rtl w:val="true"/>
        </w:rPr>
        <w:t>]</w:t>
      </w:r>
      <w:bookmarkEnd w:id="212"/>
    </w:p>
    <w:p>
      <w:pPr>
        <w:pStyle w:val="BookText"/>
        <w:rPr/>
      </w:pP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أدرك الإمام في رَكَعَاتِ الأُولى فالوجه الصبر حتى يبتدىء بالثانية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الصبر بغير نية الصلاة إلى أن يقوم الإمام إلى الثانية، وهذا هو الأولى، ولو دخل معه ثُمَّ نوى الانفراد بعد فراغ الإمام من ركوعاتها ونزوله إلى السجود جاز أيضاً</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2156478_1067777946"/>
      <w:bookmarkStart w:id="214" w:name="_Toc80"/>
      <w:bookmarkEnd w:id="213"/>
      <w:r>
        <w:rPr>
          <w:rtl w:val="true"/>
        </w:rPr>
        <w:t>[</w:t>
      </w:r>
      <w:r>
        <w:rPr>
          <w:rtl w:val="true"/>
        </w:rPr>
        <w:t>المطلب الثاني الموجب</w:t>
      </w:r>
      <w:r>
        <w:rPr>
          <w:rtl w:val="true"/>
        </w:rPr>
        <w:t>]</w:t>
      </w:r>
      <w:bookmarkEnd w:id="21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الموجب وهو كُسُوف الشمس، وخُسُوفُ القمر، والزَّلْزَلَةُ، والريح المُظلمة وأخاويفُ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ما فيه من التجوز حيث عقد الفصل لصلاة الكسوف، ثم جعل السبب لمطلق الآيات، وهو أقوى من تجوُّزِه في أوّل الكتاب بجعل الكسوفين مغايرة الآيات، والأمر سهل حيث أنّ المراد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في الكسوف من الابتداء فيه إلى ابتداء الانجلاء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امتداده إلى تمام الانجلاء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الرياح الصُفْر والظُّلْمَةِ الشديدة 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أنّها كالزلزلة فتكون سبباً للوجوب خاصةً وإن قصر وقتها عنها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اشتغل أحد المكلفين في الابتداء وخرج الوقت وقد أكمل ركعة </w:t>
      </w:r>
    </w:p>
    <w:p>
      <w:pPr>
        <w:pStyle w:val="BookText"/>
        <w:rPr/>
      </w:pPr>
      <w:r>
        <w:rPr>
          <w:rFonts w:ascii="Amiri" w:hAnsi="Amiri" w:eastAsia="Amiri" w:cs="Amiri"/>
          <w:color w:val="111111"/>
          <w:sz w:val="28"/>
          <w:sz w:val="28"/>
          <w:szCs w:val="28"/>
          <w:rtl w:val="true"/>
          <w:lang w:bidi="ar-SA"/>
        </w:rPr>
        <w:t>فالأقرب عدم وجوب الإتمام، أما الآخر فلا يجب عليه القضاء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الأقربية أنه قد تقرر في الأصول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 من لم يدرك ركعةً، سواء أدرك بعضها أو لم يدرك منها شيئاً أصلاً، وفي عدم وجوب القضاء على التقديرين بعد في أحدهما، وهو الوجه الضعيف هنالك ؛ لأنه إما أن يكون إدراك الركعة موجباً أو لا، فإن أوجب فلا فرق بين مَن صلَّى ومَن لم يصل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أُريد بالآخر من لم يدرك ركعةً لا يمكن أن يراد بالتقديرين معه تقدير وجوب الإتمام على مَنْ أدرك ركعةً وعدم وجوبه، ولا يتوجه الإشكال الذي ذكره لأنه لا يلزم من وجوب الإتمام على مدركِ الركعة وجوبه على من لم يدركها، وما تقدّم من الوجه بشمول الخبر </w:t>
      </w:r>
      <w:r>
        <w:rPr>
          <w:rStyle w:val="FootnoteAnchor"/>
          <w:rtl w:val="true"/>
        </w:rPr>
        <w:footnoteReference w:id="284"/>
      </w:r>
      <w:r>
        <w:rPr>
          <w:rFonts w:ascii="Amiri" w:hAnsi="Amiri" w:eastAsia="Amiri" w:cs="Amiri"/>
          <w:color w:val="111111"/>
          <w:sz w:val="28"/>
          <w:sz w:val="28"/>
          <w:szCs w:val="28"/>
          <w:rtl w:val="true"/>
          <w:lang w:bidi="ar-SA"/>
        </w:rPr>
        <w:t>له لا يأتي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يكون إدراك الركعة موجباً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يطابق السابق ولا يستقيم؛ لأن إدراك الركعة إذا كان موجباً لا يلزم منه كَوْن عدم إدراكها موجباً سواء دخل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يشتغل بالصلاة مع كَوْن الوقت يسع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 لأنّ هذا قسيم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اشتغل أحد المكلّفين والتقدير أنّ أحدهم اشتغل والآخر لم يشتغل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الصلاة على من دخل وأدرك ركعةً وعدمه، والفرقُ أنّ الذي دخل إنّما وجب عليه الإتمام من جهة النهي عن قطع العمل </w:t>
      </w:r>
      <w:r>
        <w:rPr>
          <w:rStyle w:val="FootnoteAnchor"/>
          <w:rtl w:val="true"/>
        </w:rPr>
        <w:footnoteReference w:id="285"/>
      </w: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ما افتتحت عليه</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 وقد افتتحها على الوجه الخاص، وهو مفقود في من لم يدخل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فالقاعدة الأصولية باستحالة التكليف بعبادة يقصر وقتها عنها لامعارض له هنا بخلاف من تلبس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بالآخر من لم يُدرك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اشتغاله بالصلاة ،وعدمه، وأن يريد بهما، أي من الإمام على من أدرك ركعة وعدمه، وهذا المعنى الأخير الذي فهمه الشارح السيد</w:t>
      </w:r>
      <w:r>
        <w:rPr>
          <w:rStyle w:val="FootnoteAnchor"/>
          <w:rtl w:val="true"/>
        </w:rPr>
        <w:footnoteReference w:id="287"/>
      </w:r>
      <w:r>
        <w:rPr>
          <w:rFonts w:ascii="Amiri" w:hAnsi="Amiri" w:eastAsia="Amiri" w:cs="Amiri"/>
          <w:color w:val="111111"/>
          <w:sz w:val="28"/>
          <w:sz w:val="28"/>
          <w:szCs w:val="28"/>
          <w:rtl w:val="true"/>
          <w:lang w:bidi="ar-SA"/>
        </w:rPr>
        <w:t>، وإن كان ما ذكرناه أقوى</w:t>
      </w:r>
      <w:r>
        <w:rPr>
          <w:rFonts w:eastAsia="Amiri" w:cs="Amiri" w:ascii="Amiri" w:hAnsi="Amiri"/>
          <w:color w:val="111111"/>
          <w:sz w:val="28"/>
          <w:szCs w:val="28"/>
          <w:rtl w:val="true"/>
          <w:lang w:bidi="ar-SA"/>
        </w:rPr>
        <w:t xml:space="preserve">. </w:t>
      </w:r>
      <w:bookmarkStart w:id="215" w:name="pg10189_116016"/>
    </w:p>
    <w:p>
      <w:pPr>
        <w:pStyle w:val="Heading5"/>
        <w:numPr>
          <w:ilvl w:val="4"/>
          <w:numId w:val="1"/>
        </w:numPr>
        <w:rPr/>
      </w:pPr>
      <w:bookmarkStart w:id="216" w:name="__RefHeading___Toc2156480_1067777946"/>
      <w:bookmarkStart w:id="217" w:name="_Toc81"/>
      <w:bookmarkEnd w:id="215"/>
      <w:bookmarkEnd w:id="216"/>
      <w:r>
        <w:rPr>
          <w:rtl w:val="true"/>
        </w:rPr>
        <w:t xml:space="preserve">[ </w:t>
      </w:r>
      <w:r>
        <w:rPr>
          <w:rtl w:val="true"/>
        </w:rPr>
        <w:t xml:space="preserve">الفصل الرابع في صلاة النذر </w:t>
      </w:r>
      <w:r>
        <w:rPr>
          <w:rtl w:val="true"/>
        </w:rPr>
        <w:t>]</w:t>
      </w:r>
      <w:bookmarkEnd w:id="217"/>
    </w:p>
    <w:p>
      <w:pPr>
        <w:pStyle w:val="BookText"/>
        <w:rPr/>
      </w:pP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صلاة الليل وجبت الثماني، ولا يجب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الليل عند الإطلاق محمولة على الثماني دون الشفع والوتر، وقد يُطلق على الجميع الوتر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أطلقوه في بعض الأماكن ممّا يشعر بإطلاقها على ما يشمل الوتر ،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طلع عليه الفجر ولم يتم صلاة الليل فليزاحم بها الفريضة</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xml:space="preserve">، وصرَّحوا بالمزاحمة أيضاً بالشفع والوتر </w:t>
      </w:r>
      <w:r>
        <w:rPr>
          <w:rStyle w:val="FootnoteAnchor"/>
          <w:rtl w:val="true"/>
        </w:rPr>
        <w:footnoteReference w:id="289"/>
      </w:r>
      <w:r>
        <w:rPr>
          <w:rFonts w:ascii="Amiri" w:hAnsi="Amiri" w:eastAsia="Amiri" w:cs="Amiri"/>
          <w:color w:val="111111"/>
          <w:sz w:val="28"/>
          <w:sz w:val="28"/>
          <w:szCs w:val="28"/>
          <w:rtl w:val="true"/>
          <w:lang w:bidi="ar-SA"/>
        </w:rPr>
        <w:t>، فبدليل خارج لا من حيث إطلاق صلاة الليل على</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bookmarkStart w:id="218" w:name="pg10189_116017"/>
    </w:p>
    <w:p>
      <w:pPr>
        <w:pStyle w:val="Heading4"/>
        <w:numPr>
          <w:ilvl w:val="3"/>
          <w:numId w:val="1"/>
        </w:numPr>
        <w:rPr/>
      </w:pPr>
      <w:bookmarkStart w:id="219" w:name="__RefHeading___Toc2156482_1067777946"/>
      <w:bookmarkStart w:id="220" w:name="_Toc82"/>
      <w:bookmarkEnd w:id="218"/>
      <w:bookmarkEnd w:id="219"/>
      <w:r>
        <w:rPr>
          <w:rtl w:val="true"/>
        </w:rPr>
        <w:t>[</w:t>
      </w:r>
      <w:r>
        <w:rPr>
          <w:rtl w:val="true"/>
        </w:rPr>
        <w:t xml:space="preserve">المقصد الرابع في التوابع </w:t>
      </w:r>
      <w:r>
        <w:rPr>
          <w:rtl w:val="true"/>
        </w:rPr>
        <w:t>]</w:t>
      </w:r>
      <w:bookmarkEnd w:id="220"/>
    </w:p>
    <w:p>
      <w:pPr>
        <w:pStyle w:val="Heading5"/>
        <w:numPr>
          <w:ilvl w:val="4"/>
          <w:numId w:val="1"/>
        </w:numPr>
        <w:rPr/>
      </w:pPr>
      <w:bookmarkStart w:id="221" w:name="__RefHeading___Toc2156484_1067777946"/>
      <w:bookmarkStart w:id="222" w:name="_Toc83"/>
      <w:bookmarkEnd w:id="221"/>
      <w:r>
        <w:rPr>
          <w:rtl w:val="true"/>
        </w:rPr>
        <w:t>[</w:t>
      </w:r>
      <w:r>
        <w:rPr>
          <w:rtl w:val="true"/>
        </w:rPr>
        <w:t>الفصل الأول في السهو</w:t>
      </w:r>
      <w:r>
        <w:rPr>
          <w:rtl w:val="true"/>
        </w:rPr>
        <w:t>]</w:t>
      </w:r>
      <w:bookmarkEnd w:id="222"/>
    </w:p>
    <w:p>
      <w:pPr>
        <w:pStyle w:val="Heading6"/>
        <w:numPr>
          <w:ilvl w:val="5"/>
          <w:numId w:val="1"/>
        </w:numPr>
        <w:rPr/>
      </w:pPr>
      <w:bookmarkStart w:id="223" w:name="__RefHeading___Toc2156486_1067777946"/>
      <w:bookmarkStart w:id="224" w:name="_Toc84"/>
      <w:bookmarkEnd w:id="223"/>
      <w:r>
        <w:rPr>
          <w:rtl w:val="true"/>
        </w:rPr>
        <w:t>[</w:t>
      </w:r>
      <w:r>
        <w:rPr>
          <w:rtl w:val="true"/>
        </w:rPr>
        <w:t>المطلب الأول</w:t>
      </w:r>
      <w:r>
        <w:rPr>
          <w:rtl w:val="true"/>
        </w:rPr>
        <w:t xml:space="preserve">: </w:t>
      </w:r>
      <w:r>
        <w:rPr>
          <w:rtl w:val="true"/>
        </w:rPr>
        <w:t xml:space="preserve">فيما يُوجِب الإعادة </w:t>
      </w:r>
      <w:r>
        <w:rPr>
          <w:rtl w:val="true"/>
        </w:rPr>
        <w:t>]</w:t>
      </w:r>
      <w:bookmarkEnd w:id="224"/>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بزيادته إلّا زيادة القيام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الاستثناء يقتضي إطلاق كَوْن مطلق القيام ركناً، فمتى حكم بصحة الصلاة مع زيادته كما لو ذكر الزيادة قبل الركوع فهو مستثنى من القاعدة، وهذا أولى من الحكم بكون الركن منه أمراً كلّيّاً، وهو ما اتصل بالركوع سواء صاحب القراءة أم لا، حذراً من كونه غير مبطل لولا ذلك؛ لأنّ هذا التفسير يقتضي الاستغناء عن الحكم بركنيته؛ لأنّ الركوع حينئذٍ كافٍ في الإبطال وإن تكلّف باجتماع معرفين عليه وهو غير ضائر في الأحكام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كان إطلاق القول بركنيته أولى لنقل المصنف في المنتهى</w:t>
      </w:r>
      <w:r>
        <w:rPr>
          <w:rStyle w:val="FootnoteAnchor"/>
          <w:rtl w:val="true"/>
        </w:rPr>
        <w:footnoteReference w:id="290"/>
      </w:r>
      <w:r>
        <w:rPr>
          <w:rFonts w:ascii="Amiri" w:hAnsi="Amiri" w:eastAsia="Amiri" w:cs="Amiri"/>
          <w:color w:val="111111"/>
          <w:sz w:val="28"/>
          <w:sz w:val="28"/>
          <w:szCs w:val="28"/>
          <w:rtl w:val="true"/>
          <w:lang w:bidi="ar-SA"/>
        </w:rPr>
        <w:t xml:space="preserve">الإجماع على ركنيته من غير تفصيل، فلا وجه حينئذٍ لتكلُّف أمر آخر؛ لأنّ غاية ما فيه عدم إبطاله الصلاة في بعض الموارد وذلك لا ينافي الركنيّة؛ لأنّ إبطال الركن بزيادته ونقصانه ليس </w:t>
      </w:r>
    </w:p>
    <w:p>
      <w:pPr>
        <w:pStyle w:val="BookText"/>
        <w:rPr/>
      </w:pPr>
      <w:r>
        <w:rPr>
          <w:rFonts w:ascii="Amiri" w:hAnsi="Amiri" w:eastAsia="Amiri" w:cs="Amiri"/>
          <w:color w:val="111111"/>
          <w:sz w:val="28"/>
          <w:sz w:val="28"/>
          <w:szCs w:val="28"/>
          <w:rtl w:val="true"/>
          <w:lang w:bidi="ar-SA"/>
        </w:rPr>
        <w:t>كلّيّاً، بل يستثنى منه مواضع بدليل خارج، وهو متحقق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الإجماع المذكور لأمكن القولُ بعدم ركنيته مطلقاً؛ لأنه بدون الركوع غير مبطل وبه يستغنى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الجهر والإخفات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من إلحاق الجاهل بالعامد من حيث كونه فيهما معذوراً ولكنّه لا يخرج بذلك عن العمد، ففي الاستثناء ضرب من التجوز، ولافرق بين علمه بالحكم في محلّ القراءة وبعده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ويُعيد لو لم يعلم أنه من جنس ما يصلّى فيه، أو من جنسه إذا وجده مطروحاً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إذا وجد الجلد في يد مسلم جازت الصلاة فيه إذا علم أنّه من جنس ما يصلّى فيه، ولو لم يعلم أنه من جنسه لم يصح، وكذا لو وجده مطروحاً وإن علم أنه من جنس ما يصلّى فيه؛ لأصالة عدم التذكية؛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جنسه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مرجع العطفه؛ لأن السابق أنه لو لم يعلم أنّه من جنسه، والثاني علم أنّه من جنسه فلا يلتئم العطف ولكنّ التقدير 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زاد في الصلاة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زادها عمداً، أمّا سهواً فالأشهر عدم البطلان بها إن كان قعد آخر الصلاة بقدر واجب التشهد، وسيأتي ذلك في كلام المصنف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يدرِ أهما من ركعةٍ أو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مشهور بين الأصحاب، ولا يخلو من إشكال؛ لأنَّ الشَكَ في كونهما من رَكعةٍ أو رَكعتين يوجب السَّكَ في كون ذلك مبطلاً للصلاة، والأصل الصحة وعلله المصنف في التحرير بأنّ المُسقط لما في الذمة حينئذٍ غير معلوم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العلم بالمسقط غير شرط؛ لوروده في أكثر أبواب الشك المحتملة </w:t>
      </w:r>
      <w:bookmarkStart w:id="225" w:name="pg10189_116019"/>
    </w:p>
    <w:p>
      <w:pPr>
        <w:pStyle w:val="BookText"/>
        <w:rPr/>
      </w:pPr>
      <w:bookmarkEnd w:id="225"/>
      <w:r>
        <w:rPr>
          <w:rFonts w:ascii="Amiri" w:hAnsi="Amiri" w:eastAsia="Amiri" w:cs="Amiri"/>
          <w:color w:val="111111"/>
          <w:sz w:val="28"/>
          <w:sz w:val="28"/>
          <w:szCs w:val="28"/>
          <w:rtl w:val="true"/>
          <w:lang w:bidi="ar-SA"/>
        </w:rPr>
        <w:t>للبطلان مع حكمهم بالصحة، بل المعتبر من المُسقِط لما في الذمة إيقاع الصلاة على وجه يوافق القواعد الشرعيّة ظاهراً وإن لم يكن في نفس الأمر مقطوعاً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في تعليله إنّه كما يحتمل كونهما من ركعتين يحتمل كونهما من رَكعَةٍ، لكن يرجح الثاني أنّ السهو فيهما حادث والأصل عدم تقدم أحدهما على الآخر بأزيد من ركعة؛ لأن ذلك شأن الحادث إذا شك في وقت حدوثه فيستصحب السابق من الفعل إلى أن يعلم الخلل، وذلك يوجب الحكم بكونهما من ركعة واحدة 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شكّ في عدد ركوع الكسوف بني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يستلزم الشَكٍّ في الركعتين وإلّا بطلت</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156488_1067777946"/>
      <w:bookmarkStart w:id="227" w:name="_Toc85"/>
      <w:bookmarkEnd w:id="226"/>
      <w:r>
        <w:rPr>
          <w:rtl w:val="true"/>
        </w:rPr>
        <w:t>[</w:t>
      </w:r>
      <w:r>
        <w:rPr>
          <w:rtl w:val="true"/>
        </w:rPr>
        <w:t>المطلب الثاني فيما يوجب التلافي</w:t>
      </w:r>
      <w:r>
        <w:rPr>
          <w:rtl w:val="true"/>
        </w:rPr>
        <w:t>]</w:t>
      </w:r>
      <w:bookmarkEnd w:id="22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يقضيهما بعد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فعلهما بعدها أداءً في وقتها وقضاء بعده</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2156490_1067777946"/>
      <w:bookmarkStart w:id="229" w:name="_Toc86"/>
      <w:bookmarkEnd w:id="228"/>
      <w:r>
        <w:rPr>
          <w:rtl w:val="true"/>
        </w:rPr>
        <w:t>[</w:t>
      </w:r>
      <w:r>
        <w:rPr>
          <w:rtl w:val="true"/>
        </w:rPr>
        <w:t xml:space="preserve">المطلب الرابع فيما يُوجِب الاحتياط </w:t>
      </w:r>
      <w:r>
        <w:rPr>
          <w:rtl w:val="true"/>
        </w:rPr>
        <w:t>]</w:t>
      </w:r>
      <w:bookmarkEnd w:id="229"/>
    </w:p>
    <w:p>
      <w:pPr>
        <w:pStyle w:val="BookText"/>
        <w:rPr/>
      </w:pP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شكّ بينهما بطلت صلاته؛ ولو قال لثالثة أو رابعة؟ فالحكم ما تقدَّم بعد إكمال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بين الثلاث والخمس قبل السجود، أو الأربع والخمس، أو بين الاثنتين والثلاث قبل السجود، وهو في الحقيقة نفس الشَكٍّ في قيامه من الركوع الثاني أو ثالثة</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للتقييد بقبليّة السجود؛ لاستلزامه عدم الفرق بينها وبين ما سبق كما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الوجه أن يحمل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شكٍّ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الشَكٍّ بين الاثنين والثلاث أو بين الأربع والخمس، أو بين الثلاث والخمس بقول مطلق من غير تقييد بقبلية السجود وغيره وبتقييد الصورة الأولى بما قبل الفراغ من السجدة الثانية، وكذا الثانية، وتبقى الثالثة على الإطلاق؛ لأنّ السَّكَ بين الثلاث والخمس بعد الركوع مبطل في أيّ وقت وقع إلى آخر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أطلق الحكم المذكور؛ لأنّه فرض الشَكَ أوّلاً في القيام من الركوع ولمّا كان مذهبه في الشَكٍّ بين الأربع والخمس البطلان مطلقاً نبه على الباقي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بينها أي بين الاثنتين والثلاث مطلقاً، وبين الأربع والخمس، وبين الثالث والخمس كذلك، لكنّ الأوّل مقيّد بحكمه أوّلاً في الصحة والاحتياط حيث يقع بعد إكمال الثانية، ولما ذكرهنا تعلُّق الشك بها بعد القيام من الركوع أشار إلى الباقي غير المحكوم بصحته فيما تقدَّم بالبطلان هنا والثاني مطلق أيضاً، لكن ما قبل الركوع تقدّم حكمه وما بعد السجود يأتي، فأشار إلى بقيَّة أحكامه بإطلاق البطلان على مذهبه، والحكم بالبطلان في الثالث بعد الركوع مطلق وهو واضح</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0189_116022"/>
      <w:bookmarkStart w:id="231" w:name="pg10189_116022"/>
      <w:bookmarkEnd w:id="231"/>
    </w:p>
    <w:p>
      <w:pPr>
        <w:pStyle w:val="Heading3"/>
        <w:numPr>
          <w:ilvl w:val="2"/>
          <w:numId w:val="1"/>
        </w:numPr>
        <w:rPr/>
      </w:pPr>
      <w:bookmarkStart w:id="232" w:name="pg10189_116022"/>
      <w:bookmarkStart w:id="233" w:name="__RefHeading___Toc2156492_1067777946"/>
      <w:bookmarkStart w:id="234" w:name="_Toc87"/>
      <w:bookmarkEnd w:id="232"/>
      <w:bookmarkEnd w:id="233"/>
      <w:r>
        <w:rPr>
          <w:rtl w:val="true"/>
        </w:rPr>
        <w:t>كتابُ الزَّكَاةِ</w:t>
      </w:r>
      <w:bookmarkEnd w:id="234"/>
    </w:p>
    <w:p>
      <w:pPr>
        <w:pStyle w:val="Heading4"/>
        <w:numPr>
          <w:ilvl w:val="3"/>
          <w:numId w:val="1"/>
        </w:numPr>
        <w:rPr/>
      </w:pPr>
      <w:bookmarkStart w:id="235" w:name="__RefHeading___Toc2156494_1067777946"/>
      <w:bookmarkStart w:id="236" w:name="_Toc88"/>
      <w:bookmarkEnd w:id="235"/>
      <w:r>
        <w:rPr>
          <w:rtl w:val="true"/>
        </w:rPr>
        <w:t>الباب الأول في زكاة المال</w:t>
      </w:r>
      <w:bookmarkEnd w:id="236"/>
    </w:p>
    <w:p>
      <w:pPr>
        <w:pStyle w:val="Heading5"/>
        <w:numPr>
          <w:ilvl w:val="4"/>
          <w:numId w:val="1"/>
        </w:numPr>
        <w:rPr/>
      </w:pPr>
      <w:bookmarkStart w:id="237" w:name="__RefHeading___Toc2156496_1067777946"/>
      <w:bookmarkStart w:id="238" w:name="_Toc89"/>
      <w:bookmarkEnd w:id="237"/>
      <w:r>
        <w:rPr>
          <w:rtl w:val="true"/>
        </w:rPr>
        <w:t>المقصد الأول في الشرائط</w:t>
      </w:r>
      <w:bookmarkEnd w:id="238"/>
    </w:p>
    <w:p>
      <w:pPr>
        <w:pStyle w:val="Heading6"/>
        <w:numPr>
          <w:ilvl w:val="5"/>
          <w:numId w:val="1"/>
        </w:numPr>
        <w:rPr/>
      </w:pPr>
      <w:bookmarkStart w:id="239" w:name="__RefHeading___Toc2156498_1067777946"/>
      <w:bookmarkStart w:id="240" w:name="_Toc90"/>
      <w:bookmarkEnd w:id="239"/>
      <w:r>
        <w:rPr>
          <w:rtl w:val="true"/>
        </w:rPr>
        <w:t>الفصل الأول في الشرائط العامة</w:t>
      </w:r>
      <w:bookmarkEnd w:id="240"/>
    </w:p>
    <w:p>
      <w:pPr>
        <w:pStyle w:val="BookText"/>
        <w:rPr/>
      </w:pPr>
      <w:r>
        <w:rPr>
          <w:rFonts w:ascii="Amiri" w:hAnsi="Amiri" w:eastAsia="Amiri" w:cs="Amiri"/>
          <w:color w:val="111111"/>
          <w:sz w:val="28"/>
          <w:sz w:val="28"/>
          <w:szCs w:val="28"/>
          <w:rtl w:val="true"/>
          <w:lang w:bidi="ar-SA"/>
        </w:rPr>
        <w:t>الباب الأوّل في زكاة المال</w:t>
      </w:r>
    </w:p>
    <w:p>
      <w:pPr>
        <w:pStyle w:val="BookText"/>
        <w:rPr/>
      </w:pPr>
      <w:r>
        <w:rPr>
          <w:rFonts w:ascii="Amiri" w:hAnsi="Amiri" w:eastAsia="Amiri" w:cs="Amiri"/>
          <w:color w:val="111111"/>
          <w:sz w:val="28"/>
          <w:sz w:val="28"/>
          <w:szCs w:val="28"/>
          <w:rtl w:val="true"/>
          <w:lang w:bidi="ar-SA"/>
        </w:rPr>
        <w:t>الباب الثاني في زكاة الفطرة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الثالث في الخُمس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ضَمِنَ واتَّجر لنفسه وكان مليئاً مَلَكَ الرِبْحَ واستحب له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الأبَ والجَدَّ له لا يشترط في جواز اقتراضهم مال الطفل الملاءة، وحينئذٍ فيستثنى من ذلك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انتفى أحدهما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انتفى أحدهما ضمن والربح لليتيم ولا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يكون الربح لليتيم مع الشراء بالعَيْنِ وحصولِ الغِبْطَةِ بالشراء وإجازة الوليّ حيث لا يكون هو المشتري، وإلا فهو للمشتري في الأول وبطل في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في غَلّاتِ الطفل وأنعامه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ويتناول التكليفُ الوليَّ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جواب عن سؤال يرد على القول بالاستحباب </w:t>
      </w:r>
      <w:r>
        <w:rPr>
          <w:rStyle w:val="FootnoteAnchor"/>
          <w:rtl w:val="true"/>
        </w:rPr>
        <w:footnoteReference w:id="294"/>
      </w:r>
      <w:r>
        <w:rPr>
          <w:rFonts w:ascii="Amiri" w:hAnsi="Amiri" w:eastAsia="Amiri" w:cs="Amiri"/>
          <w:color w:val="111111"/>
          <w:sz w:val="28"/>
          <w:sz w:val="28"/>
          <w:szCs w:val="28"/>
          <w:rtl w:val="true"/>
          <w:lang w:bidi="ar-SA"/>
        </w:rPr>
        <w:t>، وهو أنّه من باب خطاب الشرع المشروط بالتكليف فكيف يحكم بالاستحباب في حقّ الطفل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فأجاب بأنّ الاستحباب وإن نُسب إلى ماله لكن متعلّقه الولي، وهو مكلف بمعنى مخاطبته بإخراجها من مال الطفل، وحينئذٍ فيستحقُ الثواب على فعله ويرجع إلى الطفل من الله تعالى في الله تعالى في الآخرة أعواض في مقابلة ما ذهب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بُعد في ذلك بعد ورود النص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المجحود بغير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إمكان تحصيله ووضع يده عليه، سواء كان له بَيِّنة أم لا؛ إذ قد يمكنه تحصيله بدونها على بعض الوجوه فيجب، ولا يمكنه معها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الدين على المُعسر والمُوسِر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فيما إذا كان على باذل الدين والمانع من قبضه من جهة المدين، سواء في ذلك الموسر والمعسر، وليس الخلاف في الموسر كما يظهر من العبارة ومن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المُعْسِر قد يبذل الدين من بعض الجهات التي لا يجب عليه بذله فيها، والمُوسر قد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ذلك من عبارةِ الشيخ في المخالفِ في المسألة </w:t>
      </w:r>
      <w:r>
        <w:rPr>
          <w:rStyle w:val="FootnoteAnchor"/>
          <w:rtl w:val="true"/>
        </w:rPr>
        <w:footnoteReference w:id="296"/>
      </w:r>
      <w:r>
        <w:rPr>
          <w:rFonts w:ascii="IRNazanin" w:hAnsi="IRNazanin" w:eastAsia="IRNazanin"/>
          <w:color w:val="111111"/>
          <w:sz w:val="28"/>
          <w:sz w:val="28"/>
          <w:szCs w:val="28"/>
          <w:rtl w:val="true"/>
          <w:lang w:bidi="fa-IR"/>
        </w:rPr>
        <w:t xml:space="preserve">، ومن مستنده عليه من النصوص فإنّه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 الدين زكاة إلا أن يكون صاحب الدين هو الذي يؤخِّره، فإذا كان لا يقدر على أخذه فليس عليه زكاة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يقبضه</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أطلق الحكم في المُوسِر والمُعسِر </w:t>
      </w:r>
      <w:r>
        <w:rPr>
          <w:rStyle w:val="FootnoteAnchor"/>
          <w:rtl w:val="true"/>
        </w:rPr>
        <w:footnoteReference w:id="298"/>
      </w:r>
      <w:r>
        <w:rPr>
          <w:rFonts w:ascii="Amiri" w:hAnsi="Amiri" w:eastAsia="Amiri" w:cs="Amiri"/>
          <w:color w:val="111111"/>
          <w:sz w:val="28"/>
          <w:sz w:val="28"/>
          <w:szCs w:val="28"/>
          <w:rtl w:val="true"/>
          <w:lang w:bidi="ar-SA"/>
        </w:rPr>
        <w:t>فقد بنى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 الدّينُ نقداً فالأمرُ ،واضح، وإن كان حيواناً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لازكاة فيه قطعاً؛ لاشتراط السوم، وهو غير معقول فيما في الذمة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ويشكل بأنّ المعتبر من الدين ما لو تعيَّن في الخارج كان متعلق الزكاة كالنقد، فإنّ نفس ما في الذِمَّة أمر كلّي لا وجود له خارجاً مطلقاً، وإنما الموجود كذلك أفراده التي يوجد في ضمنها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يمكن كون الحيوان الثابت في الذمة مشروطاً كونه غير معلوف، كما يصحُ اشتراط ذلك في السَلَم، فيمكن إجراء الخلاف فيه وإن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إذا جعلنا مفهوم السوم عدميّاً، وهو عدم العلف كما هو الظاهر من كلامهم </w:t>
      </w:r>
      <w:r>
        <w:rPr>
          <w:rStyle w:val="FootnoteAnchor"/>
          <w:rtl w:val="true"/>
        </w:rPr>
        <w:footnoteReference w:id="300"/>
      </w:r>
      <w:r>
        <w:rPr>
          <w:rFonts w:ascii="Amiri" w:hAnsi="Amiri" w:eastAsia="Amiri" w:cs="Amiri"/>
          <w:color w:val="111111"/>
          <w:sz w:val="28"/>
          <w:sz w:val="28"/>
          <w:szCs w:val="28"/>
          <w:rtl w:val="true"/>
          <w:lang w:bidi="ar-SA"/>
        </w:rPr>
        <w:t>، ولو جعلناه أكلها من مال ابنه المباح ونحوه لم يُعقل كون ما في الذمة سائماً كما ذكره، لكنّ الأظهر في تعريفه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نصاباً، جرى في الحول حين العقد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قبضه أو تمكنه منه شرعاً أو حسّاً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شرط خياراً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زائداً على الخيار الثابت بأصل العقد كخيار المجلس والحيوان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الخلاف يجري في مدته كما يجري في الأصل، فإنّ الشيخ يعتبر في تملكِ المشتري للمبيع انتفاء الخيار مطلقاً على ما صرّح به في الخلاف، فإنه وإن حَكَم بأنّ الخيار إذا كان للمشتري ينتقل المبيع عن ملك البائع،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ينتقل إلى ملك المشتري إلا بانقضاء الخيار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يجري في الحول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وتقييد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كان الخيار للبائع، أو لَهُما </w:t>
      </w:r>
      <w:r>
        <w:rPr>
          <w:rStyle w:val="FootnoteAnchor"/>
          <w:rtl w:val="true"/>
        </w:rPr>
        <w:footnoteReference w:id="302"/>
      </w:r>
      <w:r>
        <w:rPr>
          <w:rFonts w:ascii="Amiri" w:hAnsi="Amiri" w:eastAsia="Amiri" w:cs="Amiri"/>
          <w:color w:val="111111"/>
          <w:sz w:val="28"/>
          <w:sz w:val="28"/>
          <w:szCs w:val="28"/>
          <w:rtl w:val="true"/>
          <w:lang w:bidi="ar-SA"/>
        </w:rPr>
        <w:t>غير جيد؛ لأنّ خيار الحيوانِ عنده مختص بالمشتري</w:t>
      </w:r>
      <w:r>
        <w:rPr>
          <w:rStyle w:val="FootnoteAnchor"/>
          <w:rtl w:val="true"/>
        </w:rPr>
        <w:footnoteReference w:id="303"/>
      </w:r>
      <w:r>
        <w:rPr>
          <w:rFonts w:ascii="Amiri" w:hAnsi="Amiri" w:eastAsia="Amiri" w:cs="Amiri"/>
          <w:color w:val="111111"/>
          <w:sz w:val="28"/>
          <w:sz w:val="28"/>
          <w:szCs w:val="28"/>
          <w:rtl w:val="true"/>
          <w:lang w:bidi="ar-SA"/>
        </w:rPr>
        <w:t>، مع أن الخلاف جارٍ فيه كما ذكرناه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ذكره من التفصيل اختاره في المبسوط</w:t>
      </w:r>
      <w:r>
        <w:rPr>
          <w:rStyle w:val="FootnoteAnchor"/>
          <w:rtl w:val="true"/>
        </w:rPr>
        <w:footnoteReference w:id="304"/>
      </w:r>
      <w:r>
        <w:rPr>
          <w:rFonts w:ascii="Amiri" w:hAnsi="Amiri" w:eastAsia="Amiri" w:cs="Amiri"/>
          <w:color w:val="111111"/>
          <w:sz w:val="28"/>
          <w:sz w:val="28"/>
          <w:szCs w:val="28"/>
          <w:rtl w:val="true"/>
          <w:lang w:bidi="ar-SA"/>
        </w:rPr>
        <w:t xml:space="preserve">، فهو قول آخر لا يدفع الخلاف </w:t>
      </w:r>
    </w:p>
    <w:p>
      <w:pPr>
        <w:pStyle w:val="BookText"/>
        <w:rPr/>
      </w:pPr>
      <w:r>
        <w:rPr>
          <w:rFonts w:ascii="Amiri" w:hAnsi="Amiri" w:eastAsia="Amiri" w:cs="Amiri"/>
          <w:color w:val="111111"/>
          <w:sz w:val="28"/>
          <w:sz w:val="28"/>
          <w:szCs w:val="28"/>
          <w:rtl w:val="true"/>
          <w:lang w:bidi="ar-SA"/>
        </w:rPr>
        <w:t>المذكور، بل ينبغي تقييد اشتراط الخيار الزائد بكونه للمشتري؛ ليكون مسلّطاً على التصرف زمنه، فلو كان للبائع أو لَهُما فسيأتي أنّ المشتري ممنوع من التصرف فيه، فيتّجه حينئذٍ ما قاله الشيخ لذلك لا لعدم الملك، ومثله يأتي</w:t>
      </w:r>
      <w:r>
        <w:rPr>
          <w:rStyle w:val="FootnoteAnchor"/>
          <w:rtl w:val="true"/>
        </w:rPr>
        <w:footnoteReference w:id="305"/>
      </w:r>
      <w:r>
        <w:rPr>
          <w:rFonts w:ascii="Amiri" w:hAnsi="Amiri" w:eastAsia="Amiri" w:cs="Amiri"/>
          <w:color w:val="111111"/>
          <w:sz w:val="28"/>
          <w:sz w:val="28"/>
          <w:szCs w:val="28"/>
          <w:rtl w:val="true"/>
          <w:lang w:bidi="ar-SA"/>
        </w:rPr>
        <w:t>في خيار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تجب في المرهون وإن كان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يتمكَّن الراهن من افتكاكه، وهو بيعه أجمع؛ لأنه حينئذٍ ممنوع من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ما لو رهن مائتي درهم على مائتي درهم اقترضها وبقيت في يدِهِ حولاً، فإنّ الزّكاةَ تجب عليه 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الوقف لعدم الاختصاص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تفريعُ الوقف على ما يمنع من التصرُّف فيه؛ لأنّ الموقوف عليه ممنوع من التصرُّف في عينه بما يوجب نقل المِلْك مطلقاً إلا على وجه نادر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تفريعُه على تعلَّقِ حق الغير فلا يتمّ مطلقاً؛ لأنّ الوقف إن كان عليه وعلى بطون متعاقبة على الترتيب فتسلّط غيره عليه في طبيعته ليس بواقع وإن كان الوقفُ عليه خاصةً فالواقف غير متسلّط عليه الآن، وهو المعتبر في المنع إلا بتكلُّف،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منعه من التصرُّف في العين إنما هو لحقِّ البطون أو لحقِّ الواقف في المنقطع، إلا أنّ هذا أمرٌ آخر غير تسلُّط الغير عليه بطريق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النذرِ المشروط نظر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النظر وقوع النذر صحيحاً المانع من التصرُّف فيه حيث يستلزم بطلان النذر، فيلزم من فرض جريانه في الحَولِ مع صحة النذر المحال؛ ومن عدم تحقق الشرط الموجب لصرفه في النذر وصحته إنّما يستلزم ترتب الأثر المترتب عليه شرعاً، وهو وجوب صرفه في الوجه المنذور على تقدير حصول الشرط لا مطلقاً، وحينئذٍ فاستلزامه المحال ممنوع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 فرض تمام الحول قبل حصول الشرط كان قدر الواجب من الزكاة كالتالف من المال قبله وهو غير قادح كنظائره فيبطل النذر فيه، كما يسقط الحجّ لو تلف ماله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الاستطاعة قبل التلبس، لكن هنا يصحُ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استطاع بالنصاب وجب الحجّ، ثمّ مضى الحولُ على النصاب، فالأقرب عدم منع الحجّ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حول الزكاة الموجب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قبل تحقق الاستطاعة، أو معها أو بعدها قبل استقرار الحج بمضي زمان يمكن فعل زكاته فيه،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حوله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لاشبهة في وجوب الزكاة مقدّماً على الحجّ، ثُمّ إن بقيت الاستطاعة فالأمر واضح وإلا سقط في هذا العام قطعاً وفي غيره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تحصل بعد ذلك؛ لأنّ وجوب الزكاة في جزء من المال كتلفِ بعضه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الشهيد رحمه الله الحكم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استقراره إذا كان قادراً على صرف النصاب في جهازه؛ لأنه بالإهمال جرى مجرى المُثلِف ماله بعد الاستطاعة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ويُشكل بأنّ المعتبر من الاستطاعة ما أمكن معها السفر إليه، وذلك عند قرب خروج القافلة المتوقف السفر عليها بحيث يقطع علائقه قبله، وقبل ذلك لا وجوب، فلا تفريط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فرض حُؤُول الحول حينئذٍ كان هو القسم الثاني، وهو ما إذا اقترن الحول والاستطاعة ويظهر من المصنف القطعُ في هذا القسم بتقديم الزكاة؛ لأنه فرض الإشكال فيما لو تقدَّم وجوب الحج على الحول، ووجهه تحقِّقُ المِلْك للنصاب طول الحول بغير مانع، ومع الزكاة مرجّح عند هذا التعارض وهو تعلّقها بالعين، وتعلّق </w:t>
      </w:r>
    </w:p>
    <w:p>
      <w:pPr>
        <w:pStyle w:val="BookText"/>
        <w:rPr/>
      </w:pPr>
      <w:r>
        <w:rPr>
          <w:rFonts w:ascii="Amiri" w:hAnsi="Amiri" w:eastAsia="Amiri" w:cs="Amiri"/>
          <w:color w:val="111111"/>
          <w:sz w:val="28"/>
          <w:sz w:val="28"/>
          <w:szCs w:val="28"/>
          <w:rtl w:val="true"/>
          <w:lang w:bidi="ar-SA"/>
        </w:rPr>
        <w:t xml:space="preserve">الاستطاعة بالذِمَّة، وحينئذٍ فيسقط وجوب الحج لو توقفت الاستطاعة على ما وجب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استطاعة الحجّ وإن تعلَّقت 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جواز التصرُّف في المال بغير أسباب الحج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لها تعلقاً بالمال أيضاً؛ لأنّ حصولها دائر معه وجوداً وعدماً، فإذا عارضها غيرُها من الحقوق المالية طلب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الزكاة بأمر آخر وهو أنّ سببها متقدّم على سبب الحجّ وهو ملك النصاب في ابتداء الحول، وإنما ساوقها شرط وجوبها وهو حُؤُول الحول، فتقدّمُ ويُجعل القدر المخرج في الزكاة بمنزلة التالف من غير جهة المكلّف، وهو أيضاً مُسْقِط للحج على تقدير حصوله، فكيف 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فتقديمُها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يتأخَّر حُؤُول الحَولِ عن الاستطاعة بحيث يجب الحج ظاهراً قبل وجوب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موضع الإشكال الذي نبَّه عليه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تقديم الحج لسبق شروطه، فيتعيَّن صرفُ النصاب في الحج، فلا تكون بعد ذلك ملكه تامّاً كمنذور الصدقة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لتعلقها بالعين والحجّ بالذمة، فلا تعارض بل يجري وجوبُ صرفهِ في الحج مجرى وجوبِ صرفه في الدين إذا لم يملك غيره ولم يحجر عليه، فكما لا يمنع هذا من تعلق الزكاة به لا يمنع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فقدت الاستطاعة سقط الحجّ كما لو تلف المال أو بعضه بغير اختيار المكلّف قبل استقرارِ الحجّ، ولا يقدح حينئذٍ سبق وجوب الحج ليصرف هذا المال فيه حيث يتوقف عليه؛ لأنّ ذلك كله لم يوجب تعلّق الاستطاعة بالعين كما قررناه سابقاً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الزكاة، وهذا قوي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تمامُ الحَولِ بعد مضي أفعال الحجّ ولو تقديراً مع بقاء النصاب </w:t>
      </w:r>
    </w:p>
    <w:p>
      <w:pPr>
        <w:pStyle w:val="BookText"/>
        <w:rPr/>
      </w:pPr>
      <w:r>
        <w:rPr>
          <w:rFonts w:ascii="Amiri" w:hAnsi="Amiri" w:eastAsia="Amiri" w:cs="Amiri"/>
          <w:color w:val="111111"/>
          <w:sz w:val="28"/>
          <w:sz w:val="28"/>
          <w:szCs w:val="28"/>
          <w:rtl w:val="true"/>
          <w:lang w:bidi="ar-SA"/>
        </w:rPr>
        <w:t xml:space="preserve">وفيه الوجهان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السابقان؛ لأن تعلَّق الحجّ به إن منع تَمَّ تَلَمَ الحَول هنا وإن كان المانع قد زال حين تمام الحول، وإن لم يمنع لتعلقه بالذمة لم يمنع هنا بطريق أولى والأقوى وجوب الزكاة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موضع الإشكال هو الثالث فقط </w:t>
      </w:r>
      <w:r>
        <w:rPr>
          <w:rStyle w:val="FootnoteAnchor"/>
          <w:rtl w:val="true"/>
        </w:rPr>
        <w:footnoteReference w:id="308"/>
      </w:r>
      <w:r>
        <w:rPr>
          <w:rFonts w:ascii="Amiri" w:hAnsi="Amiri" w:eastAsia="Amiri" w:cs="Amiri"/>
          <w:color w:val="111111"/>
          <w:sz w:val="28"/>
          <w:sz w:val="28"/>
          <w:szCs w:val="28"/>
          <w:rtl w:val="true"/>
          <w:lang w:bidi="ar-SA"/>
        </w:rPr>
        <w:t>،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اجتمع الزكاة والدينُ في التَرِكَةِ قُدّمت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تعلّقها بالعَينِ، والدينُ متعلّق بالذِمَّة وإنّما انتقل إلى المال بعد الوفاة فكانت الزكاة سابقةً عليه وقدّمت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مع بقاء متعلّق الزكاة ولو في بعض النصاب حتى لا تنتقل الزكاة إلى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تلف النصاب أجمع قبل وفاته بتفريط انتقلت إلى ذِمَّته وساوت الدَين في التوزيع على باقي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والنَفَقَةُ مع غَيْبةِ المالك لا زَكاةَ فيها؛ لأنّها في معرض الإتلاف، وتجب مع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مشهور بين الأصحاب </w:t>
      </w:r>
      <w:r>
        <w:rPr>
          <w:rStyle w:val="FootnoteAnchor"/>
          <w:rtl w:val="true"/>
        </w:rPr>
        <w:footnoteReference w:id="309"/>
      </w:r>
      <w:r>
        <w:rPr>
          <w:rFonts w:ascii="Amiri" w:hAnsi="Amiri" w:eastAsia="Amiri" w:cs="Amiri"/>
          <w:color w:val="111111"/>
          <w:sz w:val="28"/>
          <w:sz w:val="28"/>
          <w:szCs w:val="28"/>
          <w:rtl w:val="true"/>
          <w:lang w:bidi="ar-SA"/>
        </w:rPr>
        <w:t xml:space="preserve">، ومستنده روايتان </w:t>
      </w:r>
      <w:r>
        <w:rPr>
          <w:rStyle w:val="FootnoteAnchor"/>
          <w:rtl w:val="true"/>
        </w:rPr>
        <w:footnoteReference w:id="310"/>
      </w:r>
      <w:r>
        <w:rPr>
          <w:rFonts w:ascii="Amiri" w:hAnsi="Amiri" w:eastAsia="Amiri" w:cs="Amiri"/>
          <w:color w:val="111111"/>
          <w:sz w:val="28"/>
          <w:sz w:val="28"/>
          <w:szCs w:val="28"/>
          <w:rtl w:val="true"/>
          <w:lang w:bidi="ar-SA"/>
        </w:rPr>
        <w:t>في الموثق، ومقتضاهما كون المال بيد عياله المنفقين، فلو كانت بيد وكيله لينفق عليهم منها احتمل كونه كذلك؛ لأن العيال حينئذ في معنى الوكيل و عدمه اقتصاراً بالرخصة على موضع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تعليله بكونها في معرض الإتلاف فغير صالح؛ لأنّه غير مانع كما في أجرة المسكن المعرّض للخراب والمهر قبل الدخول المعرّض للتشطير</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ومنع ابن إدريس</w:t>
      </w:r>
      <w:r>
        <w:rPr>
          <w:rStyle w:val="FootnoteAnchor"/>
          <w:rtl w:val="true"/>
        </w:rPr>
        <w:footnoteReference w:id="312"/>
      </w:r>
      <w:r>
        <w:rPr>
          <w:rFonts w:ascii="Amiri" w:hAnsi="Amiri" w:eastAsia="Amiri" w:cs="Amiri"/>
          <w:color w:val="111111"/>
          <w:sz w:val="28"/>
          <w:sz w:val="28"/>
          <w:szCs w:val="28"/>
          <w:rtl w:val="true"/>
          <w:lang w:bidi="ar-SA"/>
        </w:rPr>
        <w:t>أصل الحكم بناءً على ضعف المستند، وله وجه وجيه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عدمُ قَرارِ المِلْك، ولو وهب له نِصاب لم يجر في الحَوْل إِلّا بعد القبول والقبض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بقراره تمامه مستقراً، واحترز به عمّا لو حصل بعضُ شروطه وأسبابه دون بعض وإن لم يحصل معه أصل الملك إقامة لجزء السبب مقامه؛ لاشتراكهما في أصل التأثير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فرع الهبة مع أنّ المِلْك لا يتحقق عنده فيها مستقراً إلا بالقبض، ويظهر من حكمه بجريان الهبة بعد القبض في الحَوْل مطلقاً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المِلْك وإنْ تزلزل بنحو الخيار؛ لأنّ الهبة بعد القبض تلحقها أحكام كثيرة توجب فَسْخَها من قبل الواهب كالخيار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يجعله قادحاً في جريان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أوصي له اعتبر الحَوْل بعد الوفاة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القبض غير شرط في ملك الموصى له كما هو الأشهر</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الهبة، ولكن يشترط التمكن من قبضه، وإنما تركه لدخوله في السبب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ولا تجري الغَنِيمة في الحول إلا بعد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الغانم لا يملك نصيبه إلا بها، سواء قلنا بعدم ملكه بالحيازة أصلاً، أم قلنا بأنّه يملك أن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أنّه يملك بالحيازة كما هو المتصوّر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حرمانه في الحول حينئذ؛ لتحقق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توقفه على القسمة مطلقاً؛ 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بدونها ممنوع من التصرُّف، لكن هذا من السبب الأول لا من حيث الملك، فلا ينبغي تنزيل كلامه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عَزلُ الإمام بغير قبض الغانم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يتحقق مع عزله قبضُ له عنه وإلا كفى؛ لأنه بمنزلة الوكيل عنه</w:t>
      </w:r>
      <w:r>
        <w:rPr>
          <w:rFonts w:eastAsia="Amiri" w:cs="Amiri" w:ascii="Amiri" w:hAnsi="Amiri"/>
          <w:color w:val="111111"/>
          <w:sz w:val="28"/>
          <w:szCs w:val="28"/>
          <w:rtl w:val="true"/>
          <w:lang w:bidi="ar-SA"/>
        </w:rPr>
        <w:t xml:space="preserve">. </w:t>
      </w:r>
      <w:bookmarkStart w:id="241" w:name="pg10189_116032"/>
    </w:p>
    <w:p>
      <w:pPr>
        <w:pStyle w:val="Heading6"/>
        <w:numPr>
          <w:ilvl w:val="5"/>
          <w:numId w:val="1"/>
        </w:numPr>
        <w:rPr/>
      </w:pPr>
      <w:bookmarkStart w:id="242" w:name="__RefHeading___Toc2156500_1067777946"/>
      <w:bookmarkStart w:id="243" w:name="_Toc91"/>
      <w:bookmarkEnd w:id="241"/>
      <w:bookmarkEnd w:id="242"/>
      <w:r>
        <w:rPr>
          <w:rtl w:val="true"/>
        </w:rPr>
        <w:t xml:space="preserve">[ </w:t>
      </w:r>
      <w:r>
        <w:rPr>
          <w:rtl w:val="true"/>
        </w:rPr>
        <w:t xml:space="preserve">الفصل الثاني في الشرائط الخاصة </w:t>
      </w:r>
      <w:r>
        <w:rPr>
          <w:rtl w:val="true"/>
        </w:rPr>
        <w:t>]</w:t>
      </w:r>
      <w:bookmarkEnd w:id="243"/>
    </w:p>
    <w:p>
      <w:pPr>
        <w:pStyle w:val="BookText"/>
        <w:rPr/>
      </w:pP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النصاب من الشروط الخاصة باعتبار اختلافِ أفراده الشخصيّة، وإلا فإنّ مفهومه الكلّي معتبر في جميع ماتجب فيه الزكاة، فيكون من الشرائط العامة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اعتبارُه في الخاصَّة من جهة متعلّق الزكاة مطلقاً أعمّ من الواجبة والمندوبة، فإنّ ماتستحبُّ فيه الزكاة لا يعتبر فيه النصابُ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 وهو مُضيَّ أحدَ عَشَرَ شهراً كاملةً، فإذا دخل الثاني عَشَرَ وجبت إن استمرت شرائط الوجوب طول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اسم الحول على الأحد عشر شهراً، ثُمّ أطلقه على الاثني عشر</w:t>
      </w:r>
      <w:r>
        <w:rPr>
          <w:rStyle w:val="FootnoteAnchor"/>
          <w:rtl w:val="true"/>
        </w:rPr>
        <w:footnoteReference w:id="314"/>
      </w:r>
      <w:r>
        <w:rPr>
          <w:rFonts w:ascii="Amiri" w:hAnsi="Amiri" w:eastAsia="Amiri" w:cs="Amiri"/>
          <w:color w:val="111111"/>
          <w:sz w:val="28"/>
          <w:sz w:val="28"/>
          <w:szCs w:val="28"/>
          <w:rtl w:val="true"/>
          <w:lang w:bidi="ar-SA"/>
        </w:rPr>
        <w:t xml:space="preserve">، ولعلّ الاختلاف بحسب اختلاف المعاني فإنّ الأوَّل حَول شرعيّ حسب ما تضمّنته الرواية الحَسَنة </w:t>
      </w:r>
      <w:r>
        <w:rPr>
          <w:rStyle w:val="FootnoteAnchor"/>
          <w:rtl w:val="true"/>
        </w:rPr>
        <w:footnoteReference w:id="315"/>
      </w:r>
      <w:r>
        <w:rPr>
          <w:rFonts w:ascii="Amiri" w:hAnsi="Amiri" w:eastAsia="Amiri" w:cs="Amiri"/>
          <w:color w:val="111111"/>
          <w:sz w:val="28"/>
          <w:sz w:val="28"/>
          <w:szCs w:val="28"/>
          <w:rtl w:val="true"/>
          <w:lang w:bidi="ar-SA"/>
        </w:rPr>
        <w:t xml:space="preserve">، والثاني لغوي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بالوجوب المعلّق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استمرار الشرائط، إلى آخر الثاني عشر الوجوب المستقرّ، وهو غير منافٍ لإثبات الوجوبِ المشروط قبله وتظهر الفائدة فى </w:t>
      </w:r>
    </w:p>
    <w:p>
      <w:pPr>
        <w:pStyle w:val="BookText"/>
        <w:rPr/>
      </w:pPr>
      <w:r>
        <w:rPr>
          <w:rFonts w:ascii="Amiri" w:hAnsi="Amiri" w:eastAsia="Amiri" w:cs="Amiri"/>
          <w:color w:val="111111"/>
          <w:sz w:val="28"/>
          <w:sz w:val="28"/>
          <w:szCs w:val="28"/>
          <w:rtl w:val="true"/>
          <w:lang w:bidi="ar-SA"/>
        </w:rPr>
        <w:t>جواز تأخيره الإخراج إلى أن يستقرّ، وفيما لو اختلف الشرائط فتسقط الزكاة ويرجع بها إن كان أخرجها وأعلم القابض بالحال، أو كانتْ العَيْن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كونُ الشهر الثاني عشر من الحول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والسخالُ ينعقد حَوْلُها من حين سَومِها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الأشهر ابتداء حولها من حين النتاج، والرواية الصحيحة مصرحة به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تغيَّر الفرضُ بالثاني بأن مَلَكَ إحدى وعشرين فالشاة عند تمام حَوْلِ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في البقر غير متوجّه أصلاً؛ لأنه بتمام حول الثلاثين يجب التبيعُ في العَيْنِ، فينقص نصاب الأربعَيْن، والأولى فرض المِلْك الثاني أحد عشر فصاعداً، ليُمكن فرضُ النصاب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نصاب الإبل فقد يتمشى فيه ذلك من حيث إنّ الشاةَ الواجبة في الخمس خارجة عن حقيقة الإبل، فلا يتغيّر العدد، ويحتمل إلحاقه بالأوّل بناءً على أن الواجب جزء من الإبل مقدار شاة؛ لأنّ ذلك هو معنى الوجوبِ في العَيْن، وكيف كان فالأقوى الاحتمال الأخير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ارتدَّ في الأثناء عن فِطْرة؛ استأنف وَرَتَتُهُ الحَوْلَ، ويُتِمّ لو كان عن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ذكراً، كما تُشعر به الضمائر، فلو كان أنثى أتم كالمرتد عن غيرها، ولا ينافيهما الحجر لقدرتهما على رفعِه كحَجْرِ السَفَه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زكاة في السخال حتّى تستغني عن الأُمَّهات وتسومَ حَولاً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318"/>
      </w:r>
      <w:r>
        <w:rPr>
          <w:rFonts w:ascii="Amiri" w:hAnsi="Amiri" w:eastAsia="Amiri" w:cs="Amiri"/>
          <w:color w:val="111111"/>
          <w:sz w:val="28"/>
          <w:sz w:val="28"/>
          <w:szCs w:val="28"/>
          <w:rtl w:val="true"/>
          <w:lang w:bidi="ar-SA"/>
        </w:rPr>
        <w:t>أنّ الأقوى اعتبار حولها من حين النتاج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اشتراط الأنوثة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الأشهر</w:t>
      </w:r>
      <w:r>
        <w:rPr>
          <w:rStyle w:val="FootnoteAnchor"/>
          <w:rtl w:val="true"/>
        </w:rPr>
        <w:footnoteReference w:id="319"/>
      </w:r>
      <w:r>
        <w:rPr>
          <w:rFonts w:ascii="IRNazanin" w:hAnsi="IRNazanin" w:eastAsia="IRNazanin"/>
          <w:color w:val="111111"/>
          <w:sz w:val="28"/>
          <w:sz w:val="28"/>
          <w:szCs w:val="28"/>
          <w:rtl w:val="true"/>
          <w:lang w:bidi="fa-IR"/>
        </w:rPr>
        <w:t>عدم اعتبارها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وانعقاد الحضرم على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الأشهر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تملك الغلة بالزراعة، لا بغيرها كالابتياع والاتهاب نعم، لو اشترى الزَرْعَ أو ثمرة النخل قبل بدو الصلاح، ثم بدا صَلاحُها في مِلْكه وجبت عليه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أراد بالزراعة حقيقتها فاشتراطها غير جيد، كما يدلُّ عليه الاستدراك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اشترى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بها نموّ الزَرْع ونحوه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والمنقول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فالاستدراك المذكورُ في غير محله؛ لأنه حينئذ من أفراد التملك بالزراعة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فنظم العبارة غير حسن، وإن كان المعنى المتبادر من الزراعة هنا أوفق</w:t>
      </w:r>
      <w:r>
        <w:rPr>
          <w:rFonts w:eastAsia="Amiri" w:cs="Amiri" w:ascii="Amiri" w:hAnsi="Amiri"/>
          <w:color w:val="111111"/>
          <w:sz w:val="28"/>
          <w:szCs w:val="28"/>
          <w:rtl w:val="true"/>
          <w:lang w:bidi="ar-SA"/>
        </w:rPr>
        <w:t xml:space="preserve">. </w:t>
      </w:r>
      <w:bookmarkStart w:id="244" w:name="pg10189_116035"/>
    </w:p>
    <w:p>
      <w:pPr>
        <w:pStyle w:val="Heading5"/>
        <w:numPr>
          <w:ilvl w:val="4"/>
          <w:numId w:val="1"/>
        </w:numPr>
        <w:rPr/>
      </w:pPr>
      <w:bookmarkStart w:id="245" w:name="__RefHeading___Toc2156502_1067777946"/>
      <w:bookmarkStart w:id="246" w:name="_Toc92"/>
      <w:bookmarkEnd w:id="244"/>
      <w:bookmarkEnd w:id="245"/>
      <w:r>
        <w:rPr>
          <w:rtl w:val="true"/>
        </w:rPr>
        <w:t>المقصد الثاني في المَحَلَ</w:t>
      </w:r>
      <w:bookmarkEnd w:id="246"/>
    </w:p>
    <w:p>
      <w:pPr>
        <w:pStyle w:val="Heading6"/>
        <w:numPr>
          <w:ilvl w:val="5"/>
          <w:numId w:val="1"/>
        </w:numPr>
        <w:rPr/>
      </w:pPr>
      <w:bookmarkStart w:id="247" w:name="__RefHeading___Toc2156504_1067777946"/>
      <w:bookmarkStart w:id="248" w:name="_Toc93"/>
      <w:bookmarkEnd w:id="247"/>
      <w:r>
        <w:rPr>
          <w:rtl w:val="true"/>
        </w:rPr>
        <w:t>[</w:t>
      </w:r>
      <w:r>
        <w:rPr>
          <w:rtl w:val="true"/>
        </w:rPr>
        <w:t>الفصل الأول في النعم</w:t>
      </w:r>
      <w:r>
        <w:rPr>
          <w:rtl w:val="true"/>
        </w:rPr>
        <w:t>]</w:t>
      </w:r>
      <w:bookmarkEnd w:id="248"/>
    </w:p>
    <w:p>
      <w:pPr>
        <w:pStyle w:val="BookText"/>
        <w:rPr/>
      </w:pP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فأُمها ماخِضُ أي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للحوامل لا واحد له من لفظه ومنه سمّيت بنت المخاض، أي بنت ما من شأنها أن تكون من هذا الجنس بحسب الزمان وإن لم تكن حاملاً بالفعل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في كل خمسينَ حِقَّةُ، وفي كلّ أربعَيْنَ بنت لبون، وهكذا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المالك لو اجتمعا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تخيير المالكِ مع اجتماعهما إمكان أن لا يجتمعا بعد بلوغ مائة وإحدى وعشرين، وهو يُشعر بأن التخيير حينئذٍ بين الحقاقِ وبناتِ اللَبُونِ ليس مطلقاً، بل يجب التقدير بما يناسب إحداهما من العدد بحيث لا يحصل شَنَقٌ أو يكون أقلّ، ففي مائة وإحدى وعشرين تُعتبر بنات اللبون، وفي مائة وخمسين بالحقِّق، وفي مائتين يتخيَّر، </w:t>
      </w:r>
    </w:p>
    <w:p>
      <w:pPr>
        <w:pStyle w:val="BookText"/>
        <w:rPr/>
      </w:pPr>
      <w:r>
        <w:rPr>
          <w:rFonts w:ascii="IRNazanin" w:hAnsi="IRNazanin" w:eastAsia="IRNazanin"/>
          <w:color w:val="111111"/>
          <w:sz w:val="28"/>
          <w:sz w:val="28"/>
          <w:szCs w:val="28"/>
          <w:rtl w:val="true"/>
          <w:lang w:bidi="fa-IR"/>
        </w:rPr>
        <w:t>وظاهر الأخبار</w:t>
      </w:r>
      <w:r>
        <w:rPr>
          <w:rStyle w:val="FootnoteAnchor"/>
          <w:rtl w:val="true"/>
        </w:rPr>
        <w:footnoteReference w:id="322"/>
      </w:r>
      <w:r>
        <w:rPr>
          <w:rFonts w:ascii="Amiri" w:hAnsi="Amiri" w:eastAsia="Amiri" w:cs="Amiri"/>
          <w:color w:val="111111"/>
          <w:sz w:val="28"/>
          <w:sz w:val="28"/>
          <w:szCs w:val="28"/>
          <w:rtl w:val="true"/>
          <w:lang w:bidi="ar-SA"/>
        </w:rPr>
        <w:t xml:space="preserve">وكلام الأصحاب </w:t>
      </w:r>
      <w:r>
        <w:rPr>
          <w:rStyle w:val="FootnoteAnchor"/>
          <w:rtl w:val="true"/>
        </w:rPr>
        <w:footnoteReference w:id="323"/>
      </w:r>
      <w:r>
        <w:rPr>
          <w:rFonts w:ascii="Amiri" w:hAnsi="Amiri" w:eastAsia="Amiri" w:cs="Amiri"/>
          <w:color w:val="111111"/>
          <w:sz w:val="28"/>
          <w:sz w:val="28"/>
          <w:szCs w:val="28"/>
          <w:rtl w:val="true"/>
          <w:lang w:bidi="ar-SA"/>
        </w:rPr>
        <w:t>التخييرُ مطلقاً، وهو حسن وإن كان 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إجزاء بنت المخاض عن خمس شياه مع قصور القيمة عنها، بل وعن شاةٍ في الخمس مع قصور القيمة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الاقتصار على موضع النص، والرجوع فيما عداه إلى القيمة حيث لا يخرج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ثلاثمائة وواحدة ففيه أربع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القولين اختلاف الروايتين، ففي حسنة الفضلاء زُرارة ومحمّدِ بنِ مسلمٍ وبُرَيْدِ والفُضَيْلِ وأبي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ما اختاره المصنف من عدم انقطاع النصب بالرابع، ووجوب أربع في ثلاثمائة وواحدة، ووجوب شاة لكلِّ مائة وعمل بكل رواية جماعة من الأصحاب </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العمل بالأوّل أولى؛ لكثرة الراوي، وفضله، وكونها عن الباقر والصادق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الثانية </w:t>
      </w:r>
      <w:r>
        <w:rPr>
          <w:rStyle w:val="FootnoteAnchor"/>
          <w:rtl w:val="true"/>
        </w:rPr>
        <w:footnoteReference w:id="326"/>
      </w:r>
      <w:r>
        <w:rPr>
          <w:rFonts w:ascii="Amiri" w:hAnsi="Amiri" w:eastAsia="Amiri" w:cs="Amiri"/>
          <w:color w:val="111111"/>
          <w:sz w:val="28"/>
          <w:sz w:val="28"/>
          <w:szCs w:val="28"/>
          <w:rtl w:val="true"/>
          <w:lang w:bidi="ar-SA"/>
        </w:rPr>
        <w:t xml:space="preserve">فقد ظنَّ كثير من علمائنا كونها مردودةً بسبب اشتراك محمّد بن قيس </w:t>
      </w:r>
    </w:p>
    <w:p>
      <w:pPr>
        <w:pStyle w:val="BookText"/>
        <w:rPr/>
      </w:pPr>
      <w:r>
        <w:rPr>
          <w:rFonts w:ascii="IRNazanin" w:hAnsi="IRNazanin" w:eastAsia="IRNazanin"/>
          <w:color w:val="111111"/>
          <w:sz w:val="28"/>
          <w:sz w:val="28"/>
          <w:szCs w:val="28"/>
          <w:rtl w:val="true"/>
          <w:lang w:bidi="fa-IR"/>
        </w:rPr>
        <w:t xml:space="preserve">بین الثقة والضعيف </w:t>
      </w:r>
      <w:r>
        <w:rPr>
          <w:rStyle w:val="FootnoteAnchor"/>
          <w:rtl w:val="true"/>
        </w:rPr>
        <w:footnoteReference w:id="327"/>
      </w:r>
      <w:r>
        <w:rPr>
          <w:rFonts w:ascii="Amiri" w:hAnsi="Amiri" w:eastAsia="Amiri" w:cs="Amiri"/>
          <w:color w:val="111111"/>
          <w:sz w:val="28"/>
          <w:sz w:val="28"/>
          <w:szCs w:val="28"/>
          <w:rtl w:val="true"/>
          <w:lang w:bidi="ar-SA"/>
        </w:rPr>
        <w:t>، وإن كان طريقها إليه صحيحاً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محمّد بن قيس الذي يروي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محتمل للضعيف، وإنما المشترك بينهما من يروي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يحتمل كونه ممدوحاً خاصةً وموثقاً فيحتمل حينئذٍ كونها من الحسن ومن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الضعف فلا، وكيف كان فتلك أرجح</w:t>
      </w:r>
      <w:r>
        <w:rPr>
          <w:rFonts w:eastAsia="IRNazanin" w:cs="IRNazanin"/>
          <w:color w:val="111111"/>
          <w:sz w:val="28"/>
          <w:szCs w:val="28"/>
          <w:rtl w:val="true"/>
          <w:lang w:bidi="fa-IR"/>
        </w:rPr>
        <w:t xml:space="preserve">. </w:t>
      </w:r>
      <w:bookmarkStart w:id="249" w:name="pg10189_116038"/>
    </w:p>
    <w:p>
      <w:pPr>
        <w:pStyle w:val="Heading6"/>
        <w:numPr>
          <w:ilvl w:val="5"/>
          <w:numId w:val="1"/>
        </w:numPr>
        <w:rPr/>
      </w:pPr>
      <w:bookmarkStart w:id="250" w:name="__RefHeading___Toc2156506_1067777946"/>
      <w:bookmarkStart w:id="251" w:name="_Toc94"/>
      <w:bookmarkEnd w:id="249"/>
      <w:bookmarkEnd w:id="250"/>
      <w:r>
        <w:rPr>
          <w:rtl w:val="true"/>
        </w:rPr>
        <w:t xml:space="preserve">[ </w:t>
      </w:r>
      <w:r>
        <w:rPr>
          <w:rtl w:val="true"/>
        </w:rPr>
        <w:t>الفصل الثالث في الغلات</w:t>
      </w:r>
      <w:r>
        <w:rPr>
          <w:rtl w:val="true"/>
        </w:rPr>
        <w:t>]</w:t>
      </w:r>
      <w:bookmarkEnd w:id="251"/>
    </w:p>
    <w:p>
      <w:pPr>
        <w:pStyle w:val="BookText"/>
        <w:rPr/>
      </w:pP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تجب الزكاة بعد المُؤَن </w:t>
      </w:r>
      <w:r>
        <w:rPr>
          <w:rStyle w:val="FootnoteAnchor"/>
          <w:rtl w:val="true"/>
        </w:rPr>
        <w:footnoteReference w:id="328"/>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بين الأصحاب حتى كاد أن يكون إجماعاً، ومن ثم لم ينقل المصنف فيه خلافاً، ولكن لم نقف له على نص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استثناء حِصّةِ السلطان </w:t>
      </w:r>
      <w:r>
        <w:rPr>
          <w:rStyle w:val="FootnoteAnchor"/>
          <w:rtl w:val="true"/>
        </w:rPr>
        <w:footnoteReference w:id="329"/>
      </w:r>
      <w:r>
        <w:rPr>
          <w:rFonts w:ascii="Amiri" w:hAnsi="Amiri" w:eastAsia="Amiri" w:cs="Amiri"/>
          <w:color w:val="111111"/>
          <w:sz w:val="28"/>
          <w:sz w:val="28"/>
          <w:szCs w:val="28"/>
          <w:rtl w:val="true"/>
          <w:lang w:bidi="ar-SA"/>
        </w:rPr>
        <w:t>، وهو أمر خارج عن المطلوب وإن ألحقه الأصحاب بالمؤونة، ومن ثُمّ لم يستثنها الشيخ في الخلاف</w:t>
      </w:r>
      <w:r>
        <w:rPr>
          <w:rStyle w:val="FootnoteAnchor"/>
          <w:rtl w:val="true"/>
        </w:rPr>
        <w:footnoteReference w:id="330"/>
      </w:r>
      <w:r>
        <w:rPr>
          <w:rFonts w:ascii="IRNazanin" w:hAnsi="IRNazanin" w:eastAsia="IRNazanin"/>
          <w:color w:val="111111"/>
          <w:sz w:val="28"/>
          <w:sz w:val="28"/>
          <w:szCs w:val="28"/>
          <w:rtl w:val="true"/>
          <w:lang w:bidi="fa-IR"/>
        </w:rPr>
        <w:t xml:space="preserve">والمبسوط </w:t>
      </w:r>
      <w:r>
        <w:rPr>
          <w:rStyle w:val="FootnoteAnchor"/>
          <w:rtl w:val="true"/>
        </w:rPr>
        <w:footnoteReference w:id="331"/>
      </w:r>
      <w:r>
        <w:rPr>
          <w:rFonts w:ascii="Amiri" w:hAnsi="Amiri" w:eastAsia="Amiri" w:cs="Amiri"/>
          <w:color w:val="111111"/>
          <w:sz w:val="28"/>
          <w:sz w:val="28"/>
          <w:szCs w:val="28"/>
          <w:rtl w:val="true"/>
          <w:lang w:bidi="ar-SA"/>
        </w:rPr>
        <w:t xml:space="preserve">، وجعلها جُمَع على المالك، بل ادّعى في الخلاف إجماع المسلمين عليه إلّا عطاء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أنّ إثبات الحكم الشرعي بمجرَّد الشهرة مجازفة ومقتضى الأخبار الدالة على وجوب العُشرِ أو نصفه </w:t>
      </w:r>
      <w:r>
        <w:rPr>
          <w:rStyle w:val="FootnoteAnchor"/>
          <w:rtl w:val="true"/>
        </w:rPr>
        <w:footnoteReference w:id="333"/>
      </w:r>
      <w:r>
        <w:rPr>
          <w:rFonts w:ascii="Amiri" w:hAnsi="Amiri" w:eastAsia="Amiri" w:cs="Amiri"/>
          <w:color w:val="111111"/>
          <w:sz w:val="28"/>
          <w:sz w:val="28"/>
          <w:szCs w:val="28"/>
          <w:rtl w:val="true"/>
          <w:lang w:bidi="ar-SA"/>
        </w:rPr>
        <w:t>عدم استثناء شيء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المختلف أجابَ عن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بالقول </w:t>
      </w:r>
    </w:p>
    <w:p>
      <w:pPr>
        <w:pStyle w:val="BookText"/>
        <w:rPr/>
      </w:pPr>
      <w:r>
        <w:rPr>
          <w:rFonts w:ascii="Amiri" w:hAnsi="Amiri" w:eastAsia="Amiri" w:cs="Amiri"/>
          <w:color w:val="111111"/>
          <w:sz w:val="28"/>
          <w:sz w:val="28"/>
          <w:szCs w:val="28"/>
          <w:rtl w:val="true"/>
          <w:lang w:bidi="ar-SA"/>
        </w:rPr>
        <w:t xml:space="preserve">بموجبه، فإنّ العُشْر إنّما يجب في النماء لا في المؤونة </w:t>
      </w:r>
      <w:r>
        <w:rPr>
          <w:rStyle w:val="FootnoteAnchor"/>
          <w:rtl w:val="true"/>
        </w:rPr>
        <w:footnoteReference w:id="335"/>
      </w:r>
      <w:r>
        <w:rPr>
          <w:rFonts w:ascii="Amiri" w:hAnsi="Amiri" w:eastAsia="Amiri" w:cs="Amiri"/>
          <w:color w:val="111111"/>
          <w:sz w:val="28"/>
          <w:sz w:val="28"/>
          <w:szCs w:val="28"/>
          <w:rtl w:val="true"/>
          <w:lang w:bidi="ar-SA"/>
        </w:rPr>
        <w:t>، وهو جواب ظاهر الفساد، فإنّ متعلّق العشر ما خرج والمؤونة خارجة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أخذُ الرُّطَب عن التمر، ولا العِنَبِ عن الزبيب، ولو أخذه الساعي رَجَع بما نقص عندَ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يُجزِئُ أخذُه أصلاً؛ لمغايرته للواجب ونقصانه بالجفاف، وأما أخذه بالقيمة فلا إشكال في إجزائه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الاعتبارُ في الأغلبية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المتبادر من اعتبار العدد كونه عدد السقيات، بمعنى أنه لو شرب بماء السماء خمس مرات مثلاً وبالدلو أربع مرات فالواجب العشر، ولا اعتبار بالزمان ولا بالنمو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ثالث وهو اعتبار الزمان دونهما، وهو أيضاً نوع من العدد إلّا أنّ إرادته بعيدة ودلالة النص عليه أوضح، ففي رواية معاوية بن شريح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والأرض تسقى بالدوالي، ثمّ يزيد الماء فتسقى السقية والسقيتين سَيْحاً؟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تسقى السقية والسقيتين سَيْحاً؟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ثلاثين ليلة أربعين ليلة، وقد مكث قبل ذلك في الأرض ستة أشهر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العُشْرِ</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فحكم بأغلبية الزمان من غير استفصال يدلّ على اعتبار الزمان، والأشهر اعتبار النمو</w:t>
      </w:r>
      <w:r>
        <w:rPr>
          <w:rFonts w:eastAsia="Amiri" w:cs="Amiri" w:ascii="Amiri" w:hAnsi="Amiri"/>
          <w:color w:val="111111"/>
          <w:sz w:val="28"/>
          <w:szCs w:val="28"/>
          <w:rtl w:val="true"/>
          <w:lang w:bidi="ar-SA"/>
        </w:rPr>
        <w:t xml:space="preserve">. </w:t>
      </w:r>
      <w:bookmarkStart w:id="252" w:name="pg10189_116040"/>
    </w:p>
    <w:p>
      <w:pPr>
        <w:pStyle w:val="Heading5"/>
        <w:numPr>
          <w:ilvl w:val="4"/>
          <w:numId w:val="1"/>
        </w:numPr>
        <w:rPr/>
      </w:pPr>
      <w:bookmarkStart w:id="253" w:name="__RefHeading___Toc2156508_1067777946"/>
      <w:bookmarkStart w:id="254" w:name="_Toc95"/>
      <w:bookmarkEnd w:id="252"/>
      <w:bookmarkEnd w:id="253"/>
      <w:r>
        <w:rPr>
          <w:rtl w:val="true"/>
        </w:rPr>
        <w:t>[</w:t>
      </w:r>
      <w:r>
        <w:rPr>
          <w:rtl w:val="true"/>
        </w:rPr>
        <w:t>المقصد الثالث فيما تُستحبّ فيه الزكاةُ</w:t>
      </w:r>
      <w:r>
        <w:rPr>
          <w:rtl w:val="true"/>
        </w:rPr>
        <w:t>]</w:t>
      </w:r>
      <w:bookmarkEnd w:id="254"/>
    </w:p>
    <w:p>
      <w:pPr>
        <w:pStyle w:val="Heading6"/>
        <w:numPr>
          <w:ilvl w:val="5"/>
          <w:numId w:val="1"/>
        </w:numPr>
        <w:rPr/>
      </w:pPr>
      <w:bookmarkStart w:id="255" w:name="__RefHeading___Toc2156510_1067777946"/>
      <w:bookmarkStart w:id="256" w:name="_Toc96"/>
      <w:bookmarkEnd w:id="255"/>
      <w:r>
        <w:rPr>
          <w:rtl w:val="true"/>
        </w:rPr>
        <w:t>[</w:t>
      </w:r>
      <w:r>
        <w:rPr>
          <w:rtl w:val="true"/>
        </w:rPr>
        <w:t>المطلب الأول في مال التجارة على رأي</w:t>
      </w:r>
      <w:r>
        <w:rPr>
          <w:rtl w:val="true"/>
        </w:rPr>
        <w:t>]</w:t>
      </w:r>
      <w:bookmarkEnd w:id="256"/>
    </w:p>
    <w:p>
      <w:pPr>
        <w:pStyle w:val="BookText"/>
        <w:rPr/>
      </w:pP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المملوك بعقد معاوضة للاكتساب عندَ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اعتبار هذا القيد، بل لو طرأ قصد الاكتساب كفى لإطلاق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والزكاة تتعلّق بقيمة المتاع لا بعينه ويُقوَّم بالنَقْدَين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الفائدة في مثل من عنده مائتا قفيز حنطة تساوي مائتي درهم، ثمّ تزيد بعد الحَوْل إلى ثلاثمائة درهم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قيمتها سبعة ونصف</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يتم لو لم يعتبر في زكاة التجارة النصاب الثاني لأحد النقدين وإلا لوجب سبعة لا غير ؛ لأنّ العشرين بعد الثمانين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المصنف في البيان </w:t>
      </w:r>
      <w:r>
        <w:rPr>
          <w:rStyle w:val="FootnoteAnchor"/>
          <w:rtl w:val="true"/>
        </w:rPr>
        <w:footnoteReference w:id="338"/>
      </w:r>
      <w:r>
        <w:rPr>
          <w:rFonts w:ascii="Amiri" w:hAnsi="Amiri" w:eastAsia="Amiri" w:cs="Amiri"/>
          <w:color w:val="111111"/>
          <w:sz w:val="28"/>
          <w:sz w:val="28"/>
          <w:szCs w:val="28"/>
          <w:rtl w:val="true"/>
          <w:lang w:bidi="ar-SA"/>
        </w:rPr>
        <w:t xml:space="preserve">ما يقرب من هذا المثال والذي صرّح به العلّامة في التذكرة اعتبار نصاب النقدين مطلقاً، وأن الزائد عن المائتين يعتبر بالأربعين </w:t>
      </w:r>
      <w:r>
        <w:rPr>
          <w:rStyle w:val="FootnoteAnchor"/>
          <w:rtl w:val="true"/>
        </w:rPr>
        <w:footnoteReference w:id="339"/>
      </w:r>
      <w:r>
        <w:rPr>
          <w:rFonts w:ascii="IRNazanin" w:hAnsi="IRNazanin" w:eastAsia="IRNazanin"/>
          <w:color w:val="111111"/>
          <w:sz w:val="28"/>
          <w:sz w:val="28"/>
          <w:szCs w:val="28"/>
          <w:rtl w:val="true"/>
          <w:lang w:bidi="fa-IR"/>
        </w:rPr>
        <w:t xml:space="preserve">، و هو الموافق لإطلاق اعتبار </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340"/>
      </w:r>
      <w:r>
        <w:rPr>
          <w:rFonts w:ascii="Amiri" w:hAnsi="Amiri" w:eastAsia="Amiri" w:cs="Amiri"/>
          <w:color w:val="111111"/>
          <w:sz w:val="28"/>
          <w:sz w:val="28"/>
          <w:szCs w:val="28"/>
          <w:rtl w:val="true"/>
          <w:lang w:bidi="ar-SA"/>
        </w:rPr>
        <w:t>فيها نصاب أحد النقدين إلا إنا لم نقف على دليل يدلُّ على اعتبار النصاب الثاني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والعامّة صرَّحوا باعتبار الأوّل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وتستحبُّ لو بلغه بأحدهما دون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 أصله عروضاً، أما لو كان من أحد النقدين فالأقوى اعتباره بأصله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عارض أربعين سائمة بمثلها للتجارة استأنف حَوْلَ المالية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يَنضَّ المالُ على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الأقوى توقف استحبابها للعامل على الإنضاض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لا يَمْنَع الزكاتَين وإِنْ فَقَد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بالزكاتين هنا المالية والتجارة،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مال التجارة المدلول عليه بأحد الزكاتين، فإنّها تستلزمه مع دلالة المقام عليه، والمراد أن الدين لا يمنع من تعلّق الزكاة وإن لم يكن المديون مالكاً سوى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حينئذ تعلّق الثاني بالنصاب حيث لا يكون له مال غيره يتعلق به؛ لأنّ متعلّق الدين الذِمَّة ومتعلّق الزكاة العين فلا تعارض</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يريد بغيره أعم من نصاب التجارة وهو نصاب الزكاة المفروضة مالية كانت أم تجارة، والمعنى حينئذٍ أنّ الدين لا يمنع تعلق الزكاة وإن لم يملك سوى ذلك النصاب الزكوي من أي صنف كان ولعلّ هذا أولى؛ لأنّه أوفق بذكر الزكاتين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فالأقرب استحباب زكاة التجارة في السَنَةِ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الأقربية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لامتناع الثنى في الصدقة بالخبر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الثني الممتنع هو تعلّق زكاتين بمال واحد في زمان واحد، وهو غير حاصل هنا لاختلاف الزمانين</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الحكم يرجع إلى تحقق معنى الثنى، وقد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بكسر الثاء ثبوت الزكاة في المال مرّتين في عام واحد</w:t>
      </w:r>
      <w:r>
        <w:rPr>
          <w:rStyle w:val="FootnoteAnchor"/>
          <w:rtl w:val="true"/>
        </w:rPr>
        <w:footnoteReference w:id="344"/>
      </w:r>
      <w:r>
        <w:rPr>
          <w:rFonts w:ascii="Amiri" w:hAnsi="Amiri" w:eastAsia="Amiri" w:cs="Amiri"/>
          <w:color w:val="111111"/>
          <w:sz w:val="28"/>
          <w:sz w:val="28"/>
          <w:szCs w:val="28"/>
          <w:rtl w:val="true"/>
          <w:lang w:bidi="ar-SA"/>
        </w:rPr>
        <w:t>، وعلى هذا فالحكم بجريان حَوْل المالية حين السوم قبل تمام حَوْل التجارة يوجب التني؛ لتحقق الصدقة مرتين في عام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الزمان الذي اختلفا فيه ليس علةً تامة في وجوب الزكاة ؛ إذ العلّة التامة هي الحول التام، ولم يحصل</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فغير مفيد ؛ لأنّ العلّة التامة لو جعلت الحَوْل التام الملتئم ، اتفقا فيه واختلفا، تحقق اختلاف زمان الوجوب والعلة ، إلّا أنّه يندفع بتحقق وجوبهما في عام واحد كما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أنّ الثنى الممتنع ما حصل في زمان واحد ولم يعتبر الحول، ونوقش في ما ذكره الجوهري فإنّها ليست من وظائف اللغة،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كون نتاج مال التجارة منها نظر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كونه منها قوة</w:t>
      </w:r>
      <w:r>
        <w:rPr>
          <w:rFonts w:eastAsia="Amiri" w:cs="Amiri" w:ascii="Amiri" w:hAnsi="Amiri"/>
          <w:color w:val="111111"/>
          <w:sz w:val="28"/>
          <w:szCs w:val="28"/>
          <w:rtl w:val="true"/>
          <w:lang w:bidi="ar-SA"/>
        </w:rPr>
        <w:t xml:space="preserve">. </w:t>
      </w:r>
      <w:bookmarkStart w:id="257" w:name="pg10189_116043"/>
    </w:p>
    <w:p>
      <w:pPr>
        <w:pStyle w:val="Heading6"/>
        <w:numPr>
          <w:ilvl w:val="5"/>
          <w:numId w:val="1"/>
        </w:numPr>
        <w:rPr/>
      </w:pPr>
      <w:bookmarkStart w:id="258" w:name="__RefHeading___Toc2156512_1067777946"/>
      <w:bookmarkStart w:id="259" w:name="_Toc97"/>
      <w:bookmarkEnd w:id="257"/>
      <w:bookmarkEnd w:id="258"/>
      <w:r>
        <w:rPr>
          <w:rtl w:val="true"/>
        </w:rPr>
        <w:t>[</w:t>
      </w:r>
      <w:r>
        <w:rPr>
          <w:rtl w:val="true"/>
        </w:rPr>
        <w:t xml:space="preserve">المطلب الثاني في باقي الأنواع </w:t>
      </w:r>
      <w:r>
        <w:rPr>
          <w:rtl w:val="true"/>
        </w:rPr>
        <w:t>]</w:t>
      </w:r>
      <w:bookmarkEnd w:id="25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ضَمّ ما يُزرع مرتين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مع بعض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المتَّجه الضمّ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العِقار المتخذ للنماء يستحبّ الزكاة في حاصله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والمُخرَج ربعُ العشر كزَكاة التجارة، ولا يشترط في نَمائه الحَوْل ولا النصاب والأقوى عدم اعتبارهما في أصله أيضاً؛ للعموم</w:t>
      </w:r>
      <w:r>
        <w:rPr>
          <w:rFonts w:eastAsia="Amiri" w:cs="Amiri" w:ascii="Amiri" w:hAnsi="Amiri"/>
          <w:color w:val="111111"/>
          <w:sz w:val="28"/>
          <w:szCs w:val="28"/>
          <w:rtl w:val="true"/>
          <w:lang w:bidi="ar-SA"/>
        </w:rPr>
        <w:t xml:space="preserve">. </w:t>
      </w:r>
      <w:bookmarkStart w:id="260" w:name="pg10189_116044"/>
    </w:p>
    <w:p>
      <w:pPr>
        <w:pStyle w:val="Heading5"/>
        <w:numPr>
          <w:ilvl w:val="4"/>
          <w:numId w:val="1"/>
        </w:numPr>
        <w:rPr/>
      </w:pPr>
      <w:bookmarkStart w:id="261" w:name="__RefHeading___Toc2156514_1067777946"/>
      <w:bookmarkStart w:id="262" w:name="_Toc98"/>
      <w:bookmarkEnd w:id="260"/>
      <w:bookmarkEnd w:id="261"/>
      <w:r>
        <w:rPr>
          <w:rtl w:val="true"/>
        </w:rPr>
        <w:t>المقصد الرابع في المُستَحِقِّ</w:t>
      </w:r>
      <w:bookmarkEnd w:id="262"/>
    </w:p>
    <w:p>
      <w:pPr>
        <w:pStyle w:val="Heading6"/>
        <w:numPr>
          <w:ilvl w:val="5"/>
          <w:numId w:val="1"/>
        </w:numPr>
        <w:rPr/>
      </w:pPr>
      <w:bookmarkStart w:id="263" w:name="__RefHeading___Toc2156516_1067777946"/>
      <w:bookmarkStart w:id="264" w:name="_Toc99"/>
      <w:bookmarkEnd w:id="263"/>
      <w:r>
        <w:rPr>
          <w:rtl w:val="true"/>
        </w:rPr>
        <w:t>[</w:t>
      </w:r>
      <w:r>
        <w:rPr>
          <w:rtl w:val="true"/>
        </w:rPr>
        <w:t xml:space="preserve">الفصل الأول في الأصناف </w:t>
      </w:r>
      <w:r>
        <w:rPr>
          <w:rtl w:val="true"/>
        </w:rPr>
        <w:t>]</w:t>
      </w:r>
      <w:bookmarkEnd w:id="264"/>
    </w:p>
    <w:p>
      <w:pPr>
        <w:pStyle w:val="BookText"/>
        <w:rPr/>
      </w:pP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في أيهما أسوأ حالاً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الأقوى؛ لصحيحة أبي بصيرٍ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6"/>
      </w:r>
      <w:r>
        <w:rPr>
          <w:rFonts w:ascii="Amiri" w:hAnsi="Amiri" w:eastAsia="Amiri" w:cs="Amiri"/>
          <w:color w:val="111111"/>
          <w:sz w:val="28"/>
          <w:sz w:val="28"/>
          <w:szCs w:val="28"/>
          <w:rtl w:val="true"/>
          <w:lang w:bidi="ar-SA"/>
        </w:rPr>
        <w:t>وإلا فما ذكره من الأدلة على الجانبين لا يخلو من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ويُمْنَع القادرُ على تكسب المؤنة بصنعةٍ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يشغله عن واجب مضيّق كطلب العلم الواجب ولو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دارِ السكنى وعبد الخدمة وفرس الركوب، وثياب التجمل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ذلك كلّه ما يليق بحاله كميّةً وكيفيّةً، فالزائد فى أحدهما يجب صرفه في المؤونة مقدّماً على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قَصُرَ التكسُّبُ جاز أن يُعطى أكثر من التتمة على رأي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قوي إذا أعطي دفعةً واحدة، وهو موضع الخلاف فلو أعطي تدريجاً امتنع الزائد </w:t>
      </w:r>
    </w:p>
    <w:p>
      <w:pPr>
        <w:pStyle w:val="BookText"/>
        <w:rPr/>
      </w:pPr>
      <w:r>
        <w:rPr>
          <w:rFonts w:ascii="Amiri" w:hAnsi="Amiri" w:eastAsia="Amiri" w:cs="Amiri"/>
          <w:color w:val="111111"/>
          <w:sz w:val="28"/>
          <w:sz w:val="28"/>
          <w:szCs w:val="28"/>
          <w:rtl w:val="true"/>
          <w:lang w:bidi="ar-SA"/>
        </w:rPr>
        <w:t>على قدر مؤونة السنة المتأخّر عن نيته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 التعذَّر فلاضمان على الدافع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اجتهاده في البحث عن حاله، أما لو اقتصر على قبول قوله ضمن وإن جاز له الدفع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ظهورِ كونه مملوك الدافع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ويتخيَّر الإمام بين الجعالة والأجرة عن مدة معينة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وكذا يجوز إطلاق الأمر ويعطيه ما يراه مصلحةً، وهذا هو الظاهر من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عماله؛ ولأنّ له نصيباً بفرض الله تعالى كغيره؛ ولقول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سأله الحلبي ما يعطي المصدِّق؟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يرى الإمام ولا يقدّر له شيء</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المُؤلَّفَةُ،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قسمان كُفَّار يُستمالون إلى الجهاد أو إلى الإسلام و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ريب أن أصل التأليف متحقق فى الجميع، إلّا أنّ المُؤلَّفة قلوبهم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كان يعطيهم من الزكاة وغيرها على غيرهم ما كانوا كفاراً ظاهراً، بل مسلمين ضعيفي العقائد أشرافاً من قومهم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كأبي سفيان والأقرع بن حابس، وعُيينة بن حصن ونظرائهم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معلومون مضبوطون بالعدد بين علماء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أحسن ابنُ الجُنَيدِ حيث عرفهم بأنّهم مَن أظهر الدين بلسانه وأعان المسلمين وإمامهم بيده وكان معهم إلا قلبه</w:t>
      </w:r>
      <w:r>
        <w:rPr>
          <w:rFonts w:eastAsia="IRNazanin" w:cs="IRNazanin"/>
          <w:color w:val="111111"/>
          <w:sz w:val="28"/>
          <w:szCs w:val="28"/>
          <w:rtl w:val="true"/>
          <w:lang w:bidi="fa-IR"/>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فجميع من ذكر من الأقسام يجوز إعطاؤهم من الزكاة؛ لأنّ مرجعه إلى سبيل الله وإلى العمالة، وإنّما الكلام في استحقاقهم من خصوص سهم المؤلفة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جواز الإعتاق من الزكاة وشراء الأب منها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ومحلُّ النية عند الشراء أو الإعتاق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مَصْلَحة كبناء القناطر، وعمارة المساجد،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العموم أقوى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سهم المؤلّفة والساعي والغازي حال الغيبة إلا مع الحاجة إلى الجهاد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جهة كونه سهمهم، وإلا فلو احتاج الحاكم إلى من يؤلّفه أو يحصل له الزكاة جاز إعطاؤه منها من سهم سبيل الله ، ونحوه، والفائدة إنّما تظهر حيث يوجب 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جعلنا الآيةَ </w:t>
      </w:r>
      <w:r>
        <w:rPr>
          <w:rStyle w:val="FootnoteAnchor"/>
          <w:rtl w:val="true"/>
        </w:rPr>
        <w:footnoteReference w:id="349"/>
      </w:r>
      <w:r>
        <w:rPr>
          <w:rFonts w:ascii="Amiri" w:hAnsi="Amiri" w:eastAsia="Amiri" w:cs="Amiri"/>
          <w:color w:val="111111"/>
          <w:sz w:val="28"/>
          <w:sz w:val="28"/>
          <w:szCs w:val="28"/>
          <w:rtl w:val="true"/>
          <w:lang w:bidi="ar-SA"/>
        </w:rPr>
        <w:t>لبيان المصرفِ وعمّمنا سهم سبيل الله سَهُلَ الخَطب</w:t>
      </w:r>
      <w:r>
        <w:rPr>
          <w:rFonts w:eastAsia="Amiri" w:cs="Amiri" w:ascii="Amiri" w:hAnsi="Amiri"/>
          <w:color w:val="111111"/>
          <w:sz w:val="28"/>
          <w:szCs w:val="28"/>
          <w:rtl w:val="true"/>
          <w:lang w:bidi="ar-SA"/>
        </w:rPr>
        <w:t xml:space="preserve">. </w:t>
      </w:r>
      <w:bookmarkStart w:id="265" w:name="pg10189_116047"/>
    </w:p>
    <w:p>
      <w:pPr>
        <w:pStyle w:val="Heading6"/>
        <w:numPr>
          <w:ilvl w:val="5"/>
          <w:numId w:val="1"/>
        </w:numPr>
        <w:rPr/>
      </w:pPr>
      <w:bookmarkStart w:id="266" w:name="__RefHeading___Toc2156518_1067777946"/>
      <w:bookmarkStart w:id="267" w:name="_Toc100"/>
      <w:bookmarkEnd w:id="265"/>
      <w:bookmarkEnd w:id="266"/>
      <w:r>
        <w:rPr>
          <w:rtl w:val="true"/>
        </w:rPr>
        <w:t xml:space="preserve">[ </w:t>
      </w:r>
      <w:r>
        <w:rPr>
          <w:rtl w:val="true"/>
        </w:rPr>
        <w:t>الفصل الثاني في الأوصاف</w:t>
      </w:r>
      <w:r>
        <w:rPr>
          <w:rtl w:val="true"/>
        </w:rPr>
        <w:t>]</w:t>
      </w:r>
      <w:bookmarkEnd w:id="2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اعتبار العدالة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عدم اعتبارها، بل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روي مرسلاً بسند ضعيف منعُ إعطاء شارب الخمر</w:t>
      </w:r>
      <w:r>
        <w:rPr>
          <w:rStyle w:val="FootnoteAnchor"/>
          <w:rtl w:val="true"/>
        </w:rPr>
        <w:footnoteReference w:id="350"/>
      </w:r>
      <w:r>
        <w:rPr>
          <w:rFonts w:ascii="Amiri" w:hAnsi="Amiri" w:eastAsia="Amiri" w:cs="Amiri"/>
          <w:color w:val="111111"/>
          <w:sz w:val="28"/>
          <w:sz w:val="28"/>
          <w:szCs w:val="28"/>
          <w:rtl w:val="true"/>
          <w:lang w:bidi="ar-SA"/>
        </w:rPr>
        <w:t>، وهو لا 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باعتبار اجتناب الكبائر خاصةً نظراً إلى الرواية، وعدم القائل بالفرق بين هذه الكبيرة وغيرها</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عرف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في شرح الإرشاد بأنّها المَلكة الباعثة على التقوى </w:t>
      </w:r>
      <w:r>
        <w:rPr>
          <w:rStyle w:val="FootnoteAnchor"/>
          <w:rtl w:val="true"/>
        </w:rPr>
        <w:footnoteReference w:id="352"/>
      </w:r>
      <w:r>
        <w:rPr>
          <w:rFonts w:ascii="Amiri" w:hAnsi="Amiri" w:eastAsia="Amiri" w:cs="Amiri"/>
          <w:color w:val="111111"/>
          <w:sz w:val="28"/>
          <w:sz w:val="28"/>
          <w:szCs w:val="28"/>
          <w:rtl w:val="true"/>
          <w:lang w:bidi="ar-SA"/>
        </w:rPr>
        <w:t>، ولم يعتبر فيها المروءة، وحينئذٍ فمرجعها إلى اجتناب الكبائر؛ لأنّ الإصرار على الصغيرة يلحقها بالكبيرة وعدم الإصرار لايُؤثر فيها، فيتحد القولان وكيف كان فالقولان ضعيفان؛ لضعف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والفقه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الشرعية بطريق الاستدلال، والوجه أنّ ذلك غير شرط هنا، بل يكفي تقليد من له أهلية ذلك، ولعله أراد بالفقه ما يعمه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والحرّيّة على إشكال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اعتبارها حيث يأذن له المولى؛ للأصل</w:t>
      </w:r>
      <w:r>
        <w:rPr>
          <w:rFonts w:eastAsia="Amiri" w:cs="Amiri" w:ascii="Amiri" w:hAnsi="Amiri"/>
          <w:color w:val="111111"/>
          <w:sz w:val="28"/>
          <w:szCs w:val="28"/>
          <w:rtl w:val="true"/>
          <w:lang w:bidi="ar-SA"/>
        </w:rPr>
        <w:t xml:space="preserve">. </w:t>
      </w:r>
      <w:bookmarkStart w:id="268" w:name="pg10189_116048"/>
    </w:p>
    <w:p>
      <w:pPr>
        <w:pStyle w:val="Heading5"/>
        <w:numPr>
          <w:ilvl w:val="4"/>
          <w:numId w:val="1"/>
        </w:numPr>
        <w:rPr/>
      </w:pPr>
      <w:bookmarkStart w:id="269" w:name="__RefHeading___Toc2156520_1067777946"/>
      <w:bookmarkStart w:id="270" w:name="_Toc101"/>
      <w:bookmarkEnd w:id="268"/>
      <w:bookmarkEnd w:id="269"/>
      <w:r>
        <w:rPr>
          <w:rtl w:val="true"/>
        </w:rPr>
        <w:t xml:space="preserve">[ </w:t>
      </w:r>
      <w:r>
        <w:rPr>
          <w:rtl w:val="true"/>
        </w:rPr>
        <w:t xml:space="preserve">المقصد الخامس في كيفية الإخراج </w:t>
      </w:r>
      <w:r>
        <w:rPr>
          <w:rtl w:val="true"/>
        </w:rPr>
        <w:t>]</w:t>
      </w:r>
      <w:bookmarkEnd w:id="270"/>
    </w:p>
    <w:p>
      <w:pPr>
        <w:pStyle w:val="Heading6"/>
        <w:numPr>
          <w:ilvl w:val="5"/>
          <w:numId w:val="1"/>
        </w:numPr>
        <w:rPr/>
      </w:pPr>
      <w:bookmarkStart w:id="271" w:name="__RefHeading___Toc2156522_1067777946"/>
      <w:bookmarkStart w:id="272" w:name="_Toc102"/>
      <w:bookmarkEnd w:id="271"/>
      <w:r>
        <w:rPr>
          <w:rtl w:val="true"/>
        </w:rPr>
        <w:t>[</w:t>
      </w:r>
      <w:r>
        <w:rPr>
          <w:rtl w:val="true"/>
        </w:rPr>
        <w:t xml:space="preserve">المطلب الأوّل في الوقت </w:t>
      </w:r>
      <w:r>
        <w:rPr>
          <w:rtl w:val="true"/>
        </w:rPr>
        <w:t>]</w:t>
      </w:r>
      <w:bookmarkEnd w:id="27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ويتعيَّن على الفور مع المُكنة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جواز تأخيرها شهراً وشهرين خاصةً، خصوصاً للبسط ومراعاة الأولى، وصحيحة معاوية بن عمار </w:t>
      </w:r>
      <w:r>
        <w:rPr>
          <w:rStyle w:val="FootnoteAnchor"/>
          <w:rtl w:val="true"/>
        </w:rPr>
        <w:footnoteReference w:id="353"/>
      </w:r>
      <w:r>
        <w:rPr>
          <w:rFonts w:ascii="Amiri" w:hAnsi="Amiri" w:eastAsia="Amiri" w:cs="Amiri"/>
          <w:color w:val="111111"/>
          <w:sz w:val="28"/>
          <w:sz w:val="28"/>
          <w:szCs w:val="28"/>
          <w:rtl w:val="true"/>
          <w:lang w:bidi="ar-SA"/>
        </w:rPr>
        <w:t xml:space="preserve">وغيرها </w:t>
      </w:r>
      <w:r>
        <w:rPr>
          <w:rStyle w:val="FootnoteAnchor"/>
          <w:rtl w:val="true"/>
        </w:rPr>
        <w:footnoteReference w:id="354"/>
      </w:r>
      <w:r>
        <w:rPr>
          <w:rFonts w:ascii="Amiri" w:hAnsi="Amiri" w:eastAsia="Amiri" w:cs="Amiri"/>
          <w:color w:val="111111"/>
          <w:sz w:val="28"/>
          <w:sz w:val="28"/>
          <w:szCs w:val="28"/>
          <w:rtl w:val="true"/>
          <w:lang w:bidi="ar-SA"/>
        </w:rPr>
        <w:t>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الوصي بالتفريق أو بالدفع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كَوْن الدفع معطوفاً على التفريق فتدخل في حيّز الوصيّة، ويراد حينئذٍ بالتفريق على أزيد من واحد، وبالدفع ما هو أعم منه أو بدفع عَيْن إلى غيره من غير تفريق ولو جعل هذا القسم مقابلاً للأوّل ليشمل من أمر بدفع عَين إلى مالكها وإن لم يكن وصيّاً، كان أولى، فقد حكم المصنّف وغيره بوجوب دفع الأمانة التى هذا شأنها على الفور كنظائرها من الأمانات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قول المالك فى دعوى قصد التعجيل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قول المالك في ذلك لا يتوجّه على مذهب المصنّف من عدم جواز التعجيل؛ </w:t>
      </w:r>
      <w:bookmarkStart w:id="273" w:name="pg10189_116049"/>
    </w:p>
    <w:p>
      <w:pPr>
        <w:pStyle w:val="BookText"/>
        <w:rPr/>
      </w:pPr>
      <w:bookmarkEnd w:id="273"/>
      <w:r>
        <w:rPr>
          <w:rFonts w:ascii="Amiri" w:hAnsi="Amiri" w:eastAsia="Amiri" w:cs="Amiri"/>
          <w:color w:val="111111"/>
          <w:sz w:val="28"/>
          <w:sz w:val="28"/>
          <w:szCs w:val="28"/>
          <w:rtl w:val="true"/>
          <w:lang w:bidi="ar-SA"/>
        </w:rPr>
        <w:t>لأنه حينئذٍ يدعي فَساد الدفع، فيقدّم قول مدّعي الصحة وهو المدفوع إليه، وكذا القول في التصريح نذكره مضافاً إلى 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تقديم قول المدفوع إليه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انتفى العِلْمُ فالأقربُ عدم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تلفِ العَيْن، أمّا مع بقائها فجوازُ الرجوع أقوى</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2156524_1067777946"/>
      <w:bookmarkStart w:id="275" w:name="_Toc103"/>
      <w:bookmarkEnd w:id="274"/>
      <w:r>
        <w:rPr>
          <w:rtl w:val="true"/>
        </w:rPr>
        <w:t>[</w:t>
      </w:r>
      <w:r>
        <w:rPr>
          <w:rtl w:val="true"/>
        </w:rPr>
        <w:t>المطلب الثاني في المُخرِج</w:t>
      </w:r>
      <w:r>
        <w:rPr>
          <w:rtl w:val="true"/>
        </w:rPr>
        <w:t>]</w:t>
      </w:r>
      <w:bookmarkEnd w:id="275"/>
    </w:p>
    <w:p>
      <w:pPr>
        <w:pStyle w:val="BookText"/>
        <w:rPr/>
      </w:pPr>
      <w:r>
        <w:rPr>
          <w:rFonts w:eastAsia="Amiri" w:cs="Amiri" w:ascii="Amiri" w:hAnsi="Amiri"/>
          <w:color w:val="111111"/>
          <w:sz w:val="28"/>
          <w:szCs w:val="28"/>
          <w:lang w:bidi="ar-SA"/>
        </w:rPr>
        <w:t>353/1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فَرَّقها المالكُ حينئذ أثم، وفي الإجزاء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الإجزاء؛ للنهي في العبادة المقتضي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النَّقْلُ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يتحقَّق نقل الواجب مع عزله بالبينة، وإلا كان المنقولُ مالَه وضَمانه عليه على ،إشكال فلا يتحقق النهى من هذه الجهة، وإن تحقق من حيث منافاة الفورية إن اعتبرناها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جواز النقل وإن تعيَّن بالنية مع الضمان خصوصاً مع قصد الأكمل والتعميم</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2156526_1067777946"/>
      <w:bookmarkStart w:id="277" w:name="_Toc104"/>
      <w:bookmarkEnd w:id="276"/>
      <w:r>
        <w:rPr>
          <w:rtl w:val="true"/>
        </w:rPr>
        <w:t>[</w:t>
      </w:r>
      <w:r>
        <w:rPr>
          <w:rtl w:val="true"/>
        </w:rPr>
        <w:t>المطلب الثالث في النية</w:t>
      </w:r>
      <w:r>
        <w:rPr>
          <w:rtl w:val="true"/>
        </w:rPr>
        <w:t>]</w:t>
      </w:r>
      <w:bookmarkEnd w:id="277"/>
    </w:p>
    <w:p>
      <w:pPr>
        <w:pStyle w:val="BookText"/>
        <w:rPr/>
      </w:pP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الغائب باقياً فهذه زَكاته، وإن كان تالفاً فهي نَفْلُ أجزأ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النقل مع بقاءِ العَيْن، أو علم القابض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ينو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النية معتبرة في دفع الزكاة إجماعاً، لكن دفعها قد يكون إلى المستحق، وقد يكون إلى وكيله خصوصاً أو عموماً، كالإمام والساعي أو الفقيه عند تعذَّرهما، والأقوى إجزاء النية من المالك عند الدفع إلى الجميع، وكذا يُجْزِئُ لو لم ينو المالك حينئذ ونوى </w:t>
      </w:r>
      <w:bookmarkStart w:id="278" w:name="pg10189_116050"/>
    </w:p>
    <w:p>
      <w:pPr>
        <w:pStyle w:val="BookText"/>
        <w:rPr/>
      </w:pPr>
      <w:bookmarkEnd w:id="278"/>
      <w:r>
        <w:rPr>
          <w:rFonts w:ascii="Amiri" w:hAnsi="Amiri" w:eastAsia="Amiri" w:cs="Amiri"/>
          <w:color w:val="111111"/>
          <w:sz w:val="28"/>
          <w:sz w:val="28"/>
          <w:szCs w:val="28"/>
          <w:rtl w:val="true"/>
          <w:lang w:bidi="ar-SA"/>
        </w:rPr>
        <w:t>القابضُ عند الدفع إلى المستحق، أو الساعي عند الدفع إلى الإمام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ما لو دفعها المالك إلى وكيله الخاص ودفعها الوكيل إلى المستحق أو إلى أحد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الاجتزاء بنيّة الوكيل عند دفعه إلى أحدهم دون نية المالك عند دفعه إليه</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2156528_1067777946"/>
      <w:bookmarkStart w:id="280" w:name="_Toc105"/>
      <w:bookmarkEnd w:id="279"/>
      <w:r>
        <w:rPr>
          <w:rtl w:val="true"/>
        </w:rPr>
        <w:t>[</w:t>
      </w:r>
      <w:r>
        <w:rPr>
          <w:rtl w:val="true"/>
        </w:rPr>
        <w:t>المطلب الرابع في بقايا مباحث هذا الباب</w:t>
      </w:r>
      <w:r>
        <w:rPr>
          <w:rtl w:val="true"/>
        </w:rPr>
        <w:t>]</w:t>
      </w:r>
      <w:bookmarkEnd w:id="280"/>
    </w:p>
    <w:p>
      <w:pPr>
        <w:pStyle w:val="BookText"/>
        <w:rPr/>
      </w:pP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 ما يعطى الفقيرُ عَشَرَةُ قراريط أو خَمْسَةُ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أقلّ المدفوع، فقيل </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النصاب الأوّل من النقدين، وهو الذي اختاره المصنف</w:t>
      </w:r>
      <w:r>
        <w:rPr>
          <w:rStyle w:val="FootnoteAnchor"/>
          <w:rtl w:val="true"/>
        </w:rPr>
        <w:footnoteReference w:id="356"/>
      </w:r>
      <w:r>
        <w:rPr>
          <w:rFonts w:ascii="Amiri" w:hAnsi="Amiri" w:eastAsia="Amiri" w:cs="Amiri"/>
          <w:color w:val="111111"/>
          <w:sz w:val="28"/>
          <w:sz w:val="28"/>
          <w:szCs w:val="28"/>
          <w:rtl w:val="true"/>
          <w:lang w:bidi="ar-SA"/>
        </w:rPr>
        <w:t xml:space="preserve">؛ وقيل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 الثاني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على وجه الوجوب أو الاستحباب وتقديم المصنف الرأي على الحكم بالاستحباب يشعر بكونه غير مختلف فيه كما هي عادته بل نقل عن ولده إرادة هذا المعنى</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فلو أخَّر الرأي عن قوله استحباباً؛ ليقيد الخلاف في الموضعين كان أولى والأقوى ما اختاره المصنّف فيها، وإنّما يتحقق ذلك حيث يمكن امتثاله بأن يكون عنده نصاب أحد النقدين من غير زيادة تبلغ نصاباً آخر مثله، فلو لم يكن عنده إلا النصاب الأول والثاني، لم يكره دفع الثاني إلى بعض المستحقين مع احتماله؛ لإمكان التخلّص بدفع الجميع إلى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عنده أحد النقدين، اعتبر المدفوع بالقيمة لا القيمة</w:t>
      </w:r>
      <w:r>
        <w:rPr>
          <w:rStyle w:val="FootnoteAnchor"/>
          <w:rtl w:val="true"/>
        </w:rPr>
        <w:footnoteReference w:id="359"/>
      </w:r>
      <w:r>
        <w:rPr>
          <w:rFonts w:ascii="Amiri" w:hAnsi="Amiri" w:eastAsia="Amiri" w:cs="Amiri"/>
          <w:color w:val="111111"/>
          <w:sz w:val="28"/>
          <w:sz w:val="28"/>
          <w:szCs w:val="28"/>
          <w:rtl w:val="true"/>
          <w:lang w:bidi="ar-SA"/>
        </w:rPr>
        <w:t>، فإن دفع العَيْن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 جميع الحقِّ عن ذلك زال المحذور ودفع الموجود كيف 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فقد وارث المشترى من الزكاة، وَرِثَه الإمامُ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بالوارث المفقود الخاص، وهو من عدا الإمام وأرباب الزكاة، بقرينة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ما اختاره المصنف واضح؛ لأنّ الإمام وارث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بين الأصحاب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الشهيد في البيان </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نعلم بخلافه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يرثه يرثه أرباب الزكاة، تدلُّ عليه مع ذلك موثقة عبيد بن زرارة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الأجود، فإنّ الشهرة جبرت الرواية </w:t>
      </w:r>
      <w:r>
        <w:rPr>
          <w:rStyle w:val="FootnoteAnchor"/>
          <w:rtl w:val="true"/>
        </w:rPr>
        <w:footnoteReference w:id="363"/>
      </w:r>
      <w:r>
        <w:rPr>
          <w:rFonts w:ascii="Amiri" w:hAnsi="Amiri" w:eastAsia="Amiri" w:cs="Amiri"/>
          <w:color w:val="111111"/>
          <w:sz w:val="28"/>
          <w:sz w:val="28"/>
          <w:szCs w:val="28"/>
          <w:rtl w:val="true"/>
          <w:lang w:bidi="ar-SA"/>
        </w:rPr>
        <w:t>، وإلا فأرباب الزكاة حال الغيبة يستحقون ما يرثه الإمام ممَّن لاوارث له غيره، فيكونُ العمل بمضمونها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وأجرة الكيّالِ والوزّانِ على المالك على 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تعلّق الزكاة بالعين احتمال الشركة لأخذ الإمام منها قهراً لو امتنع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أنّ الزكاة بالعين تعلّق برأسه وإن أشبه كلّ واحد من الأمور من وجه فإنّه يخالفه في آخر مع أنّ مجرَّد المناسبة لا توجب الإلحاق عندنا وإن لم يحصل المنافي فكيف مع حصوله</w:t>
      </w:r>
      <w:r>
        <w:rPr>
          <w:rFonts w:eastAsia="Amiri" w:cs="Amiri" w:ascii="Amiri" w:hAnsi="Amiri"/>
          <w:color w:val="111111"/>
          <w:sz w:val="28"/>
          <w:szCs w:val="28"/>
          <w:rtl w:val="true"/>
          <w:lang w:bidi="ar-SA"/>
        </w:rPr>
        <w:t xml:space="preserve">! </w:t>
      </w:r>
      <w:bookmarkStart w:id="281" w:name="pg10189_116052"/>
    </w:p>
    <w:p>
      <w:pPr>
        <w:pStyle w:val="Heading4"/>
        <w:numPr>
          <w:ilvl w:val="3"/>
          <w:numId w:val="1"/>
        </w:numPr>
        <w:rPr/>
      </w:pPr>
      <w:bookmarkStart w:id="282" w:name="__RefHeading___Toc2156530_1067777946"/>
      <w:bookmarkStart w:id="283" w:name="_Toc106"/>
      <w:bookmarkEnd w:id="281"/>
      <w:bookmarkEnd w:id="282"/>
      <w:r>
        <w:rPr>
          <w:rtl w:val="true"/>
        </w:rPr>
        <w:t>الباب الثاني في زكاة الفطرة</w:t>
      </w:r>
      <w:bookmarkEnd w:id="283"/>
    </w:p>
    <w:p>
      <w:pPr>
        <w:pStyle w:val="Heading5"/>
        <w:numPr>
          <w:ilvl w:val="4"/>
          <w:numId w:val="1"/>
        </w:numPr>
        <w:rPr/>
      </w:pPr>
      <w:bookmarkStart w:id="284" w:name="__RefHeading___Toc2156532_1067777946"/>
      <w:bookmarkStart w:id="285" w:name="_Toc107"/>
      <w:bookmarkEnd w:id="284"/>
      <w:r>
        <w:rPr>
          <w:rtl w:val="true"/>
        </w:rPr>
        <w:t>[</w:t>
      </w:r>
      <w:r>
        <w:rPr>
          <w:rtl w:val="true"/>
        </w:rPr>
        <w:t>المطلب الأوّل</w:t>
      </w:r>
      <w:r>
        <w:rPr>
          <w:rtl w:val="true"/>
        </w:rPr>
        <w:t xml:space="preserve">: </w:t>
      </w:r>
      <w:r>
        <w:rPr>
          <w:rtl w:val="true"/>
        </w:rPr>
        <w:t xml:space="preserve">المكلَّف </w:t>
      </w:r>
      <w:r>
        <w:rPr>
          <w:rtl w:val="true"/>
        </w:rPr>
        <w:t>]</w:t>
      </w:r>
      <w:bookmarkEnd w:id="285"/>
    </w:p>
    <w:p>
      <w:pPr>
        <w:pStyle w:val="BookText"/>
        <w:rPr/>
      </w:pP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العبد قِناً كان أو مُدَبَّراً، أو أُمَّ وَلَدٍ، أو مكاتباً مشروطاً أو مطلقاً لم يؤد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 العبد إلى المذكورات التي من جملتها أُمّ ولد غير جيد، ولعله ذكرها على سبيل الاستتباع، وعطفها على ما سبق بطريق التوهم بكون المقسم هو المملوك، وهو فنّ شائع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أبدل العبد بالمملوكِ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يُستحب له إخراجُها وإن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فيُدير صاعاً على عياله، ثمّ يُخرجها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مقتضى التفريع بالفاء على استحباب إخراجه أنّ الاستحباب منحصر في إدارة الصاع، وليس كذلك، وإنّما الاستحباب الكامل إخراجها عن نفسه وعن عياله كالغني، ودونه في الفضل إدارة الصاع، و هذا هو الذي صرح به المصنف فى غير الكتاب</w:t>
      </w:r>
      <w:r>
        <w:rPr>
          <w:rStyle w:val="FootnoteAnchor"/>
          <w:rtl w:val="true"/>
        </w:rPr>
        <w:footnoteReference w:id="364"/>
      </w:r>
      <w:r>
        <w:rPr>
          <w:rFonts w:ascii="Amiri" w:hAnsi="Amiri" w:eastAsia="Amiri" w:cs="Amiri"/>
          <w:color w:val="111111"/>
          <w:sz w:val="28"/>
          <w:sz w:val="28"/>
          <w:szCs w:val="28"/>
          <w:rtl w:val="true"/>
          <w:lang w:bidi="ar-SA"/>
        </w:rPr>
        <w:t xml:space="preserve">، وغيره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366"/>
      </w:r>
      <w:r>
        <w:rPr>
          <w:rFonts w:ascii="IRNazanin" w:hAnsi="IRNazanin" w:eastAsia="IRNazanin"/>
          <w:color w:val="111111"/>
          <w:sz w:val="28"/>
          <w:sz w:val="28"/>
          <w:szCs w:val="28"/>
          <w:rtl w:val="true"/>
          <w:lang w:bidi="fa-IR"/>
        </w:rPr>
        <w:t xml:space="preserve">قيد الإدارة بضيق المال عن الإخراج عن الجميع، وهذا هو الذي تقتضيه الرواية الدالة على الإدارة؛ لأنّ إسحاق بن عمّار ،قال 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لا يكون عنده شيء من الفطرة إلا ما يؤدّي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الفطرة وحدها، يعطيه غريباً أو يأكل هو وعياله؟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يعطى بعض عياله، ثمّ يعطي الآخر عن نفسه يردّدونها، فتكون عنهم جميعاً فطرة واحدة</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يُصلِّ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بصلاة العيد هاهنا وقتها، ومنتهاه ،الزوال، فأقام الصلاة مقام الوقت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 الاستحباب حصول الشرط بعد الغروب وقبل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الزوجة والمملوك يجب عليهِ فِطرتُهما وإن لم يَعُلُهُما إذا لم يَعُلُهُما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في المملوك مطلق حتى لو أبق بقيت فطرته واجبة، كما سيأتي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الزوجة فيعتبر وجوب نفقتها في وجوب فطرتها، فلا فطرة للناشز والصغيرة ونحوهما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الوجوب على الوارث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انتقال التركة، وإن مُنع من التصرُّف فيها قبل وفاء الدين فإنّ ذلك لا يمنع من زكاة 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زَكاة المال،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الوجوب على الوارث إشكال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مبنى الإشكال على أنّ قبول الوصيّة إذا وقع بعد الموت هل هو كاشف عن سَبْق الملك من حين الموت، أو ناقل للملك من حينه؟ </w:t>
      </w:r>
      <w:bookmarkStart w:id="286" w:name="pg10189_116054"/>
    </w:p>
    <w:p>
      <w:pPr>
        <w:pStyle w:val="BookText"/>
        <w:rPr/>
      </w:pPr>
      <w:bookmarkEnd w:id="286"/>
      <w:r>
        <w:rPr>
          <w:rFonts w:ascii="Amiri" w:hAnsi="Amiri" w:eastAsia="Amiri" w:cs="Amiri"/>
          <w:color w:val="111111"/>
          <w:sz w:val="28"/>
          <w:sz w:val="28"/>
          <w:szCs w:val="28"/>
          <w:rtl w:val="true"/>
          <w:lang w:bidi="ar-SA"/>
        </w:rPr>
        <w:t>فعلى الأوّل يُحتمل وجوبها على الوارث حيث نقول بانتقال التركة إليه؛ لأنه المالك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الممكن حين تعلّق الوجوب ردّ الموصى له الوصية على الموصي لتبين ملكه حين الوجوب ولا يقدح فيه عدم علمه، ولا يستلزم تكليف الغافل؛ لأنّه إنّما يُخاطب حالة العلم، كما لو ولد له ولد ولم يعلم به حتى دخل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يحتمل أيضاً وجوبها على الوارث بناءً على أنه المالك حينئذ، وإن أمكن تجدّد الانتقال ولا تجب على الموصى 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 القبول كاشف و يقوى حينئذٍ وجوبها على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وجوبها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وبدونه إشكال ينشأ من التحمل أو الأصالة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الإجزاء بدون إذنه مطلقاً؛ لأنّ التحمُّل في مثل ذلك بطريق المجاز، وإلا فالتكليف بها متعلّق بالزوج وإن كان بسببها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البائنُ الحاملُ فِطْرتُها عليه إن جعلنا النفقة لها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وجوبها عليه على القولين؛ لتحقق العيلولةِ الموجبة، ولا عِبرَةَ بالسبب الباعث عليها، كما تجب فطرة الضيف وإن كان إنما يُضيفه تبعاً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فوقع الهلال في نوبة أحدهما ، ففي اختصاصه بالفطرة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الفطرة لاتدخل في المُهاياة، فتجب الفطرة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انقطع خَبَرُه مالم يغلب على الظنِّ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مالم يُحكم بموته شرعاً بأن تمضي مدّة لا يعيش إليها عادةً، وإن غلب على الظنِّ موتُه ،قبلها ولعلَّه أراد بغلبة ظنّ الموت ذلك</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2156534_1067777946"/>
      <w:bookmarkStart w:id="288" w:name="_Toc108"/>
      <w:bookmarkEnd w:id="287"/>
      <w:r>
        <w:rPr>
          <w:rtl w:val="true"/>
        </w:rPr>
        <w:t>[</w:t>
      </w:r>
      <w:r>
        <w:rPr>
          <w:rtl w:val="true"/>
        </w:rPr>
        <w:t xml:space="preserve">المطلب الثاني في وقتها </w:t>
      </w:r>
      <w:r>
        <w:rPr>
          <w:rtl w:val="true"/>
        </w:rPr>
        <w:t>]</w:t>
      </w:r>
      <w:bookmarkEnd w:id="28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تقديمها على الهلال إلا قرضاً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جواز تقديمها أداءً من أوّل شهر رمضانَ؛ لصحيحة الفضلاء عن </w:t>
      </w:r>
      <w:bookmarkStart w:id="289" w:name="pg10189_116055"/>
    </w:p>
    <w:p>
      <w:pPr>
        <w:pStyle w:val="BookText"/>
        <w:rPr/>
      </w:pPr>
      <w:bookmarkEnd w:id="289"/>
      <w:r>
        <w:rPr>
          <w:rFonts w:ascii="IRNazanin" w:hAnsi="IRNazanin" w:eastAsia="IRNazanin"/>
          <w:color w:val="111111"/>
          <w:sz w:val="28"/>
          <w:sz w:val="28"/>
          <w:szCs w:val="28"/>
          <w:rtl w:val="true"/>
          <w:lang w:bidi="fa-IR"/>
        </w:rPr>
        <w:t xml:space="preserve">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بالهلال دخول شوّال، أطلق عليه ذلك بناءً على الغالب من كون الهلال لا يُرى إلا بعد الغروب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عَزَلها وخرج الوقت أخرجها واجباً بنية الأداء وإلا قضاها على رأى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قضاؤها مع تأخُرِها عن الوقت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والحَمْلُ كالتأخير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تشبيهه بالتأخير جوازه حيث لا يخرج الوقتُ قبل أدائها مع الضمان، وهو خلاف مذهبه في الماليّة، فإنّه مَنَعَ الحمل مع وجود المستحق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تساويهما في الجواز مطلقاً مع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يُعطى الفقير صاح إلا مع الاجتماع والقصور ولاحد للكثرة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ذلك على وجه الاستحباب، خلافاً للأكثر ولا فرق بين الصاع المخرج عن 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قصد التعيين والوجوب أو الندب والتقرب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تجب نيّة الأداء والقضاء؛ لوقوعها على الوجهين</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2156536_1067777946"/>
      <w:bookmarkStart w:id="291" w:name="_Toc109"/>
      <w:bookmarkEnd w:id="290"/>
      <w:r>
        <w:rPr>
          <w:rtl w:val="true"/>
        </w:rPr>
        <w:t>[</w:t>
      </w:r>
      <w:r>
        <w:rPr>
          <w:rtl w:val="true"/>
        </w:rPr>
        <w:t>المطلب الثالث في الواجب</w:t>
      </w:r>
      <w:r>
        <w:rPr>
          <w:rtl w:val="true"/>
        </w:rPr>
        <w:t>]</w:t>
      </w:r>
      <w:bookmarkEnd w:id="2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من غيرها</w:t>
      </w:r>
      <w:r>
        <w:rPr>
          <w:rStyle w:val="FootnoteAnchor"/>
          <w:rtl w:val="true"/>
        </w:rPr>
        <w:footnoteReference w:id="369"/>
      </w:r>
      <w:r>
        <w:rPr>
          <w:rFonts w:ascii="Amiri" w:hAnsi="Amiri" w:eastAsia="Amiri" w:cs="Amiri"/>
          <w:color w:val="111111"/>
          <w:sz w:val="28"/>
          <w:sz w:val="28"/>
          <w:szCs w:val="28"/>
          <w:rtl w:val="true"/>
          <w:lang w:bidi="ar-SA"/>
        </w:rPr>
        <w:t>بالقيمة السوقيّة من غير تقدير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من اللبن أربعة أرطال بالعِراقي على رأي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اعتبار صاع فيه كغيره، ومستند الأربعة ضعيفٌ مرسل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في الجُبْن والمخيض والسمن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والمَعيب والمُسوِّس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عطفُ الخاص على العام، فإنّ المسوّس معيب ولا نكتة فيه هنا إلّا مجرَّد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اقتصر على المعيب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 قوت مالكي عبد جاز اختلاف النوع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والأقرب إجزاء المختلف مطلقاً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عدمه قويٌّ</w:t>
      </w:r>
      <w:r>
        <w:rPr>
          <w:rFonts w:eastAsia="Amiri" w:cs="Amiri" w:ascii="Amiri" w:hAnsi="Amiri"/>
          <w:color w:val="111111"/>
          <w:sz w:val="28"/>
          <w:szCs w:val="28"/>
          <w:rtl w:val="true"/>
          <w:lang w:bidi="ar-SA"/>
        </w:rPr>
        <w:t xml:space="preserve">. </w:t>
      </w:r>
      <w:bookmarkStart w:id="292" w:name="pg10189_116057"/>
    </w:p>
    <w:p>
      <w:pPr>
        <w:pStyle w:val="Heading4"/>
        <w:numPr>
          <w:ilvl w:val="3"/>
          <w:numId w:val="1"/>
        </w:numPr>
        <w:rPr/>
      </w:pPr>
      <w:bookmarkStart w:id="293" w:name="__RefHeading___Toc2156538_1067777946"/>
      <w:bookmarkStart w:id="294" w:name="_Toc110"/>
      <w:bookmarkEnd w:id="292"/>
      <w:bookmarkEnd w:id="293"/>
      <w:r>
        <w:rPr>
          <w:rtl w:val="true"/>
        </w:rPr>
        <w:t>[</w:t>
      </w:r>
      <w:r>
        <w:rPr>
          <w:rtl w:val="true"/>
        </w:rPr>
        <w:t xml:space="preserve">الباب الثالث في الخُمس </w:t>
      </w:r>
      <w:r>
        <w:rPr>
          <w:rtl w:val="true"/>
        </w:rPr>
        <w:t>]</w:t>
      </w:r>
      <w:bookmarkEnd w:id="294"/>
    </w:p>
    <w:p>
      <w:p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الكنز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تقديره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لا خبراً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الكنز خبر المبتدأ وهو الثالث كنظائره؛ ولأنّ ذلك هو مقتضى نظم العبارة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يجب الخمس في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كذا، والثاني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والموجب لتغييره أسلوب العبارة أنّ هذه الأنواع التي يجب فيها الخمس لا اشتباه في كونها مِلْكاً لِمَن هي في يده في الجملة، بخلافِ الكنز، فإنّ منه ماتملك ومنه ما لا يُملك؛ فلذا قال للواجدِ بشرطه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ويلحق به ما يوجد في ملك مبتاع، أوجوف الدابة، مع انتفاء معرفة البائع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بالبائع الجنس فيجب تتبع البائعين مبتدئاً بالأقرب، وفي معناه من كانت بیده قبل ذلك فنقلها بهبة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بالدابَّة المملوكة بغيرِ الحيازة كالفَرَس وهي مختصة بها ؛ ليحصل الفرق بينها وبين السَمَكَة وإنّما يُحكم بالوجودِ للمشتري مع انتفاء معرفة البائع إذا لم يكن عليه أثر الإسلام، وإلّا فهو لُقَطَة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يُوجد في جوف السَمَكة من غير احتياج إلى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السَمَكَة مملوكةً بالأصل، كما لو كانت في ماء محصور مملوك للبائع، وإلّا فكالدابة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الدابَّة إذا لم تكن مملوكةً بالأصل فهى كالسَمَكَةِ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اشتراط عدم أثر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قوي وإلّا كان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فلُقَطَةٌ، وإن كانت مواتاً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اختلف مستأجرُ الدار ومالكها في ملكيّة الكنز، قُدّم قولُ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تقديم قول ذي اليد، وهو هنا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الذِمّيَ إذا اشتراها من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بذلك مشهور بين الأصحاب </w:t>
      </w:r>
      <w:r>
        <w:rPr>
          <w:rStyle w:val="FootnoteAnchor"/>
          <w:rtl w:val="true"/>
        </w:rPr>
        <w:footnoteReference w:id="371"/>
      </w:r>
      <w:r>
        <w:rPr>
          <w:rFonts w:ascii="Amiri" w:hAnsi="Amiri" w:eastAsia="Amiri" w:cs="Amiri"/>
          <w:color w:val="111111"/>
          <w:sz w:val="28"/>
          <w:sz w:val="28"/>
          <w:szCs w:val="28"/>
          <w:rtl w:val="true"/>
          <w:lang w:bidi="ar-SA"/>
        </w:rPr>
        <w:t xml:space="preserve">خصوصاً المتأخرين </w:t>
      </w:r>
      <w:r>
        <w:rPr>
          <w:rStyle w:val="FootnoteAnchor"/>
          <w:rtl w:val="true"/>
        </w:rPr>
        <w:footnoteReference w:id="372"/>
      </w:r>
      <w:r>
        <w:rPr>
          <w:rFonts w:ascii="Amiri" w:hAnsi="Amiri" w:eastAsia="Amiri" w:cs="Amiri"/>
          <w:color w:val="111111"/>
          <w:sz w:val="28"/>
          <w:sz w:val="28"/>
          <w:szCs w:val="28"/>
          <w:rtl w:val="true"/>
          <w:lang w:bidi="ar-SA"/>
        </w:rPr>
        <w:t xml:space="preserve">، ومستنده ضعيف </w:t>
      </w:r>
      <w:r>
        <w:rPr>
          <w:rStyle w:val="FootnoteAnchor"/>
          <w:rtl w:val="true"/>
        </w:rPr>
        <w:footnoteReference w:id="373"/>
      </w:r>
      <w:r>
        <w:rPr>
          <w:rFonts w:ascii="Amiri" w:hAnsi="Amiri" w:eastAsia="Amiri" w:cs="Amiri"/>
          <w:color w:val="111111"/>
          <w:sz w:val="28"/>
          <w:sz w:val="28"/>
          <w:szCs w:val="28"/>
          <w:rtl w:val="true"/>
          <w:lang w:bidi="ar-SA"/>
        </w:rPr>
        <w:t>وكثير من المتقدمين</w:t>
      </w:r>
      <w:r>
        <w:rPr>
          <w:rStyle w:val="FootnoteAnchor"/>
          <w:rtl w:val="true"/>
        </w:rPr>
        <w:footnoteReference w:id="374"/>
      </w:r>
      <w:r>
        <w:rPr>
          <w:rFonts w:ascii="Amiri" w:hAnsi="Amiri" w:eastAsia="Amiri" w:cs="Amiri"/>
          <w:color w:val="111111"/>
          <w:sz w:val="28"/>
          <w:sz w:val="28"/>
          <w:szCs w:val="28"/>
          <w:rtl w:val="true"/>
          <w:lang w:bidi="ar-SA"/>
        </w:rPr>
        <w:t>، لم يذكر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يقتضى عدم الوجوب إلى أن يحصل الناقل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والنصابُ على رأي وهو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أُمّه خاصةً على رأي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w:t>
      </w:r>
      <w:r>
        <w:rPr>
          <w:rStyle w:val="FootnoteAnchor"/>
          <w:rtl w:val="true"/>
        </w:rPr>
        <w:footnoteReference w:id="375"/>
      </w:r>
      <w:r>
        <w:rPr>
          <w:rFonts w:ascii="Amiri" w:hAnsi="Amiri" w:eastAsia="Amiri" w:cs="Amiri"/>
          <w:color w:val="111111"/>
          <w:sz w:val="28"/>
          <w:sz w:val="28"/>
          <w:szCs w:val="28"/>
          <w:rtl w:val="true"/>
          <w:lang w:bidi="ar-SA"/>
        </w:rPr>
        <w:t>، ودليله غير صالح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وفقرُ اليتيم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ودليله غير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وللإمام فاضل المقسوم على الكفاية للطوائف مع الاقتصاد، وعليه المُعْوزُ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المتأخرين </w:t>
      </w:r>
      <w:r>
        <w:rPr>
          <w:rStyle w:val="FootnoteAnchor"/>
          <w:rtl w:val="true"/>
        </w:rPr>
        <w:footnoteReference w:id="376"/>
      </w:r>
      <w:r>
        <w:rPr>
          <w:rFonts w:ascii="Amiri" w:hAnsi="Amiri" w:eastAsia="Amiri" w:cs="Amiri"/>
          <w:color w:val="111111"/>
          <w:sz w:val="28"/>
          <w:sz w:val="28"/>
          <w:szCs w:val="28"/>
          <w:rtl w:val="true"/>
          <w:lang w:bidi="ar-SA"/>
        </w:rPr>
        <w:t xml:space="preserve">، ومنه استنبطوا إخراج ما يخصه حال الغيبة للأصناف، و مستنده ضعيف مرسل </w:t>
      </w:r>
      <w:r>
        <w:rPr>
          <w:rStyle w:val="FootnoteAnchor"/>
          <w:rtl w:val="true"/>
        </w:rPr>
        <w:footnoteReference w:id="377"/>
      </w:r>
      <w:r>
        <w:rPr>
          <w:rFonts w:ascii="IRNazanin" w:hAnsi="IRNazanin" w:eastAsia="IRNazanin"/>
          <w:color w:val="111111"/>
          <w:sz w:val="28"/>
          <w:sz w:val="28"/>
          <w:szCs w:val="28"/>
          <w:rtl w:val="true"/>
          <w:lang w:bidi="fa-IR"/>
        </w:rPr>
        <w:t>، وأمره ملتبس جداً، والله تعالى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النقل مع وجود المستحِقٌ فَيَضْمَنُ، ولاضمان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مع الضمان كالزكاة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التصرُّفُ في حقه بغير إذنه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حالَ ظهوره، أما حال غيبته فإنّ ذلك كله مباح لشيعته عدا ميراث مَنْ لا وارث له ففي مستحقه خلاف يأتي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bookmarkStart w:id="295" w:name="pg10189_116060"/>
    </w:p>
    <w:p>
      <w:pPr>
        <w:pStyle w:val="Heading3"/>
        <w:numPr>
          <w:ilvl w:val="2"/>
          <w:numId w:val="1"/>
        </w:numPr>
        <w:rPr/>
      </w:pPr>
      <w:bookmarkStart w:id="296" w:name="__RefHeading___Toc2156540_1067777946"/>
      <w:bookmarkStart w:id="297" w:name="_Toc111"/>
      <w:bookmarkEnd w:id="295"/>
      <w:bookmarkEnd w:id="296"/>
      <w:r>
        <w:rPr>
          <w:rtl w:val="true"/>
        </w:rPr>
        <w:t>كتاب الصوم</w:t>
      </w:r>
      <w:bookmarkEnd w:id="297"/>
    </w:p>
    <w:p>
      <w:pPr>
        <w:pStyle w:val="Heading4"/>
        <w:numPr>
          <w:ilvl w:val="3"/>
          <w:numId w:val="1"/>
        </w:numPr>
        <w:rPr/>
      </w:pPr>
      <w:bookmarkStart w:id="298" w:name="__RefHeading___Toc2156542_1067777946"/>
      <w:bookmarkStart w:id="299" w:name="_Toc112"/>
      <w:bookmarkEnd w:id="298"/>
      <w:r>
        <w:rPr>
          <w:rtl w:val="true"/>
        </w:rPr>
        <w:t>المقصد الأوّل في ماهية الصوم</w:t>
      </w:r>
      <w:bookmarkEnd w:id="299"/>
    </w:p>
    <w:p>
      <w:pPr>
        <w:pStyle w:val="Heading5"/>
        <w:numPr>
          <w:ilvl w:val="4"/>
          <w:numId w:val="1"/>
        </w:numPr>
        <w:rPr/>
      </w:pPr>
      <w:bookmarkStart w:id="300" w:name="__RefHeading___Toc2156544_1067777946"/>
      <w:bookmarkStart w:id="301" w:name="_Toc113"/>
      <w:bookmarkEnd w:id="300"/>
      <w:r>
        <w:rPr>
          <w:rtl w:val="true"/>
        </w:rPr>
        <w:t>[</w:t>
      </w:r>
      <w:r>
        <w:rPr>
          <w:rtl w:val="true"/>
        </w:rPr>
        <w:t>الفصل الأول</w:t>
      </w:r>
      <w:r>
        <w:rPr>
          <w:rtl w:val="true"/>
        </w:rPr>
        <w:t xml:space="preserve">: </w:t>
      </w:r>
      <w:r>
        <w:rPr>
          <w:rtl w:val="true"/>
        </w:rPr>
        <w:t xml:space="preserve">النيّة </w:t>
      </w:r>
      <w:r>
        <w:rPr>
          <w:rtl w:val="true"/>
        </w:rPr>
        <w:t>]</w:t>
      </w:r>
      <w:bookmarkEnd w:id="301"/>
    </w:p>
    <w:p>
      <w:pPr>
        <w:pStyle w:val="BookText"/>
        <w:rPr/>
      </w:pPr>
      <w:r>
        <w:rPr>
          <w:rFonts w:ascii="Amiri" w:hAnsi="Amiri" w:eastAsia="Amiri" w:cs="Amiri"/>
          <w:color w:val="111111"/>
          <w:sz w:val="28"/>
          <w:sz w:val="28"/>
          <w:szCs w:val="28"/>
          <w:rtl w:val="true"/>
          <w:lang w:bidi="ar-SA"/>
        </w:rPr>
        <w:t>المقصد الأول في ماهية الصوم</w:t>
      </w:r>
    </w:p>
    <w:p>
      <w:pPr>
        <w:pStyle w:val="BookText"/>
        <w:rPr/>
      </w:pPr>
      <w:r>
        <w:rPr>
          <w:rFonts w:ascii="Amiri" w:hAnsi="Amiri" w:eastAsia="Amiri" w:cs="Amiri"/>
          <w:color w:val="111111"/>
          <w:sz w:val="28"/>
          <w:sz w:val="28"/>
          <w:szCs w:val="28"/>
          <w:rtl w:val="true"/>
          <w:lang w:bidi="ar-SA"/>
        </w:rPr>
        <w:t>المقصد الثاني في أقسامه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الثالث في الاعتكاف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وشرعاً توطين النفس على الامتناع عن المفطرات مع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فَسادُ هذا التعريف وكَوْنُه غير مانع؛ لشموله من وطن نفسه على ذلك ساعة واحدة وأقل ناوياً وإرادة النية المعهودة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تصاحب إلا التوطين على صَوْم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دوري من حيث أخذ المفطرات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بها مُفسِدات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يندفع بكون المراد منها الأشياء المخصوصة لا من حيث هي موصوفة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وشرطها القصدُ إلى الصَوْم في يوم معين لوجوبه أو ندبه متقرباً إلى الله تعالى به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شبهة في كَوْن النية القصد المخصوص، فجعله شرطاً لها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غلب على القصد الشرطية باعتبار ما يصاحبه من الأمور المعتبرة الخارجة عنه من </w:t>
      </w:r>
    </w:p>
    <w:p>
      <w:pPr>
        <w:pStyle w:val="BookText"/>
        <w:rPr/>
      </w:pPr>
      <w:r>
        <w:rPr>
          <w:rFonts w:ascii="Amiri" w:hAnsi="Amiri" w:eastAsia="Amiri" w:cs="Amiri"/>
          <w:color w:val="111111"/>
          <w:sz w:val="28"/>
          <w:sz w:val="28"/>
          <w:szCs w:val="28"/>
          <w:rtl w:val="true"/>
          <w:lang w:bidi="ar-SA"/>
        </w:rPr>
        <w:t>الوجوب والقربة وغيرها، فإنّ إطلاق الشرطية عليها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والنذر المعيَّن على 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نَذَر الصَوْمَ غداً عن قضاء رمضان ففي الاكتفاء بالإطلاق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تعيين القضاء دون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أنّ النذر متعين باليوم لا يجب في غيره ولا يصح تأخيره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كرمضان بخلاف القضاء، فإنّه واجب قبل النذر وبعده، وجميع الأيام صالحة له والنذر إنّما أوجبته فوريته في ذلك اليوم ولم تخرجه عن الوجوب في غيره، وإن حرم تأخيره باعتبار الفورية فيه كغيره من الواجبات الفورية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النَفْل قول إلى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w:t>
      </w:r>
      <w:r>
        <w:rPr>
          <w:rStyle w:val="FootnoteAnchor"/>
          <w:rtl w:val="true"/>
        </w:rPr>
        <w:footnoteReference w:id="380"/>
      </w:r>
      <w:r>
        <w:rPr>
          <w:rFonts w:ascii="Amiri" w:hAnsi="Amiri" w:eastAsia="Amiri" w:cs="Amiri"/>
          <w:color w:val="111111"/>
          <w:sz w:val="28"/>
          <w:sz w:val="28"/>
          <w:szCs w:val="28"/>
          <w:rtl w:val="true"/>
          <w:lang w:bidi="ar-SA"/>
        </w:rPr>
        <w:t>قوي، وعليه شواهد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صحيحة هشام بن سالم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لكن إن نوى قبل الزوال أثبت على مجموع النهار، وإن نوى بعده حسب له ما بعد النية خاصةً، وبهذا التفصيل صرّحت الرواية المذكورة وهي جامعة بذلك بين الأخبار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يعتبر أن يبقى من النهار بعد النية جزء تتوجه النيّة إلى الإمساك فيه وإن قل، وفي الرواية تنبيه عليه حيث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نواه بعد الزوال حسب له من الوقت الذي نوى فإنّه إذا لم يبق من النهار بعد النية شيء لا يُحسب له شيء، وإن كان إطلاق ما بعد الزوال شاملاً لباقي النهار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الشارح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لانعرف به نصاً</w:t>
      </w:r>
      <w:r>
        <w:rPr>
          <w:rStyle w:val="FootnoteAnchor"/>
          <w:rtl w:val="true"/>
        </w:rPr>
        <w:footnoteReference w:id="382"/>
      </w:r>
      <w:r>
        <w:rPr>
          <w:rFonts w:ascii="Amiri" w:hAnsi="Amiri" w:eastAsia="Amiri" w:cs="Amiri"/>
          <w:color w:val="111111"/>
          <w:sz w:val="28"/>
          <w:sz w:val="28"/>
          <w:szCs w:val="28"/>
          <w:rtl w:val="true"/>
          <w:lang w:bidi="ar-SA"/>
        </w:rPr>
        <w:t>،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أفطّر فى أثنائه استأنف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الأصح عدم الاستئناف؛ لأنه إما نفس رمضان أو غيره على وجه مانعة الخلو، </w:t>
      </w:r>
    </w:p>
    <w:p>
      <w:pPr>
        <w:pStyle w:val="BookText"/>
        <w:rPr/>
      </w:pPr>
      <w:r>
        <w:rPr>
          <w:rFonts w:ascii="Amiri" w:hAnsi="Amiri" w:eastAsia="Amiri" w:cs="Amiri"/>
          <w:color w:val="111111"/>
          <w:sz w:val="28"/>
          <w:sz w:val="28"/>
          <w:szCs w:val="28"/>
          <w:rtl w:val="true"/>
          <w:lang w:bidi="ar-SA"/>
        </w:rPr>
        <w:t>وعلى التقديرين لا يتوجّه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شهر رمضانُ ثلاثين لم يَكفِهِ شهرُ ناقص 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انكشف له شهر رمضان وكان تاماً لم يكفه عنه شهر هلالي ناقص، سواء كان قد صامه أم لا، بل يجب عليه إكمال الثلاثين ولو بيوم إن كان قدصام شهراً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قدَّم النية على الشهر ونسى عندَه، لم يُجْزِئه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النيّة المقدّمة على الشهر لا تُجزى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في كُلِّ ليلةٍ من نيّةٍ على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نوی غیر رمضان فيه فرضاً أو نفلاً ففى الإجزاء عن رمضانَ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يُجْزِئُ مع العلم بكونه فيه، ويُجْزِئُ مع الجهل والنسيان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الوجوب إن كان من ،رمضان والندب إن كان من شعبان لم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الإجزاء قوة خصوصاً على القول بعدم اعتبار نية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نواه عن قضاء رمضان وأفطر بعد الزوال عَمْداً، ثمّ ظهر أنه من رمضان ففي الكفّارة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الوجوب عن رمضان؛ لعدم تيقنه، ولا عن القضاء؛ لظهور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ومعه ففي تعيينها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بوجوبها لكان ينبغي أن يكون عن القضاء؛ لأنه هو الذي هتكه وقد كلف به ظاهراً حال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الإفطار في يومٍ من ،رمضانَ ثمّ جدّد نيّة الصَوْم قبل الزوال لم ينعقد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عاد إلى نيّة الصَوْم صح على إشكال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الصحة في الموضعين</w:t>
      </w:r>
      <w:r>
        <w:rPr>
          <w:rFonts w:eastAsia="Amiri" w:cs="Amiri" w:ascii="Amiri" w:hAnsi="Amiri"/>
          <w:color w:val="111111"/>
          <w:sz w:val="28"/>
          <w:szCs w:val="28"/>
          <w:rtl w:val="true"/>
          <w:lang w:bidi="ar-SA"/>
        </w:rPr>
        <w:t xml:space="preserve">. </w:t>
      </w:r>
      <w:bookmarkStart w:id="302" w:name="pg10189_116065"/>
    </w:p>
    <w:p>
      <w:pPr>
        <w:pStyle w:val="Heading5"/>
        <w:numPr>
          <w:ilvl w:val="4"/>
          <w:numId w:val="1"/>
        </w:numPr>
        <w:rPr/>
      </w:pPr>
      <w:bookmarkStart w:id="303" w:name="__RefHeading___Toc2156546_1067777946"/>
      <w:bookmarkStart w:id="304" w:name="_Toc114"/>
      <w:bookmarkEnd w:id="302"/>
      <w:bookmarkEnd w:id="303"/>
      <w:r>
        <w:rPr>
          <w:rtl w:val="true"/>
        </w:rPr>
        <w:t xml:space="preserve">[ </w:t>
      </w:r>
      <w:r>
        <w:rPr>
          <w:rtl w:val="true"/>
        </w:rPr>
        <w:t>الفصل الثاني في الإمساك</w:t>
      </w:r>
      <w:r>
        <w:rPr>
          <w:rtl w:val="true"/>
        </w:rPr>
        <w:t>]</w:t>
      </w:r>
      <w:bookmarkEnd w:id="304"/>
    </w:p>
    <w:p>
      <w:pPr>
        <w:pStyle w:val="Heading6"/>
        <w:numPr>
          <w:ilvl w:val="5"/>
          <w:numId w:val="1"/>
        </w:numPr>
        <w:rPr/>
      </w:pPr>
      <w:bookmarkStart w:id="305" w:name="__RefHeading___Toc2156548_1067777946"/>
      <w:bookmarkStart w:id="306" w:name="_Toc115"/>
      <w:bookmarkEnd w:id="305"/>
      <w:r>
        <w:rPr>
          <w:rtl w:val="true"/>
        </w:rPr>
        <w:t>[</w:t>
      </w:r>
      <w:r>
        <w:rPr>
          <w:rtl w:val="true"/>
        </w:rPr>
        <w:t xml:space="preserve">المطلب الأوّل فيما يُمسَكُ عنه </w:t>
      </w:r>
      <w:r>
        <w:rPr>
          <w:rtl w:val="true"/>
        </w:rPr>
        <w:t>]</w:t>
      </w:r>
      <w:bookmarkEnd w:id="30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إيصال الغبار الغليظ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على دليل يدلّ على اعتبار غلظ الغبار، وحينئذٍ فالأقوى وجوب الإمساك عنه مطلقاً حيث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الحُقْنة بالمائع وفي الإفساد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وبالجامد قول بالجواز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قوي والمراد به نحو الفتائل وفي إطلاق الحُقْنَة عليه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والموجود في النصوص</w:t>
      </w:r>
      <w:r>
        <w:rPr>
          <w:rStyle w:val="FootnoteAnchor"/>
          <w:rtl w:val="true"/>
        </w:rPr>
        <w:footnoteReference w:id="383"/>
      </w:r>
      <w:r>
        <w:rPr>
          <w:rFonts w:ascii="Amiri" w:hAnsi="Amiri" w:eastAsia="Amiri" w:cs="Amiri"/>
          <w:color w:val="111111"/>
          <w:sz w:val="28"/>
          <w:sz w:val="28"/>
          <w:szCs w:val="28"/>
          <w:rtl w:val="true"/>
          <w:lang w:bidi="ar-SA"/>
        </w:rPr>
        <w:t>استدخال الدواء ونحوه،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الارتماس في الماء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أصل الارتماسِ غَمْس الرأس في المائع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كان أم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 البدن، وفي معناه إصابته له دفعة عرفية كذلك؛ ومن ثم اختلفت العبارة في تفسيره، فمَن فسَّره بأنه غَمْس الرأس </w:t>
      </w:r>
      <w:r>
        <w:rPr>
          <w:rStyle w:val="FootnoteAnchor"/>
          <w:rtl w:val="true"/>
        </w:rPr>
        <w:footnoteReference w:id="384"/>
      </w:r>
      <w:r>
        <w:rPr>
          <w:rFonts w:ascii="Amiri" w:hAnsi="Amiri" w:eastAsia="Amiri" w:cs="Amiri"/>
          <w:color w:val="111111"/>
          <w:sz w:val="28"/>
          <w:sz w:val="28"/>
          <w:szCs w:val="28"/>
          <w:rtl w:val="true"/>
          <w:lang w:bidi="ar-SA"/>
        </w:rPr>
        <w:t xml:space="preserve">اعتبر أصل معناه، ومن فشره بأنه ملاقاة الرأس لمائع غامر </w:t>
      </w:r>
      <w:r>
        <w:rPr>
          <w:rStyle w:val="FootnoteAnchor"/>
          <w:rtl w:val="true"/>
        </w:rPr>
        <w:footnoteReference w:id="385"/>
      </w:r>
      <w:r>
        <w:rPr>
          <w:rFonts w:ascii="Amiri" w:hAnsi="Amiri" w:eastAsia="Amiri" w:cs="Amiri"/>
          <w:color w:val="111111"/>
          <w:sz w:val="28"/>
          <w:sz w:val="28"/>
          <w:szCs w:val="28"/>
          <w:rtl w:val="true"/>
          <w:lang w:bidi="ar-SA"/>
        </w:rPr>
        <w:t>نظر إليه وإلى ما في حكمه، وكلاهما حسن وإن كان الثاني أشمل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الإفساد بهما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الإفساد بهما؛ لأصالة الصحة والنهي عنهما مع خروجهما عن حقيقة الصَوْم لا يدلُّ على أزيد من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أغرب من أوجب بهما الكفّارة </w:t>
      </w:r>
      <w:r>
        <w:rPr>
          <w:rStyle w:val="FootnoteAnchor"/>
          <w:rtl w:val="true"/>
        </w:rPr>
        <w:footnoteReference w:id="386"/>
      </w:r>
      <w:r>
        <w:rPr>
          <w:rFonts w:ascii="Amiri" w:hAnsi="Amiri" w:eastAsia="Amiri" w:cs="Amiri"/>
          <w:color w:val="111111"/>
          <w:sz w:val="28"/>
          <w:sz w:val="28"/>
          <w:szCs w:val="28"/>
          <w:rtl w:val="true"/>
          <w:lang w:bidi="ar-SA"/>
        </w:rPr>
        <w:t xml:space="preserve">خصوصاً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على أصله في خبر الواحد، فإنّه في الارتماس إنّما دلَّ على عدم ضرورة مجتنبة، وظاهر أنه لا يدلّ على الإفساد فضلاً عن غيره؛ وفي الثاني ضعيف السند دالّ على بعض الوضوء والصوم، وظاهره غير مراد ولادال على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أمنى عقيب الاستمناء أو لَمْس امرأةٍ فسد صَوْمه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يجب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عطفاً على الاستمناء؛ ليستلزم الإمناء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ومستند الحكم في اللمس صحيحة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يعبث بأهله في شهر رمضانَ حتّى يُمني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من الكفّارة مثل ما على الذي يجامع</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لمس أجنبيّةً فأمنى فكذلك بطريق أولى، وبهذا يُفَرّق بين اللمس والنظرِ والاستمتاع حيث لا نص فيهما بخصوصهما، فيرجع إلى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أمنى عقيب النظر إلى امرأة أو الاستماع، لم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يقصد الإمناء، أو لم يكن معتاداً لذلك عقيبهما، وإلا 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المحللة والمحرمة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الجاهل للحكم والناسي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لم يفسد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للحكم هنا؛ لتقصيره في التعلّم إن كان جهله بالحكم </w:t>
      </w:r>
      <w:bookmarkStart w:id="307" w:name="pg10189_116067"/>
    </w:p>
    <w:p>
      <w:pPr>
        <w:pStyle w:val="BookText"/>
        <w:rPr/>
      </w:pPr>
      <w:bookmarkEnd w:id="307"/>
      <w:r>
        <w:rPr>
          <w:rFonts w:ascii="Amiri" w:hAnsi="Amiri" w:eastAsia="Amiri" w:cs="Amiri"/>
          <w:color w:val="111111"/>
          <w:sz w:val="28"/>
          <w:sz w:val="28"/>
          <w:szCs w:val="28"/>
          <w:rtl w:val="true"/>
          <w:lang w:bidi="ar-SA"/>
        </w:rPr>
        <w:t>الشرعي وإقدامه على المُحَرَّم، وإن كان جهله للحكم الوضعي فيكون في معنى العامد وذهب جماعة من الأصحاب</w:t>
      </w:r>
      <w:r>
        <w:rPr>
          <w:rStyle w:val="FootnoteAnchor"/>
          <w:rtl w:val="true"/>
        </w:rPr>
        <w:footnoteReference w:id="389"/>
      </w:r>
      <w:r>
        <w:rPr>
          <w:rFonts w:ascii="IRNazanin" w:hAnsi="IRNazanin" w:eastAsia="IRNazanin"/>
          <w:color w:val="111111"/>
          <w:sz w:val="28"/>
          <w:sz w:val="28"/>
          <w:szCs w:val="28"/>
          <w:rtl w:val="true"/>
          <w:lang w:bidi="fa-IR"/>
        </w:rPr>
        <w:t>إلى إعذاره هنا؛ لرواية زرارةً وأبي بصير،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أتى أهله في شهر رمضان، وهو لا يرى إلا أن ذلك حلال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شيء</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طريقها ابن فضال، لكنّها متأيّدة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 عن أُمَّتى الخطأ والنسيان</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وهذا ضرب من الخطا،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الناسُ في سَعةٍ ممّا لا يعلمون</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فلابأس بهذا القول</w:t>
      </w:r>
      <w:r>
        <w:rPr>
          <w:rFonts w:eastAsia="IRNazanin" w:cs="IRNazanin"/>
          <w:color w:val="111111"/>
          <w:sz w:val="28"/>
          <w:szCs w:val="28"/>
          <w:rtl w:val="true"/>
          <w:lang w:bidi="fa-IR"/>
        </w:rPr>
        <w:t>.</w:t>
      </w:r>
    </w:p>
    <w:p>
      <w:pPr>
        <w:pStyle w:val="Heading6"/>
        <w:numPr>
          <w:ilvl w:val="5"/>
          <w:numId w:val="1"/>
        </w:numPr>
        <w:rPr/>
      </w:pPr>
      <w:bookmarkStart w:id="308" w:name="__RefHeading___Toc2156550_1067777946"/>
      <w:bookmarkStart w:id="309" w:name="_Toc116"/>
      <w:bookmarkEnd w:id="308"/>
      <w:r>
        <w:rPr>
          <w:rtl w:val="true"/>
        </w:rPr>
        <w:t>[</w:t>
      </w:r>
      <w:r>
        <w:rPr>
          <w:rtl w:val="true"/>
        </w:rPr>
        <w:t>المطلب الثاني فيما يوجب الإفطار</w:t>
      </w:r>
      <w:r>
        <w:rPr>
          <w:rtl w:val="true"/>
        </w:rPr>
        <w:t>]</w:t>
      </w:r>
      <w:bookmarkEnd w:id="30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وبالغروب للتقليد، أو للظلمة المُوهِمَة، ولو ظَنّ لم يُفْطِر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أطلق المصنف رحمه الله ولا نصّ عليه بخصوصه يوجب ذلك، وحينئذٍ فالأصح أن يقال في صورة الخَطا مع التقليد أنّه إن وقع ممَّن له ذلك كالمعذور وجب عليه القضاء، وإن وقع ممَّن ليس له التقليد كما هو الظاهر هنا وجب القضاء والكفّارة مع الخَطَ المفروض، ومع استمرار الاشتباه أيضاً؛ لأصالة عدم الدخول مع الإفطار عمداً وقت يحكم ظاهراً بكونه نهار رمضان ، إلا أن يجهل الحكم في ذلك فيبني على حكم الجاهل والمصنف لا يعذره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تبيَّن الإصابة أثم خاصة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صورة الإفطار للظلمة الموهمة دخول الليل أي لا يحصل معها ظن غالب </w:t>
      </w:r>
    </w:p>
    <w:p>
      <w:pPr>
        <w:pStyle w:val="BookText"/>
        <w:rPr/>
      </w:pPr>
      <w:r>
        <w:rPr>
          <w:rFonts w:ascii="Amiri" w:hAnsi="Amiri" w:eastAsia="Amiri" w:cs="Amiri"/>
          <w:color w:val="111111"/>
          <w:sz w:val="28"/>
          <w:sz w:val="28"/>
          <w:szCs w:val="28"/>
          <w:rtl w:val="true"/>
          <w:lang w:bidi="ar-SA"/>
        </w:rPr>
        <w:t>بدخوله، بل مرجوح على ما يقتضيه إطلاق معناها وجعلها قسيمة للظن، يجب القضاء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علم أنّ مثل ذلك لا يجوز الإفطار وجبت الكفّارة أيضاً وإلّا بنى على حكم الجاهل وكذا القول مع الشك، بل ظنّ الدخول حيث يكون له طريق إلى العلم، ولو لم يكن له طريق إليه جاز الإفطار به ثمّ إن تَبَيَّنَتِ المطابَقَةُ أو استَمَرَّ الاشتباه فلا قضاءَ ، وإِن ظَهَرَتِ المخالَفَةُ فقولانِ</w:t>
      </w:r>
      <w:r>
        <w:rPr>
          <w:rStyle w:val="FootnoteAnchor"/>
          <w:rtl w:val="true"/>
        </w:rPr>
        <w:footnoteReference w:id="393"/>
      </w:r>
      <w:r>
        <w:rPr>
          <w:rFonts w:ascii="Amiri" w:hAnsi="Amiri" w:eastAsia="Amiri" w:cs="Amiri"/>
          <w:color w:val="111111"/>
          <w:sz w:val="28"/>
          <w:sz w:val="28"/>
          <w:szCs w:val="28"/>
          <w:rtl w:val="true"/>
          <w:lang w:bidi="ar-SA"/>
        </w:rPr>
        <w:t>، أجودُهما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تقليد المُخبر بالطلوع لظنّ كذبه حالةَ التناوُلِ؛ وتعمُّدُ القَيء، فلو ذَرَعَه 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حاكماً، أو عدلين فيكون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والحُقْنةُ بالمائع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أنها لا تفسد وإن حرمت</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الصلاة وإن كانت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الأجود في مَضْمَضَةِ صلاة النافلة القضاء؛ لحسنة حمّادٍ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الإفطار بالإمناء عقيب النظر إلى المحرمة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الإفطار مع قصده أو اعتياده كالمحلّلة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إلحاق العابث بالمَضْمَضَة، أو طَرْح الخَرَز وشبهه في الفم مع ابتلاعه من غير قصد بالتبرُّد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القضاءُ، هذا إذا لم يقصّر في التحفظ وإلا وجبت الكفّارة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إلحاق وصول الدواء إلى الجوف من الإحليل بالحقنة بالمائع نظر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الأقوى عدم الإلحاق </w:t>
      </w:r>
      <w:r>
        <w:rPr>
          <w:rFonts w:eastAsia="IRNazanin" w:cs="IRNazanin"/>
          <w:color w:val="111111"/>
          <w:sz w:val="28"/>
          <w:szCs w:val="28"/>
          <w:rtl w:val="true"/>
          <w:lang w:bidi="fa-IR"/>
        </w:rPr>
        <w:t xml:space="preserve">. </w:t>
      </w:r>
      <w:bookmarkStart w:id="310" w:name="pg10189_116069"/>
    </w:p>
    <w:p>
      <w:pPr>
        <w:pStyle w:val="BookText"/>
        <w:rPr/>
      </w:pPr>
      <w:bookmarkEnd w:id="310"/>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والسعوط </w:t>
      </w:r>
      <w:r>
        <w:rPr>
          <w:rStyle w:val="FootnoteAnchor"/>
          <w:rtl w:val="true"/>
        </w:rPr>
        <w:footnoteReference w:id="395"/>
      </w:r>
      <w:r>
        <w:rPr>
          <w:rFonts w:ascii="Amiri" w:hAnsi="Amiri" w:eastAsia="Amiri" w:cs="Amiri"/>
          <w:color w:val="111111"/>
          <w:sz w:val="28"/>
          <w:sz w:val="28"/>
          <w:szCs w:val="28"/>
          <w:rtl w:val="true"/>
          <w:lang w:bidi="ar-SA"/>
        </w:rPr>
        <w:t>بما يتعدى الحلق كالابتلاع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أنّه إذا وصل إلى الحلق وإن لم يتعدّه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المتناولات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العبارة تجوُّز بسبب ترك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قدر على قطعها من مجراها فتركها حتى نزلت فالأقرب عدم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قصر في التخليل فالأقرب القضاءُ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2156552_1067777946"/>
      <w:bookmarkStart w:id="312" w:name="_Toc117"/>
      <w:bookmarkEnd w:id="311"/>
      <w:r>
        <w:rPr>
          <w:rtl w:val="true"/>
        </w:rPr>
        <w:t>[</w:t>
      </w:r>
      <w:r>
        <w:rPr>
          <w:rtl w:val="true"/>
        </w:rPr>
        <w:t xml:space="preserve">المطلب الثالث فيما يجب بالإفطار </w:t>
      </w:r>
      <w:r>
        <w:rPr>
          <w:rtl w:val="true"/>
        </w:rPr>
        <w:t>]</w:t>
      </w:r>
      <w:bookmarkEnd w:id="31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 الغليظ إلى الحلق متعمداً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مطلق الغبار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مُعاوَدَةِ الجُنُب النوْمَ ثالثاً عقيب انتباهَتَيْن مع تمكنه من الغُسْل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مشهور بين الأصحاب</w:t>
      </w:r>
      <w:r>
        <w:rPr>
          <w:rStyle w:val="FootnoteAnchor"/>
          <w:rtl w:val="true"/>
        </w:rPr>
        <w:footnoteReference w:id="396"/>
      </w:r>
      <w:r>
        <w:rPr>
          <w:rFonts w:ascii="Amiri" w:hAnsi="Amiri" w:eastAsia="Amiri" w:cs="Amiri"/>
          <w:color w:val="111111"/>
          <w:sz w:val="28"/>
          <w:sz w:val="28"/>
          <w:szCs w:val="28"/>
          <w:rtl w:val="true"/>
          <w:lang w:bidi="ar-SA"/>
        </w:rPr>
        <w:t xml:space="preserve">، بل كثير منهم لم يذكر فيه خلافاً، ومستنده غير واضح والحكم به بمجرَّد الشهرة مشكل؛ والشيخ في التهذيب استدلّ عليه بروايات </w:t>
      </w:r>
      <w:r>
        <w:rPr>
          <w:rStyle w:val="FootnoteAnchor"/>
          <w:rtl w:val="true"/>
        </w:rPr>
        <w:footnoteReference w:id="397"/>
      </w:r>
      <w:r>
        <w:rPr>
          <w:rFonts w:ascii="Amiri" w:hAnsi="Amiri" w:eastAsia="Amiri" w:cs="Amiri"/>
          <w:color w:val="111111"/>
          <w:sz w:val="28"/>
          <w:sz w:val="28"/>
          <w:szCs w:val="28"/>
          <w:rtl w:val="true"/>
          <w:lang w:bidi="ar-SA"/>
        </w:rPr>
        <w:t>ليس فيها شيء يدلُّ عليه بوجةٍ، مع ضعف سند أكثرها</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وتتكرّر الكفّارة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تكرر الكفّارة بتكرر الموجب في يوم واحد على أقوال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التكرر مطلقاً </w:t>
      </w:r>
      <w:r>
        <w:rPr>
          <w:rStyle w:val="FootnoteAnchor"/>
          <w:rtl w:val="true"/>
        </w:rPr>
        <w:footnoteReference w:id="399"/>
      </w:r>
      <w:r>
        <w:rPr>
          <w:rFonts w:ascii="Amiri" w:hAnsi="Amiri" w:eastAsia="Amiri" w:cs="Amiri"/>
          <w:color w:val="111111"/>
          <w:sz w:val="28"/>
          <w:sz w:val="28"/>
          <w:szCs w:val="28"/>
          <w:rtl w:val="true"/>
          <w:lang w:bidi="ar-SA"/>
        </w:rPr>
        <w:t xml:space="preserve">لأنّ كلَّ واحد سبب في وجوب الكفارة لو انفرد، </w:t>
      </w:r>
    </w:p>
    <w:p>
      <w:pPr>
        <w:pStyle w:val="BookText"/>
        <w:rPr/>
      </w:pPr>
      <w:r>
        <w:rPr>
          <w:rFonts w:ascii="IRNazanin" w:hAnsi="IRNazanin" w:eastAsia="IRNazanin"/>
          <w:color w:val="111111"/>
          <w:sz w:val="28"/>
          <w:sz w:val="28"/>
          <w:szCs w:val="28"/>
          <w:rtl w:val="true"/>
          <w:lang w:bidi="fa-IR"/>
        </w:rPr>
        <w:t>والأصل عدم تداخل الأسباب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مطلقاً </w:t>
      </w:r>
      <w:r>
        <w:rPr>
          <w:rStyle w:val="FootnoteAnchor"/>
          <w:rtl w:val="true"/>
        </w:rPr>
        <w:footnoteReference w:id="400"/>
      </w:r>
      <w:r>
        <w:rPr>
          <w:rFonts w:ascii="Amiri" w:hAnsi="Amiri" w:eastAsia="Amiri" w:cs="Amiri"/>
          <w:color w:val="111111"/>
          <w:sz w:val="28"/>
          <w:sz w:val="28"/>
          <w:szCs w:val="28"/>
          <w:rtl w:val="true"/>
          <w:lang w:bidi="ar-SA"/>
        </w:rPr>
        <w:t>لتحقق الإفطار بالأوّل، فلم يصادف المتأخّر عنه صَوْماً صحيحاً، ووجوب الإمساك بعده لا يستلزمها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مافصل به المصنّف</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مع التغاير ما تقدم، ومع التغاير ما تقدم، ومع الاتحاد وتخلل التكفير أنّ الكفّارة وقعت عن السابق، فلا يجوز إخلاء المتأخر عنها عن الحكم مع إيجابه لوانفرد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ذلك يوجب الحكم مع الاتفاق، وهو لا يقول به</w:t>
      </w:r>
    </w:p>
    <w:p>
      <w:pPr>
        <w:pStyle w:val="BookText"/>
        <w:rPr/>
      </w:pPr>
      <w:r>
        <w:rPr>
          <w:rFonts w:ascii="IRNazanin" w:hAnsi="IRNazanin" w:eastAsia="IRNazanin"/>
          <w:color w:val="111111"/>
          <w:sz w:val="28"/>
          <w:sz w:val="28"/>
          <w:szCs w:val="28"/>
          <w:rtl w:val="true"/>
          <w:lang w:bidi="fa-IR"/>
        </w:rPr>
        <w:t xml:space="preserve">وزاد بعضُهم في التفصيل تكرر الجماع لرواية وردت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ذلك يتبع النصوص الدالة على وجوب الكفارة بتلك الأسباب، فإن كانت دالّةً على من فعل ذلك في نهار رمضان ونحوه فالقول الأول متعيّن فيه، وإن كانت دالة على من أفطر بها فيه، ونحوه فالثاني، والتفصيل غير متوجّه ونحن قد تتبعناها فلم نجدها دالة إلا على المعنى الثاني، فكان القول به أقوى، ورواية التكرّر بالجماع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والأقربُ التحمُّل عن الأجنبيّة والأمة المُكْرَهَتَيْن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عدمه فيهما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ظَنّ الأكلُ ناسياً الفَساد فتَعمَّده وجبت الكفّارة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جملة أفرادِ جاهل الحكم؛ لأنّ المراد به مَن لا يعلم حكم ما فعله من المفطرات سواء جهل حكم نوعه، كما لو جهل هنا تحريم الأكل مطلقاً، أو شخصه بأن علم ذلك ولكن جهل تحريم هذا القدر الخاص كالمسألة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جهل تحريم تناول من أفطر ناسياً وإن علم تحريم الأكل وهذا هو جاهل الحكم الشرعي، وقد يعلم </w:t>
      </w:r>
    </w:p>
    <w:p>
      <w:pPr>
        <w:pStyle w:val="BookText"/>
        <w:rPr/>
      </w:pPr>
      <w:r>
        <w:rPr>
          <w:rFonts w:ascii="Amiri" w:hAnsi="Amiri" w:eastAsia="Amiri" w:cs="Amiri"/>
          <w:color w:val="111111"/>
          <w:sz w:val="28"/>
          <w:sz w:val="28"/>
          <w:szCs w:val="28"/>
          <w:rtl w:val="true"/>
          <w:lang w:bidi="ar-SA"/>
        </w:rPr>
        <w:t>تحريم التناوُلِ مطلقاً ويجهل الإفساد به وهو جاهل الحكم الوضعي، وهو من أفراد جاهل الحكم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وجوب الكفّارة هنا يبنى على عدم إعذار جاهل الحكم مطلقاً، 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جهلُ الأصل فلا يتصوّر هنا، وما وقع في حاشية شيخنا الشهيد</w:t>
      </w:r>
      <w:r>
        <w:rPr>
          <w:rStyle w:val="FootnoteAnchor"/>
          <w:rtl w:val="true"/>
        </w:rPr>
        <w:footnoteReference w:id="403"/>
      </w:r>
      <w:r>
        <w:rPr>
          <w:rFonts w:ascii="Amiri" w:hAnsi="Amiri" w:eastAsia="Amiri" w:cs="Amiri"/>
          <w:color w:val="111111"/>
          <w:sz w:val="28"/>
          <w:sz w:val="28"/>
          <w:szCs w:val="28"/>
          <w:rtl w:val="true"/>
          <w:lang w:bidi="ar-SA"/>
        </w:rPr>
        <w:t>من الكلام على جاهل الأصل، وأنّ فيه وجهين فإنّما يريد به القسم الأول من قسمي جاهل الحكم، من حيث إنّه جاهل بأصل الحكم، والثاني عالم بأصله وهو تحريم التناول لكنَّه جاهل لحكم هذا التناول الحاصل فيجوز حينئذٍ إطلاق جاهل الأصلِ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خُوّف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القضاء على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سَقَط فَرْضُ الصَوْمِ بعد إفساده فالأقرب سقوط الكفّارة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السقوط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أعتقت، ثم حاضت فالأقرب بطلانه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الأقوى عدم البطلان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قدر على أكثر من ثمانية عشر أو على الأقل فالوجه عدم الوجوب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حسن في الأوّل؛ لإطلاق النصوص </w:t>
      </w:r>
      <w:r>
        <w:rPr>
          <w:rStyle w:val="FootnoteAnchor"/>
          <w:rtl w:val="true"/>
        </w:rPr>
        <w:footnoteReference w:id="404"/>
      </w:r>
      <w:r>
        <w:rPr>
          <w:rFonts w:ascii="Amiri" w:hAnsi="Amiri" w:eastAsia="Amiri" w:cs="Amiri"/>
          <w:color w:val="111111"/>
          <w:sz w:val="28"/>
          <w:sz w:val="28"/>
          <w:szCs w:val="28"/>
          <w:rtl w:val="true"/>
          <w:lang w:bidi="ar-SA"/>
        </w:rPr>
        <w:t>بأن مَن عَجَز عن صَوْمِ الشهرين ينتقل إلى الثمانية عشر ، فلا يجب عليه الزائد، وإن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الثاني فالأقوى أنّه عليه صَوْمُ الممكن؛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بأمرٍ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313" w:name="pg10189_116072"/>
    </w:p>
    <w:p>
      <w:pPr>
        <w:pStyle w:val="BookText"/>
        <w:rPr/>
      </w:pPr>
      <w:bookmarkEnd w:id="31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قدر على العدد دون الوصف فالوجه وجوب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صام شهراً فعجز احتمل وجوب تشعة، وثمانية عشر،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الثمانية عشر؛ لدخوله في عموم مَنْ عَجَزَ عن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أجنب ليلاً وتعدّر الماء بعد تمكنه من الغُسل حتى أصبح، فالقضاء على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ظنّ عدم التمكن منه بعد ذلك، ولو علم عدمه اتجهت الكفّارة أيضاً، ومع انتفائهما فعدمها أقوى</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2156554_1067777946"/>
      <w:bookmarkStart w:id="315" w:name="_Toc118"/>
      <w:bookmarkEnd w:id="314"/>
      <w:r>
        <w:rPr>
          <w:rtl w:val="true"/>
        </w:rPr>
        <w:t>[</w:t>
      </w:r>
      <w:r>
        <w:rPr>
          <w:rtl w:val="true"/>
        </w:rPr>
        <w:t xml:space="preserve">المطلب الرابع في بقايا مَباحِثِ مُوجِباتِ الإفطار </w:t>
      </w:r>
      <w:r>
        <w:rPr>
          <w:rtl w:val="true"/>
        </w:rPr>
        <w:t>]</w:t>
      </w:r>
      <w:bookmarkEnd w:id="31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بالإفطار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الأربعة مترتب على ما صدق عليه الإفطار، لا على ماهيته من حيث هي وإلا لما تخلّفت الأربعة عنها، مع أنها لا تجتمع في كل فرد من أفراده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واجب على كلِّ تارك عمداً بردَّةٍ أو سَفَر أو مرض أو 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إدخال المرض والنوم مطلقاً في أقسام العامد تجوز ظاهر، وتغليب للأقسام على ما يوافقها في الحكم وإن لم يكن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النائم مطلقاً غير متعمد لترك الصَوْم إلّا أن ننظر إلى تعمده السبب ونجعل فاعل السبب فاعل المسبب، والمريض قديكون متعمداً كمَن تَرَكَه لتضرُّره به مع قدرته عليه في الجملة وقد تَرَكَه مع عجزه عنه أصلاً، ومثله لا يسمّى متعمداً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والمرتَدُّ عن فِطرة وغيرِها سَواءٌ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سواء في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بناءً على قبول توبة الفطري فيما بينه وبين الله تعالى، وإن تَعَيّن قتله، وتظهر الفائدة فيما لو قضى قبل القتل أو لم يتفق قتله؛ أو بمعنى أنّه يعذب على تركه كما يعذَّب على غيره من التكليفات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w:t>
      </w:r>
    </w:p>
    <w:p>
      <w:pPr>
        <w:pStyle w:val="BookText"/>
        <w:rPr/>
      </w:pPr>
      <w:r>
        <w:rPr>
          <w:rFonts w:ascii="Amiri" w:hAnsi="Amiri" w:eastAsia="Amiri" w:cs="Amiri"/>
          <w:color w:val="111111"/>
          <w:sz w:val="28"/>
          <w:sz w:val="28"/>
          <w:szCs w:val="28"/>
          <w:rtl w:val="true"/>
          <w:lang w:bidi="ar-SA"/>
        </w:rPr>
        <w:t>فَساد ما قيل من دلالة العبارة على قبول توبته وجعله من دقائقها، مع أنه خلاف مذهبه</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الثلاث بالإفطار بالمحرَّم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 به روايتان موثقة</w:t>
      </w:r>
      <w:r>
        <w:rPr>
          <w:rStyle w:val="FootnoteAnchor"/>
          <w:rtl w:val="true"/>
        </w:rPr>
        <w:footnoteReference w:id="408"/>
      </w:r>
      <w:r>
        <w:rPr>
          <w:rFonts w:ascii="Amiri" w:hAnsi="Amiri" w:eastAsia="Amiri" w:cs="Amiri"/>
          <w:color w:val="111111"/>
          <w:sz w:val="28"/>
          <w:sz w:val="28"/>
          <w:szCs w:val="28"/>
          <w:rtl w:val="true"/>
          <w:lang w:bidi="ar-SA"/>
        </w:rPr>
        <w:t xml:space="preserve">، وصحيحة </w:t>
      </w:r>
      <w:r>
        <w:rPr>
          <w:rStyle w:val="FootnoteAnchor"/>
          <w:rtl w:val="true"/>
        </w:rPr>
        <w:footnoteReference w:id="409"/>
      </w:r>
      <w:r>
        <w:rPr>
          <w:rFonts w:ascii="Amiri" w:hAnsi="Amiri" w:eastAsia="Amiri" w:cs="Amiri"/>
          <w:color w:val="111111"/>
          <w:sz w:val="28"/>
          <w:sz w:val="28"/>
          <w:szCs w:val="28"/>
          <w:rtl w:val="true"/>
          <w:lang w:bidi="ar-SA"/>
        </w:rPr>
        <w:t>، على ماشهد به المصنف في التحرير</w:t>
      </w:r>
      <w:r>
        <w:rPr>
          <w:rStyle w:val="FootnoteAnchor"/>
          <w:rtl w:val="true"/>
        </w:rPr>
        <w:footnoteReference w:id="410"/>
      </w:r>
      <w:r>
        <w:rPr>
          <w:rFonts w:ascii="IRNazanin" w:hAnsi="IRNazanin" w:eastAsia="IRNazanin"/>
          <w:color w:val="111111"/>
          <w:sz w:val="28"/>
          <w:sz w:val="28"/>
          <w:szCs w:val="28"/>
          <w:rtl w:val="true"/>
          <w:lang w:bidi="fa-IR"/>
        </w:rPr>
        <w:t>، وإلا ففى صحتها 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كفّارة النذر المعيَّن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أنّها كبيرة مخيّرة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السقوط لكونه مباحاً له غيرَ مُفْطرٍ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المُعْسِرَةُ المُطاوِعَةُ يجب عليها الصَوْمُ، والمُكْرَهَةُ يُتحمَّلُ عنها الإطعام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وجه لتخصيص الإطعام، فإنّ العتق يقبل التحمُّل كذلك بغير إشكال، وإنما الكلام في الصَوْم، والأقوى أنّه يتحمل الجميع مخيَّراً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التحمُّل هنا مجاز، وإلّا فهي واجبة عليه ابتداءً بسبب الإكراه وإن كانت عليها قولان </w:t>
      </w:r>
      <w:r>
        <w:rPr>
          <w:rStyle w:val="FootnoteAnchor"/>
          <w:rtl w:val="true"/>
        </w:rPr>
        <w:footnoteReference w:id="411"/>
      </w:r>
      <w:r>
        <w:rPr>
          <w:rFonts w:ascii="IRNazanin" w:hAnsi="IRNazanin" w:eastAsia="IRNazanin"/>
          <w:color w:val="111111"/>
          <w:sz w:val="28"/>
          <w:sz w:val="28"/>
          <w:szCs w:val="28"/>
          <w:rtl w:val="true"/>
          <w:lang w:bidi="fa-IR"/>
        </w:rPr>
        <w:t>لولاه، والرواية الواردة بذلك مصرحة بذلك، وهي قول ابا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كان استكرهها فعليه كفارتان، وإن كانت مطاوعةً فعليه كفّارة وعليها كفّارة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اضطراراً سقطت على رأي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السقوط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بإفطار نهار رمضان بأمور ثلاثة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فضيلة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العَجْزُ عن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سبية،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لأنّ الأمر الأوّل علة غائيّة، والثاني علة فاعلية و الثالث متردّدة باعتبار القدرة على القضاء وعدمه، وقد كانت اللام في الأمور الثلاثة أدخل من الباء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إيجاب الفدية بالإفطار بالأُمور الثلاثة، كما سبق في أوّل الباب من أنّ المراد ما صدق عليه الإفطار؛ لأنّ الكلام في قوَّة يجب بالإفطار الفدية، وهى واجبة بالإفطار بالأُمور الثلاثة لا مطلقاً،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خافتا على أنفسهما ففى إلحاقهما بالخوف على الولد أو بالمريض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مَنْشَؤُه من أنّهما حينئذٍ في معنى المريض المتضرّر به فلا فدية عليهما، وهو المشهور</w:t>
      </w:r>
      <w:r>
        <w:rPr>
          <w:rStyle w:val="FootnoteAnchor"/>
          <w:rtl w:val="true"/>
        </w:rPr>
        <w:footnoteReference w:id="412"/>
      </w:r>
      <w:r>
        <w:rPr>
          <w:rFonts w:ascii="IRNazanin" w:hAnsi="IRNazanin" w:eastAsia="IRNazanin"/>
          <w:color w:val="111111"/>
          <w:sz w:val="28"/>
          <w:sz w:val="28"/>
          <w:szCs w:val="28"/>
          <w:rtl w:val="true"/>
          <w:lang w:bidi="fa-IR"/>
        </w:rPr>
        <w:t xml:space="preserve">؛ ومن إطلاق النصوص </w:t>
      </w:r>
      <w:r>
        <w:rPr>
          <w:rStyle w:val="FootnoteAnchor"/>
          <w:rtl w:val="true"/>
        </w:rPr>
        <w:footnoteReference w:id="413"/>
      </w:r>
      <w:r>
        <w:rPr>
          <w:rFonts w:ascii="Amiri" w:hAnsi="Amiri" w:eastAsia="Amiri" w:cs="Amiri"/>
          <w:color w:val="111111"/>
          <w:sz w:val="28"/>
          <w:sz w:val="28"/>
          <w:szCs w:val="28"/>
          <w:rtl w:val="true"/>
          <w:lang w:bidi="ar-SA"/>
        </w:rPr>
        <w:t xml:space="preserve">بأنهما يفطران ويفديان من غير تفصيل، ولعلّ العمل لإطلاقها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الفدية في غير رمضان إن تعيَّن على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الوجوب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يَلْحَق بهما مُنقِذُ الغير من الهلاك مع افتقاره إلى الإفطار ؟ الأقرب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أخَّر قضاءَ رمضان حتى دخل رمضانُ السَنَةِ القابلة، فإن كان مريضاً أو مسافراً أو عازماً على القضاء غير مُتهاون فيه فلا فدية عليه، بل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بالمريض هنا مَن لا يستوعب مرضه ما بين الرمضانين، بل عرض له المرضُ بعد فوات الصَوْم وإمكانِ فعله واستمرّ إلى الثاني، سواء كان فواته بسبب المرض أم غيره؛ إذ لا مدخل للسبب هنا في اختلاف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قيّدناه بذلك؛ ليمكن جعله قسيماً لغير المتهاون؛ ولئلا ينافي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استمر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ذكر المرض هاهنا وجعل القسم الأوّل من فاته الصَوْم غير متهاون في قضائه كما فعله في غير الكتاب</w:t>
      </w:r>
      <w:r>
        <w:rPr>
          <w:rStyle w:val="FootnoteAnchor"/>
          <w:rtl w:val="true"/>
        </w:rPr>
        <w:footnoteReference w:id="414"/>
      </w:r>
      <w:r>
        <w:rPr>
          <w:rFonts w:ascii="Amiri" w:hAnsi="Amiri" w:eastAsia="Amiri" w:cs="Amiri"/>
          <w:color w:val="111111"/>
          <w:sz w:val="28"/>
          <w:sz w:val="28"/>
          <w:szCs w:val="28"/>
          <w:rtl w:val="true"/>
          <w:lang w:bidi="ar-SA"/>
        </w:rPr>
        <w:t xml:space="preserve">، وغيره </w:t>
      </w:r>
      <w:r>
        <w:rPr>
          <w:rStyle w:val="FootnoteAnchor"/>
          <w:rtl w:val="true"/>
        </w:rPr>
        <w:footnoteReference w:id="415"/>
      </w:r>
      <w:r>
        <w:rPr>
          <w:rFonts w:ascii="Amiri" w:hAnsi="Amiri" w:eastAsia="Amiri" w:cs="Amiri"/>
          <w:color w:val="111111"/>
          <w:sz w:val="28"/>
          <w:sz w:val="28"/>
          <w:szCs w:val="28"/>
          <w:rtl w:val="true"/>
          <w:lang w:bidi="ar-SA"/>
        </w:rPr>
        <w:t>كان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المريض وغير المتهاون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المريض استمرَّ مرضُه بعد إمكان القضاء إلى رمضان الثاني، وغير المتهاون كان صحيحاً عازماً على الفعل إلى أن ضاق الوقت وبقي مقدار القضاء فعرض له مانع من مرض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الغناء عن قيد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المسافر المعطوفُ عليه فالأولى أخذه مطلقاً بحيث يشمل من استمر سفره إلى رمضانَ الثاني، فإنّ أصح القولين فيه حينئذٍ وجوب القضاء، بخلاف المريض المستمرّ مرضه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تهاون به فعلیه مع القضاء عن عن كلِّ يومٍ فدية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التفصيلُ مشهورٌ بين الأصحاب </w:t>
      </w:r>
      <w:r>
        <w:rPr>
          <w:rStyle w:val="FootnoteAnchor"/>
          <w:rtl w:val="true"/>
        </w:rPr>
        <w:footnoteReference w:id="416"/>
      </w:r>
      <w:r>
        <w:rPr>
          <w:rFonts w:ascii="Amiri" w:hAnsi="Amiri" w:eastAsia="Amiri" w:cs="Amiri"/>
          <w:color w:val="111111"/>
          <w:sz w:val="28"/>
          <w:sz w:val="28"/>
          <w:szCs w:val="28"/>
          <w:rtl w:val="true"/>
          <w:lang w:bidi="ar-SA"/>
        </w:rPr>
        <w:t>، ومستنده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دلّت عليه </w:t>
      </w:r>
    </w:p>
    <w:p>
      <w:pPr>
        <w:pStyle w:val="BookText"/>
        <w:rPr/>
      </w:pPr>
      <w:r>
        <w:rPr>
          <w:rFonts w:ascii="Amiri" w:hAnsi="Amiri" w:eastAsia="Amiri" w:cs="Amiri"/>
          <w:color w:val="111111"/>
          <w:sz w:val="28"/>
          <w:sz w:val="28"/>
          <w:szCs w:val="28"/>
          <w:rtl w:val="true"/>
          <w:lang w:bidi="ar-SA"/>
        </w:rPr>
        <w:t xml:space="preserve">النصوص الصحيحة </w:t>
      </w:r>
      <w:r>
        <w:rPr>
          <w:rStyle w:val="FootnoteAnchor"/>
          <w:rtl w:val="true"/>
        </w:rPr>
        <w:footnoteReference w:id="417"/>
      </w:r>
      <w:r>
        <w:rPr>
          <w:rFonts w:ascii="Amiri" w:hAnsi="Amiri" w:eastAsia="Amiri" w:cs="Amiri"/>
          <w:color w:val="111111"/>
          <w:sz w:val="28"/>
          <w:sz w:val="28"/>
          <w:szCs w:val="28"/>
          <w:rtl w:val="true"/>
          <w:lang w:bidi="ar-SA"/>
        </w:rPr>
        <w:t>وجوب القضاء مع الفدية على من قدر عليه فلم يقض حتى دخل رمضان الثاني، سواء عزم على القضاء أم لا،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فات بالسفر ومات قبل التمكن من قضائه، ففي رواية </w:t>
      </w:r>
      <w:r>
        <w:rPr>
          <w:rStyle w:val="FootnoteAnchor"/>
          <w:rtl w:val="true"/>
        </w:rPr>
        <w:footnoteReference w:id="418"/>
      </w:r>
      <w:r>
        <w:rPr>
          <w:rFonts w:ascii="Amiri" w:hAnsi="Amiri" w:eastAsia="Amiri" w:cs="Amiri"/>
          <w:color w:val="111111"/>
          <w:sz w:val="28"/>
          <w:sz w:val="28"/>
          <w:szCs w:val="28"/>
          <w:rtl w:val="true"/>
          <w:lang w:bidi="ar-SA"/>
        </w:rPr>
        <w:t>يجب على الولي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اعتبار التمكَّن من قضائه قبل الموت ولو بالإقامة في أثناء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قضائه عنه كغيره، والرواية ضعيفة السند، ويمكن مع ذلك حملها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الأكبر أُنثى لم يجب عليها القضاء وحينئذٍ يَسقُطُ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لم يكن له ذكر أصلاً، أو لم يكن بالغاً على قول </w:t>
      </w:r>
      <w:r>
        <w:rPr>
          <w:rStyle w:val="FootnoteAnchor"/>
          <w:rtl w:val="true"/>
        </w:rPr>
        <w:footnoteReference w:id="419"/>
      </w:r>
      <w:r>
        <w:rPr>
          <w:rFonts w:ascii="Amiri" w:hAnsi="Amiri" w:eastAsia="Amiri" w:cs="Amiri"/>
          <w:color w:val="111111"/>
          <w:sz w:val="28"/>
          <w:sz w:val="28"/>
          <w:szCs w:val="28"/>
          <w:rtl w:val="true"/>
          <w:lang w:bidi="ar-SA"/>
        </w:rPr>
        <w:t>، أما مع وجوده كاملاً فإنّ القضاء يجب عليه، وإن كانت الأنثى أكبر منه؛ لأنّ المراد بالولي الولد الذكر الذي ليس هناك ولد ذكر أكبر منه لا مطلقاً، وإن كان ظاهر العبارة خلاف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يُتصدّق عنه من تركته عن كلّ يوم بمُدّ؛ وكذا لو لم يكن له ولى</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صاماه إلى قوله إشكال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فى أصل وجوبها حينئذٍ إشكال؛ إذ يحتمل الوجوب لصدق الإفطار في قضاء رمضان بعد الزوال وعدمه؛ لأنّ ظاهر النص الدالّ عليها </w:t>
      </w:r>
      <w:r>
        <w:rPr>
          <w:rStyle w:val="FootnoteAnchor"/>
          <w:rtl w:val="true"/>
        </w:rPr>
        <w:footnoteReference w:id="421"/>
      </w:r>
      <w:r>
        <w:rPr>
          <w:rFonts w:ascii="Amiri" w:hAnsi="Amiri" w:eastAsia="Amiri" w:cs="Amiri"/>
          <w:color w:val="111111"/>
          <w:sz w:val="28"/>
          <w:sz w:val="28"/>
          <w:szCs w:val="28"/>
          <w:rtl w:val="true"/>
          <w:lang w:bidi="ar-SA"/>
        </w:rPr>
        <w:t xml:space="preserve">كون الصائم عن نفسه؛ ولأنّ اليومين وقعا في يوم واحد ووجوبها معاً عنه كفائي، ولا يلزم من وجوبها في القضاء </w:t>
      </w:r>
    </w:p>
    <w:p>
      <w:pPr>
        <w:pStyle w:val="BookText"/>
        <w:rPr/>
      </w:pPr>
      <w:r>
        <w:rPr>
          <w:rFonts w:ascii="Amiri" w:hAnsi="Amiri" w:eastAsia="Amiri" w:cs="Amiri"/>
          <w:color w:val="111111"/>
          <w:sz w:val="28"/>
          <w:sz w:val="28"/>
          <w:szCs w:val="28"/>
          <w:rtl w:val="true"/>
          <w:lang w:bidi="ar-SA"/>
        </w:rPr>
        <w:t>العيني ثبوتها كذلك في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الوجوب في محلّها منهما أو من أحدهما إشكال؛ إذ يحتمل كونها واحدة عليهما بالسوية أو على كلّ واحد منهما كفّارة، أو كونها عليهما فرض كفاية كأصل الصَوْم؛ لكونهما يومين صورةً وعن كل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عدم وجوب الكفّارة حينئذٍ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القضاء عن المرأة والعبد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وجوب القضاء عن المرأة، وأنّ العبد كالحُرّ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عليه شهران متتابعان صام الولي شهراً وتصدق عنه من مال الميت عن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مستثنى من صُوَر القضاء، وفيه تخفيف عن الولى، ومستنده رواية الوشاء عن الرضا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يتصدَّق عن الشهر الأول ويقضي الثاني</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ضعيف، فوجوب قضائها على الوليّ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يُفْطِرون رمضانَ ويُفْدُون عن كلّ يوم، فإن أمكن بعد ذلك القضاء وجب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أنّهم مع العجز الكلي لافِدية عليهم، ومع المشقة التي لا تحتمل عادة يُفطرون ويُفدون كما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نسي غُسْل الجنابة حتّى مضى عليه الشهرُ أو بعضُه، قضى الصلاةَ والصَوْمَ على رواية </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نسب الحكم إلى الرواية؛ لمعارضتها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الخطأ والنسيان</w:t>
      </w:r>
      <w:r>
        <w:rPr>
          <w:rFonts w:eastAsia="Amiri" w:cs="Amiri" w:ascii="Amiri" w:hAnsi="Amiri"/>
          <w:color w:val="111111"/>
          <w:sz w:val="28"/>
          <w:szCs w:val="28"/>
          <w:rtl w:val="true"/>
          <w:lang w:bidi="ar-SA"/>
        </w:rPr>
        <w:t>» "</w:t>
      </w:r>
      <w:r>
        <w:rPr>
          <w:rStyle w:val="FootnoteAnchor"/>
          <w:rtl w:val="true"/>
        </w:rPr>
        <w:footnoteReference w:id="424"/>
      </w:r>
      <w:r>
        <w:rPr>
          <w:rFonts w:ascii="Amiri" w:hAnsi="Amiri" w:eastAsia="Amiri" w:cs="Amiri"/>
          <w:color w:val="111111"/>
          <w:sz w:val="28"/>
          <w:sz w:val="28"/>
          <w:szCs w:val="28"/>
          <w:rtl w:val="true"/>
          <w:lang w:bidi="ar-SA"/>
        </w:rPr>
        <w:t xml:space="preserve">ومنافاة </w:t>
      </w:r>
    </w:p>
    <w:p>
      <w:pPr>
        <w:pStyle w:val="BookText"/>
        <w:rPr/>
      </w:pPr>
      <w:r>
        <w:rPr>
          <w:rFonts w:ascii="Amiri" w:hAnsi="Amiri" w:eastAsia="Amiri" w:cs="Amiri"/>
          <w:color w:val="111111"/>
          <w:sz w:val="28"/>
          <w:sz w:val="28"/>
          <w:szCs w:val="28"/>
          <w:rtl w:val="true"/>
          <w:lang w:bidi="ar-SA"/>
        </w:rPr>
        <w:t xml:space="preserve">ما تضمَّنه من الحكم لما سبق من من أن مَن أصبح جنباً يصح صَوْمُه إذا لم يتعمّد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للناسي، حتى لو تعمَّد بعد ذلك البقاء على الجنابة مجموع النهار لم يبطل 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نسيانه الغسل بعد ذلك إلى اليوم الثاني، أو لم ينس لكن نام النوْمةَ الأُولى في ليلة الثاني حتى أصبح، صحَ صَوْمه أيضاً بمقتضى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بقضاء جميع الشهر لناسي الغسل ينافي ذلك، لكنّ الرواية صحيحة، والعمل بها هو المشهور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الحكمين بتخصيص ذلك بالعامد وهذا بالناسي بعيد، بل عكسه أنسب ويمكن تخصيص الرواية بما عدا اليوم الأول للجمع، لكن لا يعلم به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وجه للرواية الصحيحة مطلقاً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والأقرب الاختصاص بقضاء رمضان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الأشهر، وفي صحيحة عبدالله بن سنان </w:t>
      </w:r>
      <w:r>
        <w:rPr>
          <w:rStyle w:val="FootnoteAnchor"/>
          <w:rtl w:val="true"/>
        </w:rPr>
        <w:footnoteReference w:id="425"/>
      </w:r>
      <w:r>
        <w:rPr>
          <w:rFonts w:ascii="Amiri" w:hAnsi="Amiri" w:eastAsia="Amiri" w:cs="Amiri"/>
          <w:color w:val="111111"/>
          <w:sz w:val="28"/>
          <w:sz w:val="28"/>
          <w:szCs w:val="28"/>
          <w:rtl w:val="true"/>
          <w:lang w:bidi="ar-SA"/>
        </w:rPr>
        <w:t>مايدلّ على التعدي إلى مطلق قضاء الفريضة، و يمكن جعل اللام فيها للعهد الذهني، وهو فريضة رمضان المعهودة</w:t>
      </w:r>
      <w:r>
        <w:rPr>
          <w:rFonts w:eastAsia="Amiri" w:cs="Amiri" w:ascii="Amiri" w:hAnsi="Amiri"/>
          <w:color w:val="111111"/>
          <w:sz w:val="28"/>
          <w:szCs w:val="28"/>
          <w:rtl w:val="true"/>
          <w:lang w:bidi="ar-SA"/>
        </w:rPr>
        <w:t xml:space="preserve">. </w:t>
      </w:r>
      <w:bookmarkStart w:id="316" w:name="pg10189_116079"/>
    </w:p>
    <w:p>
      <w:pPr>
        <w:pStyle w:val="Heading5"/>
        <w:numPr>
          <w:ilvl w:val="4"/>
          <w:numId w:val="1"/>
        </w:numPr>
        <w:rPr/>
      </w:pPr>
      <w:bookmarkStart w:id="317" w:name="__RefHeading___Toc2156556_1067777946"/>
      <w:bookmarkStart w:id="318" w:name="_Toc119"/>
      <w:bookmarkEnd w:id="316"/>
      <w:bookmarkEnd w:id="317"/>
      <w:r>
        <w:rPr>
          <w:rtl w:val="true"/>
        </w:rPr>
        <w:t>[</w:t>
      </w:r>
      <w:r>
        <w:rPr>
          <w:rtl w:val="true"/>
        </w:rPr>
        <w:t xml:space="preserve">الفصل الثالث في وقت الإمساك وشرائطه </w:t>
      </w:r>
      <w:r>
        <w:rPr>
          <w:rtl w:val="true"/>
        </w:rPr>
        <w:t>]</w:t>
      </w:r>
      <w:bookmarkEnd w:id="31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كان بمنى ناسكاً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الأظهر التحريم لمن كان بها وإن لم يكن ناسكاً؛ لإطلاق النص</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يوماً فاتفق أحدُها أفطر ولاقضاء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وصَوْم الصبي المميّز صحيح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تمريني لاشرعي، ويمكن الحكم بصحته إذا عُرِّف الصحيحُ بأنه ما أسقط القضاء، بمعنى أنه لا يثبت بعده قضاء ذلك الفعل الواقع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Style w:val="FootnoteAnchor"/>
          <w:rtl w:val="true"/>
        </w:rPr>
        <w:footnoteReference w:id="427"/>
      </w:r>
      <w:r>
        <w:rPr>
          <w:rFonts w:ascii="IRNazanin" w:hAnsi="IRNazanin" w:eastAsia="IRNazanin"/>
          <w:color w:val="111111"/>
          <w:sz w:val="28"/>
          <w:sz w:val="28"/>
          <w:szCs w:val="28"/>
          <w:rtl w:val="true"/>
          <w:lang w:bidi="fa-IR"/>
        </w:rPr>
        <w:t>بأنه ما وافق الأمر بنى على أنّ الأمر بالأثر هل هو أمر أم لا؟ والأقوى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المندوب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كالنذر المطلق وقضاء رمضان والنفل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الصوم، وكذا في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 به التتابع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لا يصح في الجميع عدا المندوب، والأحوط في الكفّارة صومه عنها وعدم احتسابه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ویزید اشتراط الخروج قبل الزوال على 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التبييت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تبييتُ نيَّةِ السفرِ ليلاً وإلا لم يَجُز القصر وإن خرج قبل الزوال، ولا منافاة على </w:t>
      </w:r>
    </w:p>
    <w:p>
      <w:pPr>
        <w:pStyle w:val="BookText"/>
        <w:rPr/>
      </w:pPr>
      <w:r>
        <w:rPr>
          <w:rFonts w:ascii="Amiri" w:hAnsi="Amiri" w:eastAsia="Amiri" w:cs="Amiri"/>
          <w:color w:val="111111"/>
          <w:sz w:val="28"/>
          <w:sz w:val="28"/>
          <w:szCs w:val="28"/>
          <w:rtl w:val="true"/>
          <w:lang w:bidi="ar-SA"/>
        </w:rPr>
        <w:t>هذا القول بين نيّة السفر ونيَّة الصَوْم ليلاً، من حيث إنّ السفر نهاراً الموجب للتقصير لا يجامع الصوم؛ لأنّ نيّة السفر غير كافية في القصر، بل مع إنشاء السفر، ولم يحصل، فتجب نيّة الصّوم إلى أن يتحقق موجب القصر وهو إنشاء السفر قبل الزوال ومجاوزة حدود البلد، ومن الجائز الرجوع عن نية السفر قبله وحصول مانع عنه فيستمر على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أفطر قبل غَيبوبة الجُدران والأذان كفّر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ذلك على مذهب المصنّف مع كون السفر اختيارياً، أما مع كونه اضطرارياً فقد تقدَّم </w:t>
      </w:r>
      <w:r>
        <w:rPr>
          <w:rStyle w:val="FootnoteAnchor"/>
          <w:rtl w:val="true"/>
        </w:rPr>
        <w:footnoteReference w:id="428"/>
      </w:r>
      <w:r>
        <w:rPr>
          <w:rFonts w:ascii="Amiri" w:hAnsi="Amiri" w:eastAsia="Amiri" w:cs="Amiri"/>
          <w:color w:val="111111"/>
          <w:sz w:val="28"/>
          <w:sz w:val="28"/>
          <w:szCs w:val="28"/>
          <w:rtl w:val="true"/>
          <w:lang w:bidi="ar-SA"/>
        </w:rPr>
        <w:t>أنّ الكفّارة تسقط بإنشائه، وهو ينافي ثبوتها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بالحكم بثبوتها بالإفطار قبل مجاوزة الحدودِ ثُمّ سقوطها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رجع عن السفر قبل المجاوزة فإنّ الكفّارة تستقر</w:t>
      </w:r>
      <w:r>
        <w:rPr>
          <w:rFonts w:eastAsia="Amiri" w:cs="Amiri" w:ascii="Amiri" w:hAnsi="Amiri"/>
          <w:color w:val="111111"/>
          <w:sz w:val="28"/>
          <w:szCs w:val="28"/>
          <w:rtl w:val="true"/>
          <w:lang w:bidi="ar-SA"/>
        </w:rPr>
        <w:t xml:space="preserve">. </w:t>
      </w:r>
      <w:bookmarkStart w:id="319" w:name="pg10189_116081"/>
    </w:p>
    <w:p>
      <w:pPr>
        <w:pStyle w:val="Heading4"/>
        <w:numPr>
          <w:ilvl w:val="3"/>
          <w:numId w:val="1"/>
        </w:numPr>
        <w:rPr/>
      </w:pPr>
      <w:bookmarkStart w:id="320" w:name="__RefHeading___Toc2156558_1067777946"/>
      <w:bookmarkStart w:id="321" w:name="_Toc120"/>
      <w:bookmarkEnd w:id="319"/>
      <w:bookmarkEnd w:id="320"/>
      <w:r>
        <w:rPr>
          <w:rtl w:val="true"/>
        </w:rPr>
        <w:t>[</w:t>
      </w:r>
      <w:r>
        <w:rPr>
          <w:rtl w:val="true"/>
        </w:rPr>
        <w:t>المقصد الثاني في أقسامه</w:t>
      </w:r>
      <w:r>
        <w:rPr>
          <w:rtl w:val="true"/>
        </w:rPr>
        <w:t>]</w:t>
      </w:r>
      <w:bookmarkEnd w:id="321"/>
    </w:p>
    <w:p>
      <w:pPr>
        <w:pStyle w:val="Heading5"/>
        <w:numPr>
          <w:ilvl w:val="4"/>
          <w:numId w:val="1"/>
        </w:numPr>
        <w:rPr/>
      </w:pPr>
      <w:bookmarkStart w:id="322" w:name="__RefHeading___Toc2156560_1067777946"/>
      <w:bookmarkStart w:id="323" w:name="_Toc121"/>
      <w:bookmarkEnd w:id="322"/>
      <w:r>
        <w:rPr>
          <w:rtl w:val="true"/>
        </w:rPr>
        <w:t>[</w:t>
      </w:r>
      <w:r>
        <w:rPr>
          <w:rtl w:val="true"/>
        </w:rPr>
        <w:t>المطلب الأول</w:t>
      </w:r>
      <w:r>
        <w:rPr>
          <w:rtl w:val="true"/>
        </w:rPr>
        <w:t xml:space="preserve">: </w:t>
      </w:r>
      <w:r>
        <w:rPr>
          <w:rtl w:val="true"/>
        </w:rPr>
        <w:t xml:space="preserve">أقسام الصوم أربعة </w:t>
      </w:r>
      <w:r>
        <w:rPr>
          <w:rtl w:val="true"/>
        </w:rPr>
        <w:t>]</w:t>
      </w:r>
      <w:bookmarkEnd w:id="323"/>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التأخير إلى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لا يتأكّد استحبابه فى الصيف تأكُدَه في الشتاء، فلو أخره في الصيف إلى الشتاء، ثمّ قضاه تأدّت الوظيفة المؤكدة؛ بخلاف ما لو أخره في غيره وقضاء، فإنه وإن كان جائزاً وتأدَّت به سُنَّةُ قضاء الأيامِ إِلَّا أَن فضيلته دونَ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تأخيره فى الصَيْفِ غير مكروه بناءً على أن ترك المستحب مكروه، وتأخيره فى غيره مكروه، وإنما عبر المصنف بالجواز تبعاً للنصوص </w:t>
      </w:r>
      <w:r>
        <w:rPr>
          <w:rStyle w:val="FootnoteAnchor"/>
          <w:rtl w:val="true"/>
        </w:rPr>
        <w:footnoteReference w:id="429"/>
      </w:r>
      <w:r>
        <w:rPr>
          <w:rFonts w:ascii="Amiri" w:hAnsi="Amiri" w:eastAsia="Amiri" w:cs="Amiri"/>
          <w:color w:val="111111"/>
          <w:sz w:val="28"/>
          <w:sz w:val="28"/>
          <w:szCs w:val="28"/>
          <w:rtl w:val="true"/>
          <w:lang w:bidi="ar-SA"/>
        </w:rPr>
        <w:t>، فإنّها تضمَّنت نفي البأس عن تأخيرها كذلك المقتضي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بين الأصحاب أنَّ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السابع عشر من ربيع الأول، ولكنّ الرواية </w:t>
      </w:r>
      <w:r>
        <w:rPr>
          <w:rStyle w:val="FootnoteAnchor"/>
          <w:rtl w:val="true"/>
        </w:rPr>
        <w:footnoteReference w:id="430"/>
      </w:r>
      <w:r>
        <w:rPr>
          <w:rFonts w:ascii="Amiri" w:hAnsi="Amiri" w:eastAsia="Amiri" w:cs="Amiri"/>
          <w:color w:val="111111"/>
          <w:sz w:val="28"/>
          <w:sz w:val="28"/>
          <w:szCs w:val="28"/>
          <w:rtl w:val="true"/>
          <w:lang w:bidi="ar-SA"/>
        </w:rPr>
        <w:t xml:space="preserve">به ضعيفة السند جدًّا، والذي ذكره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أنه يوم </w:t>
      </w:r>
    </w:p>
    <w:p>
      <w:pPr>
        <w:pStyle w:val="BookText"/>
        <w:rPr/>
      </w:pPr>
      <w:r>
        <w:rPr>
          <w:rFonts w:ascii="Amiri" w:hAnsi="Amiri" w:eastAsia="Amiri" w:cs="Amiri"/>
          <w:color w:val="111111"/>
          <w:sz w:val="28"/>
          <w:sz w:val="28"/>
          <w:szCs w:val="28"/>
          <w:rtl w:val="true"/>
          <w:lang w:bidi="ar-SA"/>
        </w:rPr>
        <w:t xml:space="preserve">الثاني عشر منه </w:t>
      </w:r>
      <w:r>
        <w:rPr>
          <w:rStyle w:val="FootnoteAnchor"/>
          <w:rtl w:val="true"/>
        </w:rPr>
        <w:footnoteReference w:id="431"/>
      </w:r>
      <w:r>
        <w:rPr>
          <w:rFonts w:ascii="Amiri" w:hAnsi="Amiri" w:eastAsia="Amiri" w:cs="Amiri"/>
          <w:color w:val="111111"/>
          <w:sz w:val="28"/>
          <w:sz w:val="28"/>
          <w:szCs w:val="28"/>
          <w:rtl w:val="true"/>
          <w:lang w:bidi="ar-SA"/>
        </w:rPr>
        <w:t xml:space="preserve">، وهذا هو الذي صححه الجمهور </w:t>
      </w:r>
      <w:r>
        <w:rPr>
          <w:rStyle w:val="FootnoteAnchor"/>
          <w:rtl w:val="true"/>
        </w:rPr>
        <w:footnoteReference w:id="432"/>
      </w:r>
      <w:r>
        <w:rPr>
          <w:rFonts w:ascii="IRNazanin" w:hAnsi="IRNazanin" w:eastAsia="IRNazanin"/>
          <w:color w:val="111111"/>
          <w:sz w:val="28"/>
          <w:sz w:val="28"/>
          <w:szCs w:val="28"/>
          <w:rtl w:val="true"/>
          <w:lang w:bidi="fa-IR"/>
        </w:rPr>
        <w:t>، ولعلّه أثبت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ودَحْوِ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دَحْوُ الأرضِ بسطها، والمراد هنا بسط الأرض تحت الكعبة، وهو يقتضي خلق الكعبة قبل بسط الأرض، والمأخوذ في الرواية أنه في يوم الخامس والعشرين من ذي القعدة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دحو الكعبة لا الأرض</w:t>
      </w:r>
      <w:r>
        <w:rPr>
          <w:rStyle w:val="FootnoteAnchor"/>
          <w:rtl w:val="true"/>
        </w:rPr>
        <w:footnoteReference w:id="434"/>
      </w:r>
      <w:r>
        <w:rPr>
          <w:rFonts w:ascii="Amiri" w:hAnsi="Amiri" w:eastAsia="Amiri" w:cs="Amiri"/>
          <w:color w:val="111111"/>
          <w:sz w:val="28"/>
          <w:sz w:val="28"/>
          <w:szCs w:val="28"/>
          <w:rtl w:val="true"/>
          <w:lang w:bidi="ar-SA"/>
        </w:rPr>
        <w:t>، وكلُّها ضعيفة جداً، والحكم بها أيضاً مشكل؛ لما علم من أنّ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السَّمَوَاتِ وَالْأَرْضَ وَمَا بَيْنَهُمَا فِى سِتَّةِ أَيَّام</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باليوم دَوَرانُ الشمس في فلكها دورةً واحدة، وهو يقتضي خلق السماوات قبل ذلك، فلا يتمُّ عدّ الأشهر في تلك المدَّة، مع أنّ ابن بابويه روى أنّ الكعبة أنزلت يوم التاسع والعشرين من ذلك الشهر </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مثل هذه الأحكام المتناقضة بالأخبار الضعيفة بعيد؛ وإن اشتهرت، فرُبَّ مشهور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خُلُوّ الذِمَّةِ من صَوْم واجب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صحيحاً الاشتراط</w:t>
      </w:r>
      <w:r>
        <w:rPr>
          <w:rStyle w:val="FootnoteAnchor"/>
          <w:rtl w:val="true"/>
        </w:rPr>
        <w:footnoteReference w:id="437"/>
      </w:r>
      <w:r>
        <w:rPr>
          <w:rFonts w:ascii="IRNazanin" w:hAnsi="IRNazanin" w:eastAsia="IRNazanin"/>
          <w:color w:val="111111"/>
          <w:sz w:val="28"/>
          <w:sz w:val="28"/>
          <w:szCs w:val="28"/>
          <w:rtl w:val="true"/>
          <w:lang w:bidi="fa-IR"/>
        </w:rPr>
        <w:t xml:space="preserve">؛ فالعمل به معتبر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وأيام التشريق لمن كان بمنى حاجاً أو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438"/>
      </w:r>
      <w:r>
        <w:rPr>
          <w:rFonts w:ascii="Amiri" w:hAnsi="Amiri" w:eastAsia="Amiri" w:cs="Amiri"/>
          <w:color w:val="111111"/>
          <w:sz w:val="28"/>
          <w:sz w:val="28"/>
          <w:szCs w:val="28"/>
          <w:rtl w:val="true"/>
          <w:lang w:bidi="ar-SA"/>
        </w:rPr>
        <w:t>أنّ الأقوى عدم اشتراط النسك</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قيد ناذِرُ الدَهْرِ بالسفر، ففي جواز سفره في رمضان اختياراً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bookmarkStart w:id="324" w:name="pg10189_116083"/>
    </w:p>
    <w:p>
      <w:pPr>
        <w:pStyle w:val="BookText"/>
        <w:rPr/>
      </w:pPr>
      <w:bookmarkEnd w:id="32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التأخير إلى شعبان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وكفّارة رمضان وقضائه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النذر والعهد، والاعتكاف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التخيير في الأولى أقوى، وفى الثانية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الصَّيْد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تجب المبادَرَةُ بعد زواله؟ 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الوجوب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إباحته قولان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الأجودُ الإباحة</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2156562_1067777946"/>
      <w:bookmarkStart w:id="326" w:name="_Toc122"/>
      <w:bookmarkEnd w:id="325"/>
      <w:r>
        <w:rPr>
          <w:rtl w:val="true"/>
        </w:rPr>
        <w:t>[</w:t>
      </w:r>
      <w:r>
        <w:rPr>
          <w:rtl w:val="true"/>
        </w:rPr>
        <w:t>المطلب الثاني في شهر رمضان</w:t>
      </w:r>
      <w:r>
        <w:rPr>
          <w:rtl w:val="true"/>
        </w:rPr>
        <w:t>]</w:t>
      </w:r>
      <w:bookmarkEnd w:id="326"/>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وبشهادة عدلين مطلقاً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التعدد وتعدّدِ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شهد بالأولية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وجوب الاستفصال والقبول إن أسنداها إليها أو موافق رأي الحاكم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أنّه مع الشهادة بالأولية ليستفصل إن لم يعلم موافقة رأيه لرأي الحاكم سواء تعدّد الشهر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غُمَّت الشُّهورُ فالأقرب العمل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مع غُمَّة الشهور الرجوع إلى العدد بمعنى عدّ خمسة من هلال الماضية في غير السنة الكبيسة، وفيها تعدّ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غُمَّة شهرين وثلاثة يعد كل شهر ثلاثين، وهو معنى آخر من معاني العدد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وجوب الإمساك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المتَّجه عدم الوجوب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سار إلى موضع لم يُر فيه، فالأقرب وجوب الصوم يوم واحدٍ وثلاثين وبالعكس يُفْطِر التاسع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bookmarkStart w:id="327" w:name="pg10189_116085"/>
    </w:p>
    <w:p>
      <w:pPr>
        <w:pStyle w:val="Heading4"/>
        <w:numPr>
          <w:ilvl w:val="3"/>
          <w:numId w:val="1"/>
        </w:numPr>
        <w:rPr/>
      </w:pPr>
      <w:bookmarkStart w:id="328" w:name="__RefHeading___Toc2156564_1067777946"/>
      <w:bookmarkStart w:id="329" w:name="_Toc123"/>
      <w:bookmarkEnd w:id="327"/>
      <w:bookmarkEnd w:id="328"/>
      <w:r>
        <w:rPr>
          <w:rtl w:val="true"/>
        </w:rPr>
        <w:t>[</w:t>
      </w:r>
      <w:r>
        <w:rPr>
          <w:rtl w:val="true"/>
        </w:rPr>
        <w:t xml:space="preserve">المقصد الثالث في الاعتكاف </w:t>
      </w:r>
      <w:r>
        <w:rPr>
          <w:rtl w:val="true"/>
        </w:rPr>
        <w:t>]</w:t>
      </w:r>
      <w:bookmarkEnd w:id="329"/>
    </w:p>
    <w:p>
      <w:pPr>
        <w:pStyle w:val="Heading5"/>
        <w:numPr>
          <w:ilvl w:val="4"/>
          <w:numId w:val="1"/>
        </w:numPr>
        <w:rPr/>
      </w:pPr>
      <w:bookmarkStart w:id="330" w:name="__RefHeading___Toc2156566_1067777946"/>
      <w:bookmarkStart w:id="331" w:name="_Toc124"/>
      <w:bookmarkEnd w:id="330"/>
      <w:r>
        <w:rPr>
          <w:rtl w:val="true"/>
        </w:rPr>
        <w:t>[</w:t>
      </w:r>
      <w:r>
        <w:rPr>
          <w:rtl w:val="true"/>
        </w:rPr>
        <w:t xml:space="preserve">المطلب الأوّل </w:t>
      </w:r>
      <w:r>
        <w:rPr>
          <w:rtl w:val="true"/>
        </w:rPr>
        <w:t>]</w:t>
      </w:r>
      <w:bookmarkEnd w:id="3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الثالث على 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في نذره الرجوع متى شاء، كان له ذلك ولاقضاء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تقييد الرجوع </w:t>
      </w:r>
      <w:r>
        <w:rPr>
          <w:rStyle w:val="FootnoteAnchor"/>
          <w:rtl w:val="true"/>
        </w:rPr>
        <w:footnoteReference w:id="440"/>
      </w:r>
      <w:r>
        <w:rPr>
          <w:rFonts w:ascii="Amiri" w:hAnsi="Amiri" w:eastAsia="Amiri" w:cs="Amiri"/>
          <w:color w:val="111111"/>
          <w:sz w:val="28"/>
          <w:sz w:val="28"/>
          <w:szCs w:val="28"/>
          <w:rtl w:val="true"/>
          <w:lang w:bidi="ar-SA"/>
        </w:rPr>
        <w:t xml:space="preserve">مع الشرط بالعارض، وإنّما يسقط القضاءُ حينئذٍ مع تعيين الزمان لا بدونه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وبدون الشرط لو رجع استأنف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مشروط التتابع، أو لم يمض منه ثلاثة أيام، وإلا فالأقوى عدم الاستئناف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زمانه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يأتي بما بقي من الأيام ويقضي ما أهمل وما مضى إن قصر عن ثلاثة، وإلا فلا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441"/>
      </w:r>
      <w:r>
        <w:rPr>
          <w:rFonts w:ascii="Amiri" w:hAnsi="Amiri" w:eastAsia="Amiri" w:cs="Amiri"/>
          <w:color w:val="111111"/>
          <w:sz w:val="28"/>
          <w:sz w:val="28"/>
          <w:szCs w:val="28"/>
          <w:rtl w:val="true"/>
          <w:lang w:bidi="ar-SA"/>
        </w:rPr>
        <w:t>من المصنِّف اختيار ذلك والرجوع عمّا هنا</w:t>
      </w:r>
      <w:r>
        <w:rPr>
          <w:rFonts w:eastAsia="Amiri" w:cs="Amiri" w:ascii="Amiri" w:hAnsi="Amiri"/>
          <w:color w:val="111111"/>
          <w:sz w:val="28"/>
          <w:szCs w:val="28"/>
          <w:rtl w:val="true"/>
          <w:lang w:bidi="ar-SA"/>
        </w:rPr>
        <w:t xml:space="preserve">. </w:t>
      </w:r>
      <w:bookmarkStart w:id="332" w:name="pg10189_116086"/>
    </w:p>
    <w:p>
      <w:pPr>
        <w:pStyle w:val="Heading5"/>
        <w:numPr>
          <w:ilvl w:val="4"/>
          <w:numId w:val="1"/>
        </w:numPr>
        <w:rPr/>
      </w:pPr>
      <w:bookmarkStart w:id="333" w:name="__RefHeading___Toc2156568_1067777946"/>
      <w:bookmarkStart w:id="334" w:name="_Toc125"/>
      <w:bookmarkEnd w:id="332"/>
      <w:bookmarkEnd w:id="333"/>
      <w:r>
        <w:rPr>
          <w:rtl w:val="true"/>
        </w:rPr>
        <w:t>[</w:t>
      </w:r>
      <w:r>
        <w:rPr>
          <w:rtl w:val="true"/>
        </w:rPr>
        <w:t>المطلب الثاني في شرائطه</w:t>
      </w:r>
      <w:r>
        <w:rPr>
          <w:rtl w:val="true"/>
        </w:rPr>
        <w:t>]</w:t>
      </w:r>
      <w:bookmarkEnd w:id="3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فيها القصد إلى الفعل على وجهه لوجوبه أو ندبه متقرباً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بينهم أنّ المراد بالوجه في النيَّة الوصفُ الذي يقع عليه الفعل من وجوبِ أو نَدْبِ، وقد يطلق نادراً على الحكمة الباعثة عليهما من الأمر أو الشكر أو اللطف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يعتبر الجمعُ في النية بين الوجه وبين الوجوب أو النذب؛ لأنه على المعنى الأول عينهما، وعلى الثاني يكفي كلّ منهما من الآخر، كما نبه عليه المصنف في نيَّة الوضوء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 أو ندبه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لوجههما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وجهه من وجوب أو نذب، كما فعل في التذكرة </w:t>
      </w:r>
      <w:r>
        <w:rPr>
          <w:rStyle w:val="FootnoteAnchor"/>
          <w:rtl w:val="true"/>
        </w:rPr>
        <w:footnoteReference w:id="442"/>
      </w:r>
      <w:r>
        <w:rPr>
          <w:rFonts w:ascii="Amiri" w:hAnsi="Amiri" w:eastAsia="Amiri" w:cs="Amiri"/>
          <w:color w:val="111111"/>
          <w:sz w:val="28"/>
          <w:sz w:val="28"/>
          <w:szCs w:val="28"/>
          <w:rtl w:val="true"/>
          <w:lang w:bidi="ar-SA"/>
        </w:rPr>
        <w:t>كان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لوجوبه أو ندبه بيان معنى الوجه، أي معنى وجهه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وينوي الوجوب في الثالث بعد نيّة الندب في الأولين إن قلنا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أنّه على هذا القول يقتصر في الابتداء على نية الاعتكاف في اليومين الأولين مندوباً، ويؤخّر نية الثالث إلى حين دخوله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يشكل بأنّ الثلاثةَ أقلُّ ما تتحقق به هذه العبادة على مذهب الأصحاب</w:t>
      </w:r>
      <w:r>
        <w:rPr>
          <w:rStyle w:val="FootnoteAnchor"/>
          <w:rtl w:val="true"/>
        </w:rPr>
        <w:footnoteReference w:id="443"/>
      </w:r>
      <w:r>
        <w:rPr>
          <w:rFonts w:ascii="Amiri" w:hAnsi="Amiri" w:eastAsia="Amiri" w:cs="Amiri"/>
          <w:color w:val="111111"/>
          <w:sz w:val="28"/>
          <w:sz w:val="28"/>
          <w:szCs w:val="28"/>
          <w:rtl w:val="true"/>
          <w:lang w:bidi="ar-SA"/>
        </w:rPr>
        <w:t>، وهي متصلة شرعاً، فتفريق النيَّة عليها في موضع النظر إلا أن يُدعى انفصالها، كأيام رمضان وأفعال الوضوء، فيلزم حينئذٍ جواز النيَّة لكلّ يوم على انفراده، ويكون إكمال الثلاثة شرطاً في صحة الجميع، وهذا حَسَن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وينبه عليه جواز فعل اليوم الواحد المنذور منفرداً عن أمثاله مصاحباً ليومين مندوبين أو واجبين، وكذلك الإتيان بيوم من النذر ويوم من العهد وثالث من غيرهما، </w:t>
      </w:r>
    </w:p>
    <w:p>
      <w:pPr>
        <w:pStyle w:val="BookText"/>
        <w:rPr/>
      </w:pPr>
      <w:r>
        <w:rPr>
          <w:rFonts w:ascii="Amiri" w:hAnsi="Amiri" w:eastAsia="Amiri" w:cs="Amiri"/>
          <w:color w:val="111111"/>
          <w:sz w:val="28"/>
          <w:sz w:val="28"/>
          <w:szCs w:val="28"/>
          <w:rtl w:val="true"/>
          <w:lang w:bidi="ar-SA"/>
        </w:rPr>
        <w:t>فإنّ ذلك كله يقتضي إفراد كلّ واحد من الأيام المختلفة بنية تناسب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يتوجه في المندوب نيّة أزيد من يومين على القول بوجوب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لم يعتبر نيّة الوجه كما هو الوجه استرحنا من هذا الإشكال، واكتفى بنية ماشاء من 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معنى وجوب الثوالث على القول به ترتب الثواب على فعله والعقاب على ترکه بخلاف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فنوى بالصَوْم القضاء أو النذر، فالأقربُ الإجزاء عنه وعن صَوْم الاعتكاف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وينوي فيهما الوجوب أيضاً ويتخيّر في تعيين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قَدَّمهما أم أخَّرهما أم حقهما به؛ لتوقف الواجب عليهما فيجبان من باب المقدّمة وإن لم يتعيَّنا كالمنذور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اعتكف خمسةً قيل</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السادس ولا يجب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وكذا القول في باقي الثوالث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وأنّما يصحُ في أربعة مساجد مكة والمدينة، وجامع الكوفة، والبصرة على رأي</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الأصح جوازه في كلّ مسجد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ما جَمَّعَ فيه النبي صلى الله عليه وسلم أو وصيٌّ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على هذا الضابط أن لا يتقيّد بالأربعة؛ لما ثبت من أن النبيَّ صلى الله عليه وسلم صلّى جماعة </w:t>
      </w:r>
      <w:bookmarkStart w:id="335" w:name="pg10189_116088"/>
    </w:p>
    <w:p>
      <w:pPr>
        <w:pStyle w:val="BookText"/>
        <w:rPr/>
      </w:pPr>
      <w:bookmarkEnd w:id="335"/>
      <w:r>
        <w:rPr>
          <w:rFonts w:ascii="Amiri" w:hAnsi="Amiri" w:eastAsia="Amiri" w:cs="Amiri"/>
          <w:color w:val="111111"/>
          <w:sz w:val="28"/>
          <w:sz w:val="28"/>
          <w:szCs w:val="28"/>
          <w:rtl w:val="true"/>
          <w:lang w:bidi="ar-SA"/>
        </w:rPr>
        <w:t xml:space="preserve">في مسجدِ قُبا، وفي مسجد بني سالم </w:t>
      </w:r>
      <w:r>
        <w:rPr>
          <w:rStyle w:val="FootnoteAnchor"/>
          <w:rtl w:val="true"/>
        </w:rPr>
        <w:footnoteReference w:id="446"/>
      </w:r>
      <w:r>
        <w:rPr>
          <w:rFonts w:ascii="IRNazanin" w:hAnsi="IRNazanin" w:eastAsia="IRNazanin"/>
          <w:color w:val="111111"/>
          <w:sz w:val="28"/>
          <w:sz w:val="28"/>
          <w:szCs w:val="28"/>
          <w:rtl w:val="true"/>
          <w:lang w:bidi="fa-IR"/>
        </w:rPr>
        <w:t xml:space="preserve">، وصلّى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مسجد المدائن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صلاته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الأقصى ليلة الإسراء فلم تقع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خرج لالضرورة بطل ولو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مع الخروج كَرْهاً لا يبطل إلا مع طول الزمان بحيث يخرج عن كونه معتكفاً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والمشي تحتَ الظِلال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الأقوى اختصاص المنع بالجلوس تحت الظلال؛ لأنه مورد النص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خارج المسجد إلا بمكةَ فإنّه يصلّي بها أين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ضيق الوقت بحيث يخرج قبل الوصول إليه وفعلها فيه، وكذا يجوز الخروجُ لصلاة الجمعة لو أُقيمت بغيره دونه حيث يجب عليه ولو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هاياه جاز أن يعتكف في أيامه وإن لم يأذن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المهاياة تفي بأقل الاعتكاف، ولم تضعفه عن العمل في نوبة المولى ، ولم يكن الاعتكافُ في صوم مندوب لم يأذن فيه، وإلّا لم يَجُز</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2156570_1067777946"/>
      <w:bookmarkStart w:id="337" w:name="_Toc126"/>
      <w:bookmarkEnd w:id="336"/>
      <w:r>
        <w:rPr>
          <w:rtl w:val="true"/>
        </w:rPr>
        <w:t>[</w:t>
      </w:r>
      <w:r>
        <w:rPr>
          <w:rtl w:val="true"/>
        </w:rPr>
        <w:t>المطلب الثالث في أحكامه</w:t>
      </w:r>
      <w:r>
        <w:rPr>
          <w:rtl w:val="true"/>
        </w:rPr>
        <w:t>]</w:t>
      </w:r>
      <w:bookmarkEnd w:id="3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وشَمُّ الطيب والاستمناء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الرياحين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وعقد البيع إيجاباً وقبولاً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الاختيار ، فلو اضطر إليه ،جاز، ولا يجب الاقتصار على المعاطاة على الأقوى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إلحاق غيرِ البيع به من العقود والإيقاعات قول حسن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أفسده مع وجوبه كفّر وقضى إن كان بالجماع ولو كان ليلاً، في رمضان وغيره أو كان معيّناً، وإلا فالقضاء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أنّه مع تعيينه بنذرٍ وشبهه تجبُ مع إفساده بغير الجماع كفّارة سببه لا كفارة الاعتكاف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جامَعَ في نهار رمضان فكفارتان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الاعتكاف فيه واجباً، وإلا فواحدة للصوم، وحيث يتعدّد فالثانية كفّارة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أكره المعتكفة فأربع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تحمُّلُ الزوج المكرِه زوجته كفّارة الاعتكاف كالصوم، فتجب مع إكراهها معتَكِفَةً في شهر رمضان مع وجوبه أربع، ولكن لم نقف على ما يدلُّ عليه، وحينئذٍ فالقولُ بوجوب ثلاث اثنتان عن رمضان وواحدةٌ عن نفسه للاعتكاف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ارتدَّ بَطَل اعتكافه وأخرج، فإن عاد استأنف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متتابعاً </w:t>
      </w:r>
      <w:r>
        <w:rPr>
          <w:rStyle w:val="FootnoteAnchor"/>
          <w:rtl w:val="true"/>
        </w:rPr>
        <w:footnoteReference w:id="450"/>
      </w:r>
      <w:r>
        <w:rPr>
          <w:rFonts w:ascii="Amiri" w:hAnsi="Amiri" w:eastAsia="Amiri" w:cs="Amiri"/>
          <w:color w:val="111111"/>
          <w:sz w:val="28"/>
          <w:sz w:val="28"/>
          <w:szCs w:val="28"/>
          <w:rtl w:val="true"/>
          <w:lang w:bidi="ar-SA"/>
        </w:rPr>
        <w:t>و لم يمض منه ثلاثة وإلا 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 واشترى أثِمَ، والأقربُ الانعقاد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قبل انقضاء الواجب وجب على الوليّ قضاؤه عنه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قد استقر في ذمته قبل ذلك وتمكّن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في الصَوْم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عليه هنا نص بخصوصه، وحينئذٍ فيشكل وجوب قضائه على الولي مطلقاً؛ لما تقدَّم من أن نذر الاعتكاف لا يستلزم إيجابَ الصّوم وإن اقتضى فعله فيه، فيجوز فعله في صومٍ مستحق كرمضان فينبغي أن لا يجب قضاؤه على الوليّ إلّا أن ينذر بالصومَ معتكفاً؛ ليجب عليه قضاء الصوم المقدور، وهو متوقف على الاعتكاف فيتبعه الاعتكاف من باب المقدّمة</w:t>
      </w:r>
      <w:r>
        <w:rPr>
          <w:rFonts w:eastAsia="Amiri" w:cs="Amiri" w:ascii="Amiri" w:hAnsi="Amiri"/>
          <w:color w:val="111111"/>
          <w:sz w:val="28"/>
          <w:szCs w:val="28"/>
          <w:rtl w:val="true"/>
          <w:lang w:bidi="ar-SA"/>
        </w:rPr>
        <w:t xml:space="preserve">. </w:t>
      </w:r>
      <w:bookmarkStart w:id="338" w:name="pg10189_116090"/>
    </w:p>
    <w:p>
      <w:pPr>
        <w:pStyle w:val="Heading5"/>
        <w:numPr>
          <w:ilvl w:val="4"/>
          <w:numId w:val="1"/>
        </w:numPr>
        <w:rPr/>
      </w:pPr>
      <w:bookmarkStart w:id="339" w:name="__RefHeading___Toc2156572_1067777946"/>
      <w:bookmarkStart w:id="340" w:name="_Toc127"/>
      <w:bookmarkEnd w:id="338"/>
      <w:bookmarkEnd w:id="339"/>
      <w:r>
        <w:rPr>
          <w:rtl w:val="true"/>
        </w:rPr>
        <w:t>[</w:t>
      </w:r>
      <w:r>
        <w:rPr>
          <w:rtl w:val="true"/>
        </w:rPr>
        <w:t>المطلب الرابع في النذر</w:t>
      </w:r>
      <w:r>
        <w:rPr>
          <w:rtl w:val="true"/>
        </w:rPr>
        <w:t>]</w:t>
      </w:r>
      <w:bookmarkEnd w:id="340"/>
    </w:p>
    <w:p>
      <w:pPr>
        <w:pStyle w:val="BookText"/>
        <w:rPr/>
      </w:pPr>
      <w:r>
        <w:rPr>
          <w:rFonts w:ascii="Amiri" w:hAnsi="Amiri" w:eastAsia="Amiri" w:cs="Amiri"/>
          <w:color w:val="111111"/>
          <w:sz w:val="28"/>
          <w:sz w:val="28"/>
          <w:szCs w:val="28"/>
          <w:rtl w:val="true"/>
          <w:lang w:bidi="ar-SA"/>
        </w:rPr>
        <w:t>قوله والأقرب صحة إتيانه بيوم من النذر وآخرين من غيره 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التتابعُ في قضائه، إلا أن يشترط التتابع لفظاً على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Style w:val="FootnoteAnchor"/>
          <w:rtl w:val="true"/>
        </w:rPr>
        <w:footnoteReference w:id="452"/>
      </w:r>
      <w:r>
        <w:rPr>
          <w:rFonts w:ascii="Amiri" w:hAnsi="Amiri" w:eastAsia="Amiri" w:cs="Amiri"/>
          <w:color w:val="111111"/>
          <w:sz w:val="28"/>
          <w:sz w:val="28"/>
          <w:szCs w:val="28"/>
          <w:rtl w:val="true"/>
          <w:lang w:bidi="ar-SA"/>
        </w:rPr>
        <w:t>قضاءُ المنذور متتابعاً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ظهر يوم الثلاثين العيد فالأقرب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0189_116092"/>
      <w:bookmarkStart w:id="342" w:name="pg10189_116092"/>
      <w:bookmarkEnd w:id="342"/>
    </w:p>
    <w:p>
      <w:pPr>
        <w:pStyle w:val="Heading3"/>
        <w:numPr>
          <w:ilvl w:val="2"/>
          <w:numId w:val="1"/>
        </w:numPr>
        <w:rPr/>
      </w:pPr>
      <w:bookmarkStart w:id="343" w:name="pg10189_116092"/>
      <w:bookmarkStart w:id="344" w:name="__RefHeading___Toc2156574_1067777946"/>
      <w:bookmarkStart w:id="345" w:name="_Toc128"/>
      <w:bookmarkEnd w:id="343"/>
      <w:bookmarkEnd w:id="344"/>
      <w:r>
        <w:rPr>
          <w:rtl w:val="true"/>
        </w:rPr>
        <w:t>كتاب الحج</w:t>
      </w:r>
      <w:bookmarkEnd w:id="345"/>
    </w:p>
    <w:p>
      <w:pPr>
        <w:pStyle w:val="Heading4"/>
        <w:numPr>
          <w:ilvl w:val="3"/>
          <w:numId w:val="1"/>
        </w:numPr>
        <w:rPr/>
      </w:pPr>
      <w:bookmarkStart w:id="346" w:name="__RefHeading___Toc2156576_1067777946"/>
      <w:bookmarkStart w:id="347" w:name="_Toc129"/>
      <w:bookmarkEnd w:id="346"/>
      <w:r>
        <w:rPr>
          <w:rtl w:val="true"/>
        </w:rPr>
        <w:t>المقصد الأوّل في المقدمات</w:t>
      </w:r>
      <w:bookmarkEnd w:id="347"/>
    </w:p>
    <w:p>
      <w:pPr>
        <w:pStyle w:val="Heading5"/>
        <w:numPr>
          <w:ilvl w:val="4"/>
          <w:numId w:val="1"/>
        </w:numPr>
        <w:rPr/>
      </w:pPr>
      <w:bookmarkStart w:id="348" w:name="__RefHeading___Toc2156578_1067777946"/>
      <w:bookmarkStart w:id="349" w:name="_Toc130"/>
      <w:bookmarkEnd w:id="348"/>
      <w:r>
        <w:rPr>
          <w:rtl w:val="true"/>
        </w:rPr>
        <w:t>[</w:t>
      </w:r>
      <w:r>
        <w:rPr>
          <w:rtl w:val="true"/>
        </w:rPr>
        <w:t>المطلب الأوّل في حقيقته</w:t>
      </w:r>
      <w:r>
        <w:rPr>
          <w:rtl w:val="true"/>
        </w:rPr>
        <w:t>]</w:t>
      </w:r>
      <w:bookmarkEnd w:id="349"/>
    </w:p>
    <w:p>
      <w:pPr>
        <w:pStyle w:val="BookText"/>
        <w:rPr/>
      </w:pPr>
      <w:r>
        <w:rPr>
          <w:rFonts w:ascii="Amiri" w:hAnsi="Amiri" w:eastAsia="Amiri" w:cs="Amiri"/>
          <w:color w:val="111111"/>
          <w:sz w:val="28"/>
          <w:sz w:val="28"/>
          <w:szCs w:val="28"/>
          <w:rtl w:val="true"/>
          <w:lang w:bidi="ar-SA"/>
        </w:rPr>
        <w:t>المقصد الأوّل في المقدمات</w:t>
      </w:r>
    </w:p>
    <w:p>
      <w:pPr>
        <w:pStyle w:val="BookText"/>
        <w:rPr/>
      </w:pPr>
      <w:r>
        <w:rPr>
          <w:rFonts w:ascii="Amiri" w:hAnsi="Amiri" w:eastAsia="Amiri" w:cs="Amiri"/>
          <w:color w:val="111111"/>
          <w:sz w:val="28"/>
          <w:sz w:val="28"/>
          <w:szCs w:val="28"/>
          <w:rtl w:val="true"/>
          <w:lang w:bidi="ar-SA"/>
        </w:rPr>
        <w:t>المقصد الثاني في أفعال التمتع</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الثالث في التوابع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كفاقد الشروط والمتبرع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الحج، بمعنى أنّ الحجّ إذا لم يجمع شروط الوجوب فهو 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يفعل بعد أداء الواجب، ولهذا جمع بينه وبين فاقد الشروط وإن كان المُتَبَرَّعُ به يشملهما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المتبرع به ما يفعل بعد أداء الواجب، ولهذا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والاستطاعة، ومؤونة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العيال من جملة الاستطاعة، أو مشروط فيها؛ لما سيأتي </w:t>
      </w:r>
      <w:r>
        <w:rPr>
          <w:rStyle w:val="FootnoteAnchor"/>
          <w:rtl w:val="true"/>
        </w:rPr>
        <w:footnoteReference w:id="453"/>
      </w:r>
      <w:r>
        <w:rPr>
          <w:rFonts w:ascii="Amiri" w:hAnsi="Amiri" w:eastAsia="Amiri" w:cs="Amiri"/>
          <w:color w:val="111111"/>
          <w:sz w:val="28"/>
          <w:sz w:val="28"/>
          <w:szCs w:val="28"/>
          <w:rtl w:val="true"/>
          <w:lang w:bidi="ar-SA"/>
        </w:rPr>
        <w:t>من أنّ المراد بها ملك الزاد والراحلة فاضلاً عن مؤونة عياله والمستثنيات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وشرائط النذر وشبهه أربعة التكليف، والحرية والإسلام، وإذن الزوج</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صح نذرُ الزوجة مع إذن الزوج كذلك المملوك مع إذن مولاه، فلا وجه لجعل الحرّيَّةِ شرطاً دون الخُلو من الزوج</w:t>
      </w:r>
      <w:r>
        <w:rPr>
          <w:rFonts w:eastAsia="Amiri" w:cs="Amiri" w:ascii="Amiri" w:hAnsi="Amiri"/>
          <w:color w:val="111111"/>
          <w:sz w:val="28"/>
          <w:szCs w:val="28"/>
          <w:rtl w:val="true"/>
          <w:lang w:bidi="ar-SA"/>
        </w:rPr>
        <w:t xml:space="preserve">. </w:t>
      </w:r>
      <w:bookmarkStart w:id="350" w:name="pg10189_116095"/>
    </w:p>
    <w:p>
      <w:pPr>
        <w:pStyle w:val="BookText"/>
        <w:rPr/>
      </w:pPr>
      <w:bookmarkEnd w:id="350"/>
      <w:r>
        <w:rPr>
          <w:rFonts w:ascii="Amiri" w:hAnsi="Amiri" w:eastAsia="Amiri" w:cs="Amiri"/>
          <w:color w:val="111111"/>
          <w:sz w:val="28"/>
          <w:sz w:val="28"/>
          <w:szCs w:val="28"/>
          <w:rtl w:val="true"/>
          <w:lang w:bidi="ar-SA"/>
        </w:rPr>
        <w:t>وأمّا اشتراط الإسلام في شبه النذر فمشكل أيضاً؛ لما سيأتي من اختياره صحة اليمين من الكافر</w:t>
      </w:r>
      <w:r>
        <w:rPr>
          <w:rStyle w:val="FootnoteAnchor"/>
          <w:rtl w:val="true"/>
        </w:rPr>
        <w:footnoteReference w:id="454"/>
      </w:r>
      <w:r>
        <w:rPr>
          <w:rFonts w:ascii="Amiri" w:hAnsi="Amiri" w:eastAsia="Amiri" w:cs="Amiri"/>
          <w:color w:val="111111"/>
          <w:sz w:val="28"/>
          <w:sz w:val="28"/>
          <w:szCs w:val="28"/>
          <w:rtl w:val="true"/>
          <w:lang w:bidi="ar-SA"/>
        </w:rPr>
        <w:t xml:space="preserve">، وأنّ العهد حكمه حكم اليمين </w:t>
      </w:r>
      <w:r>
        <w:rPr>
          <w:rStyle w:val="FootnoteAnchor"/>
          <w:rtl w:val="true"/>
        </w:rPr>
        <w:footnoteReference w:id="455"/>
      </w:r>
      <w:r>
        <w:rPr>
          <w:rFonts w:ascii="Amiri" w:hAnsi="Amiri" w:eastAsia="Amiri" w:cs="Amiri"/>
          <w:color w:val="111111"/>
          <w:sz w:val="28"/>
          <w:sz w:val="28"/>
          <w:szCs w:val="28"/>
          <w:rtl w:val="true"/>
          <w:lang w:bidi="ar-SA"/>
        </w:rPr>
        <w:t>، وإنما يتم ذلك في النذر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ما يأتي</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رجوعاً عما هنا، فإنّ في المسألة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إرادة إيقاع الحج المنذور مع سبق صحة النذر فغير صحيح قطعاً؛ لأنّ البحث في النذر لا في المنذور؛ ولعدم صحته من غير المكلَّف؛ إذ لا يشترط إذن الزوج والمولى في إيقاع المنذور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وشرائط النيابة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والتكليف، وأن لا يكون عليه حج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تُشترط أيضاً عدالته إن استنيب عمَّن وجب عليه، وموتُ المنوب عنه أو عجزه، وإمانه، على تفصيل يأتي</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2156580_1067777946"/>
      <w:bookmarkStart w:id="352" w:name="_Toc131"/>
      <w:bookmarkEnd w:id="351"/>
      <w:r>
        <w:rPr>
          <w:rtl w:val="true"/>
        </w:rPr>
        <w:t>[</w:t>
      </w:r>
      <w:r>
        <w:rPr>
          <w:rtl w:val="true"/>
        </w:rPr>
        <w:t>المطلب الثاني في أنواع الحج</w:t>
      </w:r>
      <w:r>
        <w:rPr>
          <w:rtl w:val="true"/>
        </w:rPr>
        <w:t>]</w:t>
      </w:r>
      <w:bookmarkEnd w:id="35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فرضُ مَن نأى عن مكةَ بالنّيْ عَشَرَ مِيلاً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ثمانية وأربعين ميلاً</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156582_1067777946"/>
      <w:bookmarkStart w:id="354" w:name="_Toc132"/>
      <w:bookmarkEnd w:id="353"/>
      <w:r>
        <w:rPr>
          <w:rtl w:val="true"/>
        </w:rPr>
        <w:t>[</w:t>
      </w:r>
      <w:r>
        <w:rPr>
          <w:rtl w:val="true"/>
        </w:rPr>
        <w:t xml:space="preserve">المطلب الثالث في شرائط أنواع الحج </w:t>
      </w:r>
      <w:r>
        <w:rPr>
          <w:rtl w:val="true"/>
        </w:rPr>
        <w:t>]</w:t>
      </w:r>
      <w:bookmarkEnd w:id="354"/>
    </w:p>
    <w:p>
      <w:pPr>
        <w:pStyle w:val="BookText"/>
        <w:rPr/>
      </w:pP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شوال و ذو القعدة وذو الحِجَّة على 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تعذَّر استأنف حيث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يتعمّد، ولا يَسْقُطُ الدم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المراد بالدم هنا هدي التمتُّع ونبه بعدم سقوطه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بسقوطه</w:t>
      </w:r>
      <w:r>
        <w:rPr>
          <w:rStyle w:val="FootnoteAnchor"/>
          <w:rtl w:val="true"/>
        </w:rPr>
        <w:footnoteReference w:id="458"/>
      </w:r>
      <w:r>
        <w:rPr>
          <w:rFonts w:ascii="Amiri" w:hAnsi="Amiri" w:eastAsia="Amiri" w:cs="Amiri"/>
          <w:color w:val="111111"/>
          <w:sz w:val="28"/>
          <w:sz w:val="28"/>
          <w:szCs w:val="28"/>
          <w:rtl w:val="true"/>
          <w:lang w:bidi="ar-SA"/>
        </w:rPr>
        <w:t>عمّن أحرم بحج التمتع من غير مكة وتعذر تمكنه العود إليها، وهو ضعيف جداً، بل لاوجه له؛ لأنّ هدي التمتُّع عندنا نسك كغيره من أفعال الحج لا تعلق له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بأنه جبران لما فات في إحرام حج التمتع من الإحرام من الميقات هو مذهب بعض العامة </w:t>
      </w:r>
      <w:r>
        <w:rPr>
          <w:rStyle w:val="FootnoteAnchor"/>
          <w:rtl w:val="true"/>
        </w:rPr>
        <w:footnoteReference w:id="459"/>
      </w:r>
      <w:r>
        <w:rPr>
          <w:rFonts w:ascii="Amiri" w:hAnsi="Amiri" w:eastAsia="Amiri" w:cs="Amiri"/>
          <w:color w:val="111111"/>
          <w:sz w:val="28"/>
          <w:sz w:val="28"/>
          <w:szCs w:val="28"/>
          <w:rtl w:val="true"/>
          <w:lang w:bidi="ar-SA"/>
        </w:rPr>
        <w:t xml:space="preserve">، وظاهر الشيخ في المبسوط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سقوط الدم في المسألة المفروضة على بعض الوجوه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بكونه جبراناً حكم بأنه لو لم يحرم به بمكة، بل خرج إلى أحد المواقيت لم يلزمه دم؛ لفوات معنى الجبران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أحرم من مكَّةَ ثُمّ خرج إلى أحد المواقيت، ومنها إلى عرفة، بل لو خرج إلى مسافة تساوي مسافة الميقات أو تزيدُ عليها كفى في سقوطه؛ لقطعه مقدار المسافة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ذلك ففي مسألتنا يمكنُ فرضُ سقوطِ الدم على ذلك القول بأن لا يحرم من مكَّةَ، مكة، بل من أحد المواقيت، أو يمرُّ عليها مُحرِماً، أو بمسافة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إطلاق سقوطه بمجرد كونه لم يحرم من مكَّةَ فلا وجه له على القولين، ولا هو موضع الاشتباه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لما كان الإحرام من غير مكة شاملاً بإطلاقه لموضع النزاع، يمكن فرض المسألة في بعض في بعض أفراده، إلّا أنّ الإطلاق بعيد عن تحقق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 الدروس في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يسقط عنه دم التمتع، ولو أحرم من ميقات المتعة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فزاد على المسألة المفروضة ذكر موضع النزاع</w:t>
      </w:r>
      <w:r>
        <w:rPr>
          <w:rFonts w:eastAsia="Amiri" w:cs="Amiri" w:ascii="Amiri" w:hAnsi="Amiri"/>
          <w:color w:val="111111"/>
          <w:sz w:val="28"/>
          <w:szCs w:val="28"/>
          <w:rtl w:val="true"/>
          <w:lang w:bidi="ar-SA"/>
        </w:rPr>
        <w:t xml:space="preserve">. </w:t>
      </w:r>
      <w:bookmarkStart w:id="355" w:name="pg10189_116097"/>
    </w:p>
    <w:p>
      <w:pPr>
        <w:pStyle w:val="BookText"/>
        <w:rPr/>
      </w:pPr>
      <w:bookmarkEnd w:id="355"/>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يُعلِّقَ في رقبته نَعلاً قد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للمعلوم وضميره يعود إلى السابق كما تشهد به الرواية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تكفي صلاة غيره فيه، ويعتبر مسماها فتكفي الواحدة ولو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يُجلان لو تركاها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تجديدها بعد كلّ طواف عقيب ركعتيه، وبدونها يحلّان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أقام ثلاث سنين فيصيرُ في الثالثة كالمقيم في نوع الحج ويُحتمل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قوي</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2156584_1067777946"/>
      <w:bookmarkStart w:id="357" w:name="_Toc133"/>
      <w:bookmarkEnd w:id="356"/>
      <w:r>
        <w:rPr>
          <w:rtl w:val="true"/>
        </w:rPr>
        <w:t>[</w:t>
      </w:r>
      <w:r>
        <w:rPr>
          <w:rtl w:val="true"/>
        </w:rPr>
        <w:t>المطلب الرابع في تفصيل شرائط الحج</w:t>
      </w:r>
      <w:r>
        <w:rPr>
          <w:rtl w:val="true"/>
        </w:rPr>
        <w:t>]</w:t>
      </w:r>
      <w:bookmarkEnd w:id="357"/>
    </w:p>
    <w:p>
      <w:pPr>
        <w:pStyle w:val="BookText"/>
        <w:rPr/>
      </w:pPr>
      <w:r>
        <w:rPr>
          <w:rFonts w:eastAsia="Amiri" w:cs="Amiri" w:ascii="Amiri" w:hAnsi="Amiri"/>
          <w:color w:val="111111"/>
          <w:sz w:val="28"/>
          <w:szCs w:val="28"/>
          <w:lang w:bidi="ar-SA"/>
        </w:rPr>
        <w:t>403/1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للأُمّ ولاية الإحرام بالطفل </w:t>
      </w:r>
      <w:r>
        <w:rPr>
          <w:rStyle w:val="FootnoteAnchor"/>
          <w:rtl w:val="true"/>
        </w:rPr>
        <w:footnoteReference w:id="463"/>
      </w:r>
      <w:r>
        <w:rPr>
          <w:rFonts w:ascii="Amiri" w:hAnsi="Amiri" w:eastAsia="Amiri" w:cs="Amiri"/>
          <w:color w:val="111111"/>
          <w:sz w:val="28"/>
          <w:sz w:val="28"/>
          <w:szCs w:val="28"/>
          <w:rtl w:val="true"/>
          <w:lang w:bidi="ar-SA"/>
        </w:rPr>
        <w:t>؛ والنَفَقَةُ الزائدة على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لم يعلم العبد صح حجه، وللمولى أن يُحلّله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الأقوى عدم الجواز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والفائدة تَظْهَر فى العتق قبل المشعر وإباحة التحليل </w:t>
      </w:r>
      <w:r>
        <w:rPr>
          <w:rStyle w:val="FootnoteAnchor"/>
          <w:rtl w:val="true"/>
        </w:rPr>
        <w:footnoteReference w:id="464"/>
      </w:r>
      <w:r>
        <w:rPr>
          <w:rFonts w:ascii="IRNazanin" w:hAnsi="IRNazanin" w:eastAsia="IRNazanin"/>
          <w:color w:val="111111"/>
          <w:sz w:val="28"/>
          <w:sz w:val="28"/>
          <w:szCs w:val="28"/>
          <w:rtl w:val="true"/>
          <w:lang w:bidi="fa-IR"/>
        </w:rPr>
        <w:t>للمولى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 جعل الفائدة مترتبة على صحة الرجوع لا على أن له أن يحلّله؛ لأنا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تحليله كان التحليل مباحاً بغير إشكال فلا يجوز ترتب فائدة الإباحة عليه، والصحة إن لم تكن منطوقة، وإلا فهي مستفادة من الحكم لجواز تحليله، فإنّه يقتضيها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تقرير السؤال حينئذٍ أنّه أي فائدة في صحة رجوعه إذا لم يعلم العبد به و حكم بصحة حجه ؟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الفائدة تظهر في العتقِ قبل المشعر وقبل أن يحلّله، فإنّه يجزؤه حينئذٍ عن حَجَّة الإسلام، لوقوعه صحيحاً حيث لم يعلم بالرجوع، ومجرَّد جواز الرجوع لم يوجب بطلانه، فيصير كما لو أعتق حينئذٍ ولم يرجع المولى، وفي جواز تحليله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يحكم بصحة رجوعه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التحليل كما لو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هاياه وأحرم في نوبته فالأقوى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بشرط أن تسع مدته جميع أفعال الحج، ولا يتجه على المولى ضرر،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وللمولى التحليل مع قصورها عن أفعال الحج، والإجزاء عن حَجَّة الإسلام إن أعتق قبل أحد الموقفين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مع القصور يقع الإحرام به باطلاً ولا يفتقر إلى 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السيّد التمكين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على السيّد تمكينه من القضاء، خصوصاً على القول بأنه فرضه؛ لأنّه حينئذٍ يكون مأذوناً فيه بالإذن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يحصل الفرق بينه وبين كفّارة التطيب واللبس، فإنّ الإذنَ في الحجّ ليس إذناً فيما يترتب على محرمات إحرامه، بل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وإن زاد عن ثمن المثل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الرجوع إلى كفايةٍ من صناعة أو حرفة شرطاً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وعَلَفُ البهائم المملوكة ومشروبها كالزاد والراحلة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بالبهائم ما يستصحبه منها في الطريق ليركبه، أو يحمل عليه ما يحتاج إليه، فإنّ نفقته من جملة الاستطاعة كزاده وراحلته ويحتمل أن يريد بها الأعم من ذلك ليشمل ما يتركه في بلده منها ممّا يستثنى له منها لكن جعل مَؤُونَتها كالزاد والراحلة قرينة جليّة على الأوّل؛ لأنّ ما في البلد لايُشبِه مَؤُونَة 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التشبيه بهما تنبيه على خلاف ما ذكره في التذكرة</w:t>
      </w:r>
      <w:r>
        <w:rPr>
          <w:rStyle w:val="FootnoteAnchor"/>
          <w:rtl w:val="true"/>
        </w:rPr>
        <w:footnoteReference w:id="465"/>
      </w:r>
      <w:r>
        <w:rPr>
          <w:rFonts w:ascii="Amiri" w:hAnsi="Amiri" w:eastAsia="Amiri" w:cs="Amiri"/>
          <w:color w:val="111111"/>
          <w:sz w:val="28"/>
          <w:sz w:val="28"/>
          <w:szCs w:val="28"/>
          <w:rtl w:val="true"/>
          <w:lang w:bidi="ar-SA"/>
        </w:rPr>
        <w:t xml:space="preserve">، من الفرق بينهما من جهة أنّه أوجب حمل </w:t>
      </w:r>
    </w:p>
    <w:p>
      <w:pPr>
        <w:pStyle w:val="BookText"/>
        <w:rPr/>
      </w:pPr>
      <w:r>
        <w:rPr>
          <w:rFonts w:ascii="Amiri" w:hAnsi="Amiri" w:eastAsia="Amiri" w:cs="Amiri"/>
          <w:color w:val="111111"/>
          <w:sz w:val="28"/>
          <w:sz w:val="28"/>
          <w:szCs w:val="28"/>
          <w:rtl w:val="true"/>
          <w:lang w:bidi="ar-SA"/>
        </w:rPr>
        <w:t>الزاد حيث لا يوجد في المنازل، ولم يوجب حمل علف البهائم حيث لا يوجد في المنازل التي ينزلها على حسب العادة؛ لما فيه من عظم المشقة وعدم جريان العادة به وجعل مثله حمل الماء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عدم الفرق مع الإمكان؛ لصدق الاستطاعة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على المتضرّر الاستنابة؟ الأقرب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الخلافِ ما إذا عرض المانع قبل استقرار الوجوب عليه مباشرةً، أما لو استقرّ، ثُمّ عَرَضَ المانعُ وجبت الاستنابة قولاً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 الاستنابة في الأوّل أيضاً، وإنّما تجب مع اليأس من البرء وإلا استحبّت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لم يستمسك خِلْقةً لم يجب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كما مر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العدوّ لا يندفع إلا بمال وتمكن من التحمّل به ففي سقوط الحج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الوجوب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 بَذْرَقة بأجرة وتمكّن منها فالأقرب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بالوجوب هنا أولى من السابق؛ لأن المال هنا عوض عمل محلل وإن كان لدفع العدوّ الظالم، بخلاف دفع المال إلى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للحكم بعدم الوجوب هنا والتردّد ثَمَّ، والأجود الوجوب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أقرب الأماكن إلى الميقات على رأي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قوي مع عدم وصيّته بالزائد صريحاً أو بالقرينة الحالية أو المقالية، وإلا اتبعت وصيّته ويكون الزائد من الثلث</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والاستقرارُ بالإهمال بعد اجتماع الشرائط ومُضِيّ زمانِ جميع أفعال الحج أو دخول الحرم على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أنه لا يكفي دخول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أخرج من صُلْبِ تَرِكَته وإن لم يَتُب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المرتد عن ملّة ليمكن فرضُ استطاعته حال ردَّته ؛ لأنّ الفطري ينتقل ماله عن ملكه بها ولا يقبل الملك حالتها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الإشكال من عموم وجوب الاستنابة عمّن مات مستطيعاً، ومن أنّ النيابة تابعة لفعل المندوب ومُنزَّلَة منزلته وهو ممتنع فيه؛ ولأنّ فعله على وجهه يوجب الإجزاء واستحقاق الثواب وهما منفيّان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قبيل الأسباب والغرض منه استحقاق المسلمين قدر الأجرة و الثواب للوارث بالإخراج، والنائب بالفعل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ووجوب الاستنابة عن كلّ مستطيع ممنوع يرشد إليه الكافر وهذا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جرى عليه أحكام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 لا يُعيد حَجَّه بعد استبصاره واجباً إلّا أن يُخِلَّ بركن، بل يُستحب</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تقييد الحكم بعدم الإخلال بالركن ليس منصوصاً، واعتباره حسن، إلا أنه ينبغي أن يُراد به ما هو ركن عندهم لا عندنا، نظراً إلى معتقدهم و ينبه عليه حكمُهم بعدم إعادة ماصلاه أيضاً إذا كانت صحيحة عندهم وإن لم تكن صحيحة عندنا، ولكنَّه مع ذلك يستغني عن القيد؛ لأنه إذا أخل بركن لا يكون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أغرب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حيث اعتبر في الصلاةِ صحتها عندهم</w:t>
      </w:r>
      <w:r>
        <w:rPr>
          <w:rStyle w:val="FootnoteAnchor"/>
          <w:rtl w:val="true"/>
        </w:rPr>
        <w:footnoteReference w:id="468"/>
      </w:r>
      <w:r>
        <w:rPr>
          <w:rFonts w:ascii="Amiri" w:hAnsi="Amiri" w:eastAsia="Amiri" w:cs="Amiri"/>
          <w:color w:val="111111"/>
          <w:sz w:val="28"/>
          <w:sz w:val="28"/>
          <w:szCs w:val="28"/>
          <w:rtl w:val="true"/>
          <w:lang w:bidi="ar-SA"/>
        </w:rPr>
        <w:t>، وفي الحج صحته عندنا</w:t>
      </w:r>
      <w:r>
        <w:rPr>
          <w:rStyle w:val="FootnoteAnchor"/>
          <w:rtl w:val="true"/>
        </w:rPr>
        <w:footnoteReference w:id="469"/>
      </w:r>
      <w:r>
        <w:rPr>
          <w:rFonts w:ascii="Amiri" w:hAnsi="Amiri" w:eastAsia="Amiri" w:cs="Amiri"/>
          <w:color w:val="111111"/>
          <w:sz w:val="28"/>
          <w:sz w:val="28"/>
          <w:szCs w:val="28"/>
          <w:rtl w:val="true"/>
          <w:lang w:bidi="ar-SA"/>
        </w:rPr>
        <w:t>؛ فإنّ اختلافه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تنزيل النوع منزلة الصحيح من الأفعال، فيجزئ ما فعله من القران والإفراد عن التمتُّع لو كان فرضه عندنا، وبالعكس بطريق أولى</w:t>
      </w:r>
      <w:r>
        <w:rPr>
          <w:rFonts w:eastAsia="Amiri" w:cs="Amiri" w:ascii="Amiri" w:hAnsi="Amiri"/>
          <w:color w:val="111111"/>
          <w:sz w:val="28"/>
          <w:szCs w:val="28"/>
          <w:rtl w:val="true"/>
          <w:lang w:bidi="ar-SA"/>
        </w:rPr>
        <w:t xml:space="preserve">. </w:t>
      </w:r>
      <w:bookmarkStart w:id="358" w:name="pg10189_116101"/>
    </w:p>
    <w:p>
      <w:pPr>
        <w:pStyle w:val="BookText"/>
        <w:rPr/>
      </w:pPr>
      <w:bookmarkEnd w:id="358"/>
      <w:r>
        <w:rPr>
          <w:rFonts w:ascii="Amiri" w:hAnsi="Amiri" w:eastAsia="Amiri" w:cs="Amiri"/>
          <w:color w:val="111111"/>
          <w:sz w:val="28"/>
          <w:sz w:val="28"/>
          <w:szCs w:val="28"/>
          <w:rtl w:val="true"/>
          <w:lang w:bidi="ar-SA"/>
        </w:rPr>
        <w:t xml:space="preserve">وكذا لو حجَّ قِراناً بالمعنى المعتبر عندهم، وهو أن يقرن بين النسكين بنية واحدة؛ لإطلاق النصّ </w:t>
      </w:r>
      <w:r>
        <w:rPr>
          <w:rStyle w:val="FootnoteAnchor"/>
          <w:rtl w:val="true"/>
        </w:rPr>
        <w:footnoteReference w:id="470"/>
      </w:r>
      <w:r>
        <w:rPr>
          <w:rFonts w:ascii="Amiri" w:hAnsi="Amiri" w:eastAsia="Amiri" w:cs="Amiri"/>
          <w:color w:val="111111"/>
          <w:sz w:val="28"/>
          <w:sz w:val="28"/>
          <w:szCs w:val="28"/>
          <w:rtl w:val="true"/>
          <w:lang w:bidi="ar-SA"/>
        </w:rPr>
        <w:t>، وقيام الشبهة، وصحته عندهم</w:t>
      </w:r>
      <w:r>
        <w:rPr>
          <w:rStyle w:val="FootnoteAnchor"/>
          <w:rtl w:val="true"/>
        </w:rPr>
        <w:footnoteReference w:id="471"/>
      </w:r>
      <w:r>
        <w:rPr>
          <w:rFonts w:ascii="Amiri" w:hAnsi="Amiri" w:eastAsia="Amiri" w:cs="Amiri"/>
          <w:color w:val="111111"/>
          <w:sz w:val="28"/>
          <w:sz w:val="28"/>
          <w:szCs w:val="28"/>
          <w:rtl w:val="true"/>
          <w:lang w:bidi="ar-SA"/>
        </w:rPr>
        <w:t>، بل عند كثير منّا</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2156586_1067777946"/>
      <w:bookmarkStart w:id="360" w:name="_Toc134"/>
      <w:bookmarkEnd w:id="359"/>
      <w:r>
        <w:rPr>
          <w:rtl w:val="true"/>
        </w:rPr>
        <w:t>[</w:t>
      </w:r>
      <w:r>
        <w:rPr>
          <w:rtl w:val="true"/>
        </w:rPr>
        <w:t xml:space="preserve">المطلب الخامس في شرائط النذر وشبهه </w:t>
      </w:r>
      <w:r>
        <w:rPr>
          <w:rtl w:val="true"/>
        </w:rPr>
        <w:t>]</w:t>
      </w:r>
      <w:bookmarkEnd w:id="360"/>
    </w:p>
    <w:p>
      <w:pPr>
        <w:pStyle w:val="BookText"/>
        <w:rPr/>
      </w:pPr>
      <w:r>
        <w:rPr>
          <w:rFonts w:eastAsia="Amiri" w:cs="Amiri" w:ascii="Amiri" w:hAnsi="Amiri"/>
          <w:color w:val="111111"/>
          <w:sz w:val="28"/>
          <w:szCs w:val="28"/>
          <w:lang w:bidi="ar-SA"/>
        </w:rPr>
        <w:t>409/1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وللأب حَلَّ يمينِ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يمين الولدِ غيرُ منعقدةٍ بدون إذنِ الأب، وحينئذٍ فلا يتوقف على حله لو وقع قبل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لو تمكن بعد وجوبه ومات لم يأثِم ويُقضى من صُلْب التركةِ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ظنّه الوفاة، وإلا وجب الفور حينئذٍ وأثم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أو أفسد وهو معضوب، قيل</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حالية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وقوعها حالة العضب، وحينئذٍ فوجوب الاستنابة مع الإفساد قوي، خصوصاً على القول بأنّ الثانية فرضه ووجوب الاستنابة في حَجَّة الإسلام، والمقدّمتان ثابتتان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النذرُ الواقع حالته فالأقوى أنه مع الإطلاق محمول على المباشرة بنفسه فيتوقع الإمكان كما لو نذره صحيحاً، ومع اليأس 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ويَقِفُ مَوضعَ العُبُور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مستحبّاً على الأقوى، لضعف مستند الوجوب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bookmarkStart w:id="361" w:name="pg10189_116102"/>
    </w:p>
    <w:p>
      <w:pPr>
        <w:pStyle w:val="BookText"/>
        <w:rPr/>
      </w:pPr>
      <w:bookmarkEnd w:id="361"/>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ركب طريقه 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بالقضاء معناه المتعارف إن كان النذر مقيَّداً بتلك السنة، ومعناه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مطلق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وبقرينة تقسيمه مع العجز إلى المطلَقِ والمعين، ويختلف الأمران بالكفّارة مع القضاء فإنّها تجب مع تعيينه مضافاً إلى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ركب البعض فكذلك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لكن مع تقييده بتلك السنة يُكفّر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فإن كان مُطْلِقاً توقع المُكْنةَ وإلا سقط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سقوط ما عجز عنه من المشي خاصةً، ووجوب الحج ولو راكباً، هذا إذا لم يقيد الحج بالمشي بحيث لا يريد غيره، وإلا سقط الحجّ أيضاً، كما اختاره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أطلق فكذلك على 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2156588_1067777946"/>
      <w:bookmarkStart w:id="363" w:name="_Toc135"/>
      <w:bookmarkEnd w:id="362"/>
      <w:r>
        <w:rPr>
          <w:rtl w:val="true"/>
        </w:rPr>
        <w:t>[</w:t>
      </w:r>
      <w:r>
        <w:rPr>
          <w:rtl w:val="true"/>
        </w:rPr>
        <w:t>المطلب السادس في شرائط النيابة</w:t>
      </w:r>
      <w:r>
        <w:rPr>
          <w:rtl w:val="true"/>
        </w:rPr>
        <w:t>]</w:t>
      </w:r>
      <w:bookmarkEnd w:id="36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المميّز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عن المخالف إلا أن يكون أبا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الحج عن المخالفِ غير الناصب مطلقاً، الناصب مطلقاً، وعنه إذا كان أبا النائب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اشتراط العدالة لا بمعنى عدم الإجزاء لو حجّ الفاسقُ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عدم الإجزاء في نفس الأمر، بل يقع مُجزئاً عن المنوب، لكن لا يقبل إخباره بذلك؛ للأمر بالتثبت عند خبره، فلا يجوز لمن عليه حج تجوز الاستنابة فيه استنابته ولا للوصي عن الميت استئجاره له وبما أشبهه من العبادات المتوقفة على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 هذا فالعدالة شرط في جواز الاستنابة لا في صحة النيابة، فلو حج الفاسق عن غيره متبرعاً صح، وكذا لو كان فاسقاً في نفس الأمر وعنده ظاهراً فاستأجره من لا يعلم حاله، وفعل فإنه يقع صحيحاً ويستحقُ الأُجرة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كان الوارث فاسقاً حيث يجب عليه إخراج الحج لمورّثه، أو الوصي حيث لا يشترط عدالته فحج عنه أجزاً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لمن عليه حج أن يعتمر عن غيره ولمن عليه عُمْرَةً أَنْ يَحُجَّ نيابةً إذا لم يجب عليه النُّسُكُ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تحصل بينهما منافاة وإلا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انعكس صحا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وجوبُ الثاني فورياً، أو لم يجد مستأجره من يحج عنه قبل السنة التي استأجر لها، وإلا بطل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 بعد الإحرام ودخول الحرم أجزأ، وقبلَه يُعيد مُقابِلَ الباقي والعَود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الطريق لا يوزّع عليها شيء من الأجرة مطلقاً إلا مع شرطها في العقد، فيوزّع مع موته قبل الحكم بإجزاء الحج لما شرط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المصنّف من ردّ ما قابل العود ضعيف جداً، إذ لا مدخل له في الحج ولا في مقدماته أصلاً، بخلاف الذهاب فإنه قديتخيَّل كونه من مقدمات الحج، خصوصاً على القول بوجوب الاستئجار من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حكم فيما سبق بعدمه ضعف القول بالتوزيع له أيضاً بدون شرطه، وكذا القول فيما لو صُدّ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طريقاً مع الغرض وعليه ردّ التفاوت لامعه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أن يعود ضمير معه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بياناً لحكم ما لو خالف لامع الغرض برد التفاوت بين الطريقين إن كان ويبقي حكم ما لو خالف مع الغرض مسكوتاً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بكون حكمه ليس لذلك، فيحتمل حينئذٍ أن يكون مذهبه فيه كما أختاره في التذكرة </w:t>
      </w:r>
      <w:r>
        <w:rPr>
          <w:rStyle w:val="FootnoteAnchor"/>
          <w:rtl w:val="true"/>
        </w:rPr>
        <w:footnoteReference w:id="474"/>
      </w:r>
      <w:r>
        <w:rPr>
          <w:rFonts w:ascii="Amiri" w:hAnsi="Amiri" w:eastAsia="Amiri" w:cs="Amiri"/>
          <w:color w:val="111111"/>
          <w:sz w:val="28"/>
          <w:sz w:val="28"/>
          <w:szCs w:val="28"/>
          <w:rtl w:val="true"/>
          <w:lang w:bidi="ar-SA"/>
        </w:rPr>
        <w:t>من فَساد المسمّى والرجوع إلى أجرة المثل أو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أن يعود الضمير إلى الامتثال أي بردّ التفاوت بينهما لا مع امتثاله لما شرط المستأجر فيشمل مسمّى الغرض و عدمه، وهذا هو الأنسب، لما فيه من موافقة غيره وبيان حكم القسمين، ومع ذلك فيشمل الحكم في كلا القولين؛ لأنّ الطريق التي استؤجر لسلوكها لم يقطعها، والتي عدل إليها غير مستأجر عليها، فإدخاله في التقسيط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ثبوت أُجرة المثل؛ فلأنّ الحجّ نفسه مشترك بين الطريقين وقد فعله فيستحقُ بنسبة من المسمّى على التقديرين لا أجرة مثل عمله وحينئذٍ فالقول باستحقاقه من المسمّى بنسبة ما عمل من المشروط خاصةً أوجه، والرواية</w:t>
      </w:r>
      <w:r>
        <w:rPr>
          <w:rStyle w:val="FootnoteAnchor"/>
          <w:rtl w:val="true"/>
        </w:rPr>
        <w:footnoteReference w:id="475"/>
      </w:r>
      <w:r>
        <w:rPr>
          <w:rFonts w:ascii="Amiri" w:hAnsi="Amiri" w:eastAsia="Amiri" w:cs="Amiri"/>
          <w:color w:val="111111"/>
          <w:sz w:val="28"/>
          <w:sz w:val="28"/>
          <w:szCs w:val="28"/>
          <w:rtl w:val="true"/>
          <w:lang w:bidi="ar-SA"/>
        </w:rPr>
        <w:t>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عدل إلى التمتُّع عن قَسيميه وتعلّق الغرض بالأفضل أجزأ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مقتضاه أنّ غرض المستأجر إذا لم يتعلّق بالأفضل لا يصح العدول، وليس كذلك وإنما المراد أنه إذا كان المستأجر مخيَّراً في الأنواع فالعدول إلى التمتع أفضل من حيث إنّه أفضل الأنواع، فيجوز للمستأجر العدول حينئذ ؛ لأنّه زاد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مخيّراً كما إذا كان أحد القسمين فرضه دون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العدول منهما إلى التمتُّع؛ لأنّه حينئذ ليس بأفضل ولا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يتحقق في المندوب والناذر للحج مطلقاً، أو ملاحظة التخيير بين الأنواع وذي المنزلين مع تساوي الإقامة فيهما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ومستند الحكم صحيحة أبي بصير،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أعطى رجلاً دراهم يحج بها عنه حجّةً مفردةً، أيجوز له أن يتمتع بالعمرة إلى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إنما خالفه إلى الفضل</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الرواية كما ترى دالّة على ما قرّرناه وسالمةٌ عما وقع في العبارة، وعلى تقدير أن تريد فى العبارة ظاهرها فالعمل على ما قرّرناه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والحامل والمحمول وإن تعدّد يُحتسبان، وان كان الحمل بأجرة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إن استأجره للحمل في طوافه احتسب لهما وإلا فلا ولا إشكال في الاحتساب مع التبرع والجعالة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قضاء عليه وإن كانت الإجارة مطلقةً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مع حصول المانع من الحج في السنة الأولى يتخيَّر كلُّ من الأجير والمستأجر في الفسخ، وحينئذٍ فإن فسخ أحدهما هنا فلا قضاء وإلا وجب الحج في السنة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اتسع المعيَّن للحج من بلده وجب وإلا فمن أقرب الأماكن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هى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الشرطية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والتقدير وإلا يسع المال من بلده أخرج من أقرب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بإمكان أن يسع مما بينهما فلا يجوز الاقتصار على الأقرب لوجوب الإتيان من المأمور بما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فمِن حيث أمكن ولو من أقرب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قَصَر عن الأقل عاد ميراثاً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إن كان قصوره ابتداءً بحيث لم يمكن إخراجه مطلقاً، أما لوطرأ عليه القصور بعد إن كان ممكناً فصرفه في وجوه البر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وسع لأحد النسكين فالأقوى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أوصى بحجّ وغيره قدّم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الواجبات مالية كالدين والكفّارات والزكاة والحج، أما لو كان بعضها بدنياً كالصلاة والصوم قدّم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قصد التكرار كُرّر حتى يستوفى الثلث</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علم منه قصد التكرار مطلقاً أو قدراً يسع الثلث أمّا لو علم منه قصد مجرَّد </w:t>
      </w:r>
    </w:p>
    <w:p>
      <w:pPr>
        <w:pStyle w:val="BookText"/>
        <w:rPr/>
      </w:pPr>
      <w:r>
        <w:rPr>
          <w:rFonts w:ascii="Amiri" w:hAnsi="Amiri" w:eastAsia="Amiri" w:cs="Amiri"/>
          <w:color w:val="111111"/>
          <w:sz w:val="28"/>
          <w:sz w:val="28"/>
          <w:szCs w:val="28"/>
          <w:rtl w:val="true"/>
          <w:lang w:bidi="ar-SA"/>
        </w:rPr>
        <w:t>التكرار اقتصر عليه وإن لم يبلغ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ما لسنتين وأزيدَ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إخراج أقل ما يكون أجرةً عن حجّة سواء بلغ السنتين أم لا، فينفق منه ما أمكن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وعلمه بأفعال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علمه بها مفصلة من الإحرام، والطواف، والسعي، وباقي الأفعال، وإن لم يعرف محالها ومقادير حركاتها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استناد العلم إلى اجتهاد أو تقليد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حج مع مرشد يقول في ذلك فالأقوى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مع أوَّل رفقة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مع من يغلب على ظنّه وصوله معهم، ولو اتفق من صحبها وتعذر عليه الوصول فلا إثم، وينزل منزلة تعذر الحج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احتساب المسافة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 له من المسمّى بنسبة مافعل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أفسد النائب الحج فعليه القضاءُ عن نفسه، فإن كانت معيّنةً انفسخت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قوله في المعيَّنة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إيجاب الاستئجار بها ثانياً، أنّه لا يستحقُ على الحجّتين أجرة، 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الاستئجار وقع على حج صحيح في السنة الأولى ولم يحصل، والقضاء وجب بسبب الإفساد عن نفسه؛ لأنه أحدث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جماعة إلى استحقاقه الأجرة وصحة الحج عنهما وإجزاء الحج عنهما</w:t>
      </w:r>
      <w:r>
        <w:rPr>
          <w:rStyle w:val="FootnoteAnchor"/>
          <w:rtl w:val="true"/>
        </w:rPr>
        <w:footnoteReference w:id="477"/>
      </w:r>
      <w:r>
        <w:rPr>
          <w:rFonts w:ascii="Amiri" w:hAnsi="Amiri" w:eastAsia="Amiri" w:cs="Amiri"/>
          <w:color w:val="111111"/>
          <w:sz w:val="28"/>
          <w:sz w:val="28"/>
          <w:szCs w:val="28"/>
          <w:rtl w:val="true"/>
          <w:lang w:bidi="ar-SA"/>
        </w:rPr>
        <w:t xml:space="preserve">؛ بناءً على أنّ الأولى فرضه، والثانية عقوبة، وقد فعل المستأجر عليه، وتسميتها فاسدة مجاز كما </w:t>
      </w:r>
    </w:p>
    <w:p>
      <w:pPr>
        <w:pStyle w:val="BookText"/>
        <w:rPr/>
      </w:pPr>
      <w:r>
        <w:rPr>
          <w:rFonts w:ascii="Amiri" w:hAnsi="Amiri" w:eastAsia="Amiri" w:cs="Amiri"/>
          <w:color w:val="111111"/>
          <w:sz w:val="28"/>
          <w:sz w:val="28"/>
          <w:szCs w:val="28"/>
          <w:rtl w:val="true"/>
          <w:lang w:bidi="ar-SA"/>
        </w:rPr>
        <w:t>ذكره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الدروس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فرضه أشكل استحقاقه الأجرة حيث إنه قد حجّ في غير المعينة مضافاً إلى ماسبق، والأقوى حينئذٍ عدم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الدروس قَوّى إجزاء الحج عنهما في المعيَّنة والمطلقة </w:t>
      </w:r>
      <w:r>
        <w:rPr>
          <w:rStyle w:val="FootnoteAnchor"/>
          <w:rtl w:val="true"/>
        </w:rPr>
        <w:footnoteReference w:id="479"/>
      </w:r>
      <w:r>
        <w:rPr>
          <w:rFonts w:ascii="Amiri" w:hAnsi="Amiri" w:eastAsia="Amiri" w:cs="Amiri"/>
          <w:color w:val="111111"/>
          <w:sz w:val="28"/>
          <w:sz w:val="28"/>
          <w:szCs w:val="28"/>
          <w:rtl w:val="true"/>
          <w:lang w:bidi="ar-SA"/>
        </w:rPr>
        <w:t xml:space="preserve">لإطلاق الرواية </w:t>
      </w:r>
      <w:r>
        <w:rPr>
          <w:rStyle w:val="FootnoteAnchor"/>
          <w:rtl w:val="true"/>
        </w:rPr>
        <w:footnoteReference w:id="480"/>
      </w:r>
      <w:r>
        <w:rPr>
          <w:rFonts w:ascii="Amiri" w:hAnsi="Amiri" w:eastAsia="Amiri" w:cs="Amiri"/>
          <w:color w:val="111111"/>
          <w:sz w:val="28"/>
          <w:sz w:val="28"/>
          <w:szCs w:val="28"/>
          <w:rtl w:val="true"/>
          <w:lang w:bidi="ar-SA"/>
        </w:rPr>
        <w:t>بذلك، وهي من الموثق وليس فيها الفرض لاستحقاق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الإجارة مطلقة فقد قطع المصنف بوجوب القضاء ثم حج النيابة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الفَساد أوجب القضاء، وحجّ النيابة مطلق، فيقدم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يجزيان عن النيابة أما الأوّل فلفَساده، وأما الثاني فلوجوبه بسبب الإفساد، فيجب الثالث وهو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بالاجتزاء بالقضاء كان قويّاً، خصوصاً على القول بأنّ الأولى فرضه ويستحقُ الأُجرة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التأجيل عامين أو أزيد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 للمستأجر تأخير الحجّ كذلك، بأن يكون مُتَبرّعاً، أو ناذراً مطلقاً، أو لا يجد من الحج قبل ذلك؛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رضي النائب به وإلا استؤجر به غيرُه ويُحتمل بأجرة المثل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التفصيل، وهو أنه إن علم من الموصي إرادة تخصيص المعيَّن بذلك القدر من غير أن يكون الحج مقصوراً عليه استؤجر غيره بأجرة المثل، وإن لم يعلم منه إرادة تخصيصه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استؤجر غيره به وإن علم منه قصرهما عليه سقط الإخراج أصلاً إن لم يكن واجباً بحيث يخرج عنه وإن لم يوص به، وإلا استؤجر غيره مع الامتناع بأجرة المثل</w:t>
      </w:r>
      <w:r>
        <w:rPr>
          <w:rFonts w:eastAsia="Amiri" w:cs="Amiri" w:ascii="Amiri" w:hAnsi="Amiri"/>
          <w:color w:val="111111"/>
          <w:sz w:val="28"/>
          <w:szCs w:val="28"/>
          <w:rtl w:val="true"/>
          <w:lang w:bidi="ar-SA"/>
        </w:rPr>
        <w:t xml:space="preserve">. </w:t>
      </w:r>
      <w:bookmarkStart w:id="364" w:name="pg10189_116108"/>
    </w:p>
    <w:p>
      <w:pPr>
        <w:pStyle w:val="Heading4"/>
        <w:numPr>
          <w:ilvl w:val="3"/>
          <w:numId w:val="1"/>
        </w:numPr>
        <w:rPr/>
      </w:pPr>
      <w:bookmarkStart w:id="365" w:name="__RefHeading___Toc2156590_1067777946"/>
      <w:bookmarkStart w:id="366" w:name="_Toc136"/>
      <w:bookmarkEnd w:id="364"/>
      <w:bookmarkEnd w:id="365"/>
      <w:r>
        <w:rPr>
          <w:rtl w:val="true"/>
        </w:rPr>
        <w:t>[</w:t>
      </w:r>
      <w:r>
        <w:rPr>
          <w:rtl w:val="true"/>
        </w:rPr>
        <w:t xml:space="preserve">المقصد الثاني في أفعال التمتع </w:t>
      </w:r>
      <w:r>
        <w:rPr>
          <w:rtl w:val="true"/>
        </w:rPr>
        <w:t>]</w:t>
      </w:r>
      <w:bookmarkEnd w:id="366"/>
    </w:p>
    <w:p>
      <w:pPr>
        <w:pStyle w:val="Heading5"/>
        <w:numPr>
          <w:ilvl w:val="4"/>
          <w:numId w:val="1"/>
        </w:numPr>
        <w:rPr/>
      </w:pPr>
      <w:bookmarkStart w:id="367" w:name="__RefHeading___Toc2156592_1067777946"/>
      <w:bookmarkStart w:id="368" w:name="_Toc137"/>
      <w:bookmarkEnd w:id="367"/>
      <w:r>
        <w:rPr>
          <w:rtl w:val="true"/>
        </w:rPr>
        <w:t xml:space="preserve">[ </w:t>
      </w:r>
      <w:r>
        <w:rPr>
          <w:rtl w:val="true"/>
        </w:rPr>
        <w:t>الفصل الأول في الإحرام</w:t>
      </w:r>
      <w:r>
        <w:rPr>
          <w:rtl w:val="true"/>
        </w:rPr>
        <w:t>]</w:t>
      </w:r>
      <w:bookmarkEnd w:id="368"/>
    </w:p>
    <w:p>
      <w:pPr>
        <w:pStyle w:val="Heading6"/>
        <w:numPr>
          <w:ilvl w:val="5"/>
          <w:numId w:val="1"/>
        </w:numPr>
        <w:rPr/>
      </w:pPr>
      <w:bookmarkStart w:id="369" w:name="__RefHeading___Toc2156594_1067777946"/>
      <w:bookmarkStart w:id="370" w:name="_Toc138"/>
      <w:bookmarkEnd w:id="369"/>
      <w:r>
        <w:rPr>
          <w:rtl w:val="true"/>
        </w:rPr>
        <w:t>[</w:t>
      </w:r>
      <w:r>
        <w:rPr>
          <w:rtl w:val="true"/>
        </w:rPr>
        <w:t>المطلب الأوّل في تعيين المواقيت</w:t>
      </w:r>
      <w:r>
        <w:rPr>
          <w:rtl w:val="true"/>
        </w:rPr>
        <w:t>]</w:t>
      </w:r>
      <w:bookmarkEnd w:id="370"/>
    </w:p>
    <w:p>
      <w:pPr>
        <w:pStyle w:val="BookText"/>
        <w:rPr/>
      </w:pP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منها سِتَّةَ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ونزولُ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نزول منى ليس من أفعال الحج، بل منى مكان للأفعال، كما أنّ مكة مكان فيها من الطواف والسعي ونحوهما ، ومِن ثُمَّ لم يحتج إلى النيّة؛ بخلاف نزول عرفة والمشعر، فإنّه نفسه نسك؛ إذ ليس فيهما أمر آخر يفعل غير الكون بهما، ومِن ثُمّ افتقر إلى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كان ترك نزول منى منها ،أولى بل يقتصر على ذكر أفعالها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غَمْرَةُ، ثُمّ ذَاتُ عِرْقٍ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 أنّ وادي العقيق بأجمعه ميقات وهو وادٍ طويل أوّله المَسْلخ</w:t>
      </w:r>
      <w:r>
        <w:rPr>
          <w:rStyle w:val="FootnoteAnchor"/>
          <w:rtl w:val="true"/>
        </w:rPr>
        <w:footnoteReference w:id="481"/>
      </w:r>
      <w:r>
        <w:rPr>
          <w:rFonts w:ascii="Amiri" w:hAnsi="Amiri" w:eastAsia="Amiri" w:cs="Amiri"/>
          <w:color w:val="111111"/>
          <w:sz w:val="28"/>
          <w:sz w:val="28"/>
          <w:szCs w:val="28"/>
          <w:rtl w:val="true"/>
          <w:lang w:bidi="ar-SA"/>
        </w:rPr>
        <w:t xml:space="preserve">، وأوسَطُهُ </w:t>
      </w:r>
    </w:p>
    <w:p>
      <w:pPr>
        <w:pStyle w:val="BookText"/>
        <w:rPr/>
      </w:pPr>
      <w:r>
        <w:rPr>
          <w:rFonts w:ascii="Amiri" w:hAnsi="Amiri" w:eastAsia="Amiri" w:cs="Amiri"/>
          <w:color w:val="111111"/>
          <w:sz w:val="28"/>
          <w:sz w:val="28"/>
          <w:szCs w:val="28"/>
          <w:rtl w:val="true"/>
          <w:lang w:bidi="ar-SA"/>
        </w:rPr>
        <w:t>غَمْرَةُ، وَآخِرُه ذات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أن طوله بريدان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وعشرون ميلاً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 أوّله</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ويليه في الفضل ما قرب منه الأقرب فالأقرب، وآخر الفضل في آخره وهو ذاتُ 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جعل المصنّف وغيره غَمْرَة بعد المَسْلَخ في الفضل لا يخلو من تجوز، ولعلها لطول الوادي بعد المَسْلَخ فلم يعتد بغيرها لنذور الإحرام منه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خالية من هذا التكلُّف؛ لأنه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 المَسْلَخ، وأوسَطُهُ غَمْرَة، وآخِرُه ذاتُ عِرْقٍ</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وتُجَرَّدُ</w:t>
      </w:r>
      <w:r>
        <w:rPr>
          <w:rStyle w:val="FootnoteAnchor"/>
          <w:rtl w:val="true"/>
        </w:rPr>
        <w:footnoteReference w:id="486"/>
      </w:r>
      <w:r>
        <w:rPr>
          <w:rFonts w:ascii="Amiri" w:hAnsi="Amiri" w:eastAsia="Amiri" w:cs="Amiri"/>
          <w:color w:val="111111"/>
          <w:sz w:val="28"/>
          <w:sz w:val="28"/>
          <w:szCs w:val="28"/>
          <w:rtl w:val="true"/>
          <w:lang w:bidi="ar-SA"/>
        </w:rPr>
        <w:t>الصِبيانُ من فخّ</w:t>
      </w:r>
      <w:r>
        <w:rPr>
          <w:rStyle w:val="FootnoteAnchor"/>
          <w:rtl w:val="true"/>
        </w:rPr>
        <w:footnoteReference w:id="487"/>
      </w:r>
      <w:r>
        <w:rPr>
          <w:rFonts w:ascii="Amiri" w:hAnsi="Amiri" w:eastAsia="Amiri" w:cs="Amiri"/>
          <w:color w:val="111111"/>
          <w:sz w:val="28"/>
          <w:sz w:val="28"/>
          <w:szCs w:val="28"/>
          <w:rtl w:val="true"/>
          <w:lang w:bidi="ar-SA"/>
        </w:rPr>
        <w:t>إن حَجُّوا على طريق المدينة، وإلا فمن مواضع الإحرام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الأقوى جواز تأخير إحرامهم أيضاً إليه لا لأنّ التجريد كناية عنه، بل لدلالة 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معاوية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من كان معكم من الصبيان إلى الجُحْفَة أو إلى بطن مرّ</w:t>
      </w:r>
      <w:r>
        <w:rPr>
          <w:rStyle w:val="FootnoteAnchor"/>
          <w:rtl w:val="true"/>
        </w:rPr>
        <w:footnoteReference w:id="488"/>
      </w:r>
      <w:r>
        <w:rPr>
          <w:rFonts w:ascii="Amiri" w:hAnsi="Amiri" w:eastAsia="Amiri" w:cs="Amiri"/>
          <w:color w:val="111111"/>
          <w:sz w:val="28"/>
          <w:sz w:val="28"/>
          <w:szCs w:val="28"/>
          <w:rtl w:val="true"/>
          <w:lang w:bidi="ar-SA"/>
        </w:rPr>
        <w:t>، ثمّ يصنع بهم ما يصنع بالمحرم</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إلى آخره؛ مضافاً إلى ما دل على تجريدهم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يجوز تأخير إحرامهم إلى فخّ يجوز إلى مادونه ممّا بينه </w:t>
      </w:r>
      <w:bookmarkStart w:id="371" w:name="pg10189_116110"/>
    </w:p>
    <w:p>
      <w:pPr>
        <w:pStyle w:val="BookText"/>
        <w:rPr/>
      </w:pPr>
      <w:bookmarkEnd w:id="371"/>
      <w:r>
        <w:rPr>
          <w:rFonts w:ascii="Amiri" w:hAnsi="Amiri" w:eastAsia="Amiri" w:cs="Amiri"/>
          <w:color w:val="111111"/>
          <w:sz w:val="28"/>
          <w:sz w:val="28"/>
          <w:szCs w:val="28"/>
          <w:rtl w:val="true"/>
          <w:lang w:bidi="ar-SA"/>
        </w:rPr>
        <w:t>وبين الميقات، وفي الرواية</w:t>
      </w:r>
      <w:r>
        <w:rPr>
          <w:rStyle w:val="FootnoteAnchor"/>
          <w:rtl w:val="true"/>
        </w:rPr>
        <w:footnoteReference w:id="490"/>
      </w:r>
      <w:r>
        <w:rPr>
          <w:rFonts w:ascii="Amiri" w:hAnsi="Amiri" w:eastAsia="Amiri" w:cs="Amiri"/>
          <w:color w:val="111111"/>
          <w:sz w:val="28"/>
          <w:sz w:val="28"/>
          <w:szCs w:val="28"/>
          <w:rtl w:val="true"/>
          <w:lang w:bidi="ar-SA"/>
        </w:rPr>
        <w:t>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مساواة أقرب المواقيت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مرحلتان قاصدتان علماً أو ظنّاً، وهذا الاحتمال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لا يُريد النُسُكَ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بمن لا يريد النسك لا يريد النسك من لا يجب الإحرام عليه من الميقات بمروره عليه وهو ذلك لا يريده، وذلك كالمتكرّر، ومن دخلها لقتال، ومن لم يكن قاصداً مكة عند مع مروره عليه ثُمّ تجدد له قصدها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فالواجب على من مرّ على الميقات مريداً مكة الإحرام لأحد النسكين وإن لم يكن مريداً له، ولا يجوز دخولها إلّا مُحرِماً بأحدهما عدا ما استثنى، فإن أخَّره حينئذٍ كان كالعامد وفي حكم من لا يريد النسك غير المكلَّف به كالصبي، والعبد، والكافر؛ إذا بلغ بعد مجاوَزَة الميقات، أو أعتق، أو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وناسي الإحرام إذا أكمل المناسكَ يُجزئه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يتمكن من الإحرام لمرض وغيره أحرم عنه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عدم التمكن منه بعروض ما يوجب ارتفاع قصده رأساً كالجنون والإغماء، وإلّا فلو قدر على نية الإحرام وإجراء التلبية على قلبه وجب عليه مباشرته؛ وإن لم يمكن لبس ثوبي الإحرام ونزع المخيط، إذ لادخل لذلك في حقيقته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تولّي الوليّ عنه الإحرامَ حينئذٍ مع عدم وجوبه عليه فيما لو أدرك أحد الموقفين كاملاً فإنّ الحجّ يجزئه، كما سلف</w:t>
      </w:r>
      <w:r>
        <w:rPr>
          <w:rStyle w:val="FootnoteAnchor"/>
          <w:rtl w:val="true"/>
        </w:rPr>
        <w:footnoteReference w:id="491"/>
      </w:r>
      <w:r>
        <w:rPr>
          <w:rFonts w:ascii="Amiri" w:hAnsi="Amiri" w:eastAsia="Amiri" w:cs="Amiri"/>
          <w:color w:val="111111"/>
          <w:sz w:val="28"/>
          <w:sz w:val="28"/>
          <w:szCs w:val="28"/>
          <w:rtl w:val="true"/>
          <w:lang w:bidi="ar-SA"/>
        </w:rPr>
        <w:t>، وإن اتفق فواتُ الموقفين سقط عنه فرضه</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2156596_1067777946"/>
      <w:bookmarkStart w:id="373" w:name="_Toc139"/>
      <w:bookmarkEnd w:id="372"/>
      <w:r>
        <w:rPr>
          <w:rtl w:val="true"/>
        </w:rPr>
        <w:t>[</w:t>
      </w:r>
      <w:r>
        <w:rPr>
          <w:rtl w:val="true"/>
        </w:rPr>
        <w:t>المطلب الثاني في مقدمات الإحرام</w:t>
      </w:r>
      <w:r>
        <w:rPr>
          <w:rtl w:val="true"/>
        </w:rPr>
        <w:t>]</w:t>
      </w:r>
      <w:bookmarkEnd w:id="373"/>
    </w:p>
    <w:p>
      <w:pPr>
        <w:pStyle w:val="BookText"/>
        <w:rPr/>
      </w:pP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أحدث فإشكال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الأجود استحباب الإعادة</w:t>
      </w:r>
      <w:r>
        <w:rPr>
          <w:rFonts w:eastAsia="Amiri" w:cs="Amiri" w:ascii="Amiri" w:hAnsi="Amiri"/>
          <w:color w:val="111111"/>
          <w:sz w:val="28"/>
          <w:szCs w:val="28"/>
          <w:rtl w:val="true"/>
          <w:lang w:bidi="ar-SA"/>
        </w:rPr>
        <w:t xml:space="preserve">. </w:t>
      </w:r>
      <w:bookmarkStart w:id="374" w:name="pg10189_116111"/>
    </w:p>
    <w:p>
      <w:pPr>
        <w:pStyle w:val="BookText"/>
        <w:rPr/>
      </w:pPr>
      <w:bookmarkEnd w:id="374"/>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وأتُهما المعتَبَرُ ؟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الكفّارة بالمتخلّل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جزمه بوجوب الكفّارة للمتخلّل بينهما أنّ المعتبر هو الأول، وهو لا يناسب إطلاق الإشكال في أيهما المعتبر وما قيل</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الفائدة المرتبة على الأمرين فيما لو ظهر فَسادُ أحدهما، وفي عد الشهر إذا اعتبر من حين الإهلال، وفي جعلها عمرة التمتُّع إذا كان قد وقع الثاني في أشهر الحج دون الأوّل، مع القطع بوجوب الكفارة للمتخلل غير مستقيم والأقوى أنّ المعتبر الأوّل مطلقاً من حيث الإحكام، والثاني في الكمال خاصةً بمعنى أن تجديده مستحبُّ</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2156598_1067777946"/>
      <w:bookmarkStart w:id="376" w:name="_Toc140"/>
      <w:bookmarkEnd w:id="375"/>
      <w:r>
        <w:rPr>
          <w:rtl w:val="true"/>
        </w:rPr>
        <w:t>[</w:t>
      </w:r>
      <w:r>
        <w:rPr>
          <w:rtl w:val="true"/>
        </w:rPr>
        <w:t xml:space="preserve">المطلب الثالث في كيفيته </w:t>
      </w:r>
      <w:r>
        <w:rPr>
          <w:rtl w:val="true"/>
        </w:rPr>
        <w:t>]</w:t>
      </w:r>
      <w:bookmarkEnd w:id="376"/>
    </w:p>
    <w:p>
      <w:pPr>
        <w:pStyle w:val="BookText"/>
        <w:rPr/>
      </w:pPr>
      <w:r>
        <w:rPr>
          <w:rFonts w:eastAsia="Amiri" w:cs="Amiri" w:ascii="Amiri" w:hAnsi="Amiri"/>
          <w:color w:val="111111"/>
          <w:sz w:val="28"/>
          <w:szCs w:val="28"/>
          <w:lang w:bidi="ar-SA"/>
        </w:rPr>
        <w:t>419/1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يعيّن لا حجّاً ولا عمرةً، أو نواهما معاً فالأقرب البطلان، وإن كان في أشهر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جماعةٍ من أصحابنا منهم ابن أبي عقيل </w:t>
      </w:r>
      <w:r>
        <w:rPr>
          <w:rStyle w:val="FootnoteAnchor"/>
          <w:rtl w:val="true"/>
        </w:rPr>
        <w:footnoteReference w:id="493"/>
      </w:r>
      <w:r>
        <w:rPr>
          <w:rFonts w:ascii="Amiri" w:hAnsi="Amiri" w:eastAsia="Amiri" w:cs="Amiri"/>
          <w:color w:val="111111"/>
          <w:sz w:val="28"/>
          <w:sz w:val="28"/>
          <w:szCs w:val="28"/>
          <w:rtl w:val="true"/>
          <w:lang w:bidi="ar-SA"/>
        </w:rPr>
        <w:t xml:space="preserve">، وابن الجنيد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والجُعفى</w:t>
      </w:r>
      <w:r>
        <w:rPr>
          <w:rStyle w:val="FootnoteAnchor"/>
          <w:rtl w:val="true"/>
        </w:rPr>
        <w:footnoteReference w:id="495"/>
      </w:r>
      <w:r>
        <w:rPr>
          <w:rFonts w:ascii="IRNazanin" w:hAnsi="IRNazanin" w:eastAsia="IRNazanin"/>
          <w:color w:val="111111"/>
          <w:sz w:val="28"/>
          <w:sz w:val="28"/>
          <w:szCs w:val="28"/>
          <w:rtl w:val="true"/>
          <w:lang w:bidi="fa-IR"/>
        </w:rPr>
        <w:t xml:space="preserve">، حيث جوزوا نيتهما معاً، وجعلوه هو القران المقابل للإفراد مع سياق الهدي، واحتجوا عليه بصحيحة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قرن بين الحج والعمرة فلا يصلح إلا أن يسوق الهَدي</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رواه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في حجة الوداع حج قارناً</w:t>
      </w:r>
      <w:r>
        <w:rPr>
          <w:rStyle w:val="FootnoteAnchor"/>
          <w:rtl w:val="true"/>
        </w:rPr>
        <w:footnoteReference w:id="497"/>
      </w:r>
      <w:r>
        <w:rPr>
          <w:rFonts w:ascii="Amiri" w:hAnsi="Amiri" w:eastAsia="Amiri" w:cs="Amiri"/>
          <w:color w:val="111111"/>
          <w:sz w:val="28"/>
          <w:sz w:val="28"/>
          <w:szCs w:val="28"/>
          <w:rtl w:val="true"/>
          <w:lang w:bidi="ar-SA"/>
        </w:rPr>
        <w:t xml:space="preserve">، وعلل عدم نقله إلى التمتُّع كغيره بأنه ساق الهَدْي، مع أنه لم يعتمر بعد حجه عمرة الإفراد المعتبرة في </w:t>
      </w:r>
    </w:p>
    <w:p>
      <w:pPr>
        <w:pStyle w:val="BookText"/>
        <w:rPr/>
      </w:pPr>
      <w:r>
        <w:rPr>
          <w:rFonts w:ascii="IRNazanin" w:hAnsi="IRNazanin" w:eastAsia="IRNazanin"/>
          <w:color w:val="111111"/>
          <w:sz w:val="28"/>
          <w:sz w:val="28"/>
          <w:szCs w:val="28"/>
          <w:rtl w:val="true"/>
          <w:lang w:bidi="fa-IR"/>
        </w:rPr>
        <w:t xml:space="preserve">القران بالمعنى المشهور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بحجة وعمرة معاً</w:t>
      </w:r>
      <w:r>
        <w:rPr>
          <w:rFonts w:eastAsia="IRNazanin" w:cs="IRNazanin"/>
          <w:color w:val="111111"/>
          <w:sz w:val="28"/>
          <w:szCs w:val="28"/>
          <w:rtl w:val="true"/>
          <w:lang w:bidi="fa-IR"/>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يقال من أنّ المراد بالقران بينهما في الرواية الأولى أن يذكرهما في التلبية،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حَجَّة فعمرة </w:t>
      </w:r>
      <w:r>
        <w:rPr>
          <w:rStyle w:val="FootnoteAnchor"/>
          <w:rtl w:val="true"/>
        </w:rPr>
        <w:footnoteReference w:id="499"/>
      </w:r>
      <w:r>
        <w:rPr>
          <w:rFonts w:ascii="Amiri" w:hAnsi="Amiri" w:eastAsia="Amiri" w:cs="Amiri"/>
          <w:color w:val="111111"/>
          <w:sz w:val="28"/>
          <w:sz w:val="28"/>
          <w:szCs w:val="28"/>
          <w:rtl w:val="true"/>
          <w:lang w:bidi="ar-SA"/>
        </w:rPr>
        <w:t>، فأظهر من أن يحتاج إلى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وسلم في ذلك الحجّ كان متمتعاً</w:t>
      </w:r>
      <w:r>
        <w:rPr>
          <w:rStyle w:val="FootnoteAnchor"/>
          <w:rtl w:val="true"/>
        </w:rPr>
        <w:footnoteReference w:id="500"/>
      </w:r>
      <w:r>
        <w:rPr>
          <w:rFonts w:ascii="Amiri" w:hAnsi="Amiri" w:eastAsia="Amiri" w:cs="Amiri"/>
          <w:color w:val="111111"/>
          <w:sz w:val="28"/>
          <w:sz w:val="28"/>
          <w:szCs w:val="28"/>
          <w:rtl w:val="true"/>
          <w:lang w:bidi="ar-SA"/>
        </w:rPr>
        <w:t>، فإنه كإنكار المتواتر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وحجة المشهور قول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يكون القرآن إلا بسياقِ الهَدْي</w:t>
      </w:r>
      <w:r>
        <w:rPr>
          <w:rFonts w:eastAsia="IRNazanin" w:cs="IRNazanin"/>
          <w:color w:val="111111"/>
          <w:sz w:val="28"/>
          <w:szCs w:val="28"/>
          <w:rtl w:val="true"/>
          <w:lang w:bidi="fa-IR"/>
        </w:rPr>
        <w:t>»</w:t>
      </w:r>
      <w:r>
        <w:rPr>
          <w:rStyle w:val="FootnoteAnchor"/>
          <w:rtl w:val="true"/>
        </w:rPr>
        <w:footnoteReference w:id="501"/>
      </w:r>
      <w:r>
        <w:rPr>
          <w:rFonts w:ascii="Amiri" w:hAnsi="Amiri" w:eastAsia="Amiri" w:cs="Amiri"/>
          <w:color w:val="111111"/>
          <w:sz w:val="28"/>
          <w:sz w:val="28"/>
          <w:szCs w:val="28"/>
          <w:rtl w:val="true"/>
          <w:lang w:bidi="ar-SA"/>
        </w:rPr>
        <w:t>حيث نفى سببية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نُسُك الذي يقرن بين الصفا والمروة مثل نسك المفرد وليس بأفضل منه إلا بسياق الهَدْي</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والمماثلة تقتضي اتحاد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الدّلالة على مطلوبهم؛ لما عرفت من أنّ مفسِّرَ القِرانِ بما سلف</w:t>
      </w:r>
      <w:r>
        <w:rPr>
          <w:rStyle w:val="FootnoteAnchor"/>
          <w:rtl w:val="true"/>
        </w:rPr>
        <w:footnoteReference w:id="503"/>
      </w:r>
      <w:r>
        <w:rPr>
          <w:rFonts w:ascii="Amiri" w:hAnsi="Amiri" w:eastAsia="Amiri" w:cs="Amiri"/>
          <w:color w:val="111111"/>
          <w:sz w:val="28"/>
          <w:sz w:val="28"/>
          <w:szCs w:val="28"/>
          <w:rtl w:val="true"/>
          <w:lang w:bidi="ar-SA"/>
        </w:rPr>
        <w:t>يعتبر أيضاً سياق الهَدْي والأفعال مماثلة على التقديرين ويبقى مع الأوّل أنّ القرآن بالمعنى المشهور غير متحقق لزوماً؛ لأنّهم لا يعينون فيه الهَدْي، بل يخيرون بين عقد إحرامه به وبالتلبية، ويجعلون الآخر مستحبّاً بخلاف القران بالمعنى الذي اعتبره الأولون فإنّه متحقق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أوجه، وهو مذهب الجمهور أجمع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نوى ولبس الثوبين من غير تلبية لم يلزمه كفّارة بفعل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حكمه بعدم الكفّارة دون أن يقول بطل إحرامه، أنّ مقارنة التلبية لنيَّةِ </w:t>
      </w:r>
      <w:bookmarkStart w:id="377" w:name="pg10189_116113"/>
    </w:p>
    <w:p>
      <w:pPr>
        <w:pStyle w:val="BookText"/>
        <w:rPr/>
      </w:pPr>
      <w:bookmarkEnd w:id="377"/>
      <w:r>
        <w:rPr>
          <w:rFonts w:ascii="Amiri" w:hAnsi="Amiri" w:eastAsia="Amiri" w:cs="Amiri"/>
          <w:color w:val="111111"/>
          <w:sz w:val="28"/>
          <w:sz w:val="28"/>
          <w:szCs w:val="28"/>
          <w:rtl w:val="true"/>
          <w:lang w:bidi="ar-SA"/>
        </w:rPr>
        <w:t>الإحرام غيرُ لازمة، وإنّما يتوقف عقد الإحرام عليها حيث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تدلُّ عليه النصوص المتظافرة</w:t>
      </w:r>
      <w:r>
        <w:rPr>
          <w:rStyle w:val="FootnoteAnchor"/>
          <w:rtl w:val="true"/>
        </w:rPr>
        <w:footnoteReference w:id="505"/>
      </w:r>
      <w:r>
        <w:rPr>
          <w:rFonts w:ascii="Amiri" w:hAnsi="Amiri" w:eastAsia="Amiri" w:cs="Amiri"/>
          <w:color w:val="111111"/>
          <w:sz w:val="28"/>
          <w:sz w:val="28"/>
          <w:szCs w:val="28"/>
          <w:rtl w:val="true"/>
          <w:lang w:bidi="ar-SA"/>
        </w:rPr>
        <w:t>، بل في بعضها النهي عن التلبية بعد الإحرام بلا فصل وأنّ السنَّة تأخيرُ التلبية للراكب إلى أن يصل إلى البيداء، وللماشي إلى أن يخطو خطوات</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صرّح به جماعة من المتأخرين </w:t>
      </w:r>
      <w:r>
        <w:rPr>
          <w:rStyle w:val="FootnoteAnchor"/>
          <w:rtl w:val="true"/>
        </w:rPr>
        <w:footnoteReference w:id="507"/>
      </w:r>
      <w:r>
        <w:rPr>
          <w:rFonts w:ascii="Amiri" w:hAnsi="Amiri" w:eastAsia="Amiri" w:cs="Amiri"/>
          <w:color w:val="111111"/>
          <w:sz w:val="28"/>
          <w:sz w:val="28"/>
          <w:szCs w:val="28"/>
          <w:rtl w:val="true"/>
          <w:lang w:bidi="ar-SA"/>
        </w:rPr>
        <w:t>اعتبار المقارنة بينهما كتكبيرة الإحرام بالنسبة إلى نية الصلاة، وحملوا ما دلّ على التأخير عن نية الإحرام على ما يجهر به منها مع اعتبار مقارنتها للنية بغير جهرٍ، ولا ريب أنه أحوط إلّا أنّه لا دليل على تعيينه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جواز الحرير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على كَراهِيَة</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2156600_1067777946"/>
      <w:bookmarkStart w:id="379" w:name="_Toc141"/>
      <w:bookmarkEnd w:id="378"/>
      <w:r>
        <w:rPr>
          <w:rtl w:val="true"/>
        </w:rPr>
        <w:t>[</w:t>
      </w:r>
      <w:r>
        <w:rPr>
          <w:rtl w:val="true"/>
        </w:rPr>
        <w:t xml:space="preserve">المطلب الرابع في المندوبات والمكروهات </w:t>
      </w:r>
      <w:r>
        <w:rPr>
          <w:rtl w:val="true"/>
        </w:rPr>
        <w:t>]</w:t>
      </w:r>
      <w:bookmarkEnd w:id="379"/>
    </w:p>
    <w:p>
      <w:pPr>
        <w:pStyle w:val="BookText"/>
        <w:rPr/>
      </w:pPr>
      <w:r>
        <w:rPr>
          <w:rFonts w:eastAsia="Amiri" w:cs="Amiri" w:ascii="Amiri" w:hAnsi="Amiri"/>
          <w:color w:val="111111"/>
          <w:sz w:val="28"/>
          <w:szCs w:val="28"/>
          <w:lang w:bidi="ar-SA"/>
        </w:rPr>
        <w:t>420/1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والنقاب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 أقوى</w:t>
      </w:r>
      <w:r>
        <w:rPr>
          <w:rFonts w:eastAsia="Amiri" w:cs="Amiri" w:ascii="Amiri" w:hAnsi="Amiri"/>
          <w:color w:val="111111"/>
          <w:sz w:val="28"/>
          <w:szCs w:val="28"/>
          <w:rtl w:val="true"/>
          <w:lang w:bidi="ar-SA"/>
        </w:rPr>
        <w:t>.</w:t>
      </w:r>
    </w:p>
    <w:p>
      <w:pPr>
        <w:pStyle w:val="Heading6"/>
        <w:numPr>
          <w:ilvl w:val="5"/>
          <w:numId w:val="1"/>
        </w:numPr>
        <w:rPr/>
      </w:pPr>
      <w:bookmarkStart w:id="380" w:name="__RefHeading___Toc2156602_1067777946"/>
      <w:bookmarkStart w:id="381" w:name="_Toc142"/>
      <w:bookmarkEnd w:id="380"/>
      <w:r>
        <w:rPr>
          <w:rtl w:val="true"/>
        </w:rPr>
        <w:t>[</w:t>
      </w:r>
      <w:r>
        <w:rPr>
          <w:rtl w:val="true"/>
        </w:rPr>
        <w:t>المطلب الخامس في أحكامه</w:t>
      </w:r>
      <w:r>
        <w:rPr>
          <w:rtl w:val="true"/>
        </w:rPr>
        <w:t>]</w:t>
      </w:r>
      <w:bookmarkEnd w:id="3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مُضِيّ شهرٍ من إحرامه أو إحلاله على إشكال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الأقوى اعتبار الإحلال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أكمل عمرة التمتُّع المندوبة ففي وجوب الحج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وجوبه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الاعتبار بالقصد لا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وفائدة الشرط جواز التحلُّل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 إن شاء الله في أحكام الصد والحصر أنّ المصدود يتحلل حين الصدِّ بذَبْح هَدْيه وتوابعه، وأنّ المُحْصَر </w:t>
      </w:r>
      <w:r>
        <w:rPr>
          <w:rStyle w:val="FootnoteAnchor"/>
          <w:rtl w:val="true"/>
        </w:rPr>
        <w:footnoteReference w:id="509"/>
      </w:r>
      <w:r>
        <w:rPr>
          <w:rFonts w:ascii="Amiri" w:hAnsi="Amiri" w:eastAsia="Amiri" w:cs="Amiri"/>
          <w:color w:val="111111"/>
          <w:sz w:val="28"/>
          <w:sz w:val="28"/>
          <w:szCs w:val="28"/>
          <w:rtl w:val="true"/>
          <w:lang w:bidi="ar-SA"/>
        </w:rPr>
        <w:t>يتحلَّل ببلوغ هَذيه محله كذلك، فجواز التحلل لهما في الجملة ثابت من غير 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الشرط جواز التحلَّل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أنّه لا يجوز بدونه ولا قائل بذلك، وقد حمله ولده على أنّ المراد حينئذٍ جوازه أصالةً إذ بدون الاشتراط يكون رخصةً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الفائدة فيما لو نظر أن يتصدَّق كلَّما فعل رخصة بكذا</w:t>
      </w:r>
      <w:r>
        <w:rPr>
          <w:rFonts w:eastAsia="Amiri" w:cs="Amiri" w:ascii="Amiri" w:hAnsi="Amiri"/>
          <w:color w:val="111111"/>
          <w:sz w:val="28"/>
          <w:szCs w:val="28"/>
          <w:rtl w:val="true"/>
          <w:lang w:bidi="ar-SA"/>
        </w:rPr>
        <w:t>»</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التحلُّل جواز تعجيله للمُحْصَر كما صرح به المحقق </w:t>
      </w:r>
      <w:r>
        <w:rPr>
          <w:rStyle w:val="FootnoteAnchor"/>
          <w:rtl w:val="true"/>
        </w:rPr>
        <w:footnoteReference w:id="512"/>
      </w:r>
      <w:r>
        <w:rPr>
          <w:rFonts w:ascii="Amiri" w:hAnsi="Amiri" w:eastAsia="Amiri" w:cs="Amiri"/>
          <w:color w:val="111111"/>
          <w:sz w:val="28"/>
          <w:sz w:val="28"/>
          <w:szCs w:val="28"/>
          <w:rtl w:val="true"/>
          <w:lang w:bidi="ar-SA"/>
        </w:rPr>
        <w:t>لأنّ هذه الفائدة أظهر من تلك، والاحتياج إلى الإضمار متحقق على التقديرين، وليس إضمار جوازه أصالةً أولى من إضمار جوازه معجَّلاً، وحمله على المُحْصَر لازم؛ لأنّه هو الذي يحتاج إلى التعجيل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دليل على هذه الفائدة بالاشتراط، كما لا دليل على سقوط الهَدْي به، ولا عدم وجوب القضاء على المتمتّع لو فاته الوقوفان، وإن قال بكل واحدةٍ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شرعيَّة الاشتراط تعبديَّة، ودعاءً خاصاً يترتب على فعله الثواب</w:t>
      </w:r>
      <w:r>
        <w:rPr>
          <w:rFonts w:eastAsia="Amiri" w:cs="Amiri" w:ascii="Amiri" w:hAnsi="Amiri"/>
          <w:color w:val="111111"/>
          <w:sz w:val="28"/>
          <w:szCs w:val="28"/>
          <w:rtl w:val="true"/>
          <w:lang w:bidi="ar-SA"/>
        </w:rPr>
        <w:t xml:space="preserve">. </w:t>
      </w:r>
      <w:bookmarkStart w:id="382" w:name="pg10189_116115"/>
    </w:p>
    <w:p>
      <w:pPr>
        <w:pStyle w:val="Heading6"/>
        <w:numPr>
          <w:ilvl w:val="5"/>
          <w:numId w:val="1"/>
        </w:numPr>
        <w:rPr/>
      </w:pPr>
      <w:bookmarkStart w:id="383" w:name="__RefHeading___Toc2156604_1067777946"/>
      <w:bookmarkStart w:id="384" w:name="_Toc143"/>
      <w:bookmarkEnd w:id="382"/>
      <w:bookmarkEnd w:id="383"/>
      <w:r>
        <w:rPr>
          <w:rtl w:val="true"/>
        </w:rPr>
        <w:t>[</w:t>
      </w:r>
      <w:r>
        <w:rPr>
          <w:rtl w:val="true"/>
        </w:rPr>
        <w:t>المطلب السادس في تُرُوكه</w:t>
      </w:r>
      <w:r>
        <w:rPr>
          <w:rtl w:val="true"/>
        </w:rPr>
        <w:t>]</w:t>
      </w:r>
      <w:bookmarkEnd w:id="384"/>
    </w:p>
    <w:p>
      <w:pPr>
        <w:pStyle w:val="BookText"/>
        <w:rPr/>
      </w:pP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انتفى الاسمان فإن امتنع جنسه حَرُمَ، 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أنّه لحق بجنس ممتنع فيلزمه حكمه حيث يطلق اسمه عليه فيصير من جملة أفراده، وهذا يتم على تقدير كون الصيد هو الممتنع بالأصالة مطلقاً، كما عرفه به المصنّف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حاله وحال غيره </w:t>
      </w:r>
      <w:r>
        <w:rPr>
          <w:rStyle w:val="FootnoteAnchor"/>
          <w:rtl w:val="true"/>
        </w:rPr>
        <w:footnoteReference w:id="514"/>
      </w:r>
      <w:r>
        <w:rPr>
          <w:rFonts w:ascii="Amiri" w:hAnsi="Amiri" w:eastAsia="Amiri" w:cs="Amiri"/>
          <w:color w:val="111111"/>
          <w:sz w:val="28"/>
          <w:sz w:val="28"/>
          <w:szCs w:val="28"/>
          <w:rtl w:val="true"/>
          <w:lang w:bidi="ar-SA"/>
        </w:rPr>
        <w:t>أنّهم لا يريدون ذلك مطلقاً، وأن التعريف غير سديد فإنّهم في أحكام الصيد وتفصيلها يخصون المحرم منه بالحيوان الممتنع بالأصالة المحلّل، ويضيفون إليه من المحرَّم الثعلب والأرنب والضَبَّ واليربوع والقُنْفُذ</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الحق؛ لأنّه مورد النص</w:t>
      </w:r>
      <w:r>
        <w:rPr>
          <w:rStyle w:val="FootnoteAnchor"/>
          <w:rtl w:val="true"/>
        </w:rPr>
        <w:footnoteReference w:id="516"/>
      </w:r>
      <w:r>
        <w:rPr>
          <w:rFonts w:ascii="Amiri" w:hAnsi="Amiri" w:eastAsia="Amiri" w:cs="Amiri"/>
          <w:color w:val="111111"/>
          <w:sz w:val="28"/>
          <w:sz w:val="28"/>
          <w:szCs w:val="28"/>
          <w:rtl w:val="true"/>
          <w:lang w:bidi="ar-SA"/>
        </w:rPr>
        <w:t>، وما عداه من المحرمات يجوز قتلها عدا الأسد، ففيه خلاف مشهور</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تقرّر ذلك فلا يلزم من امتناع جنسه أن يحرم صَيْده؛ لما ذكرناه، بل لا بد من كونه على صورة المحلَّل أو تلك المحرمات، إلا أن يريد بالممتنع هنا ما يريد به في التعريف من نوع خاص وهو المحلَّل، وتلك الأصناف من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على بُعْدِ أن يريد أن الممتنع مطلقاً محرَّم، وإن لم يجب في غيرها ذكر كفّارة؛ نظراً إلى صورة التعريف، إلّا أنّ القائل به صريحاً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جواز توكيل الجد المحرم مُحِلّاً وشَهادةً عليه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الجواز ولانكتة في تخصيص الجد؛ إذ لا فرق بينه وبين غيره من الأولياء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وجه التخصيص أنّه لا أنه لا يعلم الوجه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ولا فرق بين إقامتها على محلّين أو محرمين أو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المنكرُ المرأة فالأقرب وجوب المَهْر كَمَلاً ويلزمها توابعُ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ولا يخفي أنّ ذلك مع اليمين وعدم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وبالعكس ليس لها المُطالَبَةُ مع عدم القبض ولا له المطالبة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قبل الدخول، أما بعده فلها المطالبة بأقل الأمرين، من المسمّى ومهر المثل مع جعلها إن لم تكن قبضته، ومع علمها بالحال لاشيء لها ظاهراً إلا مع الإكراه فمهر 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الطيب مطلقاً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الاكتحال بالسواد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فيه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فى المِرآة على رأي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إخراج الدم 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بحك الجلد أو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اختصاص المنع بهذه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دفع دعوى الكاذبة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الاقوى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النقل لا الإلقاء إلّا القُرادَ والحَلَمَ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كغيره أنه لافرق في جواز النقل بين كونه إلى موضع مساوٍ للأوّل أو أدنى، ويجب تقييده بما لا يكون معرّضاً معه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يَشُقُهما لو اضطر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شقّهما حينئذ، وبدونه يكون كلبسهما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الحنّاء للزينة على رأى</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الكراهة قوَّة</w:t>
      </w:r>
      <w:r>
        <w:rPr>
          <w:rFonts w:eastAsia="Amiri" w:cs="Amiri" w:ascii="Amiri" w:hAnsi="Amiri"/>
          <w:color w:val="111111"/>
          <w:sz w:val="28"/>
          <w:szCs w:val="28"/>
          <w:rtl w:val="true"/>
          <w:lang w:bidi="ar-SA"/>
        </w:rPr>
        <w:t xml:space="preserve">. </w:t>
      </w:r>
      <w:bookmarkStart w:id="385" w:name="pg10189_116117"/>
    </w:p>
    <w:p>
      <w:pPr>
        <w:pStyle w:val="Heading5"/>
        <w:numPr>
          <w:ilvl w:val="4"/>
          <w:numId w:val="1"/>
        </w:numPr>
        <w:rPr/>
      </w:pPr>
      <w:bookmarkStart w:id="386" w:name="__RefHeading___Toc2156606_1067777946"/>
      <w:bookmarkStart w:id="387" w:name="_Toc144"/>
      <w:bookmarkEnd w:id="385"/>
      <w:bookmarkEnd w:id="386"/>
      <w:r>
        <w:rPr>
          <w:rtl w:val="true"/>
        </w:rPr>
        <w:t xml:space="preserve">[ </w:t>
      </w:r>
      <w:r>
        <w:rPr>
          <w:rtl w:val="true"/>
        </w:rPr>
        <w:t>الفصل الثاني في الطواف</w:t>
      </w:r>
      <w:r>
        <w:rPr>
          <w:rtl w:val="true"/>
        </w:rPr>
        <w:t>]</w:t>
      </w:r>
      <w:bookmarkEnd w:id="387"/>
    </w:p>
    <w:p>
      <w:pPr>
        <w:pStyle w:val="Heading6"/>
        <w:numPr>
          <w:ilvl w:val="5"/>
          <w:numId w:val="1"/>
        </w:numPr>
        <w:rPr/>
      </w:pPr>
      <w:bookmarkStart w:id="388" w:name="__RefHeading___Toc2156608_1067777946"/>
      <w:bookmarkStart w:id="389" w:name="_Toc145"/>
      <w:bookmarkEnd w:id="388"/>
      <w:r>
        <w:rPr>
          <w:rtl w:val="true"/>
        </w:rPr>
        <w:t xml:space="preserve">[ </w:t>
      </w:r>
      <w:r>
        <w:rPr>
          <w:rtl w:val="true"/>
        </w:rPr>
        <w:t>المطلب الاوّل</w:t>
      </w:r>
      <w:r>
        <w:rPr>
          <w:rtl w:val="true"/>
        </w:rPr>
        <w:t>]</w:t>
      </w:r>
      <w:bookmarkEnd w:id="389"/>
    </w:p>
    <w:p>
      <w:pPr>
        <w:pStyle w:val="BookText"/>
        <w:rPr/>
      </w:pP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الحدَثِ والخبث عن الثوب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اشتراط الطهارة من الخَبَث الشامل لما يقع عنه في الصلاة وغيره، بناءً على مذهبه من تحريم إدخال النجاسة إلى المسجد وإن لم تكن مُلَوِّتَةً فلا يصح الطواف بها لذلك، كما لا تصح الصلاة بها في المسجد عنده وإن جاز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جواز إدخال غير المُلوّثة فيستثنى منها هنا ما يعفى عنه في الصلاة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في الأثناء أزاله وتمَّم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إلى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خلافِ القياس الفصيح وإن عاد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نزعه وجب تقييده بما إذا كان عليه ساتر غيره، ولم يحتج إلى فعل يستدعي قطع الطواف ولما يكمل أربعة أشواط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أزالها، كان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ينتهي إلى أوّل الحجر، فمنه يبتدئ الاحتساب إن جدَّدَ النية عنده للإتمام مع احتمال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يراد بالنيَّة للإتمام النيَّة لتمام ،الطواف، وهو سبعة أشواط من حين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الصحة حينئذٍ ظاهر؛ لتحقق الطواف الكامل المنوي، ووجه البطلان اشتماله على الزيادة السابقة، 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اللام تعليليّة، أي لأنه أتم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النية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فيعيد وإن كان محتملاً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يَمُسُّ الجِدارَ بيده في موازاة الشاذروان صح</w:t>
      </w:r>
      <w:r>
        <w:rPr>
          <w:rFonts w:eastAsia="Amiri" w:cs="Amiri" w:ascii="Amiri" w:hAnsi="Amiri"/>
          <w:color w:val="111111"/>
          <w:sz w:val="28"/>
          <w:szCs w:val="28"/>
          <w:rtl w:val="true"/>
          <w:lang w:bidi="ar-SA"/>
        </w:rPr>
        <w:t xml:space="preserve">». </w:t>
      </w:r>
      <w:bookmarkStart w:id="390" w:name="pg10189_116118"/>
    </w:p>
    <w:p>
      <w:pPr>
        <w:pStyle w:val="BookText"/>
        <w:rPr/>
      </w:pPr>
      <w:bookmarkEnd w:id="390"/>
      <w:r>
        <w:rPr>
          <w:rFonts w:ascii="Amiri" w:hAnsi="Amiri" w:eastAsia="Amiri" w:cs="Amiri"/>
          <w:color w:val="111111"/>
          <w:sz w:val="28"/>
          <w:sz w:val="28"/>
          <w:szCs w:val="28"/>
          <w:rtl w:val="true"/>
          <w:lang w:bidi="ar-SA"/>
        </w:rPr>
        <w:t>علَّله المصنِّف في التذكرة</w:t>
      </w:r>
      <w:r>
        <w:rPr>
          <w:rStyle w:val="FootnoteAnchor"/>
          <w:rtl w:val="true"/>
        </w:rPr>
        <w:footnoteReference w:id="518"/>
      </w:r>
      <w:r>
        <w:rPr>
          <w:rFonts w:ascii="Amiri" w:hAnsi="Amiri" w:eastAsia="Amiri" w:cs="Amiri"/>
          <w:color w:val="111111"/>
          <w:sz w:val="28"/>
          <w:sz w:val="28"/>
          <w:szCs w:val="28"/>
          <w:rtl w:val="true"/>
          <w:lang w:bidi="ar-SA"/>
        </w:rPr>
        <w:t xml:space="preserve">بأنه يصدق حينئذٍ أنه طائف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الصحة، وهو الذي اختاره في التذكرة ؛ لأنّ بعض بدنِه في البيت كما لو وضع رِجلَه، ويظهر منهم الاتفاق عليه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رُوحم صلّى وراءه أو في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العبارة كغيرها تجوز فاحش فإنّ الواجب اختيار الصلاة خلفه أو إلى أحد جانبيه بحيث لا يتباعد عنه عرفاً، ومع الضرورة يجوز التباعد مع مراعاة الوراء وأحد الجانبين مع الإمكان، وبدونه يسقط</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2156610_1067777946"/>
      <w:bookmarkStart w:id="392" w:name="_Toc146"/>
      <w:bookmarkEnd w:id="391"/>
      <w:r>
        <w:rPr>
          <w:rtl w:val="true"/>
        </w:rPr>
        <w:t>[</w:t>
      </w:r>
      <w:r>
        <w:rPr>
          <w:rtl w:val="true"/>
        </w:rPr>
        <w:t>المطلب الثاني في سُنَنِه</w:t>
      </w:r>
      <w:r>
        <w:rPr>
          <w:rtl w:val="true"/>
        </w:rPr>
        <w:t>]</w:t>
      </w:r>
      <w:bookmarkEnd w:id="392"/>
    </w:p>
    <w:p>
      <w:pPr>
        <w:pStyle w:val="BookText"/>
        <w:rPr/>
      </w:pP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بني شَيْبَةَ بعد 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الأولى تذكير الضمير؛ لأنّ تأنيث الباب غير مسموع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والاقتصاد فيه بالسكينة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مطلقاً</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2156612_1067777946"/>
      <w:bookmarkStart w:id="394" w:name="_Toc147"/>
      <w:bookmarkEnd w:id="393"/>
      <w:r>
        <w:rPr>
          <w:rtl w:val="true"/>
        </w:rPr>
        <w:t>[</w:t>
      </w:r>
      <w:r>
        <w:rPr>
          <w:rtl w:val="true"/>
        </w:rPr>
        <w:t>المطلب الثالث في الأحكام</w:t>
      </w:r>
      <w:r>
        <w:rPr>
          <w:rtl w:val="true"/>
        </w:rPr>
        <w:t>]</w:t>
      </w:r>
      <w:bookmarkEnd w:id="3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الطواف عمداً بطل حَجه، وناسياً يقضيه ولو بعد المناسك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يتحقق تركه بخروج ذي الحجة قبل فعله، فلو لم يخرج أتى به وإن أخره عمداً، بل </w:t>
      </w:r>
    </w:p>
    <w:p>
      <w:pPr>
        <w:pStyle w:val="BookText"/>
        <w:rPr/>
      </w:pPr>
      <w:r>
        <w:rPr>
          <w:rFonts w:ascii="Amiri" w:hAnsi="Amiri" w:eastAsia="Amiri" w:cs="Amiri"/>
          <w:color w:val="111111"/>
          <w:sz w:val="28"/>
          <w:sz w:val="28"/>
          <w:szCs w:val="28"/>
          <w:rtl w:val="true"/>
          <w:lang w:bidi="ar-SA"/>
        </w:rPr>
        <w:t>نوى عدم فعله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وناسياً يقضيه ولو بعد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يدلُّ على تحققه بتأخره إلى بعد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بقضاء الناسي الإتيان به؛ إذ لا يعتبر فيه الأداء ولا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كفّارة إلا على من واقع بعد الذُكر</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قوي وعليه تحمل الرواية </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ولصاحب المدارك كلام في الاستدلال بهذه الرواية، فانظر مدارك الأحكام،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جمعاً بينها وبين ما دلّ على عدم الكفّارة على الناسي فى غير الصيد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نذر الطواف على أربع فالأقوى بطلان النذر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قوي مطلقاً</w:t>
      </w:r>
      <w:r>
        <w:rPr>
          <w:rFonts w:eastAsia="Amiri" w:cs="Amiri" w:ascii="Amiri" w:hAnsi="Amiri"/>
          <w:color w:val="111111"/>
          <w:sz w:val="28"/>
          <w:szCs w:val="28"/>
          <w:rtl w:val="true"/>
          <w:lang w:bidi="ar-SA"/>
        </w:rPr>
        <w:t xml:space="preserve">. </w:t>
      </w:r>
      <w:bookmarkStart w:id="395" w:name="pg10189_116120"/>
    </w:p>
    <w:p>
      <w:pPr>
        <w:pStyle w:val="Heading5"/>
        <w:numPr>
          <w:ilvl w:val="4"/>
          <w:numId w:val="1"/>
        </w:numPr>
        <w:rPr/>
      </w:pPr>
      <w:bookmarkStart w:id="396" w:name="__RefHeading___Toc2156614_1067777946"/>
      <w:bookmarkStart w:id="397" w:name="_Toc148"/>
      <w:bookmarkEnd w:id="395"/>
      <w:bookmarkEnd w:id="396"/>
      <w:r>
        <w:rPr>
          <w:rtl w:val="true"/>
        </w:rPr>
        <w:t xml:space="preserve">[ </w:t>
      </w:r>
      <w:r>
        <w:rPr>
          <w:rtl w:val="true"/>
        </w:rPr>
        <w:t>الفصل الثالث في السعي</w:t>
      </w:r>
      <w:r>
        <w:rPr>
          <w:rtl w:val="true"/>
        </w:rPr>
        <w:t>]</w:t>
      </w:r>
      <w:bookmarkEnd w:id="397"/>
    </w:p>
    <w:p>
      <w:pPr>
        <w:pStyle w:val="Heading6"/>
        <w:numPr>
          <w:ilvl w:val="5"/>
          <w:numId w:val="1"/>
        </w:numPr>
        <w:rPr/>
      </w:pPr>
      <w:bookmarkStart w:id="398" w:name="__RefHeading___Toc2156616_1067777946"/>
      <w:bookmarkStart w:id="399" w:name="_Toc149"/>
      <w:bookmarkEnd w:id="398"/>
      <w:r>
        <w:rPr>
          <w:rtl w:val="true"/>
        </w:rPr>
        <w:t>[</w:t>
      </w:r>
      <w:r>
        <w:rPr>
          <w:rtl w:val="true"/>
        </w:rPr>
        <w:t>المطلب الأول في أفعاله</w:t>
      </w:r>
      <w:r>
        <w:rPr>
          <w:rtl w:val="true"/>
        </w:rPr>
        <w:t>]</w:t>
      </w:r>
      <w:bookmarkEnd w:id="39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يَجعل كَعبه ملاصقاً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يجب ذلك حيث لا يَصْعَدُ على الصفا ولو بدرجة ولا يدخل المروة بحيث یتجاوز حدّها، وإلا لم يعتبر الإلصاق فيهما</w:t>
      </w:r>
      <w:r>
        <w:rPr>
          <w:rFonts w:eastAsia="IRNazanin" w:cs="IRNazanin"/>
          <w:color w:val="111111"/>
          <w:sz w:val="28"/>
          <w:szCs w:val="28"/>
          <w:rtl w:val="true"/>
          <w:lang w:bidi="fa-IR"/>
        </w:rPr>
        <w:t>.</w:t>
      </w:r>
    </w:p>
    <w:p>
      <w:pPr>
        <w:pStyle w:val="Heading6"/>
        <w:numPr>
          <w:ilvl w:val="5"/>
          <w:numId w:val="1"/>
        </w:numPr>
        <w:rPr/>
      </w:pPr>
      <w:bookmarkStart w:id="400" w:name="__RefHeading___Toc2156618_1067777946"/>
      <w:bookmarkStart w:id="401" w:name="_Toc150"/>
      <w:bookmarkEnd w:id="400"/>
      <w:r>
        <w:rPr>
          <w:rtl w:val="true"/>
        </w:rPr>
        <w:t>[</w:t>
      </w:r>
      <w:r>
        <w:rPr>
          <w:rtl w:val="true"/>
        </w:rPr>
        <w:t>المطلب الثاني في أحكامه</w:t>
      </w:r>
      <w:r>
        <w:rPr>
          <w:rtl w:val="true"/>
        </w:rPr>
        <w:t>]</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ذَكَر النقص أتمه، وكفّر ببقرة على رواية وكذا لو قلَّم، أو قصَّ شَعرَه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هي عبدالله موثقة عبدالله بن مسكان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22"/>
      </w:r>
      <w:r>
        <w:rPr>
          <w:rFonts w:ascii="Amiri" w:hAnsi="Amiri" w:eastAsia="Amiri" w:cs="Amiri"/>
          <w:color w:val="111111"/>
          <w:sz w:val="28"/>
          <w:sz w:val="28"/>
          <w:szCs w:val="28"/>
          <w:rtl w:val="true"/>
          <w:lang w:bidi="ar-SA"/>
        </w:rPr>
        <w:t xml:space="preserve">ومستند القَلْم والقَصَّ رواية سعيد بن يسار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نسب الحكم إلى الرواية المخالفة للأصول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الكفّارة على الناسي في غير الصيد، ووجوب البقرة بالجماع، مع أنّ الواجب به مع العمد به بدنة ولا شيء مع 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نسبة حكم الآخرين إلى الرواية أيضاً؛ لأنّهما أشدّ مخالفة لها من السابق؛ لأنّ الواجب في تقليم الأظفار شاة مع التعمد، وكذا في حلق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الحكم بهذه الروايات مشكل، لكنّه هو المشهور </w:t>
      </w:r>
      <w:r>
        <w:rPr>
          <w:rFonts w:eastAsia="Amiri" w:cs="Amiri" w:ascii="Amiri" w:hAnsi="Amiri"/>
          <w:color w:val="111111"/>
          <w:sz w:val="28"/>
          <w:szCs w:val="28"/>
          <w:rtl w:val="true"/>
          <w:lang w:bidi="ar-SA"/>
        </w:rPr>
        <w:t xml:space="preserve">. </w:t>
      </w:r>
      <w:bookmarkStart w:id="402" w:name="pg10189_116121"/>
    </w:p>
    <w:p>
      <w:pPr>
        <w:pStyle w:val="Heading5"/>
        <w:numPr>
          <w:ilvl w:val="4"/>
          <w:numId w:val="1"/>
        </w:numPr>
        <w:rPr/>
      </w:pPr>
      <w:bookmarkStart w:id="403" w:name="__RefHeading___Toc2156620_1067777946"/>
      <w:bookmarkStart w:id="404" w:name="_Toc151"/>
      <w:bookmarkEnd w:id="402"/>
      <w:bookmarkEnd w:id="403"/>
      <w:r>
        <w:rPr>
          <w:rtl w:val="true"/>
        </w:rPr>
        <w:t xml:space="preserve">[ </w:t>
      </w:r>
      <w:r>
        <w:rPr>
          <w:rtl w:val="true"/>
        </w:rPr>
        <w:t xml:space="preserve">الفصل الرابع في التقصير </w:t>
      </w:r>
      <w:r>
        <w:rPr>
          <w:rtl w:val="true"/>
        </w:rPr>
        <w:t>]</w:t>
      </w:r>
      <w:bookmarkEnd w:id="404"/>
    </w:p>
    <w:p>
      <w:pPr>
        <w:pStyle w:val="BookText"/>
        <w:rPr/>
      </w:pP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عمداً تصير حجَّتُه مفردةً على رأي، ويَبْطُل الثاني على رأي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انقلابها حجّةً مفردةً هو المروي صحيحاً</w:t>
      </w:r>
      <w:r>
        <w:rPr>
          <w:rStyle w:val="FootnoteAnchor"/>
          <w:rtl w:val="true"/>
        </w:rPr>
        <w:footnoteReference w:id="524"/>
      </w:r>
      <w:r>
        <w:rPr>
          <w:rFonts w:ascii="Amiri" w:hAnsi="Amiri" w:eastAsia="Amiri" w:cs="Amiri"/>
          <w:color w:val="111111"/>
          <w:sz w:val="28"/>
          <w:sz w:val="28"/>
          <w:szCs w:val="28"/>
          <w:rtl w:val="true"/>
          <w:lang w:bidi="ar-SA"/>
        </w:rPr>
        <w:t>وعليه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لا يجزؤه عن فرضه؛ لأنّه عدول ،اختياري، وأن الجاهل بمنزلة العامد</w:t>
      </w:r>
      <w:r>
        <w:rPr>
          <w:rFonts w:eastAsia="Amiri" w:cs="Amiri" w:ascii="Amiri" w:hAnsi="Amiri"/>
          <w:color w:val="111111"/>
          <w:sz w:val="28"/>
          <w:szCs w:val="28"/>
          <w:rtl w:val="true"/>
          <w:lang w:bidi="ar-SA"/>
        </w:rPr>
        <w:t xml:space="preserve">. </w:t>
      </w:r>
      <w:bookmarkStart w:id="405" w:name="pg10189_116122"/>
    </w:p>
    <w:p>
      <w:pPr>
        <w:pStyle w:val="Heading5"/>
        <w:numPr>
          <w:ilvl w:val="4"/>
          <w:numId w:val="1"/>
        </w:numPr>
        <w:rPr/>
      </w:pPr>
      <w:bookmarkStart w:id="406" w:name="__RefHeading___Toc2156622_1067777946"/>
      <w:bookmarkStart w:id="407" w:name="_Toc152"/>
      <w:bookmarkEnd w:id="405"/>
      <w:bookmarkEnd w:id="406"/>
      <w:r>
        <w:rPr>
          <w:rtl w:val="true"/>
        </w:rPr>
        <w:t xml:space="preserve">[ </w:t>
      </w:r>
      <w:r>
        <w:rPr>
          <w:rtl w:val="true"/>
        </w:rPr>
        <w:t>الفصل الخامس في إحرام الحج والوقوف</w:t>
      </w:r>
      <w:r>
        <w:rPr>
          <w:rtl w:val="true"/>
        </w:rPr>
        <w:t>]</w:t>
      </w:r>
      <w:bookmarkEnd w:id="407"/>
    </w:p>
    <w:p>
      <w:pPr>
        <w:pStyle w:val="Heading6"/>
        <w:numPr>
          <w:ilvl w:val="5"/>
          <w:numId w:val="1"/>
        </w:numPr>
        <w:rPr/>
      </w:pPr>
      <w:bookmarkStart w:id="408" w:name="__RefHeading___Toc2156624_1067777946"/>
      <w:bookmarkStart w:id="409" w:name="_Toc153"/>
      <w:bookmarkEnd w:id="408"/>
      <w:r>
        <w:rPr>
          <w:rtl w:val="true"/>
        </w:rPr>
        <w:t>[</w:t>
      </w:r>
      <w:r>
        <w:rPr>
          <w:rtl w:val="true"/>
        </w:rPr>
        <w:t xml:space="preserve">المطلب الأول في إحرام الحج </w:t>
      </w:r>
      <w:r>
        <w:rPr>
          <w:rtl w:val="true"/>
        </w:rPr>
        <w:t>]</w:t>
      </w:r>
      <w:bookmarkEnd w:id="409"/>
    </w:p>
    <w:p>
      <w:pPr>
        <w:pStyle w:val="BookText"/>
        <w:rPr/>
      </w:pPr>
      <w:r>
        <w:rPr>
          <w:rFonts w:eastAsia="IRNazanin" w:cs="IRNazanin"/>
          <w:color w:val="111111"/>
          <w:sz w:val="28"/>
          <w:szCs w:val="28"/>
          <w:lang w:bidi="fa-IR"/>
        </w:rPr>
        <w:t>433/1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الوجوب أو الندب لوجههما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أن يريد بالواجب والندب هنا الوصف المميز ، كما هو المستعمل في نيَّة الصلاة من تمييزها بكونها فرضاً أو نفلاً؛ وبالوجه إيقاع الفعل لوجوبه أو ندبه فيكون علَّةً لا مميّزاً، وذلك إشارة إلى ما يقوله المتكلمون من أنّه ينبغي فعل الواجب لوجوبه والمندوب لنديه؛ وأن 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منه من اللطفِ والشكر والأمر ، أو يريد بهما السبب الموجب له من الإسلام والنذر والتبرُّع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والاعتبار الأوّل والأخير بعيدان من حيث الاستعمال، والوسط بعيد من حيث الحكم؛ إذ لا يجب الجمع بين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الجمع بينهما بالمعنى الأول غير واجب أيضاً، فإن أراد الأخير فاعتباره حَسنُ، وإن كانت العبارة لاتدلّ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ناسياً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ما يجب على المُحْرِم من الكفّارة على إشكال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وجوب الكفّارة؛ لعدم تحقق الإحرام الموجب لتحريم تلك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المصنِّف</w:t>
      </w:r>
      <w:r>
        <w:rPr>
          <w:rStyle w:val="FootnoteAnchor"/>
          <w:rtl w:val="true"/>
        </w:rPr>
        <w:footnoteReference w:id="525"/>
      </w:r>
      <w:r>
        <w:rPr>
          <w:rFonts w:ascii="Amiri" w:hAnsi="Amiri" w:eastAsia="Amiri" w:cs="Amiri"/>
          <w:color w:val="111111"/>
          <w:sz w:val="28"/>
          <w:sz w:val="28"/>
          <w:szCs w:val="28"/>
          <w:rtl w:val="true"/>
          <w:lang w:bidi="ar-SA"/>
        </w:rPr>
        <w:t xml:space="preserve">، وغيره </w:t>
      </w:r>
      <w:r>
        <w:rPr>
          <w:rStyle w:val="FootnoteAnchor"/>
          <w:rtl w:val="true"/>
        </w:rPr>
        <w:footnoteReference w:id="526"/>
      </w:r>
      <w:r>
        <w:rPr>
          <w:rFonts w:ascii="Amiri" w:hAnsi="Amiri" w:eastAsia="Amiri" w:cs="Amiri"/>
          <w:color w:val="111111"/>
          <w:sz w:val="28"/>
          <w:sz w:val="28"/>
          <w:szCs w:val="28"/>
          <w:rtl w:val="true"/>
          <w:lang w:bidi="ar-SA"/>
        </w:rPr>
        <w:t xml:space="preserve">بأنه لو أحرم ولم يلبّ، ثُمّ فعل ما يوجب الكفّارة على </w:t>
      </w:r>
      <w:bookmarkStart w:id="410" w:name="pg10189_116123"/>
    </w:p>
    <w:p>
      <w:pPr>
        <w:pStyle w:val="BookText"/>
        <w:rPr/>
      </w:pPr>
      <w:bookmarkEnd w:id="410"/>
      <w:r>
        <w:rPr>
          <w:rFonts w:ascii="Amiri" w:hAnsi="Amiri" w:eastAsia="Amiri" w:cs="Amiri"/>
          <w:color w:val="111111"/>
          <w:sz w:val="28"/>
          <w:sz w:val="28"/>
          <w:szCs w:val="28"/>
          <w:rtl w:val="true"/>
          <w:lang w:bidi="ar-SA"/>
        </w:rPr>
        <w:t>المُحرِم فلاشيء عليه</w:t>
      </w:r>
      <w:r>
        <w:rPr>
          <w:rStyle w:val="FootnoteAnchor"/>
          <w:rtl w:val="true"/>
        </w:rPr>
        <w:footnoteReference w:id="527"/>
      </w:r>
      <w:r>
        <w:rPr>
          <w:rFonts w:ascii="IRNazanin" w:hAnsi="IRNazanin" w:eastAsia="IRNazanin"/>
          <w:color w:val="111111"/>
          <w:sz w:val="28"/>
          <w:sz w:val="28"/>
          <w:szCs w:val="28"/>
          <w:rtl w:val="true"/>
          <w:lang w:bidi="fa-IR"/>
        </w:rPr>
        <w:t xml:space="preserve">، فهنا أولى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الاستدلال على الوجوب بمثل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وَلَا فُسُوقَ وَلَا جِدَالَ فِي الْحَج </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من غير تقييد بالإحرام، إن سلم دلالته على النهي لم يدلّ على وجوب الكفّارة بها، وما دلَّ على وجوبها بهذه الأشياء من النصوص صريحة في المُحرِم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ويجدّد التلبية ليَعْقِدبها الإحرام</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2156626_1067777946"/>
      <w:bookmarkStart w:id="412" w:name="_Toc154"/>
      <w:bookmarkEnd w:id="411"/>
      <w:r>
        <w:rPr>
          <w:rtl w:val="true"/>
        </w:rPr>
        <w:t>[</w:t>
      </w:r>
      <w:r>
        <w:rPr>
          <w:rtl w:val="true"/>
        </w:rPr>
        <w:t xml:space="preserve">المطلب الثالث في الوقوف بعرفة </w:t>
      </w:r>
      <w:r>
        <w:rPr>
          <w:rtl w:val="true"/>
        </w:rPr>
        <w:t>]</w:t>
      </w:r>
      <w:bookmarkEnd w:id="412"/>
    </w:p>
    <w:p>
      <w:pPr>
        <w:pStyle w:val="BookText"/>
        <w:rPr/>
      </w:pP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وحدها من بَطْنِ عُرَنَةَ وتَوِيَّةَ ونَمِرَة إلى ذي المجاز، فلا يجوز الوقوفُ بغيرها كالأراك ولا بهذه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المذكورات حدود لعرفة كالأراك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الوقوف بها، فلا وجه لفصلها عن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نَمِرَةَ هي بَطْنُ عُرَنَة، كما صرح به المصنف بعد ذلك بقليل</w:t>
      </w:r>
      <w:r>
        <w:rPr>
          <w:rStyle w:val="FootnoteAnchor"/>
          <w:rtl w:val="true"/>
        </w:rPr>
        <w:footnoteReference w:id="532"/>
      </w:r>
      <w:r>
        <w:rPr>
          <w:rFonts w:ascii="Amiri" w:hAnsi="Amiri" w:eastAsia="Amiri" w:cs="Amiri"/>
          <w:color w:val="111111"/>
          <w:sz w:val="28"/>
          <w:sz w:val="28"/>
          <w:szCs w:val="28"/>
          <w:rtl w:val="true"/>
          <w:lang w:bidi="ar-SA"/>
        </w:rPr>
        <w:t xml:space="preserve">، ورواه في التذكرة </w:t>
      </w:r>
      <w:r>
        <w:rPr>
          <w:rStyle w:val="FootnoteAnchor"/>
          <w:rtl w:val="true"/>
        </w:rPr>
        <w:footnoteReference w:id="533"/>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 الأراكَ ونَمِرة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بَطْنُ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وثَوِيَّةَ وذي المجاز، فإنّه ليس من عرفة، فلا تقف فيه</w:t>
      </w:r>
      <w:r>
        <w:rPr>
          <w:rFonts w:eastAsia="Amiri" w:cs="Amiri" w:ascii="Amiri" w:hAnsi="Amiri"/>
          <w:color w:val="111111"/>
          <w:sz w:val="28"/>
          <w:szCs w:val="28"/>
          <w:rtl w:val="true"/>
          <w:lang w:bidi="ar-SA"/>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وجه للجمع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عند الضرورة الوقوف على الجبل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يجوز من غير كراهية، وإلا فسيأتى جوازه فيه على كراهيّة</w:t>
      </w:r>
      <w:r>
        <w:rPr>
          <w:rFonts w:eastAsia="Amiri" w:cs="Amiri" w:ascii="Amiri" w:hAnsi="Amiri"/>
          <w:color w:val="111111"/>
          <w:sz w:val="28"/>
          <w:szCs w:val="28"/>
          <w:rtl w:val="true"/>
          <w:lang w:bidi="ar-SA"/>
        </w:rPr>
        <w:t xml:space="preserve">. </w:t>
      </w:r>
      <w:bookmarkStart w:id="413" w:name="pg10189_116124"/>
    </w:p>
    <w:p>
      <w:pPr>
        <w:pStyle w:val="BookText"/>
        <w:rPr/>
      </w:pPr>
      <w:bookmarkEnd w:id="41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يُضرب خِباء بِنَمِرَةً وهي بطنُ عُرَنَةَ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الوصول إليها قبل الزوال، فإذا قرب انتقل إلى عرفةً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والوقوفُ في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ما يقابل الجبل، وهو السَفْح الذي تقدَّم استحباب الوقوف فيه؛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حيث يَسْفَح فيه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الجوهري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المغايرة بينهما حذراً من التكرار، بأن يراد بالسهل ما يقابل الحزن، فإنّ السَفْحَ قد يَشْتَمِلُ على الأمرين، فليكن الوقوف في السهل منه ليسهل الاجتماع والتضَامٌ </w:t>
      </w:r>
      <w:r>
        <w:rPr>
          <w:rStyle w:val="FootnoteAnchor"/>
          <w:rtl w:val="true"/>
        </w:rPr>
        <w:footnoteReference w:id="536"/>
      </w:r>
      <w:r>
        <w:rPr>
          <w:rFonts w:ascii="Amiri" w:hAnsi="Amiri" w:eastAsia="Amiri" w:cs="Amiri"/>
          <w:color w:val="111111"/>
          <w:sz w:val="28"/>
          <w:sz w:val="28"/>
          <w:szCs w:val="28"/>
          <w:rtl w:val="true"/>
          <w:lang w:bidi="ar-SA"/>
        </w:rPr>
        <w:t>في ذلك المكان؛ لأنه أمر مندوب إليه</w:t>
      </w:r>
      <w:r>
        <w:rPr>
          <w:rFonts w:eastAsia="Amiri" w:cs="Amiri" w:ascii="Amiri" w:hAnsi="Amiri"/>
          <w:color w:val="111111"/>
          <w:sz w:val="28"/>
          <w:szCs w:val="28"/>
          <w:rtl w:val="true"/>
          <w:lang w:bidi="ar-SA"/>
        </w:rPr>
        <w:t>.</w:t>
      </w:r>
    </w:p>
    <w:p>
      <w:pPr>
        <w:pStyle w:val="Heading6"/>
        <w:numPr>
          <w:ilvl w:val="5"/>
          <w:numId w:val="1"/>
        </w:numPr>
        <w:rPr/>
      </w:pPr>
      <w:bookmarkStart w:id="414" w:name="__RefHeading___Toc2156628_1067777946"/>
      <w:bookmarkStart w:id="415" w:name="_Toc155"/>
      <w:bookmarkEnd w:id="414"/>
      <w:r>
        <w:rPr>
          <w:rtl w:val="true"/>
        </w:rPr>
        <w:t>[</w:t>
      </w:r>
      <w:r>
        <w:rPr>
          <w:rtl w:val="true"/>
        </w:rPr>
        <w:t>المطلب الرابع في الوقوف بالمشعر</w:t>
      </w:r>
      <w:r>
        <w:rPr>
          <w:rtl w:val="true"/>
        </w:rPr>
        <w:t>]</w:t>
      </w:r>
      <w:bookmarkEnd w:id="415"/>
    </w:p>
    <w:p>
      <w:pPr>
        <w:pStyle w:val="BookText"/>
        <w:rPr/>
      </w:pPr>
      <w:r>
        <w:rPr>
          <w:rFonts w:eastAsia="Amiri" w:cs="Amiri" w:ascii="Amiri" w:hAnsi="Amiri"/>
          <w:color w:val="111111"/>
          <w:sz w:val="28"/>
          <w:szCs w:val="28"/>
          <w:lang w:bidi="ar-SA"/>
        </w:rPr>
        <w:t>436/1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مع الزحام الارتفاع إلى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عدم جواز الارتفاع اختياراً، والأقوى جوازه، وأن ما أقبل من الجبال من جملة المشعر، كما صرح به غيره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يريد الجواز من غير كراهية،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الوقوفُ بعد أنْ يُصلّي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هنا الوقوف للدعاء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الوقوف بمعنى الكون فيجب من طلوع الفجر ولا يصح تأخيره إلى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النيَّة عند تحقق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أدرك الاضطرارِيَّين فالأقرب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أدرك أحد الاضطراريين خاصَّةً بطل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الصحة مع إدراك اضطراري المشعر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ويَتَحلَّلُ مَن فاته الحج بعمرة مفردة ثمّ يَقْضيه واجباً مع وجوبه كما فاته، وإلّا ندباً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بأن ينقلب إحرامه إليها بنفسه كما صرح به المصنف سابقاً، أو بقلبه إليها بالنية كما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يَتَحَلَّل بدونها وإن طال الزمان، فلو فعل قبل إكمالها فعلاً يوجب الكفارة على المحرم 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القولين في فعل محظورات العمرة المفردة قبل السعي والحج قبل الوقوف، وعلى هذا فلو رجع إلى بلاده، ثُمَّ عاد لم يحتج إلى إحرام جديد من الميقات وإن بعد العهد، ووجب عليه إكمال العمرة أولاً، ثمّ ينتقل إلى غيرها من النُسُك الذي يريده، حتى لو كان فرضه التمتُّع وجب عليه الخروج إلى أحد المواقيت، فإن تعذر فمِن أدنى الحلّ، كما في حكم من لم يتعمد مجاوزة الميقات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نبَّهنا على ذلك لكثرة البلوى به وخَفاءِ حكمه غالباً</w:t>
      </w:r>
      <w:r>
        <w:rPr>
          <w:rFonts w:eastAsia="Amiri" w:cs="Amiri" w:ascii="Amiri" w:hAnsi="Amiri"/>
          <w:color w:val="111111"/>
          <w:sz w:val="28"/>
          <w:szCs w:val="28"/>
          <w:rtl w:val="true"/>
          <w:lang w:bidi="ar-SA"/>
        </w:rPr>
        <w:t xml:space="preserve">. </w:t>
      </w:r>
      <w:bookmarkStart w:id="416" w:name="pg10189_116126"/>
    </w:p>
    <w:p>
      <w:pPr>
        <w:pStyle w:val="Heading5"/>
        <w:numPr>
          <w:ilvl w:val="4"/>
          <w:numId w:val="1"/>
        </w:numPr>
        <w:rPr/>
      </w:pPr>
      <w:bookmarkStart w:id="417" w:name="__RefHeading___Toc2156630_1067777946"/>
      <w:bookmarkStart w:id="418" w:name="_Toc156"/>
      <w:bookmarkEnd w:id="416"/>
      <w:bookmarkEnd w:id="417"/>
      <w:r>
        <w:rPr>
          <w:rtl w:val="true"/>
        </w:rPr>
        <w:t xml:space="preserve">[ </w:t>
      </w:r>
      <w:r>
        <w:rPr>
          <w:rtl w:val="true"/>
        </w:rPr>
        <w:t>الفصل السادس في مَناسِكِ مِنى</w:t>
      </w:r>
      <w:r>
        <w:rPr>
          <w:rtl w:val="true"/>
        </w:rPr>
        <w:t>]</w:t>
      </w:r>
      <w:bookmarkEnd w:id="418"/>
    </w:p>
    <w:p>
      <w:pPr>
        <w:pStyle w:val="Heading6"/>
        <w:numPr>
          <w:ilvl w:val="5"/>
          <w:numId w:val="1"/>
        </w:numPr>
        <w:rPr/>
      </w:pPr>
      <w:bookmarkStart w:id="419" w:name="__RefHeading___Toc2156632_1067777946"/>
      <w:bookmarkStart w:id="420" w:name="_Toc157"/>
      <w:bookmarkEnd w:id="419"/>
      <w:r>
        <w:rPr>
          <w:rtl w:val="true"/>
        </w:rPr>
        <w:t>[</w:t>
      </w:r>
      <w:r>
        <w:rPr>
          <w:rtl w:val="true"/>
        </w:rPr>
        <w:t>المطلب الأول في الرمي</w:t>
      </w:r>
      <w:r>
        <w:rPr>
          <w:rtl w:val="true"/>
        </w:rPr>
        <w:t>]</w:t>
      </w:r>
      <w:bookmarkEnd w:id="420"/>
    </w:p>
    <w:p>
      <w:pPr>
        <w:pStyle w:val="BookText"/>
        <w:rPr/>
      </w:pPr>
      <w:r>
        <w:rPr>
          <w:rFonts w:eastAsia="Amiri" w:cs="Amiri" w:ascii="Amiri" w:hAnsi="Amiri"/>
          <w:color w:val="111111"/>
          <w:sz w:val="28"/>
          <w:szCs w:val="28"/>
          <w:lang w:bidi="ar-SA"/>
        </w:rPr>
        <w:t>438/1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يُسَمّى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احترز بالحَجَر عن مثل المَدَرِ والخزف والجواهر ولكن يدخل فيه الحَجَر الكبير الذي لا يُسمّى حَصاة، والأقوى عدم إجزائه وهو فتواه في التذكرة </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محتجاً بقول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لاترم الجمار إلا بالحصى</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2156634_1067777946"/>
      <w:bookmarkStart w:id="422" w:name="_Toc158"/>
      <w:bookmarkEnd w:id="421"/>
      <w:r>
        <w:rPr>
          <w:rtl w:val="true"/>
        </w:rPr>
        <w:t>[</w:t>
      </w:r>
      <w:r>
        <w:rPr>
          <w:rtl w:val="true"/>
        </w:rPr>
        <w:t>المطلب الثاني في الذبح</w:t>
      </w:r>
      <w:r>
        <w:rPr>
          <w:rtl w:val="true"/>
        </w:rPr>
        <w:t>]</w:t>
      </w:r>
      <w:bookmarkEnd w:id="422"/>
    </w:p>
    <w:p>
      <w:pPr>
        <w:pStyle w:val="BookText"/>
        <w:rPr/>
      </w:pP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يُجزى الواحد فى الواجب إلا عن واحدٍ ومع الضرورة الصّوْمُ على يُجْزِئُ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وُجد وقت الذبح فالأقرب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السقوط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صام الوليُّ عنه وجوباً العَشَرَةَ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مع تمكنه من فعلها قبل الموت، وإلا وجب قضاء ماتَمكَّنَ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وقِسْمَتُه أثلاثاً بين الأكل والهَدْي والصَدَقَة، والأقوى وجوب الأكل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وجوب الثلاثة، وأنه يكفي في الأكل مسمّاه، ولا ينقص كل واحد من الآخرين عن الثلث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ضلَّ الهَدْيُ فَذَبَحه غير صاحبه لم يُجْزِئُ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الإجزاء، ويسقط اعتبار الأكل هنا إذا لم يمكن استدراكه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يَخْرج هَدْيُ القِرآن عن ملك سائقه وله إبداله والتصرف فيه وإن أشعره أو قلَّده، لكن متى ساقه فلابد من نَحْره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الذي دلّ عليه صحيح الحلبي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يعتبر نخره مع إشعاره</w:t>
      </w:r>
      <w:r>
        <w:rPr>
          <w:rStyle w:val="FootnoteAnchor"/>
          <w:rtl w:val="true"/>
        </w:rPr>
        <w:footnoteReference w:id="540"/>
      </w:r>
      <w:r>
        <w:rPr>
          <w:rFonts w:ascii="Amiri" w:hAnsi="Amiri" w:eastAsia="Amiri" w:cs="Amiri"/>
          <w:color w:val="111111"/>
          <w:sz w:val="28"/>
          <w:sz w:val="28"/>
          <w:szCs w:val="28"/>
          <w:rtl w:val="true"/>
          <w:lang w:bidi="ar-SA"/>
        </w:rPr>
        <w:t>، والعمل به متعيّن، وهو يدل على عدم جواز إبْداله والتصرُّف فيه بما يَخْرُجُهُ عن المِلْك، ولكن ذلك لا يقتضي خروجه عن مِلْكِهِ؛ لعدم التنافي بين ملكه وتعيين 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جواز التصرُّف فيه بما لا ينافيه، كركوبه، وشُرب لَبَنِه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فالعبارة قد تدلُّ على خلاف ذلك إن 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إبداله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ينافيه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متى ساقَهُ فلابُدَّ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تنزيلها على ما يوافق الحكم المطلوب، ودفع التناقض عن ظاهرها بأن يراد بالهَدْي الذي لا يخرج عن مِلْك سائقه المترتب عليه جواز إبداله والتصرف فيه، هو الهَدْيِ المُعَدِّ للسياق من غير أن يتعيَّن له بالإشعار أو التقليد مجازاً باعتبار ما يؤول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أشعره أو قلده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وضليّاً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معترض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بالإشعار والتقليدِ ما هو المعروف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المعقود بهما الإحرام، أو المكمَّل بهما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بسياقه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متى ساقَهُ فلا 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 للسياق بالإشعارِ أو التقليد المتقدّم، وهو في قوَّة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متى أشْعَرَهُ أو قلده فلابُدَّ من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بقي على ملكه؛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فالعبارة معقدة، والمعتبر في حكمها ما أسلفناه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يتعيَّن هَدْيُ السياق للصدقة إلا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العبارة لكثير أنّ الواجب في هَذي السياق هو الذبح أو النحر خاصَّةً، فإذا فَعَلَ ذلك صنع به ماشاء إن لم يكن منذور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يجب فيه ما يجب في هدي التمتّع من الأكل والإهداء والصدقة حيث لا يكون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ولوهلك لم يجب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تفريط، وإلّا ضمنه ووجب إقامة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فيستحبُّ الصدقة بثمنه أو شراء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مضموناً كالكفّارات، وإلا وجب إقامه 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أقام بدلَه ثم وجده ذَبَحه، ولا يجب ذَبْحُ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ذلك وجوب إقامة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ذَبَحَه ولا يجب ذَبَحُ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يجده وجب، وهو ينافي بإطلاقه لما تقدَّم من عدم وجوب إقامة بدله لو هلك، إلّا أن يفرّق بين الهلاك والضياع في الحكم، أو يخص الضياع بما وقع بتفريط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يأكل من هَدْي السياق ويُهدي تُلْتَه ويتصدق بثلثه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وجوب الأكل وأخويه </w:t>
      </w:r>
      <w:r>
        <w:rPr>
          <w:rStyle w:val="FootnoteAnchor"/>
          <w:rtl w:val="true"/>
        </w:rPr>
        <w:footnoteReference w:id="541"/>
      </w:r>
      <w:r>
        <w:rPr>
          <w:rFonts w:ascii="Amiri" w:hAnsi="Amiri" w:eastAsia="Amiri" w:cs="Amiri"/>
          <w:color w:val="111111"/>
          <w:sz w:val="28"/>
          <w:sz w:val="28"/>
          <w:szCs w:val="28"/>
          <w:rtl w:val="true"/>
          <w:lang w:bidi="ar-SA"/>
        </w:rPr>
        <w:t>منه حيث يكون مُتَبَرِّعاً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اختلفت أثمانها تصدق بثلث الأعلى والأوسط والأدون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كانت القيم المختلفة ثلاثة، ولو كانت اثنتين تصدق بنصفهما، أو أربعاً فبربعها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وزمانه يوم النحر وأيام التشريق</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الحصر عن الحج، ولو كان عن العمرة فزمانه ما وافق زمان وصوله كيف اتفق </w:t>
      </w:r>
      <w:bookmarkStart w:id="423" w:name="pg10189_116129"/>
    </w:p>
    <w:p>
      <w:pPr>
        <w:pStyle w:val="BookText"/>
        <w:rPr/>
      </w:pPr>
      <w:bookmarkEnd w:id="42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وزمانها وقت حصول سببها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أوّل زمانها ذلك، ولا توقيت له في جانب الآخر وإن وجبت المبادرة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ففناء الكعبة بالْحَزْوَرَةِ؛ وزمانه كهدي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مكانه مكّة أين اتَّفق، وأمّا الحَزْوَرَة فعلى تقدير تعينها في نفسها لا يمكن الذبح فيها الآنَ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نذر نَحْرَ بَدَنَةٍ وَعيَّن مكاناً تعيَّن وإلّا نَحْرها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الحكم مشهور بين الأصحاب، ومستنده رواية إسحاق الصائغ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وحال الراوي غير معلوم، ولا إشكال لوجعلها 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Style w:val="FootnoteAnchor"/>
          <w:rtl w:val="true"/>
        </w:rPr>
        <w:footnoteReference w:id="543"/>
      </w:r>
      <w:r>
        <w:rPr>
          <w:rFonts w:ascii="Amiri" w:hAnsi="Amiri" w:eastAsia="Amiri" w:cs="Amiri"/>
          <w:color w:val="111111"/>
          <w:sz w:val="28"/>
          <w:sz w:val="28"/>
          <w:szCs w:val="28"/>
          <w:rtl w:val="true"/>
          <w:lang w:bidi="ar-SA"/>
        </w:rPr>
        <w:t>احتج بالرواية على تَعَيُّن نذر الهَدْي المطلق بمكَّةَ</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2156636_1067777946"/>
      <w:bookmarkStart w:id="425" w:name="_Toc159"/>
      <w:bookmarkEnd w:id="424"/>
      <w:r>
        <w:rPr>
          <w:rtl w:val="true"/>
        </w:rPr>
        <w:t>[</w:t>
      </w:r>
      <w:r>
        <w:rPr>
          <w:rtl w:val="true"/>
        </w:rPr>
        <w:t>المطلب الثالث في الحلق والتقصير</w:t>
      </w:r>
      <w:r>
        <w:rPr>
          <w:rtl w:val="true"/>
        </w:rPr>
        <w:t>]</w:t>
      </w:r>
      <w:bookmarkEnd w:id="425"/>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خصوصاً لِلْمُلَبِّد </w:t>
      </w:r>
      <w:r>
        <w:rPr>
          <w:rStyle w:val="FootnoteAnchor"/>
          <w:rtl w:val="true"/>
        </w:rPr>
        <w:footnoteReference w:id="544"/>
      </w:r>
      <w:r>
        <w:rPr>
          <w:rFonts w:ascii="Amiri" w:hAnsi="Amiri" w:eastAsia="Amiri" w:cs="Amiri"/>
          <w:color w:val="111111"/>
          <w:sz w:val="28"/>
          <w:sz w:val="28"/>
          <w:szCs w:val="28"/>
          <w:rtl w:val="true"/>
          <w:lang w:bidi="ar-SA"/>
        </w:rPr>
        <w:t>والضرورَةِ، ولا يتعيَّن عليهما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الحَلْق وفى إجزائه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الأقوى عدم الإجزاء؛ للنهى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ويُمِرُّ مَنْ لا شَعْرَ على رأسه المُوسى عليه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الاستحباب مع إمكان التقصير من غيره وإلا وجب، وعلى التقديرين يُجْزِئُ مسماه كالأصل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الطيب والنساء والصَيدَ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في الصيد والأقوى بقاء تحريمه مادام مُحرِماً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طاف للحج حلّ له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توقفه على السعى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على المرأة الرجلُ لو تَرَكَتُه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مُغايَرَتُه لما يأتي به من طواف النساء في إحرامٍ آخَرَ؟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اشتراط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على المميّز النساء بعد بلوغه لو تركه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التحريم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أَخَره أثِمَ وأجزأ</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جواز تأخيره طول ذي الحِجَّة كقسيميه</w:t>
      </w:r>
      <w:r>
        <w:rPr>
          <w:rFonts w:eastAsia="Amiri" w:cs="Amiri" w:ascii="Amiri" w:hAnsi="Amiri"/>
          <w:color w:val="111111"/>
          <w:sz w:val="28"/>
          <w:szCs w:val="28"/>
          <w:rtl w:val="true"/>
          <w:lang w:bidi="ar-SA"/>
        </w:rPr>
        <w:t xml:space="preserve">. </w:t>
      </w:r>
      <w:bookmarkStart w:id="426" w:name="pg10189_116131"/>
    </w:p>
    <w:p>
      <w:pPr>
        <w:pStyle w:val="Heading5"/>
        <w:numPr>
          <w:ilvl w:val="4"/>
          <w:numId w:val="1"/>
        </w:numPr>
        <w:rPr/>
      </w:pPr>
      <w:bookmarkStart w:id="427" w:name="__RefHeading___Toc2156638_1067777946"/>
      <w:bookmarkStart w:id="428" w:name="_Toc160"/>
      <w:bookmarkEnd w:id="426"/>
      <w:bookmarkEnd w:id="427"/>
      <w:r>
        <w:rPr>
          <w:rtl w:val="true"/>
        </w:rPr>
        <w:t xml:space="preserve">[ </w:t>
      </w:r>
      <w:r>
        <w:rPr>
          <w:rtl w:val="true"/>
        </w:rPr>
        <w:t>الفصل السابع في باقي المناسِكِ</w:t>
      </w:r>
      <w:r>
        <w:rPr>
          <w:rtl w:val="true"/>
        </w:rPr>
        <w:t>]</w:t>
      </w:r>
      <w:bookmarkEnd w:id="428"/>
    </w:p>
    <w:p>
      <w:pPr>
        <w:pStyle w:val="BookText"/>
        <w:rPr/>
      </w:pPr>
      <w:r>
        <w:rPr>
          <w:rFonts w:eastAsia="Amiri" w:cs="Amiri" w:ascii="Amiri" w:hAnsi="Amiri"/>
          <w:color w:val="111111"/>
          <w:sz w:val="28"/>
          <w:szCs w:val="28"/>
          <w:lang w:bidi="ar-SA"/>
        </w:rPr>
        <w:t>447/1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 فى أثناء اللاحقة أكمل السابقة أوّلاً وجوباً، ثمّ أكمل اللاحقة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رمى على السابقة أربعاً وإلا استأنفهما مرتباً على الأقوى؛ وكذا لو رمي الأخيرة دونَ الأربع ثُمّ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أغمي عليه لم ينعزل نائبه لأنه زيادة في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عن سؤال يرد على الحكم بعدم انعزاله من حيث إنّ الاستنابة في معنى الوكالة، وهي تبطل بالإغماء كنظائرها من العقود الجائزة، فلم تبطل هنا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وأجاب</w:t>
      </w:r>
      <w:r>
        <w:rPr>
          <w:rStyle w:val="FootnoteAnchor"/>
          <w:rtl w:val="true"/>
        </w:rPr>
        <w:footnoteReference w:id="546"/>
      </w:r>
      <w:r>
        <w:rPr>
          <w:rFonts w:ascii="Amiri" w:hAnsi="Amiri" w:eastAsia="Amiri" w:cs="Amiri"/>
          <w:color w:val="111111"/>
          <w:sz w:val="28"/>
          <w:sz w:val="28"/>
          <w:szCs w:val="28"/>
          <w:rtl w:val="true"/>
          <w:lang w:bidi="ar-SA"/>
        </w:rPr>
        <w:t>بأنّ العلة المسوَّغة للاستنابة هنا إنّما هي العجز عن الرمي، والإغماءُ يقوّي هذه العلة؛ لأنّه زيادة في العجز، فلا ينبغي أن يبطل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ونمنع أنّ الاستنابة به هنا وكالة وإن كانت بمعناها، ومن ثمّ يقع من غير إذنه، كما لو أُغمي عليه قبلها وخيف فوات وقته، فإنّ الولي يتولاه عنه، فإن تعذر فبعض المؤمنين، وقد رواه رفاعة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الإقامة بمنى أيام التشريق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حاشية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له تفسیران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استيعاب الثلاثة حتّى ينفر في الأخير، وإن كان مقام اليومين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 مع غروب الشمس؛ تسميةً للشيء ببعض أجزائه، فعلى هذا يكون المقام في بياض النهار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النهار؛ لأنّ المعلوم وهو وجوب الليل</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التفسيران فاسدان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حمله على استيعاب الثلاثة، وأنّ مقام اليومين واجباً غير واقع، فإنّ المقام في اليومين لم يقل أحد بوجوبه، وفي تفسير الثاني دلالة عليه، وإنما الواجب من المقام مقدار زمان الرمي وما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الإقامة بمنئ مستحبّة فيما لا يجب من الليل أيضاً وهو ما بعد الانتصاف، ولا يصح إطلاق الوجوب على مقام الليل والأولى أن يجعل الاستحباب راجعاً إلى المجموع من حيث هو مجموع، وهو لا ينافي وجوب بعضه، ويراد به مايعمُ الليل والنهار، وإطلاق الاستحباب بهذا المعنى حقيقة لا مجاز، ولو أُريد بها النهار كان المراد ما ذكرناه أيضاً؛ لأنّ مجموع الأيام من حيث هو مجموع مستحبّ وإن كان زمن الرمي منه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بناؤه على حذف المضاف أي الإقامة بقيّة أيام التشريق والمراد بها القدر الزائد على الواجب، وهو مجاز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أعاد على ما بعدها بعد الإكمال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هي المركبة، أي وإن لا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كان عامداً في النقص، أو كان الرمي على الأوليين دون الأربع، أعاد على 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عود الضمير إلى الأولى </w:t>
      </w:r>
    </w:p>
    <w:p>
      <w:pPr>
        <w:pStyle w:val="BookText"/>
        <w:rPr/>
      </w:pPr>
      <w:r>
        <w:rPr>
          <w:rFonts w:ascii="Amiri" w:hAnsi="Amiri" w:eastAsia="Amiri" w:cs="Amiri"/>
          <w:color w:val="111111"/>
          <w:sz w:val="28"/>
          <w:sz w:val="28"/>
          <w:szCs w:val="28"/>
          <w:rtl w:val="true"/>
          <w:lang w:bidi="ar-SA"/>
        </w:rPr>
        <w:t>المدلول عليها بالأوليين تضمناً، أي أعاد على ما بعد الأولى بعد إكمالها، بناءً على أنّ رميها لا يبطل وإن نقص عن أربع كالأخيرة لو رماها ناقصة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وجوب استئناف الأولى لو كان رميها دون الأربع مطلقاً، ويبطل ما بعدها مطلقاً، ومع التعمّد يستأنف مطلقاً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وزيارة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الروضة، وبيتها، والبقيع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الصحيح والمروي أنّها مدفونة في بيتها</w:t>
      </w:r>
      <w:r>
        <w:rPr>
          <w:rStyle w:val="FootnoteAnchor"/>
          <w:rtl w:val="true"/>
        </w:rPr>
        <w:footnoteReference w:id="549"/>
      </w:r>
      <w:r>
        <w:rPr>
          <w:rFonts w:ascii="Amiri" w:hAnsi="Amiri" w:eastAsia="Amiri" w:cs="Amiri"/>
          <w:color w:val="111111"/>
          <w:sz w:val="28"/>
          <w:sz w:val="28"/>
          <w:szCs w:val="28"/>
          <w:rtl w:val="true"/>
          <w:lang w:bidi="ar-SA"/>
        </w:rPr>
        <w:t xml:space="preserve">، والقول بدفنها في الروضة </w:t>
      </w:r>
      <w:r>
        <w:rPr>
          <w:rStyle w:val="FootnoteAnchor"/>
          <w:rtl w:val="true"/>
        </w:rPr>
        <w:footnoteReference w:id="550"/>
      </w:r>
      <w:r>
        <w:rPr>
          <w:rFonts w:ascii="Amiri" w:hAnsi="Amiri" w:eastAsia="Amiri" w:cs="Amiri"/>
          <w:color w:val="111111"/>
          <w:sz w:val="28"/>
          <w:sz w:val="28"/>
          <w:szCs w:val="28"/>
          <w:rtl w:val="true"/>
          <w:lang w:bidi="ar-SA"/>
        </w:rPr>
        <w:t xml:space="preserve">باطل، وفي البقيع </w:t>
      </w:r>
      <w:r>
        <w:rPr>
          <w:rStyle w:val="FootnoteAnchor"/>
          <w:rtl w:val="true"/>
        </w:rPr>
        <w:footnoteReference w:id="551"/>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كمسجد الأحزاب، والفتح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صحيحة معاوية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مسجد الأحزاب هو مسجد الفتح</w:t>
      </w:r>
      <w:r>
        <w:rPr>
          <w:rFonts w:eastAsia="IRNazanin" w:cs="IRNazanin"/>
          <w:color w:val="111111"/>
          <w:sz w:val="28"/>
          <w:szCs w:val="28"/>
          <w:rtl w:val="true"/>
          <w:lang w:bidi="fa-IR"/>
        </w:rPr>
        <w:t>» .</w:t>
      </w:r>
      <w:r>
        <w:rPr>
          <w:rStyle w:val="FootnoteAnchor"/>
          <w:rtl w:val="true"/>
        </w:rPr>
        <w:footnoteReference w:id="552"/>
      </w:r>
      <w:r>
        <w:rPr>
          <w:rFonts w:ascii="Amiri" w:hAnsi="Amiri" w:eastAsia="Amiri" w:cs="Amiri"/>
          <w:color w:val="111111"/>
          <w:sz w:val="28"/>
          <w:sz w:val="28"/>
          <w:szCs w:val="28"/>
          <w:rtl w:val="true"/>
          <w:lang w:bidi="ar-SA"/>
        </w:rPr>
        <w:t>وأنّ النبي صلى الله عليه وسلم دعا فيه يوم الأحزاب واستجيب له، وفتح الله بقتل عَمْرو وانهزم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صرَّح المصنف رحمه الله في المنتهى</w:t>
      </w:r>
      <w:r>
        <w:rPr>
          <w:rStyle w:val="FootnoteAnchor"/>
          <w:rtl w:val="true"/>
        </w:rPr>
        <w:footnoteReference w:id="553"/>
      </w:r>
      <w:r>
        <w:rPr>
          <w:rFonts w:ascii="Amiri" w:hAnsi="Amiri" w:eastAsia="Amiri" w:cs="Amiri"/>
          <w:color w:val="111111"/>
          <w:sz w:val="28"/>
          <w:sz w:val="28"/>
          <w:szCs w:val="28"/>
          <w:rtl w:val="true"/>
          <w:lang w:bidi="ar-SA"/>
        </w:rPr>
        <w:t>، والتحرير</w:t>
      </w:r>
      <w:r>
        <w:rPr>
          <w:rStyle w:val="FootnoteAnchor"/>
          <w:rtl w:val="true"/>
        </w:rPr>
        <w:footnoteReference w:id="554"/>
      </w:r>
      <w:r>
        <w:rPr>
          <w:rFonts w:ascii="Amiri" w:hAnsi="Amiri" w:eastAsia="Amiri" w:cs="Amiri"/>
          <w:color w:val="111111"/>
          <w:sz w:val="28"/>
          <w:sz w:val="28"/>
          <w:szCs w:val="28"/>
          <w:rtl w:val="true"/>
          <w:lang w:bidi="ar-SA"/>
        </w:rPr>
        <w:t xml:space="preserve">، وفي التذكرة </w:t>
      </w:r>
      <w:r>
        <w:rPr>
          <w:rStyle w:val="FootnoteAnchor"/>
          <w:rtl w:val="true"/>
        </w:rPr>
        <w:footnoteReference w:id="555"/>
      </w:r>
      <w:r>
        <w:rPr>
          <w:rFonts w:ascii="Amiri" w:hAnsi="Amiri" w:eastAsia="Amiri" w:cs="Amiri"/>
          <w:color w:val="111111"/>
          <w:sz w:val="28"/>
          <w:sz w:val="28"/>
          <w:szCs w:val="28"/>
          <w:rtl w:val="true"/>
          <w:lang w:bidi="ar-SA"/>
        </w:rPr>
        <w:t>ما يقتضي كونهما متغايرين،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ومسجد الأحزاب وهو مسجد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تنزيل عبارة المصنّف هنا على الصحيح بجعل الفتح معطوفاً على الأحزاب، وكلاهما مضافان إلى المسجد الواحد؛ لأنّ العطف تفسيري، كما قال بعضهم؛ إذ الأحزاب ليس هو الفتح</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 بِناءِ فوق الكعبة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ومنع الحاج دُورَ مكَّةَ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وصَيدُ ما بين الحرَّتين</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التحريم ،أقوى، ولا كفارة له سوى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والأيام المعلوماتُ عَشْرُ ذي الحِجَّة، والمعدوداتُ 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المروي في صحيحة منصور بن حازم</w:t>
      </w:r>
      <w:r>
        <w:rPr>
          <w:rStyle w:val="FootnoteAnchor"/>
          <w:rtl w:val="true"/>
        </w:rPr>
        <w:footnoteReference w:id="557"/>
      </w:r>
      <w:r>
        <w:rPr>
          <w:rFonts w:ascii="IRNazanin" w:hAnsi="IRNazanin" w:eastAsia="IRNazanin"/>
          <w:color w:val="111111"/>
          <w:sz w:val="28"/>
          <w:sz w:val="28"/>
          <w:szCs w:val="28"/>
          <w:rtl w:val="true"/>
          <w:lang w:bidi="fa-IR"/>
        </w:rPr>
        <w:t>، ومحمد بن مسلم</w:t>
      </w:r>
      <w:r>
        <w:rPr>
          <w:rStyle w:val="FootnoteAnchor"/>
          <w:rtl w:val="true"/>
        </w:rPr>
        <w:footnoteReference w:id="558"/>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العامة في صحاحهم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 ولأنّه المناسب للأمر بالذكر الذي هو التكبير المعلوم فإنّه مختص بتلك الأيام، حتى قال جماعة من العلماء</w:t>
      </w:r>
      <w:r>
        <w:rPr>
          <w:rStyle w:val="FootnoteAnchor"/>
          <w:rtl w:val="true"/>
        </w:rPr>
        <w:footnoteReference w:id="560"/>
      </w:r>
      <w:r>
        <w:rPr>
          <w:rFonts w:ascii="Amiri" w:hAnsi="Amiri" w:eastAsia="Amiri" w:cs="Amiri"/>
          <w:color w:val="111111"/>
          <w:sz w:val="28"/>
          <w:sz w:val="28"/>
          <w:szCs w:val="28"/>
          <w:rtl w:val="true"/>
          <w:lang w:bidi="ar-SA"/>
        </w:rPr>
        <w:t>بوجوبه فيها؛ عملاً بمقتضي الأمر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561"/>
      </w:r>
      <w:r>
        <w:rPr>
          <w:rFonts w:ascii="IRNazanin" w:hAnsi="IRNazanin" w:eastAsia="IRNazanin"/>
          <w:color w:val="111111"/>
          <w:sz w:val="28"/>
          <w:sz w:val="28"/>
          <w:szCs w:val="28"/>
          <w:rtl w:val="true"/>
          <w:lang w:bidi="fa-IR"/>
        </w:rPr>
        <w:t xml:space="preserve">أنه المروي في الصحيح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62"/>
      </w:r>
      <w:r>
        <w:rPr>
          <w:rFonts w:ascii="Amiri" w:hAnsi="Amiri" w:eastAsia="Amiri" w:cs="Amiri"/>
          <w:color w:val="111111"/>
          <w:sz w:val="28"/>
          <w:sz w:val="28"/>
          <w:szCs w:val="28"/>
          <w:rtl w:val="true"/>
          <w:lang w:bidi="ar-SA"/>
        </w:rPr>
        <w:t>، وعكس المصنف في التذكرة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الأيام المعدودات عشر ذي الحجة، والمعلومات أيام التشريق</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واحتج له بماروي</w:t>
      </w:r>
      <w:r>
        <w:rPr>
          <w:rStyle w:val="FootnoteAnchor"/>
          <w:rtl w:val="true"/>
        </w:rPr>
        <w:footnoteReference w:id="564"/>
      </w:r>
      <w:r>
        <w:rPr>
          <w:rFonts w:ascii="Amiri" w:hAnsi="Amiri" w:eastAsia="Amiri" w:cs="Amiri"/>
          <w:color w:val="111111"/>
          <w:sz w:val="28"/>
          <w:sz w:val="28"/>
          <w:szCs w:val="28"/>
          <w:rtl w:val="true"/>
          <w:lang w:bidi="ar-SA"/>
        </w:rPr>
        <w:t>في الصحيح عن علي الدال على ذلك، والأظهرُ الأوّلُ</w:t>
      </w:r>
      <w:r>
        <w:rPr>
          <w:rFonts w:eastAsia="Amiri" w:cs="Amiri" w:ascii="Amiri" w:hAnsi="Amiri"/>
          <w:color w:val="111111"/>
          <w:sz w:val="28"/>
          <w:szCs w:val="28"/>
          <w:rtl w:val="true"/>
          <w:lang w:bidi="ar-SA"/>
        </w:rPr>
        <w:t xml:space="preserve">. </w:t>
      </w:r>
      <w:bookmarkStart w:id="429" w:name="pg10189_116135"/>
    </w:p>
    <w:p>
      <w:pPr>
        <w:pStyle w:val="Heading4"/>
        <w:numPr>
          <w:ilvl w:val="3"/>
          <w:numId w:val="1"/>
        </w:numPr>
        <w:rPr/>
      </w:pPr>
      <w:bookmarkStart w:id="430" w:name="__RefHeading___Toc2156640_1067777946"/>
      <w:bookmarkStart w:id="431" w:name="_Toc161"/>
      <w:bookmarkEnd w:id="429"/>
      <w:bookmarkEnd w:id="430"/>
      <w:r>
        <w:rPr>
          <w:rtl w:val="true"/>
        </w:rPr>
        <w:t>[</w:t>
      </w:r>
      <w:r>
        <w:rPr>
          <w:rtl w:val="true"/>
        </w:rPr>
        <w:t xml:space="preserve">المقصد الثالث في التوابع </w:t>
      </w:r>
      <w:r>
        <w:rPr>
          <w:rtl w:val="true"/>
        </w:rPr>
        <w:t>]</w:t>
      </w:r>
      <w:bookmarkEnd w:id="431"/>
    </w:p>
    <w:p>
      <w:pPr>
        <w:pStyle w:val="Heading5"/>
        <w:numPr>
          <w:ilvl w:val="4"/>
          <w:numId w:val="1"/>
        </w:numPr>
        <w:rPr/>
      </w:pPr>
      <w:bookmarkStart w:id="432" w:name="__RefHeading___Toc2156642_1067777946"/>
      <w:bookmarkStart w:id="433" w:name="_Toc162"/>
      <w:bookmarkEnd w:id="432"/>
      <w:r>
        <w:rPr>
          <w:rtl w:val="true"/>
        </w:rPr>
        <w:t>[</w:t>
      </w:r>
      <w:r>
        <w:rPr>
          <w:rtl w:val="true"/>
        </w:rPr>
        <w:t xml:space="preserve">الفصل الأول في العُمرة </w:t>
      </w:r>
      <w:r>
        <w:rPr>
          <w:rtl w:val="true"/>
        </w:rPr>
        <w:t>]</w:t>
      </w:r>
      <w:bookmarkEnd w:id="433"/>
    </w:p>
    <w:p>
      <w:pPr>
        <w:pStyle w:val="BookText"/>
        <w:rPr/>
      </w:pP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استطاع لحج الإفراد دون عمرته فالأقربُ وجوبه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انقضاء الحجّ، إن شاء بعد أيام التشريق أو في استقبال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العمرة مطلقاً واجبة على الفور كالحج، وهو يتمُّ في عمرة التمتُّع؛ لأنّها متقدمة على الحج، ولا يصح تأخيرها عن عام الاستطاعة، فتتحقق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عمرة الإفراد فتأخيرُها إلى استقبال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الحكم بتمام الحج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ينافي الفورية بالمعنى المتبادر منها، وهو فعل الشيء في أوّل أوقات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بأنّ الحجّ وإن كان يتمُّ في أيام التشريق غالباً إلا أن شهر ذي الحِجّة بتمامه من أشهر الحج الثلاثة على الصحيح</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وقوع كثير من أفعال الحج و أركانه فيه بعد أيام التشريق، كالطوافين والسعي؛ لما تقدَّم من جواز تأخيرها للقارن والمفرد طول ذي الحجة مطلقاً على ما </w:t>
      </w:r>
    </w:p>
    <w:p>
      <w:pPr>
        <w:pStyle w:val="BookText"/>
        <w:rPr/>
      </w:pPr>
      <w:r>
        <w:rPr>
          <w:rFonts w:ascii="Amiri" w:hAnsi="Amiri" w:eastAsia="Amiri" w:cs="Amiri"/>
          <w:color w:val="111111"/>
          <w:sz w:val="28"/>
          <w:sz w:val="28"/>
          <w:szCs w:val="28"/>
          <w:rtl w:val="true"/>
          <w:lang w:bidi="ar-SA"/>
        </w:rPr>
        <w:t>اخترناه فكانَ تأخير العمرة إلى أن يُتِمَّ أشهر الحج غير مناف للفورية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القدر من التأخير غير منافٍ لها عرفاً، ويجري ذلك مجری تأخير السفر إلى الحج الفوري لو تعدّدت القوافل مع علم الإدراك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عمرة الإسلام أو النذر ففي النقل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 الزمان بين العمرتين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عدم التحديد بينهما مطلقاً</w:t>
      </w:r>
      <w:r>
        <w:rPr>
          <w:rFonts w:eastAsia="Amiri" w:cs="Amiri" w:ascii="Amiri" w:hAnsi="Amiri"/>
          <w:color w:val="111111"/>
          <w:sz w:val="28"/>
          <w:szCs w:val="28"/>
          <w:rtl w:val="true"/>
          <w:lang w:bidi="ar-SA"/>
        </w:rPr>
        <w:t xml:space="preserve">. </w:t>
      </w:r>
      <w:bookmarkStart w:id="434" w:name="pg10189_116137"/>
    </w:p>
    <w:p>
      <w:pPr>
        <w:pStyle w:val="Heading5"/>
        <w:numPr>
          <w:ilvl w:val="4"/>
          <w:numId w:val="1"/>
        </w:numPr>
        <w:rPr/>
      </w:pPr>
      <w:bookmarkStart w:id="435" w:name="__RefHeading___Toc2156644_1067777946"/>
      <w:bookmarkStart w:id="436" w:name="_Toc163"/>
      <w:bookmarkEnd w:id="434"/>
      <w:bookmarkEnd w:id="435"/>
      <w:r>
        <w:rPr>
          <w:rtl w:val="true"/>
        </w:rPr>
        <w:t xml:space="preserve">[ </w:t>
      </w:r>
      <w:r>
        <w:rPr>
          <w:rtl w:val="true"/>
        </w:rPr>
        <w:t>الفصل الثاني في الحصر والصد</w:t>
      </w:r>
      <w:r>
        <w:rPr>
          <w:rtl w:val="true"/>
        </w:rPr>
        <w:t>]</w:t>
      </w:r>
      <w:bookmarkEnd w:id="436"/>
    </w:p>
    <w:p>
      <w:pPr>
        <w:pStyle w:val="Heading6"/>
        <w:numPr>
          <w:ilvl w:val="5"/>
          <w:numId w:val="1"/>
        </w:numPr>
        <w:rPr/>
      </w:pPr>
      <w:bookmarkStart w:id="437" w:name="__RefHeading___Toc2156646_1067777946"/>
      <w:bookmarkStart w:id="438" w:name="_Toc164"/>
      <w:bookmarkEnd w:id="437"/>
      <w:r>
        <w:rPr>
          <w:rtl w:val="true"/>
        </w:rPr>
        <w:t>[</w:t>
      </w:r>
      <w:r>
        <w:rPr>
          <w:rtl w:val="true"/>
        </w:rPr>
        <w:t>المطلب الأوّل</w:t>
      </w:r>
      <w:r>
        <w:rPr>
          <w:rtl w:val="true"/>
        </w:rPr>
        <w:t xml:space="preserve">: </w:t>
      </w:r>
      <w:r>
        <w:rPr>
          <w:rtl w:val="true"/>
        </w:rPr>
        <w:t>المصدود وهو الممنوع بالعدو</w:t>
      </w:r>
      <w:r>
        <w:rPr>
          <w:rtl w:val="true"/>
        </w:rPr>
        <w:t>]</w:t>
      </w:r>
      <w:bookmarkEnd w:id="438"/>
    </w:p>
    <w:p>
      <w:pPr>
        <w:pStyle w:val="BookText"/>
        <w:rPr/>
      </w:pP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يكفي هَدْي السياق عن هَدْي التحلّل؟ الأقوى ذلك مع ندبه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بالمندوب هنا ما لم يتعيَّن ذَبحه؛ لكونه لم يُشعره ولم يُقلّده ولا وجد منه ما اقتضى وجوب ذبحه، بل ساقه بنيّة أنّه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فالاكتفاء به واضح؛ لأنه كباقي أمواله بخلاف ما يجب عليه ذَبحه أو نَحْره بأحد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بالمندوب ما لم يكن متعيّناً للذبح بغير السوق، احترازاً عن المنذور والكفّارة إذا ساقه، فإنّه يتحقق به المعنى كما سلف، ولكنّه واجب بغيره بخلاف ما تبرع بسياقه، فإنه وإن وجب ذبحه بالسياق إلّا أنّه في أصله مندوب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هذا محتملاً؛ نظراً إلى أصله، وبناءً على أنّ مالا يُشعر ولا يقلّد لا يطلق عليه هَدْي السياق إلّا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فالفتوى على الأوّل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بدل له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بدلاً وهو صَوْم ثمانية عشر</w:t>
      </w:r>
      <w:r>
        <w:rPr>
          <w:rStyle w:val="FootnoteAnchor"/>
          <w:rtl w:val="true"/>
        </w:rPr>
        <w:footnoteReference w:id="565"/>
      </w:r>
      <w:r>
        <w:rPr>
          <w:rFonts w:ascii="Amiri" w:hAnsi="Amiri" w:eastAsia="Amiri" w:cs="Amiri"/>
          <w:color w:val="111111"/>
          <w:sz w:val="28"/>
          <w:sz w:val="28"/>
          <w:szCs w:val="28"/>
          <w:rtl w:val="true"/>
          <w:lang w:bidi="ar-SA"/>
        </w:rPr>
        <w:t xml:space="preserve">وقيل عشرة كهدي التمتّع </w:t>
      </w:r>
      <w:r>
        <w:rPr>
          <w:rStyle w:val="FootnoteAnchor"/>
          <w:rtl w:val="true"/>
        </w:rPr>
        <w:footnoteReference w:id="566"/>
      </w:r>
      <w:r>
        <w:rPr>
          <w:rFonts w:ascii="Amiri" w:hAnsi="Amiri" w:eastAsia="Amiri" w:cs="Amiri"/>
          <w:color w:val="111111"/>
          <w:sz w:val="28"/>
          <w:sz w:val="28"/>
          <w:szCs w:val="28"/>
          <w:rtl w:val="true"/>
          <w:lang w:bidi="ar-SA"/>
        </w:rPr>
        <w:t>،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فيبقى على إحرامه مع عَجْزه عنه وعن ثمنه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أن يراد بالعجز عنه العجز عن عينه بأن لا يكون مملوكاً له، وبالعجز عن ثمنه أن لا يكون قادراً على شرائه مع وجوده عند غيره، وحينئذ فلو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 </w:t>
      </w:r>
    </w:p>
    <w:p>
      <w:pPr>
        <w:pStyle w:val="BookText"/>
        <w:rPr/>
      </w:pPr>
      <w:r>
        <w:rPr>
          <w:rFonts w:ascii="Amiri" w:hAnsi="Amiri" w:eastAsia="Amiri" w:cs="Amiri"/>
          <w:color w:val="111111"/>
          <w:sz w:val="28"/>
          <w:sz w:val="28"/>
          <w:szCs w:val="28"/>
          <w:rtl w:val="true"/>
          <w:lang w:bidi="ar-SA"/>
        </w:rPr>
        <w:t>عجزه عنه كفى لشموله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القدرة على ثمنه مع العجز عن تحصيله مطلقاً فلا أثر لها، ولا مدخل للثمن هنا بصدقة ولا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يعلم القوات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العلم العادي دون الظنّ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يَقضي في القابِل واجباً مع وجوبه وإلّا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وجوبه مستقراً قبل عامه، فلو وجب في عامه سقط أيضاً؛ لتبين عدم الاستطاعة التي هي شرط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بالمندوب المُتَبَرَّعُ به ابتداءً، وإن وجب بالشروع فلا يجب قضاؤه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التحلّل من غير هذي مع الاشتراط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الهَدْئ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غير مستحق أو عجز عن المستحق تحلَّل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دفع غير المستحق مع الإمكان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صُدَّ عن مكةَ بعد الموقفين، فإن لحق الطواف والسعي للحج في ذي الحِجَّة صح حجه وإلا وجب عليه العَوْدُ من قابل لأداء باقي المناسكِ، ولو لم يُدرِك سوى الموقفين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أدرك بعد الموقفين شيئاً من الأفعال بقرينة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يدرك سوى الموقفين فإشكال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يراد بالشيء من الأفعال بعد الموقفين أفعالُ منى بأسرها؛ ليتحقق التحلُّل الأوّل معها ليتحقق لها أثر فى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لحق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يُشعر بكونه لم يبق عليه غير الطواف وما بعده، وإن 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يدرك سوى الموقفين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إدراك ماهو أعم من المحلّل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يُدْرِك سوى الموقفين فإشكال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حَجَّةُ الإسلام لم تكف الواحدة، إنما لا تكفي الواحدة لوقلنا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الأُولى حَجَّةُ الإسلام بتقدير كونها مستقرة؛ ليجب فعلها بعد التحلّل بالصيد وإن لم يفسدها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أفسدها وجب الإتيان بحجّة الإسلام وحجّة 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غير مستقرة بأن وجبت ذلك العام كفاه الواحدة وهي حجة الإفساد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الإشكال في الاكتفاء بواحدة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عقوبة الشكّ في كون حجّة العقوبة إذا تحلَّل منها يجب قضاؤها أم لا من حيث إنّها واجبة قد صدّ عنها، وكلّ حجّة واجبة صدّ عنها يجب قضاؤها،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 الصدّ والتحلّل مسقطان لها والقضاء إنما يجب بأمر جديد ولم يثبت فيها هاهنا، ووجوب العقوبة 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وكلية الكبرى في الأوّل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الاكتفاء بالواحدة على هذا التقدير وهي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انكشف العدو والوقت باق وجب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 يُقضى لِسَنَتِهِ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هنا مبني على الخلاف السابق، فإن جعلنا حَجَّةَ الإسلام وكانت مستقرّة لم يكن حجّاً يُقضى لِسَنَتِه؛ لأن الواقع بعد التحلّل في السنة الأُولى حَجَّةُ الإسلام وتبقى حِجَّةُ العقوبة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جعلناها عقوبةً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العقوبة تقضى، فكذلك؛ لوجوب قضائها بعد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بالتحلّل كان المأتيُّ به حَجَّةَ الإسلام وكان حجّاً يُقضى لِسَنَتِه، بمعنى أنه لا يجب عليه حج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الظاهر من العبارة، وهو الذي فهمه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أيضاً</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ولولد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آخر</w:t>
      </w:r>
      <w:r>
        <w:rPr>
          <w:rStyle w:val="FootnoteAnchor"/>
          <w:rtl w:val="true"/>
        </w:rPr>
        <w:footnoteReference w:id="568"/>
      </w:r>
      <w:r>
        <w:rPr>
          <w:rFonts w:ascii="Amiri" w:hAnsi="Amiri" w:eastAsia="Amiri" w:cs="Amiri"/>
          <w:color w:val="111111"/>
          <w:sz w:val="28"/>
          <w:sz w:val="28"/>
          <w:szCs w:val="28"/>
          <w:rtl w:val="true"/>
          <w:lang w:bidi="ar-SA"/>
        </w:rPr>
        <w:t>، وهو أنّ المراد بما يُقضى لِسَنَتِه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ثانياً في تلك السنة وإن وجب عليه بعده آخر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الأولى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من فعلها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حَج يُقضى لِسَنَتِهِ؛ </w:t>
      </w:r>
      <w:bookmarkStart w:id="439" w:name="pg10189_116140"/>
    </w:p>
    <w:p>
      <w:pPr>
        <w:pStyle w:val="BookText"/>
        <w:rPr/>
      </w:pPr>
      <w:bookmarkEnd w:id="439"/>
      <w:r>
        <w:rPr>
          <w:rFonts w:ascii="Amiri" w:hAnsi="Amiri" w:eastAsia="Amiri" w:cs="Amiri"/>
          <w:color w:val="111111"/>
          <w:sz w:val="28"/>
          <w:sz w:val="28"/>
          <w:szCs w:val="28"/>
          <w:rtl w:val="true"/>
          <w:lang w:bidi="ar-SA"/>
        </w:rPr>
        <w:t xml:space="preserve">لأنّ هذا الحَجَّ المأتيَّ به قضاءً عن  تلك الفاسدة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عقوبة فهذه حَجَّةُ الإسلام؛ لوجوب تقديمها على قضاء العقوبة، فلا تكون قضاء للفاسدة ولا تكون حجّاً يُقضى لِسَنَتِه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العقوبة تقضى؛ لأنّ قضاءَها يكون بعد فعل حجّة الإسلام، وهذا التوجيه محتمل أيضاً وإن كان الأوّل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طلب مالاً لم يجب بذله ولو تمكَّن منه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الوجوب مع التمكن مطلقاً</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2156648_1067777946"/>
      <w:bookmarkStart w:id="441" w:name="_Toc165"/>
      <w:bookmarkEnd w:id="440"/>
      <w:r>
        <w:rPr>
          <w:rtl w:val="true"/>
        </w:rPr>
        <w:t>[</w:t>
      </w:r>
      <w:r>
        <w:rPr>
          <w:rtl w:val="true"/>
        </w:rPr>
        <w:t>المطلب الثاني</w:t>
      </w:r>
      <w:r>
        <w:rPr>
          <w:rtl w:val="true"/>
        </w:rPr>
        <w:t xml:space="preserve">: </w:t>
      </w:r>
      <w:r>
        <w:rPr>
          <w:rtl w:val="true"/>
        </w:rPr>
        <w:t>المحصر</w:t>
      </w:r>
      <w:r>
        <w:rPr>
          <w:rtl w:val="true"/>
        </w:rPr>
        <w:t>]</w:t>
      </w:r>
      <w:bookmarkEnd w:id="441"/>
    </w:p>
    <w:p>
      <w:pPr>
        <w:pStyle w:val="BookText"/>
        <w:rPr/>
      </w:pP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عَلِم القوات بعد البَعْث وزوال العذر قبل التقصير، ففي وجوب لقاء مكَّةَ للتحلُّل بالعمرة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الوجوب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تحلّل القارن أتى فى القابل بالواجب</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أنّ القضاء يساوي الأداء، فإن كان معيّناً بنوع فعله، وإن كان مخيّراً تخيَّرَ</w:t>
      </w:r>
      <w:r>
        <w:rPr>
          <w:rFonts w:eastAsia="Amiri" w:cs="Amiri" w:ascii="Amiri" w:hAnsi="Amiri"/>
          <w:color w:val="111111"/>
          <w:sz w:val="28"/>
          <w:szCs w:val="28"/>
          <w:rtl w:val="true"/>
          <w:lang w:bidi="ar-SA"/>
        </w:rPr>
        <w:t xml:space="preserve">. </w:t>
      </w:r>
      <w:bookmarkStart w:id="442" w:name="pg10189_116141"/>
    </w:p>
    <w:p>
      <w:pPr>
        <w:pStyle w:val="Heading5"/>
        <w:numPr>
          <w:ilvl w:val="4"/>
          <w:numId w:val="1"/>
        </w:numPr>
        <w:rPr/>
      </w:pPr>
      <w:bookmarkStart w:id="443" w:name="__RefHeading___Toc2156650_1067777946"/>
      <w:bookmarkStart w:id="444" w:name="_Toc166"/>
      <w:bookmarkEnd w:id="442"/>
      <w:bookmarkEnd w:id="443"/>
      <w:r>
        <w:rPr>
          <w:rtl w:val="true"/>
        </w:rPr>
        <w:t xml:space="preserve">[ </w:t>
      </w:r>
      <w:r>
        <w:rPr>
          <w:rtl w:val="true"/>
        </w:rPr>
        <w:t>الفصل الثالث في كفارات الإحرام</w:t>
      </w:r>
      <w:r>
        <w:rPr>
          <w:rtl w:val="true"/>
        </w:rPr>
        <w:t>]</w:t>
      </w:r>
      <w:bookmarkEnd w:id="444"/>
    </w:p>
    <w:p>
      <w:pPr>
        <w:pStyle w:val="Heading6"/>
        <w:numPr>
          <w:ilvl w:val="5"/>
          <w:numId w:val="1"/>
        </w:numPr>
        <w:rPr/>
      </w:pPr>
      <w:bookmarkStart w:id="445" w:name="__RefHeading___Toc2156652_1067777946"/>
      <w:bookmarkStart w:id="446" w:name="_Toc167"/>
      <w:bookmarkEnd w:id="445"/>
      <w:r>
        <w:rPr>
          <w:rtl w:val="true"/>
        </w:rPr>
        <w:t>[</w:t>
      </w:r>
      <w:r>
        <w:rPr>
          <w:rtl w:val="true"/>
        </w:rPr>
        <w:t>المطلب الأوّل</w:t>
      </w:r>
      <w:r>
        <w:rPr>
          <w:rtl w:val="true"/>
        </w:rPr>
        <w:t xml:space="preserve">: </w:t>
      </w:r>
      <w:r>
        <w:rPr>
          <w:rtl w:val="true"/>
        </w:rPr>
        <w:t>الصيد</w:t>
      </w:r>
      <w:r>
        <w:rPr>
          <w:rtl w:val="true"/>
        </w:rPr>
        <w:t>]</w:t>
      </w:r>
      <w:bookmarkEnd w:id="446"/>
    </w:p>
    <w:p>
      <w:pPr>
        <w:pStyle w:val="BookText"/>
        <w:rPr/>
      </w:pP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Style w:val="FootnoteAnchor"/>
          <w:rtl w:val="true"/>
        </w:rPr>
        <w:footnoteReference w:id="569"/>
      </w:r>
      <w:r>
        <w:rPr>
          <w:rFonts w:ascii="Amiri" w:hAnsi="Amiri" w:eastAsia="Amiri" w:cs="Amiri"/>
          <w:color w:val="111111"/>
          <w:sz w:val="28"/>
          <w:sz w:val="28"/>
          <w:szCs w:val="28"/>
          <w:rtl w:val="true"/>
          <w:lang w:bidi="ar-SA"/>
        </w:rPr>
        <w:t>فى الأسد إذا لم يُرِدُه كَبْشُ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الاستحباب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المُحرم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الجواز كالمحلل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ويُكفِّر في قتل الزنبور عمداً بكفّ من طعامٍ وشبه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المروي في صحيحة معاوية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فيه مع التعمد شيئاً من الطعام</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العمل، وحينئذٍ فلا يختص بالكفّ ولا يتعدّى إلى شبهه لعدم الدليل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 ثمنها على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الاجتزاء بمطلق الطعام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وأطعم لكلِّ مسكين نصف صاع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الأفضل، والأقوى الاكتفاء بمُةٍ لكلِّ مسكين، وحكمه في عدم الزيادة على الستين وعدم وجوب الإكمال كالمُدَّين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الصَوْمُ عن الستين وإن نَقَصَ 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الاجتزاء بما قابل القيمة وإنْ نَقَصَ عن الستين نعم، لو فضل من التقويم ما لأيبلغ المد أو المدين فالأقوى وجوب يوم في مقابله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وجوب الأكثر لو أمكن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عجز بعد صيام شهر فأقوى الاحتمالات وجوبُ تِسْعَةٍ، ثمّ ما قَدر ثُمّ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قيل بوجوب ثمانية عشر هنا كما تقدّم </w:t>
      </w:r>
      <w:r>
        <w:rPr>
          <w:rStyle w:val="FootnoteAnchor"/>
          <w:rtl w:val="true"/>
        </w:rPr>
        <w:footnoteReference w:id="572"/>
      </w: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وإلا فالوجه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غيرهما فضعيف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فَرْخ النعامة صغير من الإبل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فيه كما في الكبير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الثَعْلَب والأرنب شاةٌ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أنّ فيهما شاة </w:t>
      </w:r>
      <w:r>
        <w:rPr>
          <w:rStyle w:val="FootnoteAnchor"/>
          <w:rtl w:val="true"/>
        </w:rPr>
        <w:footnoteReference w:id="574"/>
      </w:r>
      <w:r>
        <w:rPr>
          <w:rFonts w:ascii="Amiri" w:hAnsi="Amiri" w:eastAsia="Amiri" w:cs="Amiri"/>
          <w:color w:val="111111"/>
          <w:sz w:val="28"/>
          <w:sz w:val="28"/>
          <w:szCs w:val="28"/>
          <w:rtl w:val="true"/>
          <w:lang w:bidi="ar-SA"/>
        </w:rPr>
        <w:t>من غير تعرّض لباقي أبدال الضبي،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العامة</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عَجَزَ من الشاة يطعم عَشَرَةَ مَساكين، فإن لم يجد صام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يصير الحكم إلى أبدال الظَّبي، ولعله مأخذ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يظهر الفرق بين القولين فيما لو نقصت قيمة الشاة عن إطعام عَشَرَةَ مساكين، فعلى الإلحاق يُقتصر على القيمة وعلى الرواية يجب إطعام العشرة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وجوب إطعام كلّ مسكين مُداً أو مدين فمشترك بين 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والأبدال على الترتيب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كونها على التخيير قوة، وموضع الخلاف الثلاثة الأول من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صَوْمِ الثمانية عشر والتسعة والثلاثة فلا خلاف في أنّها مرتبة على العجز عمّا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كَسْر كلّ بَيْضة من القطاة والقبج والدراج من صغار الغَنَم،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مَخاصُ من الغَنَم</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المروي صحيحاً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 القطاة بكارة من الغَنَم</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العمل والقول بالمخاض مستند إلى رواية مقطوعة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وجوب الصغير من الغَنَم فلا مستند له ،بخصوصه، والبكارة مغايرة له؛ لأنّها جمع لبكر أو بَكْرَة، وهو الفَتيُّ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أن الصغير قد يكون فتيّاً وقد لا يكون، كما أنّ الفَتِي قد يكون صغيراً وقد لا يكون، فبينهما عموم من وجه فلا يصح استناده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اخترناه أيضاً من البكارة فائدة أُخرى، وهو أنه سيأتي </w:t>
      </w:r>
      <w:r>
        <w:rPr>
          <w:rStyle w:val="FootnoteAnchor"/>
          <w:rtl w:val="true"/>
        </w:rPr>
        <w:footnoteReference w:id="580"/>
      </w:r>
      <w:r>
        <w:rPr>
          <w:rFonts w:ascii="Amiri" w:hAnsi="Amiri" w:eastAsia="Amiri" w:cs="Amiri"/>
          <w:color w:val="111111"/>
          <w:sz w:val="28"/>
          <w:sz w:val="28"/>
          <w:szCs w:val="28"/>
          <w:rtl w:val="true"/>
          <w:lang w:bidi="ar-SA"/>
        </w:rPr>
        <w:t xml:space="preserve">أنّ في قتل القطاة نفسها حملاً فطيماً، وهويناسب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البيض المخصوص، ولا يعدّ في التسوية بينهما ومثله إيجاب صغير الغَنَم 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أوجبنا فيه مخاضاً، فإنّه يلزم زيادة كفارة البيض عن كفّارة بائضه، وهو بعيد جداً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إلحاق بَيْض القبج والدرّاج، فهو المشهور بين الأصحاب </w:t>
      </w:r>
      <w:r>
        <w:rPr>
          <w:rStyle w:val="FootnoteAnchor"/>
          <w:rtl w:val="true"/>
        </w:rPr>
        <w:footnoteReference w:id="581"/>
      </w:r>
      <w:r>
        <w:rPr>
          <w:rFonts w:ascii="Amiri" w:hAnsi="Amiri" w:eastAsia="Amiri" w:cs="Amiri"/>
          <w:color w:val="111111"/>
          <w:sz w:val="28"/>
          <w:sz w:val="28"/>
          <w:szCs w:val="28"/>
          <w:rtl w:val="true"/>
          <w:lang w:bidi="ar-SA"/>
        </w:rPr>
        <w:t>والأخبار خالية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قيل </w:t>
      </w:r>
      <w:r>
        <w:rPr>
          <w:rStyle w:val="FootnoteAnchor"/>
          <w:rtl w:val="true"/>
        </w:rPr>
        <w:footnoteReference w:id="582"/>
      </w:r>
      <w:r>
        <w:rPr>
          <w:rFonts w:ascii="Amiri" w:hAnsi="Amiri" w:eastAsia="Amiri" w:cs="Amiri"/>
          <w:color w:val="111111"/>
          <w:sz w:val="28"/>
          <w:sz w:val="28"/>
          <w:szCs w:val="28"/>
          <w:rtl w:val="true"/>
          <w:lang w:bidi="ar-SA"/>
        </w:rPr>
        <w:t>بإلحاقه بالحمام؛ لأنه صنف منه، 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فكبَيْض 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يجب عن كلِّ بَيْضةٍ شاة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بإلحاقه ببيض النعام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 وتبعه عليه المصنّف وجماعة </w:t>
      </w:r>
      <w:r>
        <w:rPr>
          <w:rStyle w:val="FootnoteAnchor"/>
          <w:rtl w:val="true"/>
        </w:rPr>
        <w:footnoteReference w:id="585"/>
      </w:r>
      <w:r>
        <w:rPr>
          <w:rFonts w:ascii="Amiri" w:hAnsi="Amiri" w:eastAsia="Amiri" w:cs="Amiri"/>
          <w:color w:val="111111"/>
          <w:sz w:val="28"/>
          <w:sz w:val="28"/>
          <w:szCs w:val="28"/>
          <w:rtl w:val="true"/>
          <w:lang w:bidi="ar-SA"/>
        </w:rPr>
        <w:t xml:space="preserve">، ولا شاهد له وقد اختلف في تنزيله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الذي ذكره فيه لابن إدريس</w:t>
      </w:r>
      <w:r>
        <w:rPr>
          <w:rStyle w:val="FootnoteAnchor"/>
          <w:rtl w:val="true"/>
        </w:rPr>
        <w:footnoteReference w:id="587"/>
      </w:r>
      <w:r>
        <w:rPr>
          <w:rFonts w:ascii="Amiri" w:hAnsi="Amiri" w:eastAsia="Amiri" w:cs="Amiri"/>
          <w:color w:val="111111"/>
          <w:sz w:val="28"/>
          <w:sz w:val="28"/>
          <w:szCs w:val="28"/>
          <w:rtl w:val="true"/>
          <w:lang w:bidi="ar-SA"/>
        </w:rPr>
        <w:t xml:space="preserve">، وزاد أنه إن عَجَزَ عن الشاة أطعم عَشَرَةَ مَساكِينَ، فإن عَجَزَ صام ثلاثة أيامٍ كما في نظائره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نسبه المصنِّف إلى القيل مع أنّ مقتضى إلحاقه ببيض النعام ذلك استبعاد أن ينتقل من العجز عن الإرسال إلى الشاة، مع أنه أضعف حالاً منها حيث إنّه أخفٌ مؤونةً وأقل قيمةً منه، وغايته أن ينتج صغيراً، فإذا لم تجب الشاة صغيراً، فإذا لم تجب الشاة مع القدرة على الإرسال كيف تجب مع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أنّه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أنّه يجب مع العجز عنه إطعام عَشَرَة مَساكِينَ، فإن عَجَزَ صامَ ثلاثة أيَّامٍ</w:t>
      </w:r>
      <w:r>
        <w:rPr>
          <w:rStyle w:val="FootnoteAnchor"/>
          <w:rtl w:val="true"/>
        </w:rPr>
        <w:footnoteReference w:id="588"/>
      </w:r>
      <w:r>
        <w:rPr>
          <w:rFonts w:ascii="Amiri" w:hAnsi="Amiri" w:eastAsia="Amiri" w:cs="Amiri"/>
          <w:color w:val="111111"/>
          <w:sz w:val="28"/>
          <w:sz w:val="28"/>
          <w:szCs w:val="28"/>
          <w:rtl w:val="true"/>
          <w:lang w:bidi="ar-SA"/>
        </w:rPr>
        <w:t>، وهذا حسن على تقدير ثبوتِ أصل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الخمسة تشترك فى أنّ لها بدلاً على الخصوص وأمثالاً من النّعم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بالمثل عندنا ما نصَّ</w:t>
      </w:r>
      <w:r>
        <w:rPr>
          <w:rStyle w:val="FootnoteAnchor"/>
          <w:rtl w:val="true"/>
        </w:rPr>
        <w:footnoteReference w:id="589"/>
      </w:r>
      <w:r>
        <w:rPr>
          <w:rFonts w:ascii="Amiri" w:hAnsi="Amiri" w:eastAsia="Amiri" w:cs="Amiri"/>
          <w:color w:val="111111"/>
          <w:sz w:val="28"/>
          <w:sz w:val="28"/>
          <w:szCs w:val="28"/>
          <w:rtl w:val="true"/>
          <w:lang w:bidi="ar-SA"/>
        </w:rPr>
        <w:t xml:space="preserve">الشارع على كونه مثلاً سواء وافق الصيد في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كالبدنة في النعامة والبقرة في الوحشيّة والشاة في الظَّبي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ككفارة البيض المذكور والشاة في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اقتصر في الممائلة على الثلاثة الأول، وأُريد بها </w:t>
      </w:r>
    </w:p>
    <w:p>
      <w:pPr>
        <w:pStyle w:val="BookText"/>
        <w:rPr/>
      </w:pPr>
      <w:r>
        <w:rPr>
          <w:rFonts w:ascii="Amiri" w:hAnsi="Amiri" w:eastAsia="Amiri" w:cs="Amiri"/>
          <w:color w:val="111111"/>
          <w:sz w:val="28"/>
          <w:sz w:val="28"/>
          <w:szCs w:val="28"/>
          <w:rtl w:val="true"/>
          <w:lang w:bidi="ar-SA"/>
        </w:rPr>
        <w:t>الممائلة الصورية التفاتاً إلى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 إذ لا دليل يدلّ على تسمية غير الثلاثة أمثالاً حتّى يتكلّف لها ما هو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المثل جزاءً من النعم؛ لأنّ المثل مشترك بين المثل صورة وبين المثل معنىً وهو القيمة، وقد أُريد المعنوي في العصفور والحمامة، ولا يراد المثل صورة في غيره، وإلا لزم استعمال المشترك في كلا معنييه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نص</w:t>
      </w:r>
      <w:r>
        <w:rPr>
          <w:rStyle w:val="FootnoteAnchor"/>
          <w:rtl w:val="true"/>
        </w:rPr>
        <w:footnoteReference w:id="591"/>
      </w:r>
      <w:r>
        <w:rPr>
          <w:rFonts w:ascii="Amiri" w:hAnsi="Amiri" w:eastAsia="Amiri" w:cs="Amiri"/>
          <w:color w:val="111111"/>
          <w:sz w:val="28"/>
          <w:sz w:val="28"/>
          <w:szCs w:val="28"/>
          <w:rtl w:val="true"/>
          <w:lang w:bidi="ar-SA"/>
        </w:rPr>
        <w:t xml:space="preserve">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الاشتراك، بل هو حقيقة في المثل صورة في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حمل على المعنوي؛ لتعذر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 واحد من الاشتراك والمجاز فإنّ استفادة المثل إنّما هي من الآية الدالة على وجوب الجزاء بمثل ما قتل من النعم، إذ لا نصّ على نفس المثل في غيرها عندهم والآية ليست دالة على حكم قتل مالامثل له من النَعَم حقيقةً عملاً بظاهر الآية، فإنّ العصفور ونحوه ليس داخلاً في مدلول الآية؛ إذ لا مثل له من النعم، وإنما هو مدلول 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اشتراك بين الصوري والمعنوي ولا بين الحقيقة والمجاز في لفظ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مثل بَيْض النعام ونحوه فخارج من رأس ولا دلالة للآية عليه بوجه؛ إذ لا يتحقق معنى القبل فيه، وإنّما حكمه مستند إلى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واحد من العُصْفُور ، والقُبَّرَةِ والصَعْوَة مُدُّ من طعام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بالعُصْفُور هنا نوعاً خاصاً من العُصْفُور بالمعنى الأعم، ويكون من باب عطف </w:t>
      </w:r>
    </w:p>
    <w:p>
      <w:pPr>
        <w:pStyle w:val="BookText"/>
        <w:rPr/>
      </w:pPr>
      <w:r>
        <w:rPr>
          <w:rFonts w:ascii="Amiri" w:hAnsi="Amiri" w:eastAsia="Amiri" w:cs="Amiri"/>
          <w:color w:val="111111"/>
          <w:sz w:val="28"/>
          <w:sz w:val="28"/>
          <w:szCs w:val="28"/>
          <w:rtl w:val="true"/>
          <w:lang w:bidi="ar-SA"/>
        </w:rPr>
        <w:t>الخاص على العام،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فَكِهَةٌ وَنَخْلٌ وَرُمَّانٌ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593"/>
      </w:r>
      <w:r>
        <w:rPr>
          <w:rFonts w:ascii="Amiri" w:hAnsi="Amiri" w:eastAsia="Amiri" w:cs="Amiri"/>
          <w:color w:val="111111"/>
          <w:sz w:val="28"/>
          <w:sz w:val="28"/>
          <w:szCs w:val="28"/>
          <w:rtl w:val="true"/>
          <w:lang w:bidi="ar-SA"/>
        </w:rPr>
        <w:t>ذكر الثلاثة إلا أنه أخَّر العُصْفُور، فكأنه عطف العام على الخاص، وهو شائع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فجميع أفراد العُصْفُور بالمعنى الأعم حكمه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فَنَقص عُشرُ قيمته احتمل وجوبُ عُشْرِ الشاة لوجوبها في الجميع وهو يقتضي التقسيط وعشر ثمنها، والأقرب إن وجد المُشارك في الذبح فالعَينُ وإلّا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الأرش جزء من الفداء حيث يعتبر ومن القيمة حيث تعتبر، فيجب مما اعتبر منه مطلقاً حيث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المُشارك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يشمل ما لو كان مشاركاً في باقي المجموع وفي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 الأول وإن كانت العبارة شاملة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أزمِن صَيْداً وأبطل امتناعه احتمل كمالُ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كالهالك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الأرش حيث تكون له قيمة وإن قلت أو أمكن حياته، وإلا فالجزاء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في البَطة والاوَزَّة والكُرْكِي شاة</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نسبه إلى قيل؛ لعدم دليل عليه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في صحيحة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الشاة بذبح الطير مطلقاً </w:t>
      </w:r>
      <w:r>
        <w:rPr>
          <w:rStyle w:val="FootnoteAnchor"/>
          <w:rtl w:val="true"/>
        </w:rPr>
        <w:footnoteReference w:id="595"/>
      </w:r>
      <w:r>
        <w:rPr>
          <w:rFonts w:ascii="Amiri" w:hAnsi="Amiri" w:eastAsia="Amiri" w:cs="Amiri"/>
          <w:color w:val="111111"/>
          <w:sz w:val="28"/>
          <w:sz w:val="28"/>
          <w:szCs w:val="28"/>
          <w:rtl w:val="true"/>
          <w:lang w:bidi="ar-SA"/>
        </w:rPr>
        <w:t>، فيشمل المتنازع إلا أنه لا قائل بمدلولها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المذكورات تحكّم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فقد العاجز عن البَدَنَة البُرَّ دون قيمته فأقوى الاحتمالات التعديل عند ثقة، ثُمّ شراء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الانتقال إلى الصَوْم حيث يفقد الطعام مطلقاً ولا يتقيد بالبر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أكله تضاعف الفداء والأقرب أنّه يَفْدي القتيل ويَضْمَن قيمة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التضاعف أقوى، ويتحقق الأكل بمسماه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ضَرَبَ بطَيْر على الأرض فمات فعليه دم وقيمتان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للحرم والأخرى لاستصغاره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و تبعه عليه المصنّف وجماعة </w:t>
      </w:r>
      <w:r>
        <w:rPr>
          <w:rStyle w:val="FootnoteAnchor"/>
          <w:rtl w:val="true"/>
        </w:rPr>
        <w:footnoteReference w:id="597"/>
      </w:r>
      <w:r>
        <w:rPr>
          <w:rFonts w:ascii="IRNazanin" w:hAnsi="IRNazanin" w:eastAsia="IRNazanin"/>
          <w:color w:val="111111"/>
          <w:sz w:val="28"/>
          <w:sz w:val="28"/>
          <w:szCs w:val="28"/>
          <w:rtl w:val="true"/>
          <w:lang w:bidi="fa-IR"/>
        </w:rPr>
        <w:t xml:space="preserve">، ومستنده على هذا الوجه غير معلوم والذي رواه معاوية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عليه ثلاث قيمات قيمة لإحرامه، وقيمة للحرم، وقيمة لاستصغاره إياه</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بمضمونها المحقق في النافع </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على القولين على إطلاقه مشكل؛ لأنّ من الطير ما يوجب الفِدْيَة كالنعامة بدون الضرب، فكيف ينتقل إلى القيمة أو إلى الدم؟ ومنه ما يوجب كفّاً من طعامٍ على تقدير أخذه عاماً بحسب اللغة كالعصفور، فالانتقال منه إلى الدم كذلك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السلامة من مثل ذلك بحَمْلِ الطير على المعروف منه عرفاً وهو الحمامة ومافوقها، ويبقى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مختص بمالو كان في 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يظهر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الحلّ لم يتعدد وإن قصد الاستصغار</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موتُ الطير بالضرب، فلو ضَرَبه، ثُمّ قَتَله بغيره لم يثبت المذكور و إن أعانه </w:t>
      </w:r>
    </w:p>
    <w:p>
      <w:pPr>
        <w:pStyle w:val="BookText"/>
        <w:rPr/>
      </w:pPr>
      <w:r>
        <w:rPr>
          <w:rFonts w:ascii="Amiri" w:hAnsi="Amiri" w:eastAsia="Amiri" w:cs="Amiri"/>
          <w:color w:val="111111"/>
          <w:sz w:val="28"/>
          <w:sz w:val="28"/>
          <w:szCs w:val="28"/>
          <w:rtl w:val="true"/>
          <w:lang w:bidi="ar-SA"/>
        </w:rPr>
        <w:t>الضرب، بل يرجع إلى القواعد المستمرة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تعدي الحكم إلى غيره من الحيوانات وقوفاً فيما خالف الأصل على مورده، وأنّه لافرق بين قصد الاستصغار بالصيد والحرم وعدم القصد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شَرِب لبنَ ظَبْيَةٍ في الحَرَم فعليه دم وقيمةُ اللبن، وينسحب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مورد النص حلب الطبية، ثُمّ شُرْبُ لبنها</w:t>
      </w:r>
      <w:r>
        <w:rPr>
          <w:rStyle w:val="FootnoteAnchor"/>
          <w:rtl w:val="true"/>
        </w:rPr>
        <w:footnoteReference w:id="600"/>
      </w:r>
      <w:r>
        <w:rPr>
          <w:rFonts w:ascii="Amiri" w:hAnsi="Amiri" w:eastAsia="Amiri" w:cs="Amiri"/>
          <w:color w:val="111111"/>
          <w:sz w:val="28"/>
          <w:sz w:val="28"/>
          <w:szCs w:val="28"/>
          <w:rtl w:val="true"/>
          <w:lang w:bidi="ar-SA"/>
        </w:rPr>
        <w:t xml:space="preserve">، وقد فرضه المصنف وغيره </w:t>
      </w:r>
      <w:r>
        <w:rPr>
          <w:rStyle w:val="FootnoteAnchor"/>
          <w:rtl w:val="true"/>
        </w:rPr>
        <w:footnoteReference w:id="601"/>
      </w:r>
      <w:r>
        <w:rPr>
          <w:rFonts w:ascii="Amiri" w:hAnsi="Amiri" w:eastAsia="Amiri" w:cs="Amiri"/>
          <w:color w:val="111111"/>
          <w:sz w:val="28"/>
          <w:sz w:val="28"/>
          <w:szCs w:val="28"/>
          <w:rtl w:val="true"/>
          <w:lang w:bidi="ar-SA"/>
        </w:rPr>
        <w:t>في شُرْب اللبن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خروجه عن القواعد الشرعيّة نظر، وكذا في تعدّيه إلى غيرها فإنّه قياس في الحكم المخالف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بقصره على مورده كان حسناً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جعل فى رأسه ما يَقتُل القُمَّلَ مُحِلّاً فقتله محرماً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يتمكن من إزالته حالة الإحرام، وإلا فالأقوى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كسر قرْنَي الغزال نصفُ قيمته، وفي كلّ واحدٍ الرُبع؛ وفي عينيه القيمة؛ وفي كسر كل يد أو كلِّ رِجل نصفُ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الأرش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عنده مَيْتة فإن تمكّن من الفداء أكل الصَّيْدَ وفَداه، وإلّا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يأكل من الصيد مطلقاً، ثمّ إن تمكّن من الفداء وجب، وإلا انتقل إلى الأبدال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أرشه، وقيل</w:t>
      </w:r>
      <w:r>
        <w:rPr>
          <w:rStyle w:val="FootnoteAnchor"/>
          <w:rtl w:val="true"/>
        </w:rPr>
        <w:footnoteReference w:id="603"/>
      </w:r>
      <w:r>
        <w:rPr>
          <w:rFonts w:ascii="Amiri" w:hAnsi="Amiri" w:eastAsia="Amiri" w:cs="Amiri"/>
          <w:color w:val="111111"/>
          <w:sz w:val="28"/>
          <w:sz w:val="28"/>
          <w:szCs w:val="28"/>
          <w:rtl w:val="true"/>
          <w:lang w:bidi="ar-SA"/>
        </w:rPr>
        <w:t>رُبعَ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وقع الصَيْد في شَبَكة فخلَّصه فعاب أو تَلِف، أو خلَّص صَيْداً من فَمِ هِرَّة أو سَبُعٍ ليُداويه فمات في يده ضمن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الضمان نظر؛ لأنه محسن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نفّر الحمام فعاد فدم شاةٍ، وإن لم يعد فعن كلّ حمامة شاة، ولو عاد البعضُ فعنه شاةٌ، وعن غيره لكلِّ حَمامة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مشهور بين الأصحاب، ولا سند له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علي بن بابويه في رسالته، ولم أجد به حديثاً مسنداً</w:t>
      </w:r>
      <w:r>
        <w:rPr>
          <w:rFonts w:eastAsia="Amiri" w:cs="Amiri" w:ascii="Amiri" w:hAnsi="Amiri"/>
          <w:color w:val="111111"/>
          <w:sz w:val="28"/>
          <w:szCs w:val="28"/>
          <w:rtl w:val="true"/>
          <w:lang w:bidi="ar-SA"/>
        </w:rPr>
        <w:t>»</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إثبات مثل هذه الأحكام بمجرّد الشهرة إشكال بين، ومع ذلك فينافي بإطلاقه القواعد المستقرّة من وجوب الفداء على المُحْرِم في الحِلِّ، والقيمة على المُحِلِّ في الحَرَم، والأمرين على المُحْرِم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والمقارب لذلك أن يحمل الحكم على ما لو نفّرها المُحْرِم في الحِلِّ تنزيلاً للتنفير منزلة الإتلاف حيث لا يعود، ويتفرع عليه الحكمان الآخران بالقيمة والجمع، ولكن يشكل ذلك مع العود فينبغي أن يقال بوجوب الشاة على الجميع؛ عملاً بالإطلاق مع عدم حصول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التعدّي إلى تنفير غير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وقوفاً فيما خالف الأصل على مورده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لاشيء في الواحدة مع الرجوع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قلنا بالسابق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يتساوى حالة العود وعدمه؛ ولأنّ مورد الحكم الحمام </w:t>
      </w:r>
    </w:p>
    <w:p>
      <w:pPr>
        <w:pStyle w:val="BookText"/>
        <w:rPr/>
      </w:pPr>
      <w:r>
        <w:rPr>
          <w:rFonts w:ascii="Amiri" w:hAnsi="Amiri" w:eastAsia="Amiri" w:cs="Amiri"/>
          <w:color w:val="111111"/>
          <w:sz w:val="28"/>
          <w:sz w:val="28"/>
          <w:szCs w:val="28"/>
          <w:rtl w:val="true"/>
          <w:lang w:bidi="ar-SA"/>
        </w:rPr>
        <w:t>وهو جمع إن لم نجعله اسم جنس بحيث يشمل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أمسك المُحِلُّ الأُمَّ فى الحرم فمات الولد في الحِل ففي ضمانه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الضمان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بنفس الإغلاق، ويُحْمَل على جَهْل الحال كالرمي</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القول على إطلاقه ضعيف، وحمله على جهل الحال بعيد؛ لأنّ الأقوال لا تحمل وإنّما تحمل النصوص </w:t>
      </w:r>
      <w:r>
        <w:rPr>
          <w:rStyle w:val="FootnoteAnchor"/>
          <w:rtl w:val="true"/>
        </w:rPr>
        <w:footnoteReference w:id="609"/>
      </w:r>
      <w:r>
        <w:rPr>
          <w:rFonts w:ascii="Amiri" w:hAnsi="Amiri" w:eastAsia="Amiri" w:cs="Amiri"/>
          <w:color w:val="111111"/>
          <w:sz w:val="28"/>
          <w:sz w:val="28"/>
          <w:szCs w:val="28"/>
          <w:rtl w:val="true"/>
          <w:lang w:bidi="ar-SA"/>
        </w:rPr>
        <w:t>للجمع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الصيدُ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أنّه حلّه للتخليص الواجب فقتل بعد تخليصه صيداً، ففي ضمانه حينئذٍ نظر من السببية والإحسان، وقد تقدم </w:t>
      </w:r>
      <w:r>
        <w:rPr>
          <w:rStyle w:val="FootnoteAnchor"/>
          <w:rtl w:val="true"/>
        </w:rPr>
        <w:footnoteReference w:id="610"/>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في ملكه أو مَواتٍ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حفر في ملكه في الحرم فالأقرب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 بين الحرم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متعدّياً ولا قاصداً للصيد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لأنّ السببية متحققة في الجميع، وعدم القصد مشترك، فإن اعتبرت السببية وحدها كما يظهر من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مع الإحسان كما لو هلك بعد التخليص بسببه أو به لزم الضمان في الجميع، وإلا انتفي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وحرمة الحرم لا شبهة فيها لكنّها لا تصلح لتأسيس الحكم والفرق بين السببين بمجردها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يَدْخُلِ الصَيْدُ في مِلكِ المُحْرِم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الإحرام بالنسبة إلى الصيد غير الثاني من موانع الإرث، وحينئذ فينتقل ملكه إلى غيره من الورثة وإن كان أبعد منه في الدرجة وينتقل ما عداه إلى المخرم وإن لم </w:t>
      </w:r>
    </w:p>
    <w:p>
      <w:pPr>
        <w:pStyle w:val="BookText"/>
        <w:rPr/>
      </w:pPr>
      <w:r>
        <w:rPr>
          <w:rFonts w:ascii="Amiri" w:hAnsi="Amiri" w:eastAsia="Amiri" w:cs="Amiri"/>
          <w:color w:val="111111"/>
          <w:sz w:val="28"/>
          <w:sz w:val="28"/>
          <w:szCs w:val="28"/>
          <w:rtl w:val="true"/>
          <w:lang w:bidi="ar-SA"/>
        </w:rPr>
        <w:t>يشاركه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الوارث متعدداً فأحلّ قبل قسمة التركة بينه وبينهم، ففي مشاركته لهم فيه ،نظر من أنّ ذلك قاعدة مانع الإرث إذا زال ،قبلها، ومن أنّه حكم مخالف للأصل فيقتصر فيه على مورده من الإسلام والعتق وقطع في التذكرة </w:t>
      </w:r>
      <w:r>
        <w:rPr>
          <w:rStyle w:val="FootnoteAnchor"/>
          <w:rtl w:val="true"/>
        </w:rPr>
        <w:footnoteReference w:id="611"/>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أحلّ دخل الموروث في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إنّما يتمّ مع تعدّد الوارث وكان إحلاله قبل القسمة أو مع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بكونه للإمام قبل نقله إلى بيت المال على أحد القولين، وإلّا أشكل الحكم بدخوله مطلقاً، وحملها على دخول ما يتجدّد بعد ذلك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دخوله في ملكه، هل يحكم به من حين الإحلال أو يكون كاشفاً عنه من حين الموت؟ وجهان كما لوزال مانع الإرث بالإسلام والعتق قبل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تبعية النماء للأصل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تعذر فإشكال أقربه الإرسال والضمان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القُرب أنّ فيه جمعاً بين حق الله تعالى بالإرسال وحق الآدمي بالضمان ويشكل بأنّ التضمين حق عليه فيستلزم تقديم حق الله تعالى، خصوصاً إذا لم يحصل فيه تفريط في دفعه إلى من يسوغ دفعه إليه قبل الإحرام ولا إشكال في الضمان لو فرّط في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ردّه إلى المالك بعد الإحرام لا يسقط عنه الجزاء إلّا أن يرسله المالك، وإنما يفيد سقوط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أصابه ودخل الحرم ومات فيه ضَمِنه على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الضمان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باليد الجانية وبغيرها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الإجزاء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تحريم صَيْد حَمام الحَرَم فى الحِلِّ على المُحِلّ نظر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التحريم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بَدَنَةٌ فلا يَتضاعف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بلوغ نفس البَدَنة أو قيمتها والقول بعدم التضاعف حينئذ هو المشهور بين الأصحاب والرواية </w:t>
      </w:r>
      <w:r>
        <w:rPr>
          <w:rStyle w:val="FootnoteAnchor"/>
          <w:rtl w:val="true"/>
        </w:rPr>
        <w:footnoteReference w:id="612"/>
      </w:r>
      <w:r>
        <w:rPr>
          <w:rFonts w:ascii="Amiri" w:hAnsi="Amiri" w:eastAsia="Amiri" w:cs="Amiri"/>
          <w:color w:val="111111"/>
          <w:sz w:val="28"/>
          <w:sz w:val="28"/>
          <w:szCs w:val="28"/>
          <w:rtl w:val="true"/>
          <w:lang w:bidi="ar-SA"/>
        </w:rPr>
        <w:t xml:space="preserve">به مرسلة، ومن ثمّ منع ابن إدريس وأوجب التضاعف مطلقاً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الدالة على التضاعف </w:t>
      </w:r>
      <w:r>
        <w:rPr>
          <w:rStyle w:val="FootnoteAnchor"/>
          <w:rtl w:val="true"/>
        </w:rPr>
        <w:footnoteReference w:id="614"/>
      </w:r>
      <w:r>
        <w:rPr>
          <w:rFonts w:ascii="Amiri" w:hAnsi="Amiri" w:eastAsia="Amiri" w:cs="Amiri"/>
          <w:color w:val="111111"/>
          <w:sz w:val="28"/>
          <w:sz w:val="28"/>
          <w:szCs w:val="28"/>
          <w:rtl w:val="true"/>
          <w:lang w:bidi="ar-SA"/>
        </w:rPr>
        <w:t>مطلقة حتى يوجد مقيّد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وفِداءُ المَملوكِ لِصاحِبه وإن زاد على القيمة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بالفداء ما يلزم المُحْرِم بسبب الجناية على الصّيدِ من مال أو صَوم أو إرسال وهو شامل أيضاً لما زاد عن قيمة المملوك ونقص، ولما إذا كانت الجناية غير موجبة لضمان الأموال كالدلالة على الصَيْدِ مع المباشر، ولمّا كان للمالك فيه نفع وغيره كالإرسال إذا لم يبح، والصوم، ولما يجتمع فيه الجزء، أو القيمة، كما لو وقع من المُحْرِم في الحرم، ومقتضاه أنّه لا يجب الفداء لله تعالى سوى ما يجب للمالك، وهو بإطلاقه منافٍ للقواعد المستقرة المقتضية لضمان الأموال بالمثل أو القيمة 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تقتضي الحال في هذه المسألة ضمان ما هو أزيد من المطلوب، قد تقتضي ضمان ما هو أن أقلّ، لكنّ المصنف قد قطع بضمان النقص واستشكل ضمان الزائد، وارتكاب هذه الأمور المخالفة للأصل المتَّفق عليه ليس عليه دليل صالح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ما اختاره المصنف فى التذكرة </w:t>
      </w:r>
      <w:r>
        <w:rPr>
          <w:rStyle w:val="FootnoteAnchor"/>
          <w:rtl w:val="true"/>
        </w:rPr>
        <w:footnoteReference w:id="615"/>
      </w:r>
      <w:r>
        <w:rPr>
          <w:rFonts w:ascii="Amiri" w:hAnsi="Amiri" w:eastAsia="Amiri" w:cs="Amiri"/>
          <w:color w:val="111111"/>
          <w:sz w:val="28"/>
          <w:sz w:val="28"/>
          <w:szCs w:val="28"/>
          <w:rtl w:val="true"/>
          <w:lang w:bidi="ar-SA"/>
        </w:rPr>
        <w:t>، والتحرير</w:t>
      </w:r>
      <w:r>
        <w:rPr>
          <w:rStyle w:val="FootnoteAnchor"/>
          <w:rtl w:val="true"/>
        </w:rPr>
        <w:footnoteReference w:id="616"/>
      </w:r>
      <w:r>
        <w:rPr>
          <w:rFonts w:ascii="Amiri" w:hAnsi="Amiri" w:eastAsia="Amiri" w:cs="Amiri"/>
          <w:color w:val="111111"/>
          <w:sz w:val="28"/>
          <w:sz w:val="28"/>
          <w:szCs w:val="28"/>
          <w:rtl w:val="true"/>
          <w:lang w:bidi="ar-SA"/>
        </w:rPr>
        <w:t xml:space="preserve">، وفيما سبق من أن فداء المملوك لله تعالى، وعليه القيمة للمالك؛ لأنّه قد اجتمع في الصَيْدِ المذكور حقان لله تعالى باعتبار الإحرام أو الحَرَمِ، وللآدمي باعتبار الملك، والأصل عدم التداخل، فحينئذٍ ينزَّل الجاني منزلة الغاصب في كلّ موضع يلزمه الضمان كميّةً وكيفيّةً، </w:t>
      </w:r>
      <w:bookmarkStart w:id="447" w:name="pg10189_116153"/>
    </w:p>
    <w:p>
      <w:pPr>
        <w:pStyle w:val="BookText"/>
        <w:rPr/>
      </w:pPr>
      <w:bookmarkEnd w:id="447"/>
      <w:r>
        <w:rPr>
          <w:rFonts w:ascii="Amiri" w:hAnsi="Amiri" w:eastAsia="Amiri" w:cs="Amiri"/>
          <w:color w:val="111111"/>
          <w:sz w:val="28"/>
          <w:sz w:val="28"/>
          <w:szCs w:val="28"/>
          <w:rtl w:val="true"/>
          <w:lang w:bidi="ar-SA"/>
        </w:rPr>
        <w:t xml:space="preserve">ويجب عليه ما نص الشارع عليه </w:t>
      </w:r>
      <w:r>
        <w:rPr>
          <w:rStyle w:val="FootnoteAnchor"/>
          <w:rtl w:val="true"/>
        </w:rPr>
        <w:footnoteReference w:id="617"/>
      </w:r>
      <w:r>
        <w:rPr>
          <w:rFonts w:ascii="Amiri" w:hAnsi="Amiri" w:eastAsia="Amiri" w:cs="Amiri"/>
          <w:color w:val="111111"/>
          <w:sz w:val="28"/>
          <w:sz w:val="28"/>
          <w:szCs w:val="28"/>
          <w:rtl w:val="true"/>
          <w:lang w:bidi="ar-SA"/>
        </w:rPr>
        <w:t>هنا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دالاً ونحوه ضمن الفداء لله تعالى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ويتضاعف ما لا دم فيه كالعُصْفُور بتضعيف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العصفور لا يجب فيه القيمة فلا يتضاعف؛ لأنَّ له مقداراً فتجب مع فديته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تمثيله بما لا نصَّ فيه؛ لأنّ موجبه القيمة فيتضاعف</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2156654_1067777946"/>
      <w:bookmarkStart w:id="449" w:name="_Toc168"/>
      <w:bookmarkEnd w:id="448"/>
      <w:r>
        <w:rPr>
          <w:rtl w:val="true"/>
        </w:rPr>
        <w:t>[</w:t>
      </w:r>
      <w:r>
        <w:rPr>
          <w:rtl w:val="true"/>
        </w:rPr>
        <w:t>المطلب الثاني في الاستمتاع بالنساء</w:t>
      </w:r>
      <w:r>
        <w:rPr>
          <w:rtl w:val="true"/>
        </w:rPr>
        <w:t>]</w:t>
      </w:r>
      <w:bookmarkEnd w:id="449"/>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استمنى بيده من غير جماع فالأقرب البدنة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بالاستمناء استدعاء المنيّ بالعَبَث أو بيده أو بملاعبة زوجته أو غيرها، وقيده المصنّف بكونه بيده والخبر </w:t>
      </w:r>
      <w:r>
        <w:rPr>
          <w:rStyle w:val="FootnoteAnchor"/>
          <w:rtl w:val="true"/>
        </w:rPr>
        <w:footnoteReference w:id="618"/>
      </w:r>
      <w:r>
        <w:rPr>
          <w:rFonts w:ascii="Amiri" w:hAnsi="Amiri" w:eastAsia="Amiri" w:cs="Amiri"/>
          <w:color w:val="111111"/>
          <w:sz w:val="28"/>
          <w:sz w:val="28"/>
          <w:szCs w:val="28"/>
          <w:rtl w:val="true"/>
          <w:lang w:bidi="ar-SA"/>
        </w:rPr>
        <w:t>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الاستمتاع بغير الجماع تجرّد الاستمتاع عن قصد الاستمناء بخلافه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واقتصر المصنف على إيجاب البَدَنَة به من دون إفساد الأصل، وضعف متمسك القائل بالإفساد، فإنّه رواية إسحاق بن عمّار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19"/>
      </w:r>
      <w:r>
        <w:rPr>
          <w:rFonts w:ascii="Amiri" w:hAnsi="Amiri" w:eastAsia="Amiri" w:cs="Amiri"/>
          <w:color w:val="111111"/>
          <w:sz w:val="28"/>
          <w:sz w:val="28"/>
          <w:szCs w:val="28"/>
          <w:rtl w:val="true"/>
          <w:lang w:bidi="ar-SA"/>
        </w:rPr>
        <w:t>وهي من الموثق، والمصنّف لا ينكر العمل به غالباً، ولعلّ ما قربه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أكرهها لم يفسد حجها، وعليه بدنةٌ أُخرى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الوجوب أقوى؛ اقتصاراً بالتحمّل على موضع النص، وهو ما لو كان محرماً؛ ولأنه مباح حينئذٍ بالنسبة إليه فلا تتعقبه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طاوعته حرم عليها معاً لإعانته حينئذٍ على المُحَرَّم بخلاف الإكراه وعلى التقديرين لا تحمل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الغلام مُحْرِماً وطاوع، ففي إلحاق الأحكام به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عدم النص وأصالة العدم، ومن كونه أفحش من النصوص فيتناوله مفهوم الموافقة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الكفّارة لا تدخل بذلك؛ لأنّها تتخلّف في الذنب العظيم كثيراً كتكرار الصَيْد متعمّداً وغيره والأصل فيه أنّها مسقطة للذنب أو مخفّفة غالباً، فلا يلزم من ثبوت ذلك في الأضعف ثبوته في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الإفساد فيثبت بمفهوم الموافقة؛ لأنّه عقوبة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حينئذٍ أن تلزمه الكفّارة؛ لأنّه لا يتخلَّف عنها أصلاً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المتمتّع بها على إشكال قبل السعي عامداً عالماً بالتحريم بطلت عمرته ووجب إكمالها وقضاؤها وبَدَنَةٌ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في فَساد الحجّ بعدها من حيث انفكاكه عنها، ومن دخوله فيها وكونهما كالنسك الواحد والأقوى سَريان الفساد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نَظَر إلى غير أهله فأمنى، فَبَدَنةٌ إن كان مُوسِراً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تقييد هذه المسائل كلّها بعدم قصد الإمناء وعدم اعتياده عند ذلك الفعل، وإلّا كان بمنزلة المستمني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العاقدُ مُحِلّاً على رأي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ومستنده رواية سماعة في الموثق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وحكم المصنّف </w:t>
      </w:r>
      <w:r>
        <w:rPr>
          <w:rStyle w:val="FootnoteAnchor"/>
          <w:rtl w:val="true"/>
        </w:rPr>
        <w:footnoteReference w:id="621"/>
      </w:r>
      <w:r>
        <w:rPr>
          <w:rFonts w:ascii="Amiri" w:hAnsi="Amiri" w:eastAsia="Amiri" w:cs="Amiri"/>
          <w:color w:val="111111"/>
          <w:sz w:val="28"/>
          <w:sz w:val="28"/>
          <w:szCs w:val="28"/>
          <w:rtl w:val="true"/>
          <w:lang w:bidi="ar-SA"/>
        </w:rPr>
        <w:t>بمضمونها اختيار للعمل به، وقد تقدَّم في مسألة الاستمناء عدمه</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يتّفق للمصنف اختلاف الرأي فيه، ولعلّ الموجب له النظر إلى قوة الشهرة الجابرة وضعفها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الوجوب على المُحِلّ وإن 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الرواية على الاستحباب</w:t>
      </w:r>
      <w:r>
        <w:rPr>
          <w:rFonts w:eastAsia="Amiri" w:cs="Amiri" w:ascii="Amiri" w:hAnsi="Amiri"/>
          <w:color w:val="111111"/>
          <w:sz w:val="28"/>
          <w:szCs w:val="28"/>
          <w:rtl w:val="true"/>
          <w:lang w:bidi="ar-SA"/>
        </w:rPr>
        <w:t xml:space="preserve">. </w:t>
      </w:r>
      <w:bookmarkStart w:id="450" w:name="pg10189_116155"/>
    </w:p>
    <w:p>
      <w:pPr>
        <w:pStyle w:val="Heading6"/>
        <w:numPr>
          <w:ilvl w:val="5"/>
          <w:numId w:val="1"/>
        </w:numPr>
        <w:rPr/>
      </w:pPr>
      <w:bookmarkStart w:id="451" w:name="__RefHeading___Toc2156656_1067777946"/>
      <w:bookmarkStart w:id="452" w:name="_Toc169"/>
      <w:bookmarkEnd w:id="450"/>
      <w:bookmarkEnd w:id="451"/>
      <w:r>
        <w:rPr>
          <w:rtl w:val="true"/>
        </w:rPr>
        <w:t>[</w:t>
      </w:r>
      <w:r>
        <w:rPr>
          <w:rtl w:val="true"/>
        </w:rPr>
        <w:t>المطلب الثالث في باقي المحظورات</w:t>
      </w:r>
      <w:r>
        <w:rPr>
          <w:rtl w:val="true"/>
        </w:rPr>
        <w:t>]</w:t>
      </w:r>
      <w:bookmarkEnd w:id="452"/>
    </w:p>
    <w:p>
      <w:pPr>
        <w:pStyle w:val="BookText"/>
        <w:rPr/>
      </w:pP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وبالفواكه كالأترج والتفاح، وبالرياحين كالورد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تحريمُهما على المُحرم وإلحاقهما بالطيب، ويستثنى من الرياحين الخُزَامَى، والإذخر، والشيح والقيصوم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اليد الزائدة أو الناقصة إضبع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 الناقصة كغيرها ، والمشهور أن الزائدة كالأصلية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قلع الشجرةِ الكبيرة في الحَرَمِ بقرة وإن كان مُحِلّاً، وفي الصغيرة شاة، وفى أبعاضها 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المشهور، والمستند </w:t>
      </w:r>
      <w:r>
        <w:rPr>
          <w:rStyle w:val="FootnoteAnchor"/>
          <w:rtl w:val="true"/>
        </w:rPr>
        <w:footnoteReference w:id="623"/>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تقديره فيستثنى منه شجر الفواكه، وما أخذ من الحِل وأنبت في الحرم واليابس؛ ومن الأبعاض عود المحالة، والغصن اليابس، وما بحكمه من المنكسر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قلع الضرس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المشهور، ومستنده</w:t>
      </w:r>
      <w:r>
        <w:rPr>
          <w:rStyle w:val="FootnoteAnchor"/>
          <w:rtl w:val="true"/>
        </w:rPr>
        <w:footnoteReference w:id="624"/>
      </w:r>
      <w:r>
        <w:rPr>
          <w:rFonts w:ascii="Amiri" w:hAnsi="Amiri" w:eastAsia="Amiri" w:cs="Amiri"/>
          <w:color w:val="111111"/>
          <w:sz w:val="28"/>
          <w:sz w:val="28"/>
          <w:szCs w:val="28"/>
          <w:rtl w:val="true"/>
          <w:lang w:bidi="ar-SA"/>
        </w:rPr>
        <w:t>ضعيف، ولا بد من تقييده بعدم الضرورة، وإلا فلاشيء ولا يُلحق السن به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والتحريم في المخيط متعلّق باللبس، فلو توشّح به فلا كفارة على إشكال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الأجود تحريمه والكفّارة كاللُبْسِ</w:t>
      </w:r>
      <w:r>
        <w:rPr>
          <w:rFonts w:eastAsia="Amiri" w:cs="Amiri" w:ascii="Amiri" w:hAnsi="Amiri"/>
          <w:color w:val="111111"/>
          <w:sz w:val="28"/>
          <w:szCs w:val="28"/>
          <w:rtl w:val="true"/>
          <w:lang w:bidi="ar-SA"/>
        </w:rPr>
        <w:t xml:space="preserve">. </w:t>
      </w:r>
      <w:bookmarkStart w:id="453" w:name="pg10189_116156"/>
    </w:p>
    <w:p>
      <w:pPr>
        <w:pStyle w:val="Heading3"/>
        <w:numPr>
          <w:ilvl w:val="2"/>
          <w:numId w:val="1"/>
        </w:numPr>
        <w:rPr/>
      </w:pPr>
      <w:bookmarkStart w:id="454" w:name="__RefHeading___Toc2156658_1067777946"/>
      <w:bookmarkStart w:id="455" w:name="_Toc170"/>
      <w:bookmarkEnd w:id="453"/>
      <w:bookmarkEnd w:id="454"/>
      <w:r>
        <w:rPr>
          <w:rtl w:val="true"/>
        </w:rPr>
        <w:t>كتاب الجهاد</w:t>
      </w:r>
      <w:bookmarkEnd w:id="455"/>
    </w:p>
    <w:p>
      <w:pPr>
        <w:pStyle w:val="Heading4"/>
        <w:numPr>
          <w:ilvl w:val="3"/>
          <w:numId w:val="1"/>
        </w:numPr>
        <w:rPr/>
      </w:pPr>
      <w:bookmarkStart w:id="456" w:name="__RefHeading___Toc2156660_1067777946"/>
      <w:bookmarkStart w:id="457" w:name="_Toc171"/>
      <w:bookmarkEnd w:id="456"/>
      <w:r>
        <w:rPr>
          <w:rtl w:val="true"/>
        </w:rPr>
        <w:t>[</w:t>
      </w:r>
      <w:r>
        <w:rPr>
          <w:rtl w:val="true"/>
        </w:rPr>
        <w:t xml:space="preserve">المقصد الأول في من يجب عليه </w:t>
      </w:r>
      <w:r>
        <w:rPr>
          <w:rtl w:val="true"/>
        </w:rPr>
        <w:t>]</w:t>
      </w:r>
      <w:bookmarkEnd w:id="457"/>
    </w:p>
    <w:p>
      <w:pPr>
        <w:pStyle w:val="BookText"/>
        <w:rPr/>
      </w:pPr>
      <w:r>
        <w:rPr>
          <w:rFonts w:ascii="Amiri" w:hAnsi="Amiri" w:eastAsia="Amiri" w:cs="Amiri"/>
          <w:color w:val="111111"/>
          <w:sz w:val="28"/>
          <w:sz w:val="28"/>
          <w:szCs w:val="28"/>
          <w:rtl w:val="true"/>
          <w:lang w:bidi="ar-SA"/>
        </w:rPr>
        <w:t>المقصد الأوّل في من يجب عليه</w:t>
      </w:r>
    </w:p>
    <w:p>
      <w:pPr>
        <w:pStyle w:val="BookText"/>
        <w:rPr/>
      </w:pPr>
      <w:r>
        <w:rPr>
          <w:rFonts w:ascii="Amiri" w:hAnsi="Amiri" w:eastAsia="Amiri" w:cs="Amiri"/>
          <w:color w:val="111111"/>
          <w:sz w:val="28"/>
          <w:sz w:val="28"/>
          <w:szCs w:val="28"/>
          <w:rtl w:val="true"/>
          <w:lang w:bidi="ar-SA"/>
        </w:rPr>
        <w:t>المقصد الثاني في من يجب قتاله</w:t>
      </w:r>
    </w:p>
    <w:p>
      <w:pPr>
        <w:pStyle w:val="BookText"/>
        <w:rPr/>
      </w:pPr>
      <w:r>
        <w:rPr>
          <w:rFonts w:ascii="Amiri" w:hAnsi="Amiri" w:eastAsia="Amiri" w:cs="Amiri"/>
          <w:color w:val="111111"/>
          <w:sz w:val="28"/>
          <w:sz w:val="28"/>
          <w:szCs w:val="28"/>
          <w:rtl w:val="true"/>
          <w:lang w:bidi="ar-SA"/>
        </w:rPr>
        <w:t>المقصد الثالث في كيفية القتال</w:t>
      </w:r>
    </w:p>
    <w:p>
      <w:pPr>
        <w:pStyle w:val="BookText"/>
        <w:rPr/>
      </w:pPr>
      <w:r>
        <w:rPr>
          <w:rFonts w:ascii="Amiri" w:hAnsi="Amiri" w:eastAsia="Amiri" w:cs="Amiri"/>
          <w:color w:val="111111"/>
          <w:sz w:val="28"/>
          <w:sz w:val="28"/>
          <w:szCs w:val="28"/>
          <w:rtl w:val="true"/>
          <w:lang w:bidi="ar-SA"/>
        </w:rPr>
        <w:t>المقصد الرابع في ترك القتال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الخامس في الأمر بالمعروف والنهي عن المنكر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واجب في كلِّ سَنَةٍ مرَّة، إلا 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استثناء الضرورة متناول للزيادة على المرّة، كما إذا اقتضت المصلحة ذلك، أو خيف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اقتصر على المرّة القوّة، أو الهجوم على المسلمين والنقصان، كما إذا كان بالمسلمين ضعف عن القيام به مطلقاً وعلى تقدير انتفاء الأمرين فالأولى تقييد الوجوب بما يراه الإمام صلاحاً سواء زاد في العام عن المرّة أم لا؛ لضعف الدليل الدالّ على الاقتصار عليها، فإنّ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أَنسَلَخَ الأَشْهُرُ الحُرُمُ فَاقْتُلُوا الْمُشْرِكِينَ </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الموجب لقتالهم كلّما انسلخت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وأقله مرةً كما احتج به في التذكرة </w:t>
      </w:r>
      <w:r>
        <w:rPr>
          <w:rStyle w:val="FootnoteAnchor"/>
          <w:rtl w:val="true"/>
        </w:rPr>
        <w:footnoteReference w:id="626"/>
      </w:r>
      <w:r>
        <w:rPr>
          <w:rFonts w:ascii="Amiri" w:hAnsi="Amiri" w:eastAsia="Amiri" w:cs="Amiri"/>
          <w:color w:val="111111"/>
          <w:sz w:val="28"/>
          <w:sz w:val="28"/>
          <w:szCs w:val="28"/>
          <w:rtl w:val="true"/>
          <w:lang w:bidi="ar-SA"/>
        </w:rPr>
        <w:t>لا يقتضيها خاصةً سواء جعلنا الأمر للمرة أم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المُوسِر قبل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حلّ الأجل قبل عوده عادةً أم لا، وسواء كان له ببلده ما يوفّى به الدين أم لا،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الجَدَّين نظر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أنهما كالأبوين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يَتَعيَّنُ بتعيين الإمام أو النائب لمصلحة، أو لعجز القائمين عن الدفع بدونه؛ أو بالنذر و شبهه؛ أو بالخَوْفِ على نفسه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فرض الكفاية لا يجب عيناً على جميع المكلّفين به، بل هو كلّي بالنسبة إلى الأشخاص، ويسقط بقيام مَنْ فيه الكفاية، وقد يصير بمنزلة العيني على بعض الأشخاص بسبب خارجي، نبه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الإمام بعضهم بخصوصه فَيَتَعَيَّنُ، سواء ظهر لتعيينه مصلحة أم لا، وإن كان حال الإمام يقتضي أن لا يعيّن إلا لمصلحة، وفي حكمه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القائمين عن القيام به، فيجب على كل من علم ذلك مساعدتهم وإن لم يأمره الإمام؛ لأنّ ذلك مقتضى فرض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يلزمه بالنذر وشبهه حيث ينعقد النذر وإن لم يأمره الإمام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فالعبارة قاصرة عن بيان هذه الأقسام ظاهراً ونظمها غير جيّد؛ لأنّ الظاهر كون عجز القائمين 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حيّز تعيين الإمام، ويصير بياناً لوجه جه تعيين الإمام بأحد الأمرين إما المصلحة، أو عجز القائمين، مع أنّ تعيينه حينئذٍ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فعجز القائمين من جملة المصلحة، فعطفه عليها عطف للخاص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بعجز القائمين بالباء بدل اللام ليصير معطوفاً على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ومغايراً له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معطوف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تجدّد العذر الذي هو العمى والزَمَن والمرضُ 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الشروع في القتال لم يسقط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سقط</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احترز بوصف العذر بما ذكر عن العذر الخارجي كرجوع الأبوين في الإذن، والمدين حيث يتوقف على إذنه ونحو ذلك، فإنّه لا يسقط الوجوب بغير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w:t>
      </w:r>
    </w:p>
    <w:p>
      <w:pPr>
        <w:pStyle w:val="BookText"/>
        <w:rPr/>
      </w:pPr>
      <w:r>
        <w:rPr>
          <w:rFonts w:ascii="Amiri" w:hAnsi="Amiri" w:eastAsia="Amiri" w:cs="Amiri"/>
          <w:color w:val="111111"/>
          <w:sz w:val="28"/>
          <w:sz w:val="28"/>
          <w:szCs w:val="28"/>
          <w:rtl w:val="true"/>
          <w:lang w:bidi="ar-SA"/>
        </w:rPr>
        <w:t>بالعذر في الأوّل ما تحصل معه مشقة لاتحتمل عادةً، بحيث لو كانت ابتداءً لم يجب الشروع فيه وإن بقيت القدرة عليه في الجملة؛ ليصح استدراك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محرَّماً </w:t>
      </w:r>
      <w:r>
        <w:rPr>
          <w:rStyle w:val="FootnoteAnchor"/>
          <w:rtl w:val="true"/>
        </w:rPr>
        <w:footnoteReference w:id="628"/>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تُقَتِلُوهُمْ عِندَ الْمَسْجِدِ الْحَرَامِ </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 بهذه الآية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لأنّ النسخ على خلاف الأصل، ومُنبته يحتاج إلى دليل، وما ذكره لا يدل عليه، بل هو من باب تعارض العام والخاص، وحكمه أن يخصص العام بذلك الفرد، ويجري حكمه في غيره،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ولا تكرم زيداً، فإنه يكون كالمستثنى؛ لأنه يكون ناسخاً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ورود الحكمين في آية واحدة </w:t>
      </w:r>
      <w:r>
        <w:rPr>
          <w:rStyle w:val="FootnoteAnchor"/>
          <w:rtl w:val="true"/>
        </w:rPr>
        <w:footnoteReference w:id="630"/>
      </w:r>
      <w:r>
        <w:rPr>
          <w:rFonts w:ascii="Amiri" w:hAnsi="Amiri" w:eastAsia="Amiri" w:cs="Amiri"/>
          <w:color w:val="111111"/>
          <w:sz w:val="28"/>
          <w:sz w:val="28"/>
          <w:szCs w:val="28"/>
          <w:rtl w:val="true"/>
          <w:lang w:bidi="ar-SA"/>
        </w:rPr>
        <w:t>، فإنّ صدرها يَضْمَنُ قتل المشركين حيث وجدوا وعَجُرُها</w:t>
      </w:r>
      <w:r>
        <w:rPr>
          <w:rStyle w:val="FootnoteAnchor"/>
          <w:rtl w:val="true"/>
        </w:rPr>
        <w:footnoteReference w:id="631"/>
      </w:r>
      <w:r>
        <w:rPr>
          <w:rFonts w:ascii="Amiri" w:hAnsi="Amiri" w:eastAsia="Amiri" w:cs="Amiri"/>
          <w:color w:val="111111"/>
          <w:sz w:val="28"/>
          <w:sz w:val="28"/>
          <w:szCs w:val="28"/>
          <w:rtl w:val="true"/>
          <w:lang w:bidi="ar-SA"/>
        </w:rPr>
        <w:t>يَضْمَنُ النهي عن قتلهم عند المسجد الحرام حيث لا يقاتلون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العجب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الآية ناسخ لعَجُزها</w:t>
      </w:r>
      <w:r>
        <w:rPr>
          <w:rStyle w:val="FootnoteAnchor"/>
          <w:rtl w:val="true"/>
        </w:rPr>
        <w:footnoteReference w:id="632"/>
      </w:r>
      <w:r>
        <w:rPr>
          <w:rFonts w:ascii="Amiri" w:hAnsi="Amiri" w:eastAsia="Amiri" w:cs="Amiri"/>
          <w:color w:val="111111"/>
          <w:sz w:val="28"/>
          <w:sz w:val="28"/>
          <w:szCs w:val="28"/>
          <w:rtl w:val="true"/>
          <w:lang w:bidi="ar-SA"/>
        </w:rPr>
        <w:t>، فإنّ الناسخ شرطه أن يكون متأخراً عن المنسوخ، والأمر هنا بخلاف ذلك، إلا أن يدعي نزول الآية الواحدة فى وقتين وأنّ أوّلها نزل بعد آخرها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Style w:val="FootnoteAnchor"/>
          <w:rtl w:val="true"/>
        </w:rPr>
        <w:footnoteReference w:id="633"/>
      </w:r>
      <w:r>
        <w:rPr>
          <w:rFonts w:ascii="Amiri" w:hAnsi="Amiri" w:eastAsia="Amiri" w:cs="Amiri"/>
          <w:color w:val="111111"/>
          <w:sz w:val="28"/>
          <w:sz w:val="28"/>
          <w:szCs w:val="28"/>
          <w:rtl w:val="true"/>
          <w:lang w:bidi="ar-SA"/>
        </w:rPr>
        <w:t xml:space="preserve">حكم بتحريم القتال في الحرم، وأنكر النسخ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ونسبه إلى بعض </w:t>
      </w:r>
      <w:r>
        <w:rPr>
          <w:rStyle w:val="FootnoteAnchor"/>
          <w:rtl w:val="true"/>
        </w:rPr>
        <w:footnoteReference w:id="634"/>
      </w:r>
      <w:r>
        <w:rPr>
          <w:rFonts w:ascii="Amiri" w:hAnsi="Amiri" w:eastAsia="Amiri" w:cs="Amiri"/>
          <w:color w:val="111111"/>
          <w:sz w:val="28"/>
          <w:sz w:val="28"/>
          <w:szCs w:val="28"/>
          <w:rtl w:val="true"/>
          <w:lang w:bidi="ar-SA"/>
        </w:rPr>
        <w:t xml:space="preserve">العامة، ونسب إلى أصحابنا بقاء الحكم وثبوته فيمن يرى له حرمة، وكذا القول فى الأشهر الحُرُم بتقريب الدليل من الجانبين، وهذا أجود، ويؤيده أيضاً 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مكة فلم تحلّ لأحد قبل ولا تحلّ لأحد بعدي، وإنّما أُحِلَّت لي ساعةً من نهار</w:t>
      </w:r>
      <w:r>
        <w:rPr>
          <w:rFonts w:eastAsia="Amiri" w:cs="Amiri" w:ascii="Amiri" w:hAnsi="Amiri"/>
          <w:color w:val="111111"/>
          <w:sz w:val="28"/>
          <w:szCs w:val="28"/>
          <w:rtl w:val="true"/>
          <w:lang w:bidi="ar-SA"/>
        </w:rPr>
        <w:t>... »</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لامرئ يُؤْمِنُ بالله واليَومِ الآخِرِ، أن يَسْفِك بها دماً، فإنْ أَحَدٌ تَرَخَّصَ لِقِتالِ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أذن لرسوله ولَم يَأذَنْ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أذِنَ لي ساعةً من نهارٍ وَقَد عَادَتْ حُرمَتُها اليَومَ كَحُرمَتِها بِالأمْسِ وَلْيُبَلِّغ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458" w:name="pg10189_116162"/>
    </w:p>
    <w:p>
      <w:pPr>
        <w:pStyle w:val="Heading4"/>
        <w:numPr>
          <w:ilvl w:val="3"/>
          <w:numId w:val="1"/>
        </w:numPr>
        <w:rPr/>
      </w:pPr>
      <w:bookmarkStart w:id="459" w:name="__RefHeading___Toc2156662_1067777946"/>
      <w:bookmarkStart w:id="460" w:name="_Toc172"/>
      <w:bookmarkEnd w:id="458"/>
      <w:bookmarkEnd w:id="459"/>
      <w:r>
        <w:rPr>
          <w:rtl w:val="true"/>
        </w:rPr>
        <w:t>[</w:t>
      </w:r>
      <w:r>
        <w:rPr>
          <w:rtl w:val="true"/>
        </w:rPr>
        <w:t xml:space="preserve">المقصد الثاني في من يجب قتاله </w:t>
      </w:r>
      <w:r>
        <w:rPr>
          <w:rtl w:val="true"/>
        </w:rPr>
        <w:t>]</w:t>
      </w:r>
      <w:bookmarkEnd w:id="460"/>
    </w:p>
    <w:p>
      <w:pPr>
        <w:pStyle w:val="BookText"/>
        <w:rPr/>
      </w:pPr>
      <w:r>
        <w:rPr>
          <w:rFonts w:eastAsia="Amiri" w:cs="Amiri" w:ascii="Amiri" w:hAnsi="Amiri"/>
          <w:color w:val="111111"/>
          <w:sz w:val="28"/>
          <w:szCs w:val="28"/>
          <w:lang w:bidi="ar-SA"/>
        </w:rPr>
        <w:t>480/1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 ثلاثة الحربي وهو غيرُ اليهود والنصارى والمجوس من سائر أصناف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التقسيم أنّ أهل الكتاب لا يطلق عليهم اسم الحربي، وإن لم يلتزموا بشرائط الذِمَّة، بل وإن قاتلوا المسلمين، وإن كانوا حينئذٍ أهل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أطلق اسم الحربي على من يجوز قتاله من الكفّار وإن كانوا أهل كتاب، وهو أوفق باسم أهل الحرب، أي أنهم أهل أن يحارَبوا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إصابتها باسم نكاح، وكذا الصبيان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يدعي نكاحهم بمعنى العقد أو الوطء وإن لم يكن صحيحاً، وبهذا يفرق بينه وبين الزنى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يخالف لونه لون غيره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ثياب المسلمين ومنه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 التمييز عن المسلم؛ ليجتنب، أولئلا يكرم أو ليهان</w:t>
      </w:r>
      <w:r>
        <w:rPr>
          <w:rFonts w:eastAsia="Amiri" w:cs="Amiri" w:ascii="Amiri" w:hAnsi="Amiri"/>
          <w:color w:val="111111"/>
          <w:sz w:val="28"/>
          <w:szCs w:val="28"/>
          <w:rtl w:val="true"/>
          <w:lang w:bidi="ar-SA"/>
        </w:rPr>
        <w:t xml:space="preserve">. </w:t>
      </w:r>
      <w:bookmarkStart w:id="461" w:name="pg10189_116163"/>
    </w:p>
    <w:p>
      <w:pPr>
        <w:pStyle w:val="Heading4"/>
        <w:numPr>
          <w:ilvl w:val="3"/>
          <w:numId w:val="1"/>
        </w:numPr>
        <w:rPr/>
      </w:pPr>
      <w:bookmarkStart w:id="462" w:name="__RefHeading___Toc2156664_1067777946"/>
      <w:bookmarkStart w:id="463" w:name="_Toc173"/>
      <w:bookmarkEnd w:id="461"/>
      <w:bookmarkEnd w:id="462"/>
      <w:r>
        <w:rPr>
          <w:rtl w:val="true"/>
        </w:rPr>
        <w:t>[</w:t>
      </w:r>
      <w:r>
        <w:rPr>
          <w:rtl w:val="true"/>
        </w:rPr>
        <w:t xml:space="preserve">المقصد الثالث في كَيفيّة </w:t>
      </w:r>
      <w:r>
        <w:rPr>
          <w:rtl w:val="true"/>
        </w:rPr>
        <w:t>]</w:t>
      </w:r>
      <w:bookmarkEnd w:id="463"/>
    </w:p>
    <w:p>
      <w:pPr>
        <w:pStyle w:val="Heading5"/>
        <w:numPr>
          <w:ilvl w:val="4"/>
          <w:numId w:val="1"/>
        </w:numPr>
        <w:rPr/>
      </w:pPr>
      <w:bookmarkStart w:id="464" w:name="__RefHeading___Toc2156666_1067777946"/>
      <w:bookmarkStart w:id="465" w:name="_Toc174"/>
      <w:bookmarkEnd w:id="464"/>
      <w:r>
        <w:rPr>
          <w:rtl w:val="true"/>
        </w:rPr>
        <w:t>[</w:t>
      </w:r>
      <w:r>
        <w:rPr>
          <w:rtl w:val="true"/>
        </w:rPr>
        <w:t>الفصل الأول في القتال</w:t>
      </w:r>
      <w:r>
        <w:rPr>
          <w:rtl w:val="true"/>
        </w:rPr>
        <w:t>]</w:t>
      </w:r>
      <w:bookmarkEnd w:id="465"/>
    </w:p>
    <w:p>
      <w:pPr>
        <w:pStyle w:val="BookText"/>
        <w:rPr/>
      </w:pPr>
      <w:r>
        <w:rPr>
          <w:rFonts w:eastAsia="Amiri" w:cs="Amiri" w:ascii="Amiri" w:hAnsi="Amiri"/>
          <w:color w:val="111111"/>
          <w:sz w:val="28"/>
          <w:szCs w:val="28"/>
          <w:lang w:bidi="ar-SA"/>
        </w:rPr>
        <w:t>487/11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استئجار المسلم للجهاد من الإمام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لا يكون الجهاد واجباً على الأجير بأن لا يعينه الإمام ولا يحتاج إليه في فرض الكفاية وإلا لم يصح كغيره من الواجبات وكذا يشترط في المستأجر غير الإمام أن لا يتعيَّن عليه الجهاد وإلا لم يَجُز له استئجار غيره بحيث ينوب عنه، أما بدونها فيصح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شخصاً لدفن الميت وغسله فلا أُجرة له وإن كان للميت تركة أو في بيت المال اتساع</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لم يعين مع 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أراد هنا بالأُجرة الارتزاق من بيت المال لكنّ ذكر تركة الميت ينافيه</w:t>
      </w:r>
      <w:r>
        <w:rPr>
          <w:rFonts w:eastAsia="Amiri" w:cs="Amiri" w:ascii="Amiri" w:hAnsi="Amiri"/>
          <w:color w:val="111111"/>
          <w:sz w:val="28"/>
          <w:szCs w:val="28"/>
          <w:rtl w:val="true"/>
          <w:lang w:bidi="ar-SA"/>
        </w:rPr>
        <w:t xml:space="preserve">. </w:t>
      </w:r>
      <w:bookmarkStart w:id="466" w:name="pg10189_116164"/>
    </w:p>
    <w:p>
      <w:pPr>
        <w:pStyle w:val="Heading5"/>
        <w:numPr>
          <w:ilvl w:val="4"/>
          <w:numId w:val="1"/>
        </w:numPr>
        <w:rPr/>
      </w:pPr>
      <w:bookmarkStart w:id="467" w:name="__RefHeading___Toc2156668_1067777946"/>
      <w:bookmarkStart w:id="468" w:name="_Toc175"/>
      <w:bookmarkEnd w:id="466"/>
      <w:bookmarkEnd w:id="467"/>
      <w:r>
        <w:rPr>
          <w:rtl w:val="true"/>
        </w:rPr>
        <w:t xml:space="preserve">[ </w:t>
      </w:r>
      <w:r>
        <w:rPr>
          <w:rtl w:val="true"/>
        </w:rPr>
        <w:t xml:space="preserve">الفصل الثاني في الاسترقاق </w:t>
      </w:r>
      <w:r>
        <w:rPr>
          <w:rtl w:val="true"/>
        </w:rPr>
        <w:t>]</w:t>
      </w:r>
      <w:bookmarkEnd w:id="468"/>
    </w:p>
    <w:p>
      <w:pPr>
        <w:pStyle w:val="BookText"/>
        <w:rPr/>
      </w:pPr>
      <w:r>
        <w:rPr>
          <w:rFonts w:eastAsia="Amiri" w:cs="Amiri" w:ascii="Amiri" w:hAnsi="Amiri"/>
          <w:color w:val="111111"/>
          <w:sz w:val="28"/>
          <w:szCs w:val="28"/>
          <w:lang w:bidi="ar-SA"/>
        </w:rPr>
        <w:t>489/1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ويُقضى الدين من ماله المغنوم إن سبق الاغتنام الرقُ على إشكال وقدّم حق الدين على الغنيمة وإن زال ملكه بالرقّ كما يُقضى دين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استُرقَ بعد الاغتنام تُبع بالدين بعد العتق وقدّم حقُ الغنيمة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اختلفت عبارة الكتاب في المسألة لفظاً وحكماً، وبسببه حصل اختلاف الشارحين </w:t>
      </w:r>
      <w:r>
        <w:rPr>
          <w:rStyle w:val="FootnoteAnchor"/>
          <w:rtl w:val="true"/>
        </w:rPr>
        <w:footnoteReference w:id="637"/>
      </w:r>
      <w:r>
        <w:rPr>
          <w:rFonts w:ascii="Amiri" w:hAnsi="Amiri" w:eastAsia="Amiri" w:cs="Amiri"/>
          <w:color w:val="111111"/>
          <w:sz w:val="28"/>
          <w:sz w:val="28"/>
          <w:szCs w:val="28"/>
          <w:rtl w:val="true"/>
          <w:lang w:bidi="ar-SA"/>
        </w:rPr>
        <w:t>في تقريرها وتصويبها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استقر عليه أمره وهو الموجود في النسخ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سبق الاغتنام الرق على أن يكون 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مقدماً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وجه الحكم؛ لأنه مع سبق الرقّ على اغتنام المال تنزل الاسترقاق منزلة الموت، فينتقل حق الدين إلى التَرِكَة وهي باقية على ملكه حين ،الاغتنام كبقاء التَرِكَة على ملك الميت حينه، فسبق تعلّق حق الديّان على حق الغانمين المتعقب للاسترقاق، 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ويقدّم حق الدين على الغنيمة وإن زال ملكه بالرق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استرق بعد 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قسيم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سبق الاغتنام الرق تصريح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فاعلاً وأنه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شرح عليه السيد عميد الدين من النسخ في الأوّل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الفاعل وهو السابق، وأن قسيمه بعد ذلك، ولو استرق قبل الاغتنام بيع بالدين</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الاغتنام يوجب جعل الفاعل في السابق وهو الاغتنام ليكون السابق في قسيمه الاسترقاق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الحكم على هذه النسخ غير جيّد؛ لأنّ اغتنام المال </w:t>
      </w:r>
    </w:p>
    <w:p>
      <w:pPr>
        <w:pStyle w:val="BookText"/>
        <w:rPr/>
      </w:pPr>
      <w:r>
        <w:rPr>
          <w:rFonts w:ascii="IRNazanin" w:hAnsi="IRNazanin" w:eastAsia="IRNazanin"/>
          <w:color w:val="111111"/>
          <w:sz w:val="28"/>
          <w:sz w:val="28"/>
          <w:szCs w:val="28"/>
          <w:rtl w:val="true"/>
          <w:lang w:bidi="fa-IR"/>
        </w:rPr>
        <w:t>إذا سبق الاسترقاق زال ملك الحربي عنه قبل أن يُسْتَرقَ ويسقط حق الدين عنه، كما لو نقله المديون عن ملكه حينئذٍ باختياره فلا يتوجّه تقدیم حق الدين في هذه الصورة دون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يمكن القول بتساويهما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فالمختار ما تضمنته النُسَخ المشهورة من الحكم والفرق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سُبيت امرأة وولدها الصغيرُ، كُره التفريق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لأقوى تحريم التفرقة قبل الحولين مطلقاً، وقبل سبع سنين إن كان الولد أُنثى، كالبيع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عجز الأسيرُ عن المشي لم يجب قتله؛ للجهل بحكم الإمام فيه فإِنْ قَتَلَهَ مُسلِمٌ فَهَدَر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بالأسير هاهنا المأخوذ والحرب قائمة لا بعد انقضائها؛ لأنّ القتل عن الثاني 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يشعر بذلك، للعلم بأنّ الإمام لا يحكم بقتل هذا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فإنّه لا يعلم ما حكم الإمام فيه بالنسبة إلى نوع القتل الذي يقتله به وأيضاً فقتله إلى الإمام فلا يجوز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 العبارة نفي الجواز لانفي الوجوب؛ لما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نفي الوجوب على أصله؛ لاحتمال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قتله؛ لأنّه متعيّن عليه، فلا يجوز للمسلم أن يتركه وينصرف؛ لما فيه من الإخلال بالواجب وتقوية الكفّار؛ ولأنه يؤدّي إلى جعل ذلك وسيلة إلى التخلّص بالحيلة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والأقوى عدم جواز قتله، لما بيناه؛ ولقول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أخَذْتَ أسيراً فَعَجَزَ عن المشي، ولم يكن معك مَحْمِلُ، فأرسله ولا تقتله، فإنّك لا تدري ما حكم الإمام فيه </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والنهي للتحريم، والأمر يستلزم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لأصالتها السالمة عن معارضة يقين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الدليل نظر بيّن؛ للاتفاق على نَجاسته قبل السبي بمقتضى التبعية؛ فيُستصحب النجاسة ويحكم حينئذٍ بأصالتها بهذا المعنى لسلامتها عن تعيين الطهارة إلى أن يثبت الناقل؛ ولأنه متولّد عن النجسين ومتفرع عنهما، وانفراده عنهما ليس من المطهرات المعدودة، ويؤيده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وإنّما أبواه يُهوِّدانه أو يُنَصِّرانه أو يُمَجِّسانه</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فإنّه يقتضي الحكم عليه بذلك بعد الولادة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يندفع الاستدلال به على الطهارة، بل على الإسلام من حيث الحكم بالكفر ماداما معه، فإذا انقطع عنهما 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حكم به وهما معه استصحب إلى أن يثبت المزيل مع أنّ الخبر متروك الظاهر؛ لاستلزامه أن لا يكون أحد مرتدّاً عن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حمله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على أنّ المراد أنّ كلّ مولود يولد ليكون على الفطرة </w:t>
      </w:r>
      <w:r>
        <w:rPr>
          <w:rStyle w:val="FootnoteAnchor"/>
          <w:rtl w:val="true"/>
        </w:rPr>
        <w:footnoteReference w:id="641"/>
      </w:r>
      <w:r>
        <w:rPr>
          <w:rFonts w:ascii="Amiri" w:hAnsi="Amiri" w:eastAsia="Amiri" w:cs="Amiri"/>
          <w:color w:val="111111"/>
          <w:sz w:val="28"/>
          <w:sz w:val="28"/>
          <w:szCs w:val="28"/>
          <w:rtl w:val="true"/>
          <w:lang w:bidi="ar-SA"/>
        </w:rPr>
        <w:t>إلا أن يكون أبواه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فالدلالة منتفية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ادّعى استعجاله بالدواء ففي القبول إشكال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القبول قوَّة؛ لقيام الشبهة الدارئة للقتل، وأصالة بقاء الصغر مع الاحتمال</w:t>
      </w:r>
      <w:r>
        <w:rPr>
          <w:rFonts w:eastAsia="Amiri" w:cs="Amiri" w:ascii="Amiri" w:hAnsi="Amiri"/>
          <w:color w:val="111111"/>
          <w:sz w:val="28"/>
          <w:szCs w:val="28"/>
          <w:rtl w:val="true"/>
          <w:lang w:bidi="ar-SA"/>
        </w:rPr>
        <w:t xml:space="preserve">. </w:t>
      </w:r>
      <w:bookmarkStart w:id="469" w:name="pg10189_116167"/>
    </w:p>
    <w:p>
      <w:pPr>
        <w:pStyle w:val="Heading5"/>
        <w:numPr>
          <w:ilvl w:val="4"/>
          <w:numId w:val="1"/>
        </w:numPr>
        <w:rPr/>
      </w:pPr>
      <w:bookmarkStart w:id="470" w:name="__RefHeading___Toc2156670_1067777946"/>
      <w:bookmarkStart w:id="471" w:name="_Toc176"/>
      <w:bookmarkEnd w:id="469"/>
      <w:bookmarkEnd w:id="470"/>
      <w:r>
        <w:rPr>
          <w:rtl w:val="true"/>
        </w:rPr>
        <w:t xml:space="preserve">[ </w:t>
      </w:r>
      <w:r>
        <w:rPr>
          <w:rtl w:val="true"/>
        </w:rPr>
        <w:t xml:space="preserve">الفصل الثالث في الاغتنام </w:t>
      </w:r>
      <w:r>
        <w:rPr>
          <w:rtl w:val="true"/>
        </w:rPr>
        <w:t>]</w:t>
      </w:r>
      <w:bookmarkEnd w:id="471"/>
    </w:p>
    <w:p>
      <w:pPr>
        <w:pStyle w:val="BookText"/>
        <w:rPr/>
      </w:pP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أحيا أرضاً مَيِّتة لم يسبقه غيره إليها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أنّ الأرض المَيِّتَة المسبوق موتها بملك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قد انتقلت إلى ذلك المالك بشراء ونحوه لا تخرج عن ملكه بالموت، ولا يجوز لأحدٍ إحياؤها بغير إذنه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ملكه لها بالإحياء زال ملكه عنها بموتها، وصار المحيي لها بعد ذلك أحق بها منه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495,494/1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يملك حصته من الغنيمة بمجرَّد الاغتنام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تملك الغنيمة بالاستيلاء أو القسمة؟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في الموضعين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الأولى الاقتصار على أحدهما وتحرير الخلاف والأظهر أنّها تملك بالاغتنام، وأنه لا يصح الإعراض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البَدْأَةُ بالمشروط كالجَعائل والسَلَب</w:t>
      </w:r>
      <w:r>
        <w:rPr>
          <w:rStyle w:val="FootnoteAnchor"/>
          <w:rtl w:val="true"/>
        </w:rPr>
        <w:footnoteReference w:id="643"/>
      </w:r>
      <w:r>
        <w:rPr>
          <w:rFonts w:ascii="Amiri" w:hAnsi="Amiri" w:eastAsia="Amiri" w:cs="Amiri"/>
          <w:color w:val="111111"/>
          <w:sz w:val="28"/>
          <w:sz w:val="28"/>
          <w:szCs w:val="28"/>
          <w:rtl w:val="true"/>
          <w:lang w:bidi="ar-SA"/>
        </w:rPr>
        <w:t>والرَضْخ</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الخُمس</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تقديم الخمس على الرضخ دون السلب والجعائل؛ لأنّ الرضخ نوع من قسمة الغنيمة؛ غايته أنه ناقص عن السهام </w:t>
      </w:r>
      <w:r>
        <w:rPr>
          <w:rStyle w:val="FootnoteAnchor"/>
          <w:rtl w:val="true"/>
        </w:rPr>
        <w:footnoteReference w:id="645"/>
      </w:r>
      <w:r>
        <w:rPr>
          <w:rFonts w:ascii="Amiri" w:hAnsi="Amiri" w:eastAsia="Amiri" w:cs="Amiri"/>
          <w:color w:val="111111"/>
          <w:sz w:val="28"/>
          <w:sz w:val="28"/>
          <w:szCs w:val="28"/>
          <w:rtl w:val="true"/>
          <w:lang w:bidi="ar-SA"/>
        </w:rPr>
        <w:t xml:space="preserve">، وهو غير مانع كما لا يمنع نقصان سهم </w:t>
      </w:r>
    </w:p>
    <w:p>
      <w:pPr>
        <w:pStyle w:val="BookText"/>
        <w:rPr/>
      </w:pPr>
      <w:r>
        <w:rPr>
          <w:rFonts w:ascii="Amiri" w:hAnsi="Amiri" w:eastAsia="Amiri" w:cs="Amiri"/>
          <w:color w:val="111111"/>
          <w:sz w:val="28"/>
          <w:sz w:val="28"/>
          <w:szCs w:val="28"/>
          <w:rtl w:val="true"/>
          <w:lang w:bidi="ar-SA"/>
        </w:rPr>
        <w:t>الراجل عن سهم الفارس؛ ولإطلاق اسم الغنيمة على الجميع بخلاف الآخرين فإنّهما يستحقان بجعل الإمام لهما مع الفعل، فيقدمان على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الإسهام للحطم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الإسهام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والاعتبار بكونه فارساً عند الحيازة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اختلفت نسخ الكتاب هنا، وبسببها حصل الاختلاف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الحيازة إلى القسمة،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القسمة وفي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القسمة، وفي رابعة عدم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والتفريع ينافي ذلك كله، ويدلّ على أن الاعتبار بكونه فارساً عند القسمة</w:t>
      </w:r>
    </w:p>
    <w:p>
      <w:pPr>
        <w:pStyle w:val="BookText"/>
        <w:rPr/>
      </w:pPr>
      <w:r>
        <w:rPr>
          <w:rFonts w:ascii="Amiri" w:hAnsi="Amiri" w:eastAsia="Amiri" w:cs="Amiri"/>
          <w:color w:val="111111"/>
          <w:sz w:val="28"/>
          <w:sz w:val="28"/>
          <w:szCs w:val="28"/>
          <w:rtl w:val="true"/>
          <w:lang w:bidi="ar-SA"/>
        </w:rPr>
        <w:t>خاصةً،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النسخة التي فيها إلى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في تطبيق الكلام، ومعناه، أي وقت وجدت واستمرت إلى القسمة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بل الظاهر من معناها حينئذٍ أنّ المعتبر كونه فارساً عند الحيازة مستمراً إلى القسمة، فلو اختل بينهما ولو لحظة لم يعتبر فرسه وإنما كان ظاهرها ذلك؛ لأنّه اعتبرها عند الحيازة وجعل غايتها القسمة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فيقضي أن لا يكون غيرها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لا يتمُّ التفريع الذي ذكره بعده في المسألتين؛ لتخلف أوّل الشرط في الأوّل وغايته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احتساب الأجرة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أنّها تحتسب ويجمع له بين الأمرين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ذا أفراس فالوجه التقسيط فيأخذ المالك حِصَّتَه مع 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كان 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فيأخذ المالك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w:t>
      </w:r>
    </w:p>
    <w:p>
      <w:pPr>
        <w:pStyle w:val="BookText"/>
        <w:rPr/>
      </w:pPr>
      <w:r>
        <w:rPr>
          <w:rFonts w:ascii="Amiri" w:hAnsi="Amiri" w:eastAsia="Amiri" w:cs="Amiri"/>
          <w:color w:val="111111"/>
          <w:sz w:val="28"/>
          <w:sz w:val="28"/>
          <w:szCs w:val="28"/>
          <w:rtl w:val="true"/>
          <w:lang w:bidi="ar-SA"/>
        </w:rPr>
        <w:t>التقسيط مبني على احتساب الأجرة من السهم ، وهو ضعيف فالتقسيط كذلك، بل إن كان المالك حاضراً فالسهم له مطلقاً و إلا فلا شيء للغاصب باعتباره،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تعدّدت أفراس المالك خاصةً أو أفراسهما معاً فإشكال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قلنا بعدم احتساب الأجرة فلا إشكال؛ بل يستحق المالك سهمه بسبب الأفراس التي من جملتها المغصوب وينزل بالنسبة إلى الغاصب منزلة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 الغانم على الإمام مع تفرّق الغانمين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عسر جمعهم لكثرتهم وإلّا نقضت القسمة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بالرجوع على الإمام أخذها من بيت المال لا من خاصته، لكن لمّا كان أمره بيده أطلق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يده عليه وليس جُنَّة كالمِنْطَقَةِ والخاتم والنفقة التي معه ففي كونها سلباً أو غنيمة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كونها سَلَباً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يكون القاتل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الاكتفاء بكونه مستحقاً نصيباً من الغنيمة مِنْ سَهْم أو رَضْخٍ</w:t>
      </w:r>
      <w:r>
        <w:rPr>
          <w:rStyle w:val="FootnoteAnchor"/>
          <w:rtl w:val="true"/>
        </w:rPr>
        <w:footnoteReference w:id="647"/>
      </w:r>
      <w:r>
        <w:rPr>
          <w:rFonts w:ascii="Amiri" w:hAnsi="Amiri" w:eastAsia="Amiri" w:cs="Amiri"/>
          <w:color w:val="111111"/>
          <w:sz w:val="28"/>
          <w:sz w:val="28"/>
          <w:szCs w:val="28"/>
          <w:rtl w:val="true"/>
          <w:lang w:bidi="ar-SA"/>
        </w:rPr>
        <w:t xml:space="preserve">، وهو اختياره في التذكرة </w:t>
      </w:r>
      <w:r>
        <w:rPr>
          <w:rStyle w:val="FootnoteAnchor"/>
          <w:rtl w:val="true"/>
        </w:rPr>
        <w:footnoteReference w:id="648"/>
      </w:r>
      <w:r>
        <w:rPr>
          <w:rFonts w:ascii="Amiri" w:hAnsi="Amiri" w:eastAsia="Amiri" w:cs="Amiri"/>
          <w:color w:val="111111"/>
          <w:sz w:val="28"/>
          <w:sz w:val="28"/>
          <w:szCs w:val="28"/>
          <w:rtl w:val="true"/>
          <w:lang w:bidi="ar-SA"/>
        </w:rPr>
        <w:t xml:space="preserve">، وفي التحرير </w:t>
      </w:r>
      <w:r>
        <w:rPr>
          <w:rStyle w:val="FootnoteAnchor"/>
          <w:rtl w:val="true"/>
        </w:rPr>
        <w:footnoteReference w:id="649"/>
      </w:r>
      <w:r>
        <w:rPr>
          <w:rFonts w:ascii="Amiri" w:hAnsi="Amiri" w:eastAsia="Amiri" w:cs="Amiri"/>
          <w:color w:val="111111"/>
          <w:sz w:val="28"/>
          <w:sz w:val="28"/>
          <w:szCs w:val="28"/>
          <w:rtl w:val="true"/>
          <w:lang w:bidi="ar-SA"/>
        </w:rPr>
        <w:t>جزم باستحقاق الكافر السلب ولم يفصل، والتفصيل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فسخ الصلح وردّوا إلى مأمنهم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مراعاة مصلحة المسلمين، فإن اقتضت إبقاء الصلح أعطى المجعول له قيمة ماجعل له، وإلا فسخ الصلح، وهو اختياره في المختلف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472" w:name="pg10189_116170"/>
    </w:p>
    <w:p>
      <w:pPr>
        <w:pStyle w:val="Heading4"/>
        <w:numPr>
          <w:ilvl w:val="3"/>
          <w:numId w:val="1"/>
        </w:numPr>
        <w:rPr/>
      </w:pPr>
      <w:bookmarkStart w:id="473" w:name="__RefHeading___Toc2156672_1067777946"/>
      <w:bookmarkStart w:id="474" w:name="_Toc177"/>
      <w:bookmarkEnd w:id="472"/>
      <w:bookmarkEnd w:id="473"/>
      <w:r>
        <w:rPr>
          <w:rtl w:val="true"/>
        </w:rPr>
        <w:t>[</w:t>
      </w:r>
      <w:r>
        <w:rPr>
          <w:rtl w:val="true"/>
        </w:rPr>
        <w:t xml:space="preserve">المقصد الرابع في ترك القتال </w:t>
      </w:r>
      <w:r>
        <w:rPr>
          <w:rtl w:val="true"/>
        </w:rPr>
        <w:t>]</w:t>
      </w:r>
      <w:bookmarkEnd w:id="474"/>
    </w:p>
    <w:p>
      <w:pPr>
        <w:pStyle w:val="Heading5"/>
        <w:numPr>
          <w:ilvl w:val="4"/>
          <w:numId w:val="1"/>
        </w:numPr>
        <w:rPr/>
      </w:pPr>
      <w:bookmarkStart w:id="475" w:name="__RefHeading___Toc2156674_1067777946"/>
      <w:bookmarkStart w:id="476" w:name="_Toc178"/>
      <w:bookmarkEnd w:id="475"/>
      <w:r>
        <w:rPr>
          <w:rtl w:val="true"/>
        </w:rPr>
        <w:t>[</w:t>
      </w:r>
      <w:r>
        <w:rPr>
          <w:rtl w:val="true"/>
        </w:rPr>
        <w:t>الفصل الأول في الأمان</w:t>
      </w:r>
      <w:r>
        <w:rPr>
          <w:rtl w:val="true"/>
        </w:rPr>
        <w:t>]</w:t>
      </w:r>
      <w:bookmarkEnd w:id="476"/>
    </w:p>
    <w:p>
      <w:pPr>
        <w:pStyle w:val="BookText"/>
        <w:rPr/>
      </w:pPr>
      <w:r>
        <w:rPr>
          <w:rFonts w:eastAsia="Amiri" w:cs="Amiri" w:ascii="Amiri" w:hAnsi="Amiri"/>
          <w:color w:val="111111"/>
          <w:sz w:val="28"/>
          <w:szCs w:val="28"/>
          <w:lang w:bidi="ar-SA"/>
        </w:rPr>
        <w:t>505/1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أسلم الحربي لم يكن لزوجته الكافرة مُطالَبَتُه بالمَهْر الذي في ذِمَّته ولا لوارثها</w:t>
      </w:r>
      <w:r>
        <w:rPr>
          <w:rFonts w:eastAsia="Amiri" w:cs="Amiri" w:ascii="Amiri" w:hAnsi="Amiri"/>
          <w:color w:val="111111"/>
          <w:sz w:val="28"/>
          <w:szCs w:val="28"/>
          <w:rtl w:val="true"/>
          <w:lang w:bidi="ar-SA"/>
        </w:rPr>
        <w:t>...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لم تكن لها المطالبة بالمهر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إسلامه قبلها ولا لوارثها؛ لأنّها من أهل الحرب ولا أمان لها على المهر، فيجوز للزوج منعها منه، كما يجوز له أخذ مالها الذي في يدها؛ ولهذا كان لوارثها المسلم مُطالبته به على تقدير موتها قبل إسلامه؛ لانتقاله إليه قبل الحكم له بجواز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أسلمت قبله؛ لاستقرار المهر في ذِمَّته قبل إسلامه ومصادفته عنده مالكاً محترماً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وشمل قوله ولا لوارثها المسلم والكافر واشتراكهما في الحكم واضح بما قرّرناه؛ لأنّ إسلام الزوج قبلها أوجب جواز استيلائه على ما أمكنه من مالها الذي من جملته المهر، وكونه في ذمته بمنزلة المقبوض في ملكه كغيره من أموال أهل الحرب، وحينئذٍ فلا يزيله ما يتجدد من إسلامها ولا موتها مع كون وارثها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يظهر ضعف ما حكم به المصنِّفُ في التذكرة </w:t>
      </w:r>
      <w:r>
        <w:rPr>
          <w:rStyle w:val="FootnoteAnchor"/>
          <w:rtl w:val="true"/>
        </w:rPr>
        <w:footnoteReference w:id="6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والتحرير</w:t>
      </w:r>
      <w:r>
        <w:rPr>
          <w:rStyle w:val="FootnoteAnchor"/>
          <w:rtl w:val="true"/>
        </w:rPr>
        <w:footnoteReference w:id="652"/>
      </w:r>
      <w:r>
        <w:rPr>
          <w:rFonts w:ascii="Amiri" w:hAnsi="Amiri" w:eastAsia="Amiri" w:cs="Amiri"/>
          <w:color w:val="111111"/>
          <w:sz w:val="28"/>
          <w:sz w:val="28"/>
          <w:szCs w:val="28"/>
          <w:rtl w:val="true"/>
          <w:lang w:bidi="ar-SA"/>
        </w:rPr>
        <w:t>من أنّ وارثها إذا كان مسلماً يجوز له مطالبته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في أصل الحكم إنّه قد تقدّم أنّ إسلام الحربي لا يسقط عن ذمته الأمانات الثابتة لحربي آخر ، وإنّما يسقط ما في ذِمَّته من غير الأمانة كالغصب والإتلاف؛ نظراً إلى وجوب ردّ الأمانة إلى أهلها مطلقاً، فيمكن أن يجعل المهر من هذا القبيل؛ لأنّه كثمن المبيع الثابت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ذلك في الإرشاد </w:t>
      </w:r>
      <w:r>
        <w:rPr>
          <w:rStyle w:val="FootnoteAnchor"/>
          <w:rtl w:val="true"/>
        </w:rPr>
        <w:footnoteReference w:id="653"/>
      </w:r>
      <w:r>
        <w:rPr>
          <w:rFonts w:ascii="Amiri" w:hAnsi="Amiri" w:eastAsia="Amiri" w:cs="Amiri"/>
          <w:color w:val="111111"/>
          <w:sz w:val="28"/>
          <w:sz w:val="28"/>
          <w:szCs w:val="28"/>
          <w:rtl w:val="true"/>
          <w:lang w:bidi="ar-SA"/>
        </w:rPr>
        <w:t>حيث أطلق في باب النكاح أنّ إسلام الحربي يوجب لزوجته الحربية عليه نصف المَهْر إن كان قبل الدخول وجميعه إن كان بَعْدَه ؛ لأنّ ظاهر الحكم باستحقاقها جواز مطالبتها به على بعض الوجوه، اللهمّ إلّا أن ينازع تناول الأمانة لما في الذمة أو لغير المعاوَضَةِ المَحْضَة كالمَهْر، أو يمنع أصل الحكم فيدّعي استباحة مال الحربي مطلقاً ما لم يسبقه الأمان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في ذلك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 أحدهم بطل حكم الباقين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تقدير إطلاق الإذن أو شرط الاجتماع، أما لو جعله لمتعدّد مجتمعين ومتفرقين لم يبطل حكم الباقين بموت أحدهم، ولا عروض ما يمنع الحكم كالأوصياء المتعدّدين</w:t>
      </w:r>
      <w:r>
        <w:rPr>
          <w:rFonts w:eastAsia="Amiri" w:cs="Amiri" w:ascii="Amiri" w:hAnsi="Amiri"/>
          <w:color w:val="111111"/>
          <w:sz w:val="28"/>
          <w:szCs w:val="28"/>
          <w:rtl w:val="true"/>
          <w:lang w:bidi="ar-SA"/>
        </w:rPr>
        <w:t xml:space="preserve">. </w:t>
      </w:r>
      <w:bookmarkStart w:id="477" w:name="pg10189_116172"/>
    </w:p>
    <w:p>
      <w:pPr>
        <w:pStyle w:val="Heading5"/>
        <w:numPr>
          <w:ilvl w:val="4"/>
          <w:numId w:val="1"/>
        </w:numPr>
        <w:rPr/>
      </w:pPr>
      <w:bookmarkStart w:id="478" w:name="__RefHeading___Toc2156676_1067777946"/>
      <w:bookmarkStart w:id="479" w:name="_Toc179"/>
      <w:bookmarkEnd w:id="477"/>
      <w:bookmarkEnd w:id="478"/>
      <w:r>
        <w:rPr>
          <w:rtl w:val="true"/>
        </w:rPr>
        <w:t>[</w:t>
      </w:r>
      <w:r>
        <w:rPr>
          <w:rtl w:val="true"/>
        </w:rPr>
        <w:t xml:space="preserve">الفصل الثاني في عقد الجزية </w:t>
      </w:r>
      <w:r>
        <w:rPr>
          <w:rtl w:val="true"/>
        </w:rPr>
        <w:t>]</w:t>
      </w:r>
      <w:bookmarkEnd w:id="479"/>
    </w:p>
    <w:p>
      <w:pPr>
        <w:pStyle w:val="BookText"/>
        <w:rPr/>
      </w:pP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وتسقط عن الهِمّ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ثبوتها عليه مطلقاً، والرواية بالسقوط ضعيفة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يُجَنُّ ويفيق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للأغلب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الأقوى سقوطها عن المجنون مطلقاً إلا أن تتفق له الإفاقة سَنَةٌ متوالية فيجب عنها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بذلتها حينئذٍ كانت هبةً لا 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سيأتى إن شاء الله تعالى فى باب الهبة أنّها لا تختص بلفظ، بل كلّ ماداً على تمليك الغير بغير عوض من الألفاظ كافٍ فيها، فإذا عرفها الإمام أنّها غير لازمة لها وبذلتها حينئذٍ كانت هبةً ؛ إذ البذل على هذا الوجه لا بد أن يقترن بلفظ يدلُّ عليه عادةً، فيكون ذلك اللفظ الدال على بذلها على وجه التبرع بمنزلة الهبة من جانبها، فإن انضمّ إليه من قِبَل الإمام ومَنْ قام مقامه مايدلّ على القبول تمّت الهبة وليس في العبارة ما يدلُّ على أزيد من ذلك</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يراعى فيه شرائط الهبة جوازاً ولزوماً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دلالة العبارة على الاكتفاء في الهبة بالفعل من دون القول فممنوعة؛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بعدم الاكتفاء بذلك في بابها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 بذل الجزية ليسلمن من الرق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ولا يجوز؛ لأنّهنَّ لسن من أهل الجزية، وحينئذٍ فيتوصَّل إلى فتح البلد ويُسبَيْنَ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بنفي الوجوب على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أوجب عقد الذِمّة لهنَّ على أن تجري عليهن أحكام الإسلام ولا يأخذ منهنّ شيئاً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ظهر كذبهم انتقض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كذبهم باعترافهم بأجمعهم أنهم ليسوا أهل ذمة، أو بشهادة عدلين منهم بعد إسلامهما بذلك، لا باعتراف بعضهم مع إنكار الباقين بل يحكم به على المقر خاصة ولا تقبل شهادتهم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قوم زعموا أنهم أهل الزبور، ففي تقريرهم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المُتَّجه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دخلوا بعد التبديل قبل البعثة احتمل التقرير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تقرير المتولد بين الوثني والنصراني بالجزية بعد بلوغه إن كان أبوه نصرانياً،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توتن نصراني وله ولد صغير، ففي زوال حكم التنصُّر عنه 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المتجه عدم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العاقد وهو الإمام أو من نصبه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ظهور الإمام وبسط يده، أما مع فقد أحدهما فالمعتبر تقرير ذي الشوكة من المسلمين لهم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 القبول إذا بذلوه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العوض أعنى الجزية المدلول عليها بالمقام، أو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قبول الجزية، فيكون إعادة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ضرباً من الاستخدام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العقد موقتاً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تعليقه بمشيئة الإمام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الجواز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الجمع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المتّجه عدم الجواز، ومحلُّ الخلاف وضعها عليهما ابتداءً، أما لو وضعها على أرضِ واحدٍ ورقبةِ آخَرَ ، فاشترى من وضعت على رقبته أرض الآخر اجتمعت عليه فيهما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ويشترط أن يكون زائداً على أقل ما يجب عليهم من الجزية لو اقتصر على 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اقتصر على الضيافة جواز اشتراطها عليهم من دون أن يجعل عليهم جزية، فتكون الضيافة المشروطة حينئذٍ جزيةً مشروطةً بكونها 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مصرف الجزية ،خاص ، والضيافة لا تختص بمصرف الجزية، بل يجوز شرطها لمن مرّ بهم من المسلمين مطلقاً، إلّا أن يفرّق بين الضيافة المشروطة مع الجزية ومنفردة، فتختص الثانية بأهل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يخالف الاقتصار عليها ظاهراً، إلا أن يحمل احتسابها منها عند الإطلاق لاعند التصريح بالاقتصار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تقدير فالأقوى أن لا يجوز الاقتصار على شرط الضيافة من دون الجزية، وأنّها لا تحتسب منها مطلقاً؛ للتأسي بالنبي فإنه شرطها معها </w:t>
      </w:r>
      <w:r>
        <w:rPr>
          <w:rStyle w:val="FootnoteAnchor"/>
          <w:rtl w:val="true"/>
        </w:rPr>
        <w:footnoteReference w:id="659"/>
      </w:r>
      <w:r>
        <w:rPr>
          <w:rFonts w:ascii="Amiri" w:hAnsi="Amiri" w:eastAsia="Amiri" w:cs="Amiri"/>
          <w:color w:val="111111"/>
          <w:sz w:val="28"/>
          <w:sz w:val="28"/>
          <w:szCs w:val="28"/>
          <w:rtl w:val="true"/>
          <w:lang w:bidi="ar-SA"/>
        </w:rPr>
        <w:t>ولئلا يخلو الحَوْل من الجزية على تقدير أن لا يمرَّ بهم أحد من المسلمين طولَ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اختاره المصنّف في التذكرة</w:t>
      </w:r>
      <w:r>
        <w:rPr>
          <w:rStyle w:val="FootnoteAnchor"/>
          <w:rtl w:val="true"/>
        </w:rPr>
        <w:footnoteReference w:id="660"/>
      </w:r>
      <w:r>
        <w:rPr>
          <w:rFonts w:ascii="Amiri" w:hAnsi="Amiri" w:eastAsia="Amiri" w:cs="Amiri"/>
          <w:color w:val="111111"/>
          <w:sz w:val="28"/>
          <w:sz w:val="28"/>
          <w:szCs w:val="28"/>
          <w:rtl w:val="true"/>
          <w:lang w:bidi="ar-SA"/>
        </w:rPr>
        <w:t>، وإن أوهمت عبارته هنا غيره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قرّر على الغنيّ قدراً، ثمّ علم أنّه غير واجب لم يكن له الرجوع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ماكس الإمام بالزيادة فامتنع من بذلها وجب القبول بالأقلّ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تفريع على كون الجزية مُقَدَّرةً بقَدَرٍ، كما أشار إليه في صدر التفريع، من تقدير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بما ذكر </w:t>
      </w:r>
      <w:r>
        <w:rPr>
          <w:rStyle w:val="FootnoteAnchor"/>
          <w:rtl w:val="true"/>
        </w:rPr>
        <w:footnoteReference w:id="661"/>
      </w:r>
      <w:r>
        <w:rPr>
          <w:rFonts w:ascii="Amiri" w:hAnsi="Amiri" w:eastAsia="Amiri" w:cs="Amiri"/>
          <w:color w:val="111111"/>
          <w:sz w:val="28"/>
          <w:sz w:val="28"/>
          <w:szCs w:val="28"/>
          <w:rtl w:val="true"/>
          <w:lang w:bidi="ar-SA"/>
        </w:rPr>
        <w:t>، وحينئذٍ فيمكن الإمام أن يفرض عليه أكثر كبَيْعِ المُغَابَنَة، ويجوز للذمي الامتناع من بذله لو علم ابتداءً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فرضه عليه أزيد من المُقَدَّرِ، تُمّ علم به بعد العقد لم يكن له الرجوع؛ لوجود العقد اللازم الذي يجب الوفاء به في شرعنا، واللازم لهم في عقد الذمة التزام شرعنا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يتفرع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ماكس الإمام بالزيادة أي على المقدَّر شرعاً على القول به، بأن طلب منه أزيد منه فامتنع الذمّي من بذل الزيادة وجب على الإمام القبول منه لما بذل الأقل وهو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لا يتوجّه على مذهب المصنّف </w:t>
      </w:r>
      <w:r>
        <w:rPr>
          <w:rStyle w:val="FootnoteAnchor"/>
          <w:rtl w:val="true"/>
        </w:rPr>
        <w:footnoteReference w:id="662"/>
      </w:r>
      <w:r>
        <w:rPr>
          <w:rFonts w:ascii="Amiri" w:hAnsi="Amiri" w:eastAsia="Amiri" w:cs="Amiri"/>
          <w:color w:val="111111"/>
          <w:sz w:val="28"/>
          <w:sz w:val="28"/>
          <w:szCs w:val="28"/>
          <w:rtl w:val="true"/>
          <w:lang w:bidi="ar-SA"/>
        </w:rPr>
        <w:t>، وأكثر الأصحاب، من أنّ الجزية لا تتقدَّر إلا بنظر الإمام، فإنّه حينئذٍ لا يتصوَّر علم الذمّي أنّ ذلك القدر غير واجب عليه، ولا امتناعه من الزيادة عمّا قدّره عليه الإمام على وجه يجاب إليه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التفريع أنّ العامة يرون تقديرها بالدينار على كل رجل؛ تأسياً بالنبي صلى الله عليه وسلم </w:t>
      </w:r>
      <w:r>
        <w:rPr>
          <w:rStyle w:val="FootnoteAnchor"/>
          <w:rtl w:val="true"/>
        </w:rPr>
        <w:footnoteReference w:id="663"/>
      </w:r>
      <w:r>
        <w:rPr>
          <w:rFonts w:ascii="Amiri" w:hAnsi="Amiri" w:eastAsia="Amiri" w:cs="Amiri"/>
          <w:color w:val="111111"/>
          <w:sz w:val="28"/>
          <w:sz w:val="28"/>
          <w:szCs w:val="28"/>
          <w:rtl w:val="true"/>
          <w:lang w:bidi="ar-SA"/>
        </w:rPr>
        <w:t>، وهو مذهب ابن الجنيد</w:t>
      </w:r>
      <w:r>
        <w:rPr>
          <w:rStyle w:val="FootnoteAnchor"/>
          <w:rtl w:val="true"/>
        </w:rPr>
        <w:footnoteReference w:id="664"/>
      </w:r>
      <w:r>
        <w:rPr>
          <w:rFonts w:ascii="IRNazanin" w:hAnsi="IRNazanin" w:eastAsia="IRNazanin"/>
          <w:color w:val="111111"/>
          <w:sz w:val="28"/>
          <w:sz w:val="28"/>
          <w:szCs w:val="28"/>
          <w:rtl w:val="true"/>
          <w:lang w:bidi="fa-IR"/>
        </w:rPr>
        <w:t xml:space="preserve">، منّا، وفرعوا عليه ما ذكره المصنّف هنا، فصدَّر المصنف رحمه الله تفريعه بما 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الموهم للتقدير، وفرع عليه ما ذكر مع أنّ الظاهر أنّ ما قدره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يعينه أحد؛ لأنّ المخالف منا على ما ذكره المصنف في المختلف إنّما هو ابنُ الجُنَيْدِ ولم يقدرها بذلك، بل بالدينار</w:t>
      </w:r>
      <w:r>
        <w:rPr>
          <w:rStyle w:val="FootnoteAnchor"/>
          <w:rtl w:val="true"/>
        </w:rPr>
        <w:footnoteReference w:id="665"/>
      </w:r>
      <w:r>
        <w:rPr>
          <w:rFonts w:ascii="Amiri" w:hAnsi="Amiri" w:eastAsia="Amiri" w:cs="Amiri"/>
          <w:color w:val="111111"/>
          <w:sz w:val="28"/>
          <w:sz w:val="28"/>
          <w:szCs w:val="28"/>
          <w:rtl w:val="true"/>
          <w:lang w:bidi="ar-SA"/>
        </w:rPr>
        <w:t>، ومن ثمّ أطلق على اسم الدينار، وقد استعمله المصنف في مواضع على غير أصله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الجُبران مراعاة مصلحة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بالجبران الواقع زكاة حيث لا يكون عنده السنّ الواجب وعنده ما هو أعلى منها بسنّ أو أخفض، فإنّ مقتضى حكم الزكاة المشروطة عليهم أن يتخيّروا في الدفع كالمسلم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مراعاة مصلحة المسلمين أنّها ليست زكاة حقيقية بالنسبة إليهم، وإنّما وقع الجبران المدفوع إلى الإمام مساوياً لما يجب عليهم من السن، بأن كانت الشاتان تساويان ما يدفعه من السنّ الأعلى أو تقاربانه، فيلزم الضرر على المسلمين، فكانت مراعاة مصلحتهم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العقد عليهم بأشياء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لا يتم على أصولنا </w:t>
      </w:r>
      <w:r>
        <w:rPr>
          <w:rStyle w:val="FootnoteAnchor"/>
          <w:rtl w:val="true"/>
        </w:rPr>
        <w:footnoteReference w:id="666"/>
      </w:r>
      <w:r>
        <w:rPr>
          <w:rFonts w:ascii="Amiri" w:hAnsi="Amiri" w:eastAsia="Amiri" w:cs="Amiri"/>
          <w:color w:val="111111"/>
          <w:sz w:val="28"/>
          <w:sz w:val="28"/>
          <w:szCs w:val="28"/>
          <w:rtl w:val="true"/>
          <w:lang w:bidi="ar-SA"/>
        </w:rPr>
        <w:t xml:space="preserve">لأنا نمنع دخول الكافر مطلقاً المساجد، فلا يكون المنع من أحكام العقد، وإنّما يتم على أُصول العامة </w:t>
      </w:r>
      <w:r>
        <w:rPr>
          <w:rStyle w:val="FootnoteAnchor"/>
          <w:rtl w:val="true"/>
        </w:rPr>
        <w:footnoteReference w:id="667"/>
      </w:r>
      <w:r>
        <w:rPr>
          <w:rFonts w:ascii="Amiri" w:hAnsi="Amiri" w:eastAsia="Amiri" w:cs="Amiri"/>
          <w:color w:val="111111"/>
          <w:sz w:val="28"/>
          <w:sz w:val="28"/>
          <w:szCs w:val="28"/>
          <w:rtl w:val="true"/>
          <w:lang w:bidi="ar-SA"/>
        </w:rPr>
        <w:t>القائلين بأنّ المسلم له الإذن للذمي في دخولها، فيكون ذلك من أحكام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يلزمهم إخفاء العِمارَةِ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بعض العامة </w:t>
      </w:r>
      <w:r>
        <w:rPr>
          <w:rStyle w:val="FootnoteAnchor"/>
          <w:rtl w:val="true"/>
        </w:rPr>
        <w:footnoteReference w:id="668"/>
      </w:r>
      <w:r>
        <w:rPr>
          <w:rFonts w:ascii="Amiri" w:hAnsi="Amiri" w:eastAsia="Amiri" w:cs="Amiri"/>
          <w:color w:val="111111"/>
          <w:sz w:val="28"/>
          <w:sz w:val="28"/>
          <w:szCs w:val="28"/>
          <w:rtl w:val="true"/>
          <w:lang w:bidi="ar-SA"/>
        </w:rPr>
        <w:t>حيث أوجب عليهم إخفاء العِمارَةِ إذا أرادوا بناءً ما يجوز لهم بناؤه كَرَم الكنيسة، بأن يبنوا الجدار أو يطينوه من داخل الجدار الفاسد بحيث لا يطلع عليهم المسلمون و إن احتاجوا إلى ثانٍ وثالث بحيث لا يبقى من الكنيسة شيء؛ أو يجعلون البناء ليلاً بحيث لا يطلع عليهم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والأصح عندهم ما اختاره المصنف من عدم الوجوب</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شمول الحكم لجميع ما يتناوله الحِجاز عرفاً، كالطائفِ واليَمامةِ وحُنَينِ </w:t>
      </w:r>
    </w:p>
    <w:p>
      <w:pPr>
        <w:pStyle w:val="BookText"/>
        <w:rPr/>
      </w:pPr>
      <w:r>
        <w:rPr>
          <w:rFonts w:ascii="Amiri" w:hAnsi="Amiri" w:eastAsia="Amiri" w:cs="Amiri"/>
          <w:color w:val="111111"/>
          <w:sz w:val="28"/>
          <w:sz w:val="28"/>
          <w:szCs w:val="28"/>
          <w:rtl w:val="true"/>
          <w:lang w:bidi="ar-SA"/>
        </w:rPr>
        <w:t>وينبع وما قاربها من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نبذ الجزية بمجرد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عقد الجزية بحذف المضاف، والمقصود أنه لا يجوز تبذ عقد الذمة المشتمل على الجزية بمجرد التهمة بالخيانة، بل يتوقف على العلم والفرق بينه وبين عقد الهُدْنَةِ أنّ الأصل في عقد الهُدْنَة مراعاة مصلحة المسلمين لحاجتهم إليها، ومن ثمّ لم يَجُزْ بدونها، بخلاف عقد الذمة، فإنّه مترتب على الاختيار، وقوة المسلمين، وضعف المشركين، فلا يخاف غائلتهم، ومتى علم بها أمكن تدارك حكمها، بخلاف الهدنة فإنّها على الضد، فقد لا يتدارك الضرر المترتب على الخيانة لو توقف على العلم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شُرط إعادة الرجال مطلقاً بطل الصلح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بالإطلاق التصريح به لفظاً، بأن يصرح في العقد بإعادة كلُّ رجل جاء إلينا مسلماً منهم سواء كان ممن يؤمن افتتانه على الدين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بطلان الصلح اشتماله على شرط فاسد وهو ردّ من لا يؤمن افتتانه، فإنه غير جائز، وإذا اشتمل العقد الجائز على شرط فاسد أفسده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بالإطلاق ذكر لفظ الرجال مطلقاً بمن لا يؤمن افتتانه من التقييد بمن فإنّه حينئذ يتناول من يجوز شرط ردّه وغيره من حيث إنّه جمع محلّى، فيُفيد العموم، وهو في شرط إعادة الرجال على العموم باعتبار صيغته وتجوز حينئذ في الإطلاق على العموم مع المغايَرَةِ بينهما ، فإنّ المطلق هو الدال على الماهية من حيث هي لا باعتبار وحدة ولا تعدّد، ولفظ الرجال ليس كذلك إلّا أنّه بتجريده عن قيد من يؤمن افتتانه كأنّه أطلقه ووجه الفساد على هذا التقدير أيضاً يستفاد من السابق، مع احتمال الصحة هنا، حملاً للمطلق على الصحيح، فيتناول ما يصح شرط عوده خاصةً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فيهما ويفسد الشرط خاصةً بناءً على عدم فساد العقد المشتمل على شرط فاسد، وسيأتي ضعفه</w:t>
      </w:r>
      <w:r>
        <w:rPr>
          <w:rFonts w:eastAsia="Amiri" w:cs="Amiri" w:ascii="Amiri" w:hAnsi="Amiri"/>
          <w:color w:val="111111"/>
          <w:sz w:val="28"/>
          <w:szCs w:val="28"/>
          <w:rtl w:val="true"/>
          <w:lang w:bidi="ar-SA"/>
        </w:rPr>
        <w:t xml:space="preserve">. </w:t>
      </w:r>
      <w:bookmarkStart w:id="480" w:name="pg10189_116178"/>
    </w:p>
    <w:p>
      <w:pPr>
        <w:pStyle w:val="Heading4"/>
        <w:numPr>
          <w:ilvl w:val="3"/>
          <w:numId w:val="1"/>
        </w:numPr>
        <w:rPr/>
      </w:pPr>
      <w:bookmarkStart w:id="481" w:name="__RefHeading___Toc2156678_1067777946"/>
      <w:bookmarkStart w:id="482" w:name="_Toc180"/>
      <w:bookmarkEnd w:id="480"/>
      <w:bookmarkEnd w:id="481"/>
      <w:r>
        <w:rPr>
          <w:rtl w:val="true"/>
        </w:rPr>
        <w:t>[</w:t>
      </w:r>
      <w:r>
        <w:rPr>
          <w:rtl w:val="true"/>
        </w:rPr>
        <w:t xml:space="preserve">المقصد الخامس في الأمر بالمعروف والنهي عن المنكر </w:t>
      </w:r>
      <w:r>
        <w:rPr>
          <w:rtl w:val="true"/>
        </w:rPr>
        <w:t>]</w:t>
      </w:r>
      <w:bookmarkEnd w:id="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لم يقع المنكر إلا على وجه وجه القُبح كان النهي عنه كله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هذا التقسيم خروج المكروه من القسمين فلا يتحقق الأمر به؛ لعدم تناول المعروف له ولا النهي عنه؛ لعدم اتصافه بالقُبح؛ لأنّ القبيح ما ليس للعالم بحاله، القادر عليه أن يفعله، أو الذي على صفة تؤثر في استحقاق الذم، وكلاهما لا يتناولان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إدراجه في أحدهما؛ لأن النهي عنه مستحبّ كالأمر بالمندوب، ولعلّ إهماله لعدم دخوله في اللفظين؛ أعني المعروف والمنكر، واشتهار استعمال العنوان بهذين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التجوّز بإدخاله في المندوب باعتبار استحباب تركه فيتعلق الأمر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ویجبان بالقلب مطلقاً، وأقله اعتقاد وجوبِ مايتركه، وتحريم ما يفعله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الرضى به؛ وكما لو علم الطاعة بضرب من الإعراض وإظهار الكراهية أو الهجران فيجب</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عبارته كغيره </w:t>
      </w:r>
      <w:r>
        <w:rPr>
          <w:rStyle w:val="FootnoteAnchor"/>
          <w:rtl w:val="true"/>
        </w:rPr>
        <w:footnoteReference w:id="671"/>
      </w:r>
      <w:r>
        <w:rPr>
          <w:rFonts w:ascii="Amiri" w:hAnsi="Amiri" w:eastAsia="Amiri" w:cs="Amiri"/>
          <w:color w:val="111111"/>
          <w:sz w:val="28"/>
          <w:sz w:val="28"/>
          <w:szCs w:val="28"/>
          <w:rtl w:val="true"/>
          <w:lang w:bidi="ar-SA"/>
        </w:rPr>
        <w:t>أنّ للأمر والنهى القلبتين أفراداً متعدّدة أقلها اعتقاد تحريم المنكر، ووجوب المعروف وما في معناه وإن لم يظهر ذلك لمرتكب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وبعده إظهار الكراهة والإعراض رجاءَ أن ينزجر بذلك، وهو مقدم على اللسان واليد، وهذا المعنى أنسب بمقام الأمر والنهي، لإفادته الغاية المطلوبة منهما إلّا أنّه لا يلائم الحكم بإيجابه مطلقا؛ لأنّ الظاهر من الإطلاق أن وجوبه كذلك لا يشترط فيه اجتماع الشرائط الأربعة، مع أنها مشترطة فيه كغيره من المراتب لظهوره للمأمور والمنهي، فيمكن ترتب الضرر وعدمه، وبقيّة الشرائط والمعنى الأوّل أنسب بالإطلاق، لعدم ظهوره فلا يترتب عليه خوف ضرر ولا تأثير ولا غيرهما، لكن لا يلائم مراتب الأمر والنهي؛ لأنه لا يقتضيهما، وإنّما هو من جملة اعتقاد أن الحق الذي هو من مقتضى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ارتكب بعضهم هنا عدم الاكتفاء بمجرد الاعتقاد، وأوجب معه الابتهال إلى الله تعالى في إهداء ذلك الشخص حتى يكون له مدخل في الأمر والنهي، وهو أمر آخر غير ماذكروه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فسّر الإطلاق بمعنى وجوب مصاحبة القلبي لباقي 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اللسان واليد فيعتقد ما ذكر، مضافاً إلى الإعراض وما بعده، ويعرض مع الكلام أو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يدفع الإشكال مطلقاً؛ لأنه لا يتم في معناه الثاني؛ إذ لا تجب مصاحبته لباقي المراتب، كما لا يجب مصاحبة بعضها لبعض كاللسان لليد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بالأيسر من القول فالأيسر متدرّجاً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الأخشن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التفضيل في الأوّل مطلقاً، وفي الثاني إضافي بالنسبة إلى ما بعده، أي ينهاه بأيسر القول وألطفه أولاً، فإن لم ينجع انتقل إلى الأيسر بالنسبة إلى غيره وإن كان أصعب بالإضافة إلى الأوّل، وهكذا القول في مراتب 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افتقر إلى الجراح أو القتل ففي الوجوب مطلقاً أو بإذن الإمام قولان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بالوجوب مطلقاً للمرتضى</w:t>
      </w:r>
      <w:r>
        <w:rPr>
          <w:rStyle w:val="FootnoteAnchor"/>
          <w:rtl w:val="true"/>
        </w:rPr>
        <w:footnoteReference w:id="672"/>
      </w:r>
      <w:r>
        <w:rPr>
          <w:rFonts w:ascii="Amiri" w:hAnsi="Amiri" w:eastAsia="Amiri" w:cs="Amiri"/>
          <w:color w:val="111111"/>
          <w:sz w:val="28"/>
          <w:sz w:val="28"/>
          <w:szCs w:val="28"/>
          <w:rtl w:val="true"/>
          <w:lang w:bidi="ar-SA"/>
        </w:rPr>
        <w:t xml:space="preserve">، وتبعه عليه المصنّف في المختلف </w:t>
      </w:r>
      <w:r>
        <w:rPr>
          <w:rStyle w:val="FootnoteAnchor"/>
          <w:rtl w:val="true"/>
        </w:rPr>
        <w:footnoteReference w:id="673"/>
      </w:r>
      <w:r>
        <w:rPr>
          <w:rFonts w:ascii="Amiri" w:hAnsi="Amiri" w:eastAsia="Amiri" w:cs="Amiri"/>
          <w:color w:val="111111"/>
          <w:sz w:val="28"/>
          <w:sz w:val="28"/>
          <w:szCs w:val="28"/>
          <w:rtl w:val="true"/>
          <w:lang w:bidi="ar-SA"/>
        </w:rPr>
        <w:t xml:space="preserve">والتحرير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لعموم الأدلّة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في القتل بعيد، وتناول الأدلة ممنوع؛ لأنّ القتل يفوت معه الغرض من الأمر والنهي، و يتخلف عنه شرطه وهو تجويز التأثير، فالقول مطلقاً بالمنع فيه 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الجرح، فيمكن ذلك معه، ويتوجه القول بجوازه من حيث إطلاق الأدلة أو عمومها المتناول لغير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إقامته على ولده وزوجته قول بالجواز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نَسبه إلى القول؛ لعدم ظهور دليل عليه ؛ ولأنّ إقامة الحدّ من وظيفة الإمام ونائبه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فالقول بالمنع </w:t>
      </w:r>
      <w:r>
        <w:rPr>
          <w:rStyle w:val="FootnoteAnchor"/>
          <w:rtl w:val="true"/>
        </w:rPr>
        <w:footnoteReference w:id="677"/>
      </w:r>
      <w:r>
        <w:rPr>
          <w:rFonts w:ascii="Amiri" w:hAnsi="Amiri" w:eastAsia="Amiri" w:cs="Amiri"/>
          <w:color w:val="111111"/>
          <w:sz w:val="28"/>
          <w:sz w:val="28"/>
          <w:szCs w:val="28"/>
          <w:rtl w:val="true"/>
          <w:lang w:bidi="ar-SA"/>
        </w:rPr>
        <w:t>إن لم يكن الأب والزوج فقيهاً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في المختلف</w:t>
      </w:r>
      <w:r>
        <w:rPr>
          <w:rStyle w:val="FootnoteAnchor"/>
          <w:rtl w:val="true"/>
        </w:rPr>
        <w:footnoteReference w:id="678"/>
      </w:r>
      <w:r>
        <w:rPr>
          <w:rFonts w:ascii="Amiri" w:hAnsi="Amiri" w:eastAsia="Amiri" w:cs="Amiri"/>
          <w:color w:val="111111"/>
          <w:sz w:val="28"/>
          <w:sz w:val="28"/>
          <w:szCs w:val="28"/>
          <w:rtl w:val="true"/>
          <w:lang w:bidi="ar-SA"/>
        </w:rPr>
        <w:t>، أنّ موضع النزاع هنا ما لو كانا فقيهين، وإلا فلا إشكال في المنع و هو في موضع الإشكال، بل لاوجه لتخصيص الأب والزوج؛ لأنّ الحكم في إقامة الفقيه الحدّ مسلَّم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جواز إقامة الحدّ له بنيّة أنّه نائب عن سلطان الحق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النظر هنا ما لو كان المتولي فقيهاً، ووجه النظر على تقدير القول بجواز إقامته في غير هذه المادة كونه هنا بصورة النائب غير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لأنّ مجرد هذه الصورة لا يبلغ حدّ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المتولى أهلاً، ولو لم يكن فقيهاً لم يصح قطعاً، بل  لا معنى لنيّة كونه نائباً عن إمام الحق؛ لأنه لم يستثنه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يقدح في العدالة ولاية القضاء من قبل الظالمين بالإكراه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فقيهاً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الفقيه يتوقف جوازه على الإكراه مطلقاً، والفقيه يتوقف عليه </w:t>
      </w:r>
    </w:p>
    <w:p>
      <w:pPr>
        <w:pStyle w:val="BookText"/>
        <w:rPr/>
      </w:pPr>
      <w:r>
        <w:rPr>
          <w:rFonts w:ascii="Amiri" w:hAnsi="Amiri" w:eastAsia="Amiri" w:cs="Amiri"/>
          <w:color w:val="111111"/>
          <w:sz w:val="28"/>
          <w:sz w:val="28"/>
          <w:szCs w:val="28"/>
          <w:rtl w:val="true"/>
          <w:lang w:bidi="ar-SA"/>
        </w:rPr>
        <w:t xml:space="preserve">حيث لا يمكنه إجراء الأحكام على وجه الحق بل بمذاهب أهل الخلاف ولو في بعضها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تمكّن من إجرائها على وجهها جاز من غير إكراه، بل ربما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الإكراه بالخوف على نفسه أو ماله أو عرضه على تقدير امتناعه، وحينئذ فيجوز له الحكم بمذهب أهل الخلاف حيث لا يتمكن من غيره، ثمّ إن أظهر انتسابه إلى مذهب من مذاهبهم اقتصر عليه وإلا وجب مراعاة الأقرب إلى الحق منها فالأقرب إن أمكن معرفته ذلك، والعمل بمقتضاه</w:t>
      </w:r>
      <w:r>
        <w:rPr>
          <w:rFonts w:eastAsia="Amiri" w:cs="Amiri" w:ascii="Amiri" w:hAnsi="Amiri"/>
          <w:color w:val="111111"/>
          <w:sz w:val="28"/>
          <w:szCs w:val="28"/>
          <w:rtl w:val="true"/>
          <w:lang w:bidi="ar-SA"/>
        </w:rPr>
        <w:t xml:space="preserve">. </w:t>
      </w:r>
      <w:bookmarkStart w:id="483" w:name="pg10189_116182"/>
    </w:p>
    <w:p>
      <w:pPr>
        <w:pStyle w:val="Heading3"/>
        <w:numPr>
          <w:ilvl w:val="2"/>
          <w:numId w:val="1"/>
        </w:numPr>
        <w:rPr/>
      </w:pPr>
      <w:bookmarkStart w:id="484" w:name="__RefHeading___Toc2156680_1067777946"/>
      <w:bookmarkStart w:id="485" w:name="_Toc181"/>
      <w:bookmarkEnd w:id="483"/>
      <w:bookmarkEnd w:id="484"/>
      <w:r>
        <w:rPr>
          <w:rtl w:val="true"/>
        </w:rPr>
        <w:t>كتاب المتاجر</w:t>
      </w:r>
      <w:bookmarkEnd w:id="485"/>
    </w:p>
    <w:p>
      <w:pPr>
        <w:pStyle w:val="Heading4"/>
        <w:numPr>
          <w:ilvl w:val="3"/>
          <w:numId w:val="1"/>
        </w:numPr>
        <w:rPr/>
      </w:pPr>
      <w:bookmarkStart w:id="486" w:name="__RefHeading___Toc2156682_1067777946"/>
      <w:bookmarkStart w:id="487" w:name="_Toc182"/>
      <w:bookmarkEnd w:id="486"/>
      <w:r>
        <w:rPr>
          <w:rtl w:val="true"/>
        </w:rPr>
        <w:t>[</w:t>
      </w:r>
      <w:r>
        <w:rPr>
          <w:rtl w:val="true"/>
        </w:rPr>
        <w:t xml:space="preserve">المقصد الأول في المقدمات </w:t>
      </w:r>
      <w:r>
        <w:rPr>
          <w:rtl w:val="true"/>
        </w:rPr>
        <w:t>]</w:t>
      </w:r>
      <w:bookmarkEnd w:id="487"/>
    </w:p>
    <w:p>
      <w:pPr>
        <w:pStyle w:val="Heading5"/>
        <w:numPr>
          <w:ilvl w:val="4"/>
          <w:numId w:val="1"/>
        </w:numPr>
        <w:rPr/>
      </w:pPr>
      <w:bookmarkStart w:id="488" w:name="__RefHeading___Toc2156684_1067777946"/>
      <w:bookmarkStart w:id="489" w:name="_Toc183"/>
      <w:bookmarkEnd w:id="488"/>
      <w:r>
        <w:rPr>
          <w:rtl w:val="true"/>
        </w:rPr>
        <w:t>[</w:t>
      </w:r>
      <w:r>
        <w:rPr>
          <w:rtl w:val="true"/>
        </w:rPr>
        <w:t>الفصل الأوّل في أقسامها</w:t>
      </w:r>
      <w:r>
        <w:rPr>
          <w:rtl w:val="true"/>
        </w:rPr>
        <w:t>]</w:t>
      </w:r>
      <w:bookmarkEnd w:id="489"/>
    </w:p>
    <w:p>
      <w:pPr>
        <w:pStyle w:val="BookText"/>
        <w:rPr/>
      </w:pPr>
      <w:r>
        <w:rPr>
          <w:rFonts w:ascii="Amiri" w:hAnsi="Amiri" w:eastAsia="Amiri" w:cs="Amiri"/>
          <w:color w:val="111111"/>
          <w:sz w:val="28"/>
          <w:sz w:val="28"/>
          <w:szCs w:val="28"/>
          <w:rtl w:val="true"/>
          <w:lang w:bidi="ar-SA"/>
        </w:rPr>
        <w:t>المقصد الأوّل في المقدمات</w:t>
      </w:r>
    </w:p>
    <w:p>
      <w:pPr>
        <w:pStyle w:val="BookText"/>
        <w:rPr/>
      </w:pPr>
      <w:r>
        <w:rPr>
          <w:rFonts w:ascii="Amiri" w:hAnsi="Amiri" w:eastAsia="Amiri" w:cs="Amiri"/>
          <w:color w:val="111111"/>
          <w:sz w:val="28"/>
          <w:sz w:val="28"/>
          <w:szCs w:val="28"/>
          <w:rtl w:val="true"/>
          <w:lang w:bidi="ar-SA"/>
        </w:rPr>
        <w:t>المقصد الثاني في البيع</w:t>
      </w:r>
    </w:p>
    <w:p>
      <w:pPr>
        <w:pStyle w:val="BookText"/>
        <w:rPr/>
      </w:pPr>
      <w:r>
        <w:rPr>
          <w:rFonts w:ascii="Amiri" w:hAnsi="Amiri" w:eastAsia="Amiri" w:cs="Amiri"/>
          <w:color w:val="111111"/>
          <w:sz w:val="28"/>
          <w:sz w:val="28"/>
          <w:szCs w:val="28"/>
          <w:rtl w:val="true"/>
          <w:lang w:bidi="ar-SA"/>
        </w:rPr>
        <w:t>المقصد الثالث في أنواع المبيع</w:t>
      </w:r>
    </w:p>
    <w:p>
      <w:pPr>
        <w:pStyle w:val="BookText"/>
        <w:rPr/>
      </w:pPr>
      <w:r>
        <w:rPr>
          <w:rFonts w:ascii="Amiri" w:hAnsi="Amiri" w:eastAsia="Amiri" w:cs="Amiri"/>
          <w:color w:val="111111"/>
          <w:sz w:val="28"/>
          <w:sz w:val="28"/>
          <w:szCs w:val="28"/>
          <w:rtl w:val="true"/>
          <w:lang w:bidi="ar-SA"/>
        </w:rPr>
        <w:t>المقصد الرابع في أنواع البيع</w:t>
      </w:r>
    </w:p>
    <w:p>
      <w:pPr>
        <w:pStyle w:val="BookText"/>
        <w:rPr/>
      </w:pPr>
      <w:r>
        <w:rPr>
          <w:rFonts w:ascii="Amiri" w:hAnsi="Amiri" w:eastAsia="Amiri" w:cs="Amiri"/>
          <w:color w:val="111111"/>
          <w:sz w:val="28"/>
          <w:sz w:val="28"/>
          <w:szCs w:val="28"/>
          <w:rtl w:val="true"/>
          <w:lang w:bidi="ar-SA"/>
        </w:rPr>
        <w:t>المقصد الخامس في لزوم البيع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السادس في أحكام العقد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ما يحتاج الإِنسانُ إليه لقوته وقوت عياله، ولا وجه له سوى المتجر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القوت المذكور وقع على سبيل المثال لا الحصر، بناءً على ضعف مفهوم الحصر المستفاد من حصر من حصر المسند إليه في المسند كما هو التحقيق، ولو لا ذلك لا نتقض الحصر بباقي مؤونة المذكورين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بالحاجة المأخوذة في الصلة ما استندت إلى حكم الشارع أعم من كونها كذلك في الحِس كحاجته أم لا كحاجة عياله؛ فإنّ الواجب للزوجة أمر زائد على المحتاج إليه 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أريد بالواجب العيني لم يفتقر إلى إدخال دفع حاجة المضطرين حيث إنّها واجبة على الكفاية، وإن أريد الأعمُّ سلم من تركه بالمثال الذي لا يفيد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وقرينة إرادة العيني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الفرد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سوى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له وجه غيرُه كان وجوب المتجر حينئذ تخييريّاً لا ساقطاً إن لم يُرِدْ بالمتجر أنواع الاكتساب، كما هو ظاهر هذه الأفراد المذكورة في الأقسام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ومندوب، وهو ما يقصد به التوسعة على العيال أو نفعُ المحاويج مع حصول قدر الحاجة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جعل القيد راجعاً إلى الأمرين السابقين؛ ليتحقق الاستحباب في قصد التوسعة على العيال؛ إذ لولاه للزم استحباب التجارة مع قصد التوسعة عليهم وإن لم يكن عنده ما تندفع به حاجتهم مع أنّ التوسعة تقتضي سبق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مناط الاستحباب قصد التوسعة دون ما تحصل به التوسعة مطلقاً؛ لأنّ الحكم بكون الفعل مستحبّاً ترتب عليه الثواب لا يتم بدون القصد، ولو أسقط القصد يفسد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الحصر هنا كالسابق، فإنّ قصد نفع المؤمنين مطلقاً مستحب ولو لم يكونوا محتاجين، مع إمكان تكلّف وصفهم مطلقاً بالحاجة في الجملة، وكون النفع المستحبّ لهم لا يتحقق إلا مع مسمّى الحاجة وقيد حصول قدر الحاجة يشمل نفع الغني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أنهم لا يخرجون عن كونهم محاويج لحصول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ومباح، وهو ما يقصد به الزيادة في المال لاغير مع الغنى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قيَّد بالقصد ليمكن وصفه بالإباحة؛ لما تحقق في الأصول من أنّ الأحكام الخمسة متعلّقة بفعل المكلَّف القاصد وأنّ الذاهل عن الفعل لسهو وغيره لا يوصف فعله 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يرد ما قيل</w:t>
      </w:r>
      <w:r>
        <w:rPr>
          <w:rStyle w:val="FootnoteAnchor"/>
          <w:rtl w:val="true"/>
        </w:rPr>
        <w:footnoteReference w:id="6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لو قال ماكان فيه زيادة في المال كان أولى، وبهذا تظهر فائدة قصد التوسعة في السابق مضافاً إلى ما قرّرناه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مكروه، وهو ما اشتمل على وجه نهى الشارع عنه نهي نهی تنزیه كالصرف وبَيْع الأكفان والطعام الرقيق</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الظاهر فى التنزيه أن يكون المعنى المطلوب عرضه لما الأولى تركه، وهو في أكثر هذه الموارد كذلك، كالصرف المعرض للربا، وبيع الأكفان المعرض لتمني </w:t>
      </w:r>
    </w:p>
    <w:p>
      <w:pPr>
        <w:pStyle w:val="BookText"/>
        <w:rPr/>
      </w:pPr>
      <w:r>
        <w:rPr>
          <w:rFonts w:ascii="Amiri" w:hAnsi="Amiri" w:eastAsia="Amiri" w:cs="Amiri"/>
          <w:color w:val="111111"/>
          <w:sz w:val="28"/>
          <w:sz w:val="28"/>
          <w:szCs w:val="28"/>
          <w:rtl w:val="true"/>
          <w:lang w:bidi="ar-SA"/>
        </w:rPr>
        <w:t>الوباء، إلى غير ذلك ممّا علّل في الأخبار</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من هذا القسم بيع الرقيق والحياكة </w:t>
      </w:r>
      <w:r>
        <w:rPr>
          <w:rStyle w:val="FootnoteAnchor"/>
          <w:rtl w:val="true"/>
        </w:rPr>
        <w:footnoteReference w:id="681"/>
      </w:r>
      <w:r>
        <w:rPr>
          <w:rFonts w:ascii="Amiri" w:hAnsi="Amiri" w:eastAsia="Amiri" w:cs="Amiri"/>
          <w:color w:val="111111"/>
          <w:sz w:val="28"/>
          <w:sz w:val="28"/>
          <w:szCs w:val="28"/>
          <w:rtl w:val="true"/>
          <w:lang w:bidi="ar-SA"/>
        </w:rPr>
        <w:t>وشبههما ممّالم يرد فيه ذلك، بل ورد في بَيْع الرقيق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من باع الناس</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وفي الحِياكة مرجوحيّتها من قبل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كلامه في التنزيه على أنّ ما كرهه الشارع مرجوح وفي تركه ،رجحان فتنزه المكلّف عن المرجوحية إلى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والحياكة والنساجة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النساجة أعمّ من الحياكة مطلقاً؛ لشمولها المعزول وغيره من الدقيق كالحرير والغليظ، بخلاف الحياكة فإنّها مختصة ببعض ذلك، فذكرها من عطف العام على الخاص وهو شائع، وإن كان الاقتصار على العام أخصر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جعلهما مترادفين أو متقابلين بتخصيص الحياكة بالغليظ والنساجة بضدّه، فغير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نَجَس لا يقبل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بالنجس ماكان عين نَجاسة أو منجّساً بها، ولهذا قسمه إلى مانجاسته ذاتية و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وإطلاقه على الأمرين بطريق الحقيقة لغةً وعرفاً، لا أنه حقيقة في الأوّل مجاز في الثاني، فيكون مستعملاً للفظ في حقيقته ومجازه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الدُهن النجس لفائدة الاستصباح به تحت السماء خاصة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جواز الاستصباح به مطلقاً؛ لدلالة النصوص الكثيرة عليه</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ما يوجب التخصيص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بيع الماء النجس لقبوله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خصه بالذكر مع جواز بيع ما يقبل الطهارة مطلقاً؛ لينبه على خروجه من عموم المنع من بَيْع المائعات النجسة فيما سبق فإنّها لا تقبل التطهير عنده هنا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الأقوال في المسألة، فأخرجه معلّلاً بقبوله الطهارة من المائعات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أبوال ما يؤكل لحمه التحريم للاستخباث إلا بول الإبل للاستشفاء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بَيْع أبوال وأرواث ما يؤكل لحمه مطلقاً إن فرض لها منفعة مقصودة محلّلة، وإن كان بول الإبل أظهر منها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يكون المقصود منه حراماً كآلات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غاير أسلوب العبارة في جعل المحرم في الأوّل نفس المكتسب به وهو الآلات المذكورة، وفي الثاني وما بعده الاكتساب؛ للتنبيه على المغايرة بينها من حيث إن آلات اللهو والقمار بشكلها المخصوص لا يكون المقصود منها إلا محرّماً، فجعل متعلَّق النهي فيها الذات، والسلاح وما بعده في نفسه صالح للمحلل والمحرم فلا يتمحض للتحريم إلا بالبيع على الوجه المحرّم، فلذلك علّق الحكم فيها على التكتُب ولا يضرُّ هذا الاختلاف؛ لأنّ متعلَّقَ الأحكام الخمسة يجوز كونه كلّ واحد من التكسب والمتكسب به؛ لأنّها أقسام المتاجر وهي محتملة للمصدرية والمحلّ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قيل بجواز بيع السباع أجمع لفائدة الانتفاع بذكاتها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ممّا تقع عليها الذكاة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العلّامة قطب الدين الرازي عنه أنه احتاط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بإمكان أن يكون في السباع البحريّة ما لا تقع الذكاة عليه وإن كان غير معلوم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مثل هذا الإمكان لايُؤثر في الحكم على الموجود من أفرادها؛ ولأنّ </w:t>
      </w:r>
    </w:p>
    <w:p>
      <w:pPr>
        <w:pStyle w:val="BookText"/>
        <w:rPr/>
      </w:pPr>
      <w:r>
        <w:rPr>
          <w:rFonts w:ascii="IRNazanin" w:hAnsi="IRNazanin" w:eastAsia="IRNazanin"/>
          <w:color w:val="111111"/>
          <w:sz w:val="28"/>
          <w:sz w:val="28"/>
          <w:szCs w:val="28"/>
          <w:rtl w:val="true"/>
          <w:lang w:bidi="fa-IR"/>
        </w:rPr>
        <w:t xml:space="preserve">المختار عنده </w:t>
      </w:r>
      <w:r>
        <w:rPr>
          <w:rStyle w:val="FootnoteAnchor"/>
          <w:rtl w:val="true"/>
        </w:rPr>
        <w:footnoteReference w:id="685"/>
      </w:r>
      <w:r>
        <w:rPr>
          <w:rFonts w:ascii="Amiri" w:hAnsi="Amiri" w:eastAsia="Amiri" w:cs="Amiri"/>
          <w:color w:val="111111"/>
          <w:sz w:val="28"/>
          <w:sz w:val="28"/>
          <w:szCs w:val="28"/>
          <w:rtl w:val="true"/>
          <w:lang w:bidi="ar-SA"/>
        </w:rPr>
        <w:t xml:space="preserve">وعند المحققين </w:t>
      </w:r>
      <w:r>
        <w:rPr>
          <w:rStyle w:val="FootnoteAnchor"/>
          <w:rtl w:val="true"/>
        </w:rPr>
        <w:footnoteReference w:id="686"/>
      </w:r>
      <w:r>
        <w:rPr>
          <w:rFonts w:ascii="Amiri" w:hAnsi="Amiri" w:eastAsia="Amiri" w:cs="Amiri"/>
          <w:color w:val="111111"/>
          <w:sz w:val="28"/>
          <w:sz w:val="28"/>
          <w:szCs w:val="28"/>
          <w:rtl w:val="true"/>
          <w:lang w:bidi="ar-SA"/>
        </w:rPr>
        <w:t>وقوع الذكاة عليها مطلقاً من غير تقييد؛ ولأنه لا فائدة في التقييد بالبحرية؛ لأنّ الإمكان يتحقق فى البرية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يجعل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ممّا تقع الذكاة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أصل الخلاف في وقوع الذكاة عليها وعدمه، بمعنى جواز بيعها أجمع إن كانتْ ممّا يقال لوقوع الذكاة عليها وعدمه إن قيل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النحل مع المشاهدة وإمكان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مشاهدته على وجه ترتفع الجهالة عنه من حيث القلة والكثرة وإن لم يشاهد جميعه، ويختلف ذلك باختلاف الناس من حيث العلم بحاله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يعمل شيئاً يؤثر في بدن المسحور أو قلبه أو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بالتأثير هنا ما يشمل الفعل والقوة، أو يفعل شيئاً من شأنه أن يؤثّر؛ إذ لا يشترط في تحريمه حصول التأثير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إرادة التأثير فعلاً يمكن على تكلف إخراجه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بدنه، فإنّ التأثير في القلب يتحقق بوجود أثره فيه وإن لم يضره، كما إذا تخيّل الحيّات الساعية ونحوها، فإنّه يفيد في القلب تأثيراً في الجملة، وهو خلاف تأثيره في البدن، فإنّ ظاهره كونه محض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أنه لاحقيقة له وإنما هو تخييل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أنّ تأثيره في بدن المسحور أمر محقق وجداني لاشبهة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كونه موهماً لحيات تسعى ونحوه تخييل، وبهذا يجمع بين الأدلة الدالة على الطرفين مع ضعف دلالة كثير منها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 عنده سرقة ضمنها، إلا أن يقيم البينة بشرائها، فيرجع على بائعها مع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هكذا وردت الرواية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بطريق ضعيف </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 للأصول الشرعيّة أنّه يضمنها على كل حال، بمعنى مطالبته بأدائها إن كانت عينها قائمة، وإلزامه بمثلها أو قيمتها إن كانت تالفة ولكن إن قام بشرائها من غيره جاهلاً بحالها تخيّر المالك بين الرجوع عليه بما ذكر، وبين الرجوع على البائع، كترتب الأيدي على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ضمنها استقرار الضمان عليه على تقدير أن لا يثبت شراؤه لها من غيره، فإن ثبت ذلك لم يستقرّ، بل يجوز له الرجوع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جهله مع وجود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 وزائد القيمة على الأقوى، وما غرمه على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مع تلفها على ما يأتي </w:t>
      </w:r>
      <w:r>
        <w:rPr>
          <w:rStyle w:val="FootnoteAnchor"/>
          <w:rtl w:val="true"/>
        </w:rPr>
        <w:footnoteReference w:id="689"/>
      </w:r>
      <w:r>
        <w:rPr>
          <w:rFonts w:ascii="Amiri" w:hAnsi="Amiri" w:eastAsia="Amiri" w:cs="Amiri"/>
          <w:color w:val="111111"/>
          <w:sz w:val="28"/>
          <w:sz w:val="28"/>
          <w:szCs w:val="28"/>
          <w:rtl w:val="true"/>
          <w:lang w:bidi="ar-SA"/>
        </w:rPr>
        <w:t>تفصيله، وحينئذٍ فأصل الضمان والرجوع متحققان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والنجش حرام، وهو الزيادة لزيادة مَنْ واطأه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لاشبهة فى أنّ النّجش المحرَّم ليس هو هذه الزيادة المذكورة، فإنّها واقعة من المخدوع، والتحريم منسوب إلى الخادع ، والمُحَرَّمُ هو زيادة الخادع التي أوجبت انخداع المشتري والتعريف السديد له أنّه الزيادة في ثمن السلعة ممن لا يريد شراءها ؛ ليحض غيره عليه وإن لم يكن بمواطأة البائع، وكلام أهل اللغة موافق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النَجْش مَدْح الشيء وإطراؤه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لا يمدح أحدكم السلعة ويزيد في ثمنها وهو لا يريد شراءها، ليسمعه غيره فيزيد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أطلق فالأقرب تحريم أخذه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مستند التحريم صحيحة عبدالرحمن بن الحجاج الدالة على النهي عن أخذه منه </w:t>
      </w:r>
      <w:r>
        <w:rPr>
          <w:rStyle w:val="FootnoteAnchor"/>
          <w:rtl w:val="true"/>
        </w:rPr>
        <w:footnoteReference w:id="691"/>
      </w:r>
      <w:r>
        <w:rPr>
          <w:rFonts w:ascii="Amiri" w:hAnsi="Amiri" w:eastAsia="Amiri" w:cs="Amiri"/>
          <w:color w:val="111111"/>
          <w:sz w:val="28"/>
          <w:sz w:val="28"/>
          <w:szCs w:val="28"/>
          <w:rtl w:val="true"/>
          <w:lang w:bidi="ar-SA"/>
        </w:rPr>
        <w:t>، لكنّ الرواية مقطوعة، ولم يذكر الأصحاب في هذا الباب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روى الشيخ في زيادات التهذيب حديثين </w:t>
      </w:r>
      <w:r>
        <w:rPr>
          <w:rStyle w:val="FootnoteAnchor"/>
          <w:rtl w:val="true"/>
        </w:rPr>
        <w:footnoteReference w:id="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حسن، والآخر يبلغ مرتبة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أخذه منه لغيره، وهو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أكل ما يُنتَرُ في الأعراس مع علم الإباحة، إما لفظاً أو بشاهد الحال، ويُكره انتهابه، فإن لم يعلم قصد الإباحة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بالعلم هنا ما يشمل الظنّ الغالب المستفاد من قرائن الأحوال ،والعادات وهو الحكم في جواز الانتهاب فإن وجد فيهما جاز، وإن انتفى فيهما أو في أحدهما امتنع وكذا غير العرس مما أشبهه من الولائم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جهله تصدّق بها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اليأس من معرفته، وإلا بقيت أمانة إلى أن يحصل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مع الضرورة المخوف معها التلف</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نبه بقيد الضرورة المخوف معها التلف على عدم الفرق بين الابن في ذلك والأجنبي، إذ الحكم في الأجنبي عند خوف التلف ذلك، وإنّما يجوز فيهما عنده بالعوض لا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الولد بالحكم؛ للرد على ماورد في بعض الأخبار من أنّ الولد وماله لأبيه</w:t>
      </w:r>
      <w:r>
        <w:rPr>
          <w:rStyle w:val="FootnoteAnchor"/>
          <w:rtl w:val="true"/>
        </w:rPr>
        <w:footnoteReference w:id="693"/>
      </w:r>
      <w:r>
        <w:rPr>
          <w:rFonts w:ascii="Amiri" w:hAnsi="Amiri" w:eastAsia="Amiri" w:cs="Amiri"/>
          <w:color w:val="111111"/>
          <w:sz w:val="28"/>
          <w:sz w:val="28"/>
          <w:szCs w:val="28"/>
          <w:rtl w:val="true"/>
          <w:lang w:bidi="ar-SA"/>
        </w:rPr>
        <w:t xml:space="preserve">، الموهم جواز أخذ الأب منه مطلقاً، وهو محمول على تأكد استحباب بذله للأب، أو على وقت الحاجة، أو غير ذلك مما تندفع به المنافاة بينه وبين غيره من </w:t>
      </w:r>
    </w:p>
    <w:p>
      <w:pPr>
        <w:pStyle w:val="BookText"/>
        <w:rPr/>
      </w:pPr>
      <w:r>
        <w:rPr>
          <w:rFonts w:ascii="Amiri" w:hAnsi="Amiri" w:eastAsia="Amiri" w:cs="Amiri"/>
          <w:color w:val="111111"/>
          <w:sz w:val="28"/>
          <w:sz w:val="28"/>
          <w:szCs w:val="28"/>
          <w:rtl w:val="true"/>
          <w:lang w:bidi="ar-SA"/>
        </w:rPr>
        <w:t>الأدلّة المستفادة من الكتاب</w:t>
      </w:r>
      <w:r>
        <w:rPr>
          <w:rStyle w:val="FootnoteAnchor"/>
          <w:rtl w:val="true"/>
        </w:rPr>
        <w:footnoteReference w:id="694"/>
      </w:r>
      <w:r>
        <w:rPr>
          <w:rFonts w:ascii="Amiri" w:hAnsi="Amiri" w:eastAsia="Amiri" w:cs="Amiri"/>
          <w:color w:val="111111"/>
          <w:sz w:val="28"/>
          <w:sz w:val="28"/>
          <w:szCs w:val="28"/>
          <w:rtl w:val="true"/>
          <w:lang w:bidi="ar-SA"/>
        </w:rPr>
        <w:t xml:space="preserve">، والسنة </w:t>
      </w:r>
      <w:r>
        <w:rPr>
          <w:rStyle w:val="FootnoteAnchor"/>
          <w:rtl w:val="true"/>
        </w:rPr>
        <w:footnoteReference w:id="695"/>
      </w:r>
      <w:r>
        <w:rPr>
          <w:rFonts w:ascii="IRNazanin" w:hAnsi="IRNazanin" w:eastAsia="IRNazanin"/>
          <w:color w:val="111111"/>
          <w:sz w:val="28"/>
          <w:sz w:val="28"/>
          <w:szCs w:val="28"/>
          <w:rtl w:val="true"/>
          <w:lang w:bidi="fa-IR"/>
        </w:rPr>
        <w:t xml:space="preserve">، والإجماع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وللأب المُعْسِر التناول من مال ولده الموسر قدر مؤونته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ذلك بين الولد الصغير والكبير، غير أنّ الصغير يتولّى أبوه الأخذ بطريق الولاية، والكبير يتوقف على إذنه، فإن امتنع رفع أمره إلى الحاكم؛ ليأخذه منه قهراً، فإنْ تعذَّر استقل بالأخذ وكذا القول في كل من تجب نفقته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وكتمان العَيْب</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لا فرق في بين الظاهر والخفيّ، والخفيّ، هذا إذا لم يشتمل العيب على الغش، كمزج اللبن بالماء، وإلا حرم كتمانه</w:t>
      </w:r>
      <w:r>
        <w:rPr>
          <w:rFonts w:eastAsia="Amiri" w:cs="Amiri" w:ascii="Amiri" w:hAnsi="Amiri"/>
          <w:color w:val="111111"/>
          <w:sz w:val="28"/>
          <w:szCs w:val="28"/>
          <w:rtl w:val="true"/>
          <w:lang w:bidi="ar-SA"/>
        </w:rPr>
        <w:t xml:space="preserve">. </w:t>
      </w:r>
      <w:bookmarkStart w:id="490" w:name="pg10189_116192"/>
    </w:p>
    <w:p>
      <w:pPr>
        <w:pStyle w:val="Heading4"/>
        <w:numPr>
          <w:ilvl w:val="3"/>
          <w:numId w:val="1"/>
        </w:numPr>
        <w:rPr/>
      </w:pPr>
      <w:bookmarkStart w:id="491" w:name="__RefHeading___Toc2156686_1067777946"/>
      <w:bookmarkStart w:id="492" w:name="_Toc184"/>
      <w:bookmarkEnd w:id="490"/>
      <w:bookmarkEnd w:id="491"/>
      <w:r>
        <w:rPr>
          <w:rtl w:val="true"/>
        </w:rPr>
        <w:t>[</w:t>
      </w:r>
      <w:r>
        <w:rPr>
          <w:rtl w:val="true"/>
        </w:rPr>
        <w:t xml:space="preserve">المقصد الثاني في البيع </w:t>
      </w:r>
      <w:r>
        <w:rPr>
          <w:rtl w:val="true"/>
        </w:rPr>
        <w:t>]</w:t>
      </w:r>
      <w:bookmarkEnd w:id="492"/>
    </w:p>
    <w:p>
      <w:pPr>
        <w:pStyle w:val="Heading5"/>
        <w:numPr>
          <w:ilvl w:val="4"/>
          <w:numId w:val="1"/>
        </w:numPr>
        <w:rPr/>
      </w:pPr>
      <w:bookmarkStart w:id="493" w:name="__RefHeading___Toc2156688_1067777946"/>
      <w:bookmarkStart w:id="494" w:name="_Toc185"/>
      <w:bookmarkEnd w:id="493"/>
      <w:r>
        <w:rPr>
          <w:rtl w:val="true"/>
        </w:rPr>
        <w:t>[</w:t>
      </w:r>
      <w:r>
        <w:rPr>
          <w:rtl w:val="true"/>
        </w:rPr>
        <w:t>الفصل الأول</w:t>
      </w:r>
      <w:r>
        <w:rPr>
          <w:rtl w:val="true"/>
        </w:rPr>
        <w:t xml:space="preserve">: </w:t>
      </w:r>
      <w:r>
        <w:rPr>
          <w:rtl w:val="true"/>
        </w:rPr>
        <w:t xml:space="preserve">الصيغة </w:t>
      </w:r>
      <w:r>
        <w:rPr>
          <w:rtl w:val="true"/>
        </w:rPr>
        <w:t>]</w:t>
      </w:r>
      <w:bookmarkEnd w:id="49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البَيْع انتقال عين مملوكة من شخص إلى غيره بعوض مقدر على وجه التراضي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تنبيه على أنّ البيع ليس هو نفس العقد المشتمل على الإيجاب والقبول، بل أثره، وهذا هو الظاهر المتبادر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إختار أنه العقد </w:t>
      </w:r>
      <w:r>
        <w:rPr>
          <w:rStyle w:val="FootnoteAnchor"/>
          <w:rtl w:val="true"/>
        </w:rPr>
        <w:footnoteReference w:id="697"/>
      </w:r>
      <w:r>
        <w:rPr>
          <w:rFonts w:ascii="Amiri" w:hAnsi="Amiri" w:eastAsia="Amiri" w:cs="Amiri"/>
          <w:color w:val="111111"/>
          <w:sz w:val="28"/>
          <w:sz w:val="28"/>
          <w:szCs w:val="28"/>
          <w:rtl w:val="true"/>
          <w:lang w:bidi="ar-SA"/>
        </w:rPr>
        <w:t xml:space="preserve">، واحتج له بأنه المتبادر إلى الفهم واختاره ولده وشيخنا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التعريف إليه بجعله تعريفاً للسبب بالمسبب أو تعريفاً بالغاية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وتبادر هذا المعنى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المذكور مردود بأنّ الأوّل مجاز لا يُصار إليه في التعريفات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التعريف بالثاني أن لا تحمل الغاية على صاحبها حمل المواطأة أعني هو هو كغيرها من العلل لخروجها عنه، بل أخذ لفظ يمكن حمله عليه يشير إليها، وهو معنى اشتمال التعريف الكامل على العلل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تقرّر ذلك فتعريف المصنّف منتقض في عكسه بالبيع الإجباري، وفي طرده بالهبة المشروط فيها عوض مقدّر وبالصلح المشتمل على القيود، وبالإجارة، إذ انتقال العَيْن من شخص إلى آخر أعمّ من كونه على وجه استحقاق عينها ومنفعتها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للأوّل بأنّ البَيْع الإجباري واقع على وجه التراضي من الحاكم ونحوه، وكون الهبة على ذلك الوجه والصلح تبعاً، وأن المراد بانتقال العين على وجه ملكها متكلّف وعرفه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بعد اعتذاره و اعتراضه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وجوابه بما أشرنا إليه بأنّه اللفظ الدال على انتقال الأعيان بصيغتي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اشتريت ومايقوم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سلامته ممّا ذكر منقوض في طرده بلفظ الإخبار، فإنّه ليس ببيع، وفي عكسه بإشارة الأخرس ونحوه المفيد للبيع، فإنّها ليست لفظاً مع صحة البيع إجماعاً ولا يدفعه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يقوم مقامهما؛ لأنّ المراد به مايقوم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الألفاظ الدالّة عليه 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 من الألفاظ لاشبه اللفظ كما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وشريت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بالتخفيف لفظ مشترك بين البيع والشراء، ففي الشراء واضح، وجاء منه في البيع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أي باعوه، وحينئذٍ فيصح وقوع العقد به إيجاباً وقبولاً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المصنّف منه على الفرد الخفيّ وهو الإيجاب</w:t>
      </w:r>
      <w:r>
        <w:rPr>
          <w:rFonts w:eastAsia="Amiri" w:cs="Amiri" w:ascii="Amiri" w:hAnsi="Amiri"/>
          <w:color w:val="111111"/>
          <w:sz w:val="28"/>
          <w:szCs w:val="28"/>
          <w:rtl w:val="true"/>
          <w:lang w:bidi="ar-SA"/>
        </w:rPr>
        <w:t xml:space="preserve">. </w:t>
      </w:r>
      <w:bookmarkStart w:id="495" w:name="pg10189_116194"/>
    </w:p>
    <w:p>
      <w:pPr>
        <w:pStyle w:val="Heading5"/>
        <w:numPr>
          <w:ilvl w:val="4"/>
          <w:numId w:val="1"/>
        </w:numPr>
        <w:rPr/>
      </w:pPr>
      <w:bookmarkStart w:id="496" w:name="__RefHeading___Toc2156690_1067777946"/>
      <w:bookmarkStart w:id="497" w:name="_Toc186"/>
      <w:bookmarkEnd w:id="495"/>
      <w:bookmarkEnd w:id="496"/>
      <w:r>
        <w:rPr>
          <w:rtl w:val="true"/>
        </w:rPr>
        <w:t xml:space="preserve">[ </w:t>
      </w:r>
      <w:r>
        <w:rPr>
          <w:rtl w:val="true"/>
        </w:rPr>
        <w:t>الفصل الثاني</w:t>
      </w:r>
      <w:r>
        <w:rPr>
          <w:rtl w:val="true"/>
        </w:rPr>
        <w:t xml:space="preserve">: </w:t>
      </w:r>
      <w:r>
        <w:rPr>
          <w:rtl w:val="true"/>
        </w:rPr>
        <w:t>المتعاقدان</w:t>
      </w:r>
      <w:r>
        <w:rPr>
          <w:rtl w:val="true"/>
        </w:rPr>
        <w:t>]</w:t>
      </w:r>
      <w:bookmarkEnd w:id="497"/>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يصح له استئجار المسلم أو ارتهانه؟ الأقرب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إن تعلّقتِ الإجارة بعَيْنه؛ لاستلزامه السبيل</w:t>
      </w:r>
      <w:r>
        <w:rPr>
          <w:rStyle w:val="FootnoteAnchor"/>
          <w:rtl w:val="true"/>
        </w:rPr>
        <w:footnoteReference w:id="701"/>
      </w:r>
      <w:r>
        <w:rPr>
          <w:rFonts w:ascii="Amiri" w:hAnsi="Amiri" w:eastAsia="Amiri" w:cs="Amiri"/>
          <w:color w:val="111111"/>
          <w:sz w:val="28"/>
          <w:sz w:val="28"/>
          <w:szCs w:val="28"/>
          <w:rtl w:val="true"/>
          <w:lang w:bidi="ar-SA"/>
        </w:rPr>
        <w:t>، والعُلُوّ</w:t>
      </w:r>
      <w:r>
        <w:rPr>
          <w:rStyle w:val="FootnoteAnchor"/>
          <w:rtl w:val="true"/>
        </w:rPr>
        <w:footnoteReference w:id="702"/>
      </w:r>
      <w:r>
        <w:rPr>
          <w:rFonts w:ascii="Amiri" w:hAnsi="Amiri" w:eastAsia="Amiri" w:cs="Amiri"/>
          <w:color w:val="111111"/>
          <w:sz w:val="28"/>
          <w:sz w:val="28"/>
          <w:szCs w:val="28"/>
          <w:rtl w:val="true"/>
          <w:lang w:bidi="ar-SA"/>
        </w:rPr>
        <w:t>، أمّا لو تعلّقت بذمته صح؛ لأنّه حينئذٍ سبيل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الرهن فإن كانتْ تحت يده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كان تحت يد مسلم مع كون الكافر وكيلاً في البيع والاستيفاء، ولو انتفى الأمران فالأقوى الجواز، لانتفاء السبيل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جواز الإيداع له والإعارة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اختلف </w:t>
      </w:r>
      <w:r>
        <w:rPr>
          <w:rStyle w:val="FootnoteAnchor"/>
          <w:rtl w:val="true"/>
        </w:rPr>
        <w:footnoteReference w:id="703"/>
      </w:r>
      <w:r>
        <w:rPr>
          <w:rFonts w:ascii="Amiri" w:hAnsi="Amiri" w:eastAsia="Amiri" w:cs="Amiri"/>
          <w:color w:val="111111"/>
          <w:sz w:val="28"/>
          <w:sz w:val="28"/>
          <w:szCs w:val="28"/>
          <w:rtl w:val="true"/>
          <w:lang w:bidi="ar-SA"/>
        </w:rPr>
        <w:t xml:space="preserve">كلام الأئمّة في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التعبير بالظرف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كون الضمير عائداً إلى الكافر المستعير للمسلم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أنه لا يشترط في صحة إعادته له وضعه على يد مسلم، كما اعتبر في الرهن على بعض الأقوال</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يتأدّى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الأمر اختياره هنا جواز إعادته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العارية من الكتاب</w:t>
      </w:r>
      <w:r>
        <w:rPr>
          <w:rStyle w:val="FootnoteAnchor"/>
          <w:rtl w:val="true"/>
        </w:rPr>
        <w:footnoteReference w:id="705"/>
      </w:r>
      <w:r>
        <w:rPr>
          <w:rFonts w:ascii="IRNazanin" w:hAnsi="IRNazanin" w:eastAsia="IRNazanin"/>
          <w:color w:val="111111"/>
          <w:sz w:val="28"/>
          <w:sz w:val="28"/>
          <w:szCs w:val="28"/>
          <w:rtl w:val="true"/>
          <w:lang w:bidi="fa-IR"/>
        </w:rPr>
        <w:t>اختار المنع مطلقاً، وهو أجود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يستردّ العبد أو القيمة؟ 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يسترد العبد، ويؤمر ببيعه ثانياً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البيع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الأقوى جواز بَيْعها حينئذٍ إن لم يمكن إعتاقها من بيت المال أو الزكاة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يباع الطفل بإسلام أبيه الحرّ أو العبد لغير مالكه ؟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التبعية في الموضعين فيباع على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لغير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للعبد أو حالاً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التقييد بكونه لغير مالكه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وكله غيره في شراء نفسه من مولاه صح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تفريعه على توقف تصرّفه على إذن مولاه إيجاب مولاه البيع معه يستلزم الإذنَ له والقبول فيصحُ البَيْع بحصول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تظهر أيضاً فائدة التقييد بشرائه من ،مولاه، فإنّه لو اشترى من وكيل مولاه في البيع لم يصح؛ لفقد الشرط وهو إذن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الفضولي موقوف على الإجازة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التفريع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 الفضولي غير صحيح لفقد الشرط، وهو كون البائع مالكاً أو مافى معناه، لكن لمّا كان المراد بالصحة هنا اللزوم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موقوف، في قوة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لازم المناسب للتفريع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إفادته الفائدة التصريح بالحكم المطلوب من بيع الفضولي، وعليه يترتب الرأي المذكور بعده؛ لأنّه أيضاً غير لازم من التفريع لكن اقتضاه الحكم بالوقوف بالقصد الثانى مراعاة للإيجاز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علم المشتري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المتبادر كون الإشكال في البيع، ويلزم منه الإشكال في صحة البيع على تقدير لحوق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يتوجّه الإشكال على مذهب المصنِّف مع تلف الثمن؛ ليحكم بملك البائع له حينئذ، فلا يتوجّه رجوع المالك به على تقدير الإجازة، ولاصحة البيع بغير ثمن أما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بقائه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مذهب الأكثر من عدم الرجوع به مطلقاً يتوجه الإشكال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الصحة وجواز البيع مطلقاً بناءً على أنّ الإجازة كاشفة، فتبين سبق ملكه على التصرّف بالملك لوفرض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اشتراط كون العقد له مجيز في الحال، فلو باع مال الطفل فبلغ وأجاز لم ينعقد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المناسب للتفريع على الأقرب أن يحكم بعدم النفوذ بغير إشكال، لكن نقل ولد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أنه إذا قال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حكماً بما ذكر قبل الإشكال، وفائدته التنبيه على الخلاف بخلاف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العبارتين فعلى هذا لا تنافي بين الحكم السابق والتفريع، لكنّه يستغني عن إعادة ما ينبه على الخلاف، والأمر فيه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باع مال غيره ثمّ ملكه وأجاز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الأجود كون المشبه به المشار إليه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هو عدم النفوذ والعطف عليه أي وكذا لا ينفذ لو باع ملك غيره، ثُمّ ملكه، لا من حيث إنّه لا مجيز له في الحال؛ لأنه متحقق هنا، بل لأن ملكه له إن كان فتل من المالك بالبيع ونحوه اقتضى بطلان عقد الفضولي لأنه عقد جائز بالنسبة إليه، فإذا أوقع عقداً لازماً ناقلاً للملك بطل الجائز، كنظائره من العقود الجائزة يلحقها تصرّف العاقد بعقد لازم ولافرق حينئذٍ بين نقله عن ملکه بعدعلمه بوقوع عقد الفضولي وعدمه مع احتمال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انتقال الملك إلى بائعه الفضولي بسبب الإرث من المالك فالظاهر أيضاً أنّه مبطل لعقد الفضولي قضيّة لحكم العقد الجائز، فإنّ الموت يبطله، إلا أن يدعى الفرق بين الجائز مطلقاً وما يمكن انتقاله إلى اللزوم، ويحكم حينئذ ببقاء أصل الصحة وتوقفه على إجازة الوارث، وهو الآن بائع الفضولي، فيأتي فيه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صرّح به السيد الشارح </w:t>
      </w:r>
      <w:r>
        <w:rPr>
          <w:rStyle w:val="FootnoteAnchor"/>
          <w:rtl w:val="true"/>
        </w:rPr>
        <w:footnoteReference w:id="707"/>
      </w:r>
      <w:r>
        <w:rPr>
          <w:rFonts w:ascii="Amiri" w:hAnsi="Amiri" w:eastAsia="Amiri" w:cs="Amiri"/>
          <w:color w:val="111111"/>
          <w:sz w:val="28"/>
          <w:sz w:val="28"/>
          <w:szCs w:val="28"/>
          <w:rtl w:val="true"/>
          <w:lang w:bidi="ar-SA"/>
        </w:rPr>
        <w:t>، ولا يخلو من إشكال بما ذكرناه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من ذوات الأمثال، قسط على الأجزاء سواء اتحدث العين أو تكثّرت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على إطلاقه، فإنّ تكثير العين من ذوات الأمثال يتناول مختلف الأجناس ومنفعتها مع اختلاف الأوصاف كالحِنْطَة والشعير ورديء الحنطة وجيدها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هذين لا يصح التقسيط على الأجزاء، بل على القيمة كالقيمي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فسخ تخيّر المشتري في فسخ المملوك والإمضاء، فيرجع من الثمن بقسط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والاقتضاء به مع جهله بالحال، وإلا لم يكن له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الإقرار فيُبنى على الإشاعة قطعاً،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الدار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فللمقرّ له ثلثاما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أنّ إقراره له بالنصف يقتضي أنّ للمقر الربع خاصّةً، ومجموع الحِصَّتين ثلاثة أجزاء من الدار من أربعة للمقرّ له منها جزءان وللمقرّ جزء، ويزعم أنّ الرابع خاصة للشريك، فإذا أنكر الشريك ذلك فقد ظلمهما في ربع بزعم المقر، فيكون ذهابه عليهما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النصف بينهما أثلاثاً بنسبة الحقين على الإشاعة، وينزل الذاهب منزلة التالف فيوزّع على استحقاقهما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نصف ما في يدي ونصف مافي يد شريكي، فإنّه لا يستحق مع إنكار الشريك إلّا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والحاكم وأمينه إنما يليان المحجور عليه لِصِغَرٍ أو جنونٍ أو فَلَسٍ أو سَفَهٍ أو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تجدّدهما بعد البلوغ، أو عدم الأب والجدّ له، وإلا فالولاية عليهما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والوصيّ إنما ينفذ تصرّفه بعد الموت مع صغر الموصى عليه أو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جنونه متصلاً بالصغر، وإلا فالولاية عليه للحاكم لا الوصي، وكذا مع السفه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يجعلاه مشتركاً بينهما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الأجود البطلان مطلقاً</w:t>
      </w:r>
      <w:r>
        <w:rPr>
          <w:rFonts w:eastAsia="IRNazanin" w:cs="IRNazanin"/>
          <w:color w:val="111111"/>
          <w:sz w:val="28"/>
          <w:szCs w:val="28"/>
          <w:rtl w:val="true"/>
          <w:lang w:bidi="fa-IR"/>
        </w:rPr>
        <w:t xml:space="preserve">. </w:t>
      </w:r>
      <w:bookmarkStart w:id="498" w:name="pg10189_116198"/>
    </w:p>
    <w:p>
      <w:pPr>
        <w:pStyle w:val="Heading5"/>
        <w:numPr>
          <w:ilvl w:val="4"/>
          <w:numId w:val="1"/>
        </w:numPr>
        <w:rPr/>
      </w:pPr>
      <w:bookmarkStart w:id="499" w:name="__RefHeading___Toc2156692_1067777946"/>
      <w:bookmarkStart w:id="500" w:name="_Toc187"/>
      <w:bookmarkEnd w:id="498"/>
      <w:bookmarkEnd w:id="499"/>
      <w:r>
        <w:rPr>
          <w:rtl w:val="true"/>
        </w:rPr>
        <w:t xml:space="preserve">[ </w:t>
      </w:r>
      <w:r>
        <w:rPr>
          <w:rtl w:val="true"/>
        </w:rPr>
        <w:t>الفصل الثالث</w:t>
      </w:r>
      <w:r>
        <w:rPr>
          <w:rtl w:val="true"/>
        </w:rPr>
        <w:t xml:space="preserve">: </w:t>
      </w:r>
      <w:r>
        <w:rPr>
          <w:rtl w:val="true"/>
        </w:rPr>
        <w:t>العوضان</w:t>
      </w:r>
      <w:r>
        <w:rPr>
          <w:rtl w:val="true"/>
        </w:rPr>
        <w:t>]</w:t>
      </w:r>
      <w:bookmarkEnd w:id="50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 المعقود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فعلاً أو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فيه العصير العنبي بعد غليانه، فإنّه يقبل التطهير بالقوة، فيصحُ بَيْعه حينئذ، وهو الأقوى بخلاف الخمر المتخذ للتخليل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طهارة العصير مقدورة للإنسان بخلاف تخليل الخمر؛ مضافاً إلى مادلّ على تحريم بيع الخمر بخصوصها من النصوص المتظافرة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السمك في الماء إلا أن يكون محصوراً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فيصحَ بَيْعه من هذه الحيثية، وإن امتنع من جهة كونه غير مشاهد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ينافي إطلاق جواز بيعه كذلك كونه مشروطاً بشرط آخر، ومثله في الباب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صحة بَيْعه من غير اختبار ولا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صحته من هذه الجهة، وهو ينافي اعتبار أمرٍ آخر كالمشاهدة أو الوصف فإنه معتبر فيه قطعاً، كما مر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بَيْعُ الوقفِ إلا أنْ يؤدّي بقاؤُه إلى خَرابه لخُلفِ أربابه، ويكون البَيْع أعود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الاكتفاء في جواز بيعه بوقوع الخُلفِ الشديد بين أربابه وإن لم يخف خَرابه؛ </w:t>
      </w:r>
    </w:p>
    <w:p>
      <w:pPr>
        <w:pStyle w:val="BookText"/>
        <w:rPr/>
      </w:pPr>
      <w:r>
        <w:rPr>
          <w:rFonts w:ascii="Amiri" w:hAnsi="Amiri" w:eastAsia="Amiri" w:cs="Amiri"/>
          <w:color w:val="111111"/>
          <w:sz w:val="28"/>
          <w:sz w:val="28"/>
          <w:szCs w:val="28"/>
          <w:rtl w:val="true"/>
          <w:lang w:bidi="ar-SA"/>
        </w:rPr>
        <w:t>لدلالة صحيحة علي بن مهزيار</w:t>
      </w:r>
      <w:r>
        <w:rPr>
          <w:rStyle w:val="FootnoteAnchor"/>
          <w:rtl w:val="true"/>
        </w:rPr>
        <w:footnoteReference w:id="710"/>
      </w:r>
      <w:r>
        <w:rPr>
          <w:rFonts w:ascii="Amiri" w:hAnsi="Amiri" w:eastAsia="Amiri" w:cs="Amiri"/>
          <w:color w:val="111111"/>
          <w:sz w:val="28"/>
          <w:sz w:val="28"/>
          <w:szCs w:val="28"/>
          <w:rtl w:val="true"/>
          <w:lang w:bidi="ar-SA"/>
        </w:rPr>
        <w:t>عليه؛ معللاً بأنّ ذلك مظنة لتلف الأموال والنفوس، لا أنّ وقوعهما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استفيد فيها اعتبار خوف خراب الوقف لم يكن بمجرّده شرطاً، بل مع أمر آخر كما لا يخفى، وهم لا يقولون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القبض، أو أعلى القيم من حين القبض إلى حين التلف على الخلاف وعليه أرش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اعتبار قيمته يوم التلف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الخلاف ما لو اختلفت القيمة السوقية، أما لو اختلفت لنقص في العين وجب الأعلى بغير إشكال، كما ينبه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وأرش النقص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أراه أنموذجاً،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 هذا النوع كذا بطل؛ لأنّه لم يُعيَّن مالاً ولا 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الأولى والأخيرة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مسألة الأنموذج مع عدم إدخاله التي استشكل فيها مع اشتراكهما في عدم دخول الأنموذج أنّ المبيع في الأولى أمر كلّى موصوف  بالأُنموذج المشاهد، وفي الأخيرة شخصي، وهو ما في البيت، وهو سبب الجزم بعدم الصحة في الأولى والاستشكال في الثانية؛ لأنّ المبيع غير موصوف ولامشاهد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الأُولى عدم التشخيص، فلو تلف الأنموذج لم يعلم المبيع، بخلاف المشخّص، فإنّه يرجع إليه وإن تلف، فكان أقرب إلى الصحة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في الفرق بين إدخال الأنموذج في البيع وعدمه نظر؛ لأن رؤيته إن قامت مقام وصف الباقي كفت في الموضعين، وإلا لم تكف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برؤية بعض المبيع على تقدير دخوله فيه أنه بمجرَّده غير كاف في الصحّةِ إن لم يستفد منه وصف الباقي، والحق أنه مستفاد من الأنموذج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والأقوى صحة البَيْع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يخص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ثلاثة أرباعها بجميع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ما يساوي واحداً ،وما يخصه، أنّ المراد بالأوّل مايساويه بحسب سعر السِلْعَة الواقع بين الناس، ومعرفته ممكنة قبل البيع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بما يخصه باعتبار توزيع الثمن عليها بحسب ذلك الثمن من غير التفات إلى السعر العام، ومن ثَمّ كانت معرفته دوريّة؛ لتوقف معرفة المستثنى على معرفة مقدار المبيع المتوقف على صحة البيع المتوقف على معرفة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دور بعينه، فإنّ مقدار المبيع ومقدار المستثنى يعرفان معاً، وإنما يصح مع معرفتهما بمقدار المبيع وقدر المستثنى حين العقد لترتفع الجهالة، ولا يكفي تمكنهما من استخراجه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علماه بالجبر والمقابلة أو غيرهما، صح البيع في أربعة أخماسها بجميع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طريقه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المستثنى المجهول شيئاً، فالمبيع السلعة إلا شيئاً يعدل أربعة أشياء؛ لأنّ الشيء جعل بإزاء الدرهم، فإذا جبرت المستثنى بشيء وأزلت الاستثناء وقابلت الزيادة بمثلها في الثمن صارتِ السِلْعَة تعدل خمسة أشياء، فالشيء خمسها، فيكون المستثنى خمسها والذي صح فيه البيع أربعة أخماسها بأربعة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وبطريق الخطأين يفرض المستثنى ربع السلعة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 الشيخ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وثلثها، فيقع الخطأ في الأوّل بثلث وفي الثاني بواحد؛ لأنا إذا فرضنا صحة البيع في ثلاثة أرباعها بالأربعة بطل في ربعها وهو مقابل الواحد وثلث، لأنّ الربع ثلث ماصح فيه البيع بأربعة، والتقدير أنه يقابل واحداً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فرضنا صحته في ثلثيها بالأربعة بطل في ثلثها وهو مقابل لاثنين؛ لأنه نصف </w:t>
      </w:r>
    </w:p>
    <w:p>
      <w:pPr>
        <w:pStyle w:val="BookText"/>
        <w:rPr/>
      </w:pPr>
      <w:r>
        <w:rPr>
          <w:rFonts w:ascii="Amiri" w:hAnsi="Amiri" w:eastAsia="Amiri" w:cs="Amiri"/>
          <w:color w:val="111111"/>
          <w:sz w:val="28"/>
          <w:sz w:val="28"/>
          <w:szCs w:val="28"/>
          <w:rtl w:val="true"/>
          <w:lang w:bidi="ar-SA"/>
        </w:rPr>
        <w:t>ماصح فيه البيع بأربعة، والتقدير أنه واحد كذلك، فوقع الخطأ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زائد، فيسقط أحد الخطأين من الآخر يبقى ثلثان، ويضرب الخطأ الأول وهو 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المجتمع من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المجتمع من الأربعة المفروضة والاثنين المقابلة للثلث فبلغ الضرب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العدد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خمسة وثلث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الخطأ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العدد فإذا أسقطت الأوّل من الثاني بقي ثلثه وثلث يقسمها على فضل ين وهو ثلثان بمعنى نسبتها إليها يكون خمساً؛ لأنّ الثلثين خمس الثلاثة وثلث فالمستثنى من المبيع خمس، والصحيح أربعة أخماسه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أن تفرضها خالية من الكسر فاجعل المبيع عدداً يخرج منه الكسران وهو اثنا عشر ربعها ثلاثة يقابل واحداً فتكون الأربعة مقابلة لاثني عشر، فهي مع المستثنى خمسة عشر، فأخطأت بثلاثة زائدة عن المجموع؛ لأنه مفروض اثني عشر، وثلثها أربعة يقابل واحداً، فتكون الأربعة مقابلة لستة عشر، فإذا ضممناها إلى المستثنى بلغت عشرين، فأخطأت بثمانية زائدة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فاضرب العدد الأول 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الخطأ الثاني يبلغ أربعة وعشرين، والعدد الثاني 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الأوّل يبلغ اثني عشر، يسقط أقلّها من الأكثر يبقى اثنا عشر تقسمها على فصل ما بين الخطأين وهو خمسة تخرج اثنان وخمسان هي المستثنى من مجموع السلعة، وقد فرضناها اثني عشر، وهي خمسها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 على ذلك ما لو كان الخطأين معاً ناقصين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أحدهما زائداً والآخر ناقصاً عملت كذلك، إلا أنك تقسم مجموع العددين على مجموع الخطأين، فما خرج بالقسمة تعتبر نسبته إلى ما فرضته من عدد السلعة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باعه بعشرة وثلث الثمن فهو خمسة عشر؛ لأنّ الثمن شيء يعدل عشرة وثلث شيء فالعشرة تعدل ثلثي الثمن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طريقه بالجبر أن يفرض الثمن شيئاً فالمبيع بعشرة وثلث شيء، يعدل شيئاً كاملاً، يسقط ثلث شيء بمثله تبقى العشرة معادلة لثلثي شيء، فالشيء خمسة عشر، وهو </w:t>
      </w:r>
    </w:p>
    <w:p>
      <w:pPr>
        <w:pStyle w:val="BookText"/>
        <w:rPr/>
      </w:pPr>
      <w:r>
        <w:rPr>
          <w:rFonts w:ascii="Amiri" w:hAnsi="Amiri" w:eastAsia="Amiri" w:cs="Amiri"/>
          <w:color w:val="111111"/>
          <w:sz w:val="28"/>
          <w:sz w:val="28"/>
          <w:szCs w:val="28"/>
          <w:rtl w:val="true"/>
          <w:lang w:bidi="ar-SA"/>
        </w:rPr>
        <w:t>الثمن المطلوب، أو تفرض ثلث الثمن شيئاً؛ لأنّه أيضاً مجهول فالمبيع بعشرة، وشيء يعدل ثلاثة أشياء، فإذا أسقطت شيئاً بشيء بقيت العشرة تعدل شيئين، فالشيء خمسة، وهو الثلث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وبطريق الخطأين تفرض الثلث ستة يكون الثمن ثمانية عشر، وقد كان بضميمته إلى العشرة ستة عشر عشر، ، فالخطأ باثنين زائدين، ثمّ تفرضه أربعة، فالثمن اثنا عشر، وقد كان بضميمته إلى العشرة أربعة عشر، فالخطأ باثنين ،ناقصين، فتضرب العدد الأول وهو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اثنتين يبلغ اثني عشر والعدد الثاني 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اثنان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ثمانية وجملة المضروبين عشرون تقسمها على مجموع الخطأين وهو أربعة يخص كلّ واحد خمسة وهي الثلث المجهول، وقس عليه الزائدين والناقصين مراعياً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الثمن، فهو ثلاثةَ عَشَرَ وتُلتُ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نفرض الثمن شيئاً فالمبيع بعشرة وربع الشيء يعدل شيئاً كاملاً، فإذا أسقطت ربع شيء بربع شيءٍ بقيت العشرة معادله لثلاثة أرباع شيء، فالربع ثلاثة وثلث، يضاف إلى العشرة تبلغ ماذكر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وبالخطأين نفرض الربع ثلاثة فيكون الثمن اثني عشر، وقد كان مع العشرة ثلاثة عشر  فالخطأ بواحد ناقص، ثمّ نفرض اثنين فيكون الثمن ثمانية، وقد كان مع العشرة اثنا عشر فالخطأ بأربعة ناقصة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فنضرب العدد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 الثاني 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اثني عشر ، والخطأ الأوّل في العدد الثاني يبلغ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إسقاط أوّلِ العددين من الأكثر يبقى عشرة، وبعد إسقاط أقلّ الخطأين من الأكثر يبقى ثلاثة، إذا قسمت عليها العشرة خصّ كلَّ واحدٍ ثلاثة وثلث، وهو الربع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الزائدين والمختلفين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تُلتَ الثمن، فهو سبعة ونصف</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نفرض الثمن شيئاً فالمبيع بعشرة إلا ثلث شيء يعدل شيئاً كاملاً، فأجبر الثلث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المستثنى وقابله بمثله في الثمن تصير العشرة تعدل شيئاً وثلثاً، فالشيء سبعة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وبالخطأين نفرض الثلاثة اثنين فيبقى الثمن ثمانية، وقد كان باعتبار أن ثلثه اثنان ستة فالخطأ باثنين ناقصين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نفرضه واحداً يبقى الثمن تسعة، ومقتضى الثلث أن يكون ثلاثة فالخطأ سنّة ناقصة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فنضرب العدد الأول وهو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 الثاني يبلغ اثني عشر، والعدد الثاني في الخط الأوّل يبلغ اثنين، ثمّ نقسم الفاضل من المبلغين بعد إسقاط الأقل من الأكثر وهو عشرة، على تفاوت ما بين الخطأين وهو أربعة يخص كلُّ واحدٍ اثنان و نصف وهو الثلث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وبالمختلفين نفرضه ثلاثة يبقى الثمن سبعة، و مقتضاه أن يكون تسعة، فالخطأ باثنين زائدين، ثمّ نفرضه اثنين يبقى ثمانية، ومقتضاه أن يكون ستة ، فالخطاً باثنين ناقصين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نضرب اثنين في اثنين واثنين في ثلاثة ونجمعها عشرة، ثمّ نقسمها على مجموع الخطأين وهو أربعة، يخرج اثنان ونصف، وهو الثلث المطلوب</w:t>
      </w:r>
      <w:r>
        <w:rPr>
          <w:rFonts w:eastAsia="Amiri" w:cs="Amiri" w:ascii="Amiri" w:hAnsi="Amiri"/>
          <w:color w:val="111111"/>
          <w:sz w:val="28"/>
          <w:szCs w:val="28"/>
          <w:rtl w:val="true"/>
          <w:lang w:bidi="ar-SA"/>
        </w:rPr>
        <w:t xml:space="preserve">. </w:t>
      </w:r>
      <w:bookmarkStart w:id="501" w:name="pg10189_116204"/>
    </w:p>
    <w:p>
      <w:pPr>
        <w:pStyle w:val="Heading4"/>
        <w:numPr>
          <w:ilvl w:val="3"/>
          <w:numId w:val="1"/>
        </w:numPr>
        <w:rPr/>
      </w:pPr>
      <w:bookmarkStart w:id="502" w:name="__RefHeading___Toc2156694_1067777946"/>
      <w:bookmarkStart w:id="503" w:name="_Toc188"/>
      <w:bookmarkEnd w:id="501"/>
      <w:bookmarkEnd w:id="502"/>
      <w:r>
        <w:rPr>
          <w:rtl w:val="true"/>
        </w:rPr>
        <w:t>المقصد الثالث في أنواع المبيع</w:t>
      </w:r>
      <w:bookmarkEnd w:id="503"/>
    </w:p>
    <w:p>
      <w:pPr>
        <w:pStyle w:val="Heading5"/>
        <w:numPr>
          <w:ilvl w:val="4"/>
          <w:numId w:val="1"/>
        </w:numPr>
        <w:rPr/>
      </w:pPr>
      <w:bookmarkStart w:id="504" w:name="__RefHeading___Toc2156696_1067777946"/>
      <w:bookmarkStart w:id="505" w:name="_Toc189"/>
      <w:bookmarkEnd w:id="504"/>
      <w:r>
        <w:rPr>
          <w:rtl w:val="true"/>
        </w:rPr>
        <w:t>[</w:t>
      </w:r>
      <w:r>
        <w:rPr>
          <w:rtl w:val="true"/>
        </w:rPr>
        <w:t>الفصل الأوّل</w:t>
      </w:r>
      <w:r>
        <w:rPr>
          <w:rtl w:val="true"/>
        </w:rPr>
        <w:t xml:space="preserve">: </w:t>
      </w:r>
      <w:r>
        <w:rPr>
          <w:rtl w:val="true"/>
        </w:rPr>
        <w:t>الحيوان</w:t>
      </w:r>
      <w:r>
        <w:rPr>
          <w:rtl w:val="true"/>
        </w:rPr>
        <w:t>]</w:t>
      </w:r>
      <w:bookmarkEnd w:id="505"/>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من دار الحرب إذا كان فيها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ذكراً كان أم أنثى، بشرط إمكان تولده منه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أقرّ بعد بلوغه بالرقيّة حُكم عليه بها مالم يكن معروف النسب، وكذا كلّ من أقرّ بها بالغاً رشيداً مجهولاً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يكون مع ذلك رشيداً على الأقوى، كما ينبه عليه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كلّ من أقرّ بها بالغاً رشيداً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يعتبر في التذكرة</w:t>
      </w:r>
      <w:r>
        <w:rPr>
          <w:rStyle w:val="FootnoteAnchor"/>
          <w:rtl w:val="true"/>
        </w:rPr>
        <w:footnoteReference w:id="712"/>
      </w:r>
      <w:r>
        <w:rPr>
          <w:rFonts w:ascii="Amiri" w:hAnsi="Amiri" w:eastAsia="Amiri" w:cs="Amiri"/>
          <w:color w:val="111111"/>
          <w:sz w:val="28"/>
          <w:sz w:val="28"/>
          <w:szCs w:val="28"/>
          <w:rtl w:val="true"/>
          <w:lang w:bidi="ar-SA"/>
        </w:rPr>
        <w:t xml:space="preserve">الرشيد؛ بناءً على أنّ متعلّق الإقرار ليس بمال ولا مستلزم له وهو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ويملك الرجل كل قريب وبعيد سوى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والأم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ملكاً مستقراً، وإلا فإنّه يملك الجميع في الجملة، ومن ثم أعتق عليه منهم من أعتق، لكن ملكهم غير مستقر فأطلق عليه عدم الملك واستثناه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ومايؤخذ من دار الحرب بغير إذن الإمام فهو للإمام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أن يؤخذ بطريق الجهاد ليصدق عليه اسم الغنيمة، وإلا فهو لآخذه؛ اقتصاراً فيما خالف الأصل على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عليه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حربي قهر حربياً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يدخل في الكلية غير من أبيح له ماذكر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ينعتق عليه كابنه وبنته وأبويه على إشكال ينشأ من دوام القهر المبطل للعتق لو فرض، ودوام القرابة الرافعة للملك بالقهر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في صحة بَيْع من ينعتق على قاهره ومنشؤه ممّا ذكر ويفهم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دوام القهر المبطل للعتق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وقوع العتق بهذا السبب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القهر لا ينافي أصل الملك قطعاً، ولهذا صح شراء من ينعتق عليه وحكم بملكه، ومن ثم ترتب عليه القطع، وحينئذٍ فيحكم بالملك في أوّل آنات القهر، ويتعقبه العتق في آنٍ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حينئذٍ القول بحصول الملك في الآن الثالث، والعتق بعده، 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دوام القهر إنّما يبطل استمرار حكم العتق لا أصله، وأن دوام القرابة</w:t>
      </w:r>
    </w:p>
    <w:p>
      <w:pPr>
        <w:pStyle w:val="BookText"/>
        <w:rPr/>
      </w:pPr>
      <w:r>
        <w:rPr>
          <w:rFonts w:ascii="Amiri" w:hAnsi="Amiri" w:eastAsia="Amiri" w:cs="Amiri"/>
          <w:color w:val="111111"/>
          <w:sz w:val="28"/>
          <w:sz w:val="28"/>
          <w:szCs w:val="28"/>
          <w:rtl w:val="true"/>
          <w:lang w:bidi="ar-SA"/>
        </w:rPr>
        <w:t>لا يرفع أصل الملك بالقهر، وإنما يبطل استمرار الملك، لأنها لاتنافيه، بل تجامعه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يصح البيع ؛ لعدم تحقق شرطه ويتعيّن كونه استنقاذاً ولا تلحقه أحكام البيع بالنسبة إلى المشتري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البائع فإن كان على وجه يحترم ما لحقه أحكام البيع،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أيضاً أن تنظر المصنف في لحوق أحكام البيع مطلقاً غير جيّد؛ لأنه إذا كان استنقاذاً لا بَيْعاً حقيقياً لم يتوجه النظر في لحوق أحكامه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مطلقه على الصحيح</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كون المراد بالمطلق هنا ما تقدّم من بيع نصفه وثلثه، فإنّه وقع مطلقاً، أي غير مبين كونه على الإشاعة أو التعيين، فيحمل على الصحيح وهو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حكم ما لو صرّح بالإشاعة مسكوتاً عنه لكنّه مستفاد من الحكم بصحة المطلق </w:t>
      </w:r>
    </w:p>
    <w:p>
      <w:pPr>
        <w:pStyle w:val="BookText"/>
        <w:rPr/>
      </w:pPr>
      <w:r>
        <w:rPr>
          <w:rFonts w:ascii="Amiri" w:hAnsi="Amiri" w:eastAsia="Amiri" w:cs="Amiri"/>
          <w:color w:val="111111"/>
          <w:sz w:val="28"/>
          <w:sz w:val="28"/>
          <w:szCs w:val="28"/>
          <w:rtl w:val="true"/>
          <w:lang w:bidi="ar-SA"/>
        </w:rPr>
        <w:t>بطريق ،أولى، فليس في تركه 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على بعد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لوباعه نصفه وثلثه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التصريح بالإشاعة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مطلقه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استئناف مسألة أُخرى وهي حكم ما لو أطلق، وإنّما حمل الإطلاق على الصحيح مع اشتراكه؛ لقيام القرينة على إرادته من حيث ظهور حمل النصف المطلق على الشائع، وإرادته نقل الملك، وصيانة كلامه عن الهذر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استثنى البائع الرأس والجلد، فالأقرب بطلان البيع، والصحة في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وكذا لو كان حيّاً وقصدا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اشتركا في الشراء وشرط أحدهما الرأس والجلد، لم يصح وكان له بقدر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البطلان إلا أن يكون مذبوحاً، أو يشترط ذَبحه، كما مر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الربح بيننا ولا خسران عليك، فالأقرب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ويتبعه بطلان العقد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والحمل حال البيع للبائع على رأي إلا أن يشترطه المشتري، فيثبت معه، فإن سقط قبل قبضه أو في الثلاثة من غير فعله قومت في الحالين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له معه والمراد أنه إذا اشترط الحمل فسقط قبل القبض أو في الثلاثة كان مضموناً على البائع كجملة البيع وأجزائه، بل الحمل على هذا التقدير من جملة أجزاء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في الحالين للعهد الخارجي، وهما حالة الحمل والإسقاط والمراد أنّها تُقَوَّم حاملاً ومُجْهِضاً </w:t>
      </w:r>
      <w:r>
        <w:rPr>
          <w:rStyle w:val="FootnoteAnchor"/>
          <w:rtl w:val="true"/>
        </w:rPr>
        <w:footnoteReference w:id="714"/>
      </w:r>
      <w:r>
        <w:rPr>
          <w:rFonts w:ascii="Amiri" w:hAnsi="Amiri" w:eastAsia="Amiri" w:cs="Amiri"/>
          <w:color w:val="111111"/>
          <w:sz w:val="28"/>
          <w:sz w:val="28"/>
          <w:szCs w:val="28"/>
          <w:rtl w:val="true"/>
          <w:lang w:bidi="ar-SA"/>
        </w:rPr>
        <w:t>لا حاملاً  وحائلاً، ويؤخذ بنسبة التفاوت بين الحالين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فرض كون الحمل غير مشترط فالتقدير كذلك إلّا أنّ اللازم تفاوت مابين كونها حاملاً الحمل لغيره ومُجهضاً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الحكم بثبوت الأرش هنا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الإشكال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فيه وفي الأرش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وبالأرش 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 العيب الحادث في الثلاثة، وقبل 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تحمل الرواية </w:t>
      </w:r>
      <w:r>
        <w:rPr>
          <w:rStyle w:val="FootnoteAnchor"/>
          <w:rtl w:val="true"/>
        </w:rPr>
        <w:footnoteReference w:id="715"/>
      </w:r>
      <w:r>
        <w:rPr>
          <w:rFonts w:ascii="Amiri" w:hAnsi="Amiri" w:eastAsia="Amiri" w:cs="Amiri"/>
          <w:color w:val="111111"/>
          <w:sz w:val="28"/>
          <w:sz w:val="28"/>
          <w:szCs w:val="28"/>
          <w:rtl w:val="true"/>
          <w:lang w:bidi="ar-SA"/>
        </w:rPr>
        <w:t>بالدفع إلى مولى الأب عبده كما كان على إنكار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الحمل ليس بجيّد؛ لأنه صرّح في الرواية مولى الأب يدعي شراءه بماله، فكيف يحمل على إنكاره البيع بل لاوجه لتكلّف تسديد الرواية؛ لأنها ضعيفة السند جداً، ولم تبلغ في الشهرة إلى حدٍّ يوجب تلقيها بالقبول على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والأقرب تسليمها إلى الحاكم من غير 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 والمراد به مع تعذر الوصول إلى المالك أو وكيله، وإلا قدّم على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بائع عبدٍ موصوفٍ في الذمة عبدين ليتخيّر المشتري، فأبق أحدهما ضمنه بقيمته، ويطالب بما اشتراه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فرض المسألة في العبدين؛ لأنهما مورد النص </w:t>
      </w:r>
      <w:r>
        <w:rPr>
          <w:rStyle w:val="FootnoteAnchor"/>
          <w:rtl w:val="true"/>
        </w:rPr>
        <w:footnoteReference w:id="716"/>
      </w:r>
      <w:r>
        <w:rPr>
          <w:rFonts w:ascii="Amiri" w:hAnsi="Amiri" w:eastAsia="Amiri" w:cs="Amiri"/>
          <w:color w:val="111111"/>
          <w:sz w:val="28"/>
          <w:sz w:val="28"/>
          <w:szCs w:val="28"/>
          <w:rtl w:val="true"/>
          <w:lang w:bidi="ar-SA"/>
        </w:rPr>
        <w:t>، وعدل عمّا تضمنته الرواية من الحكم بكون الموجود بينهما ويرتجع نصف الثمن، بمخالفته للأصول الشرعيّة انحصار الحق الكلّي قبل تعيينه في فردين وثبوت المبيع في نصف الموجود المقتضي للشركة، مع عدم الموجب لها، ثمّ الرجوع إلى التخيير لو وجد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المصنّف بضمان الآبق بقيمته الشامل لحالتي التفريط فيه وعدمه، بناءً على ضمان المقبوض بالسَوْم مطلقاً، وفيه نظر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مطالبته بما اشتراه مع كون الموجود بغير الصفة واضحة، وأما مع كونه بالصفة فيتعيّن حقه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لا فرق بين العبدين والعبيد وغيرهما من الأمتعة، وإنما يحصل الإشكال في التعدي لو عملنا بالرواية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على البائع استبراء الموطوءة بحَيْضة، أو خمسة وأربعين يوماً قبل بيعها إن كانت من ذوات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الحَيْضة على تقدير كونها ممّن تحيض والمدّة على تقدير عدم حَيْضها أصلاً أو استرابتها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يجب على المشتري قبل وطئها لو جهل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علم كونها موطوءة بطريق أولى، ولعله ترك حكمه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وطء الحامل قبلاً قبل مضي أربعة أشهر وعشرة أيام، ويُكره بعده إن كان عن 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اشتراك الجميع في الحكم بالتحريم قبل المدّة المذكورة، والكراهة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ورؤية المملوك ثمنه في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الكراهة على الرواية الشاملة لوقوعها بإراءة المولى له و عدمها؛ تبعاً للنصوص الدالة على ذلك، ففي رواية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اشتريت رأساً فلا تريَّن في كفّة الميزان، فما من رأس رأى ثمنه في كفّة الميزان فأفلح</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ميسّر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من نظر إلى ثمنه وهو يوزن لم يفلح </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الدروس يكره أن يريه ثمنه في الميزان </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برواية زرارة، وقد عرفت أنّها لا تدلُّ على ذلك بخصوصه، وإن كان تعلّق الحكم بالمولى أوضح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والتفرقة بين الطفل وأُمه قبل الاستغناء ببلوغ سبع سنين، أو مدة </w:t>
      </w:r>
    </w:p>
    <w:p>
      <w:pPr>
        <w:pStyle w:val="BookText"/>
        <w:rPr/>
      </w:pPr>
      <w:r>
        <w:rPr>
          <w:rFonts w:ascii="Amiri" w:hAnsi="Amiri" w:eastAsia="Amiri" w:cs="Amiri"/>
          <w:color w:val="111111"/>
          <w:sz w:val="28"/>
          <w:sz w:val="28"/>
          <w:szCs w:val="28"/>
          <w:rtl w:val="true"/>
          <w:lang w:bidi="ar-SA"/>
        </w:rPr>
        <w:t>الرضاع على خلاف، وقيل</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وغايته سبع سنين في الأُنثى، ومدة الرضاع في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الرجوع بالعقر وأجرة الخدمة نظر ينشأ من إباحة البائع له بغير عوض، ومن استيفاء عوضه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إباحة البائع للوطء والخدمة بغير عوض يخصهما، فإنّه إنما جعل العوض وهو الثمن في مقابلة الرقيّة، ولهذا كان تقسيطه حيث يحتاج إليه على أجزائها دون منافعها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بإباحته لذلك إيقاعه المعاوضة المقتضية لها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الرجوع بهما، كما يرجع بنماء المبيع لو رجع به عليه</w:t>
      </w:r>
      <w:r>
        <w:rPr>
          <w:rFonts w:eastAsia="Amiri" w:cs="Amiri" w:ascii="Amiri" w:hAnsi="Amiri"/>
          <w:color w:val="111111"/>
          <w:sz w:val="28"/>
          <w:szCs w:val="28"/>
          <w:rtl w:val="true"/>
          <w:lang w:bidi="ar-SA"/>
        </w:rPr>
        <w:t xml:space="preserve">. </w:t>
      </w:r>
      <w:bookmarkStart w:id="506" w:name="pg10189_116210"/>
    </w:p>
    <w:p>
      <w:pPr>
        <w:pStyle w:val="Heading5"/>
        <w:numPr>
          <w:ilvl w:val="4"/>
          <w:numId w:val="1"/>
        </w:numPr>
        <w:rPr/>
      </w:pPr>
      <w:bookmarkStart w:id="507" w:name="__RefHeading___Toc2156698_1067777946"/>
      <w:bookmarkStart w:id="508" w:name="_Toc190"/>
      <w:bookmarkEnd w:id="506"/>
      <w:bookmarkEnd w:id="507"/>
      <w:r>
        <w:rPr>
          <w:rtl w:val="true"/>
        </w:rPr>
        <w:t>[</w:t>
      </w:r>
      <w:r>
        <w:rPr>
          <w:rtl w:val="true"/>
        </w:rPr>
        <w:t xml:space="preserve">الفصل الثاني في بيع الثمار </w:t>
      </w:r>
      <w:r>
        <w:rPr>
          <w:rtl w:val="true"/>
        </w:rPr>
        <w:t>]</w:t>
      </w:r>
      <w:bookmarkEnd w:id="508"/>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قبله مطلقاً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جواز بيعها حينئذٍ أزيد من عام، ومع الضميمة، وإن كان الوقوف مع المشهور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تجوز قبل الظهور عاماً ولا اثنين على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الجواز أزيد من عام كالنخل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منع ضمن وكذا لو تعيَّبت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الضمان كونه سبباً في التلف مع عدم وجود مباشر يترجح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الفرق بينه وبين منع المالك من حفظ دابته، والجلوس على بساطه حتى هلك، مع تحقق السببية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قيل</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الفرق بكون البائع ذا يد على الأصول، فيمنعه المشتري من السقي فيصير ذا يدٍ على الثمن أيضاً باعتبار التبعية، فيضمن كما لو منع صاحب البيت من له صندوق فيه عن حفظه حتى 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أنّ البائع قد لا يمنع المشتري هنا من التصرف في الثمرة أصلاً ولا يرفع يده عنها، بل هو المفروض، وإنما منعه من السقي خاصةً فلا يتحقق إثبات يد على الثمن بمجرده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 منه فيمكن حمله على تلك الحالة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الدروس حكم بضمان كل من البائع والمشتري لو منع الآخر من السقي فتلف </w:t>
      </w:r>
    </w:p>
    <w:p>
      <w:pPr>
        <w:pStyle w:val="BookText"/>
        <w:rPr/>
      </w:pPr>
      <w:r>
        <w:rPr>
          <w:rFonts w:ascii="IRNazanin" w:hAnsi="IRNazanin" w:eastAsia="IRNazanin"/>
          <w:color w:val="111111"/>
          <w:sz w:val="28"/>
          <w:sz w:val="28"/>
          <w:szCs w:val="28"/>
          <w:rtl w:val="true"/>
          <w:lang w:bidi="fa-IR"/>
        </w:rPr>
        <w:t>ماله أو عاب</w:t>
      </w:r>
      <w:r>
        <w:rPr>
          <w:rStyle w:val="FootnoteAnchor"/>
          <w:rtl w:val="true"/>
        </w:rPr>
        <w:footnoteReference w:id="722"/>
      </w:r>
      <w:r>
        <w:rPr>
          <w:rFonts w:ascii="Amiri" w:hAnsi="Amiri" w:eastAsia="Amiri" w:cs="Amiri"/>
          <w:color w:val="111111"/>
          <w:sz w:val="28"/>
          <w:sz w:val="28"/>
          <w:szCs w:val="28"/>
          <w:rtl w:val="true"/>
          <w:lang w:bidi="ar-SA"/>
        </w:rPr>
        <w:t>، وهو أقوى إشكالاً ممّاهنا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المذكور لا يتم في منع المشتري البائع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يسري المنع إلى ثمر الشجر؟ الأقرب ذلك؛ لتطرق الربا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التعليل بتطرّق الربا غير جيّدٍ ؛ لأنّ الثمرة على الشجرة ليست مكيلة ولا موزونة؛ فلا يدخلها الربا عندنا، وإنما يتم على مذهب العامة الذين يجعلون الربا ثابتاً في مطلق المطعوم </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الإشكال الذي ذكره راجع إلى العلّة لذلك لا إلى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فالأقوى تعدّي التحريم إلى الجميع؛ عملاً بالعلة المنصوصة في بيع الرطب بالتمر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يجب التماثل في الخرص بين ثمرتها عند الجفاف وثمنها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أنّ المعتبر في ثمن العَرِيّة كونه بقدر ما عليها من التمر، على تقدير صيرورته تمراً، بمعنى أنه لو كان عليها مائة رطل رطباً مثلاً وقدرت بخمسين تمراً، اعتبر بيعها بخمسين تمراً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المماثلة المعتبرة بين ثمرتها رطباً وثمنها تمراً فيعتبر بيعها في المثال المذكور بمائة تمراً</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صرّح المصنف في التذكرة </w:t>
      </w:r>
      <w:r>
        <w:rPr>
          <w:rStyle w:val="FootnoteAnchor"/>
          <w:rtl w:val="true"/>
        </w:rPr>
        <w:footnoteReference w:id="726"/>
      </w:r>
      <w:r>
        <w:rPr>
          <w:rFonts w:ascii="Amiri" w:hAnsi="Amiri" w:eastAsia="Amiri" w:cs="Amiri"/>
          <w:color w:val="111111"/>
          <w:sz w:val="28"/>
          <w:sz w:val="28"/>
          <w:szCs w:val="28"/>
          <w:rtl w:val="true"/>
          <w:lang w:bidi="ar-SA"/>
        </w:rPr>
        <w:t>وجعله مستثنى من بَيْع الرطب بالتمر متساوياً، والأصح الأول، ويمكن تنزيل العبارة على الأمرين، وإن كان الأوّل أولى</w:t>
      </w:r>
      <w:r>
        <w:rPr>
          <w:rFonts w:eastAsia="Amiri" w:cs="Amiri" w:ascii="Amiri" w:hAnsi="Amiri"/>
          <w:color w:val="111111"/>
          <w:sz w:val="28"/>
          <w:szCs w:val="28"/>
          <w:rtl w:val="true"/>
          <w:lang w:bidi="ar-SA"/>
        </w:rPr>
        <w:t xml:space="preserve">. </w:t>
      </w:r>
      <w:bookmarkStart w:id="509" w:name="pg10189_116212"/>
    </w:p>
    <w:p>
      <w:pPr>
        <w:pStyle w:val="Heading5"/>
        <w:numPr>
          <w:ilvl w:val="4"/>
          <w:numId w:val="1"/>
        </w:numPr>
        <w:rPr/>
      </w:pPr>
      <w:bookmarkStart w:id="510" w:name="__RefHeading___Toc2156700_1067777946"/>
      <w:bookmarkStart w:id="511" w:name="_Toc191"/>
      <w:bookmarkEnd w:id="509"/>
      <w:bookmarkEnd w:id="510"/>
      <w:r>
        <w:rPr>
          <w:rtl w:val="true"/>
        </w:rPr>
        <w:t xml:space="preserve">[ </w:t>
      </w:r>
      <w:r>
        <w:rPr>
          <w:rtl w:val="true"/>
        </w:rPr>
        <w:t>الفصل الثالث في الصرف</w:t>
      </w:r>
      <w:r>
        <w:rPr>
          <w:rtl w:val="true"/>
        </w:rPr>
        <w:t>]</w:t>
      </w:r>
      <w:bookmarkEnd w:id="511"/>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وشرطه التقابض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 هنا كناية عن عدم التفرق، مثل إطلاقهم خيار المجلس، مع اتفاقهم على ثبوته مالم يفترقا وإن فارقا مجلس العقد، وهو مجاز مشهور أو حقيقة 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والمغشوش يباع بغير جنسه إن جهل ،قدره، وإلا جاز ،بجنسه بشرط زيادة السليم في مقابلة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متى علم زيادة الثمن على مافيه من مجانسه لتقابل الزيادة الغش، جاز بَيْعه بجنسه سواء علم مقداره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اشتراطه جهالة قدره مبني على الغالب، من عدم بذل المجانس مع الجهل بقدره على 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والمصاغ من النقدين إن جهل قدر كلّ واحد بيع بهما أو بغيرهما أو بالأقل إن تفاوتا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يجوز بَيْعه بأحدهما مع العلم بزيادته عن مقدار جنسه سواء علم به أم لا، وسواء كان هو الأقل أم الأكثر والتقييد بالأوّل لاوجه له، وكذا القول في المحلى بأحد النقدين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 الجنسان فله الأرش ماداما في المجلس، فإن فارقاه، فإن أخذ الأرش من جنس السليم بطل فيه، وإن كان مخالفاً صح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أخذ الأرش من جنس المعيب والسليم غير واضح من حيث الصرف؛ لاشتراكهما في وقوع القبض بعد التفرّق فيبطل والحقُّ أنّه إن أخذ الأرش من أحد النقدين بطل مطلقاً، وإن أخذه من غيرهما صح؛ لأنه حينئذ يكون بمنزلة بيع وصرف </w:t>
      </w:r>
    </w:p>
    <w:p>
      <w:pPr>
        <w:pStyle w:val="BookText"/>
        <w:rPr/>
      </w:pPr>
      <w:r>
        <w:rPr>
          <w:rFonts w:ascii="Amiri" w:hAnsi="Amiri" w:eastAsia="Amiri" w:cs="Amiri"/>
          <w:color w:val="111111"/>
          <w:sz w:val="28"/>
          <w:sz w:val="28"/>
          <w:szCs w:val="28"/>
          <w:rtl w:val="true"/>
          <w:lang w:bidi="ar-SA"/>
        </w:rPr>
        <w:t>فلا يضرُّ التقابض في البَيع بعد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عنه تلامذته تكلّفات في تصحيح العبارة ولا تتم بشيء منها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أخبره بالوزن، ثم وجد نقصاً بعد العقد، بطل الصرف مع اتحاد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يبطل الصرف بتمامه مع تعيين العوضين، كبعتك هذا الدينار بهذا الدينار بظهور الربا بالنقصان، أما لو باعه ديناراً بدينار، ثمّ تقابضا، فظهر النقصان في أحدهما جاز إبداله قبل التفرّق، وبطل في قدر الزيادة خاصةً مع عدم التفرق قبل التقابض فيما 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الفرق بين مسألة الزيادة والنقصان فإنه هنا يصح لتحقق التقابض وزيادة بخلاف النقصان، وينبه على إرادة المعنى الأول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ويتخيَّر مع الاختلاف بين الردّ والأخذ بالحصّة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يتمّ إلّا مع التعيين، إذ لو كان العوض الناقص مطلقاً تعين إبداله قبل التفرّق وصح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التعيين فليس له سواه، فلا رباً؛ لاختلاف الجنس، فيجبر النقصان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حكمه بأخذه بالحصة، لعدم وقوع العقد على ذلك، وإنّما وقع على المجموع في مقابلة المجموع الموجود فإما أن يرد للنقص أو يقبل الموجود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728"/>
      </w:r>
      <w:r>
        <w:rPr>
          <w:rFonts w:ascii="Amiri" w:hAnsi="Amiri" w:eastAsia="Amiri" w:cs="Amiri"/>
          <w:color w:val="111111"/>
          <w:sz w:val="28"/>
          <w:sz w:val="28"/>
          <w:szCs w:val="28"/>
          <w:rtl w:val="true"/>
          <w:lang w:bidi="ar-SA"/>
        </w:rPr>
        <w:t>في نظير المسألة خلاف واختيار من المصنف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علما وجوده أو ظنّاه أو شكّا فيه، فإن ظهر عدمه بطل الصرف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بتأويل ،مذكّر، كالمال والدينار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التذكرة </w:t>
      </w:r>
      <w:r>
        <w:rPr>
          <w:rStyle w:val="FootnoteAnchor"/>
          <w:rtl w:val="true"/>
        </w:rPr>
        <w:footnoteReference w:id="729"/>
      </w:r>
      <w:r>
        <w:rPr>
          <w:rFonts w:ascii="Amiri" w:hAnsi="Amiri" w:eastAsia="Amiri" w:cs="Amiri"/>
          <w:color w:val="111111"/>
          <w:sz w:val="28"/>
          <w:sz w:val="28"/>
          <w:szCs w:val="28"/>
          <w:rtl w:val="true"/>
          <w:lang w:bidi="ar-SA"/>
        </w:rPr>
        <w:t>فرضها ديناراً وفرع عليه كذلك ولا فرق في البطلان مع تبين عدمه بين كونه مضموناً وعدمه؛ لأنّ البيع إنما وقع على غير المودع فلا يتناول بدله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w:t>
      </w:r>
      <w:r>
        <w:rPr>
          <w:rStyle w:val="FootnoteAnchor"/>
          <w:rtl w:val="true"/>
        </w:rPr>
        <w:footnoteReference w:id="730"/>
      </w:r>
      <w:r>
        <w:rPr>
          <w:rFonts w:ascii="IRNazanin" w:hAnsi="IRNazanin" w:eastAsia="IRNazanin"/>
          <w:color w:val="111111"/>
          <w:sz w:val="28"/>
          <w:sz w:val="28"/>
          <w:szCs w:val="28"/>
          <w:rtl w:val="true"/>
          <w:lang w:bidi="fa-IR"/>
        </w:rPr>
        <w:t>جواز ابتیاع درهم بدرهم وشرط صياغة خاتم، ولا يجوز التعدية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الرواية لم ترد مطلقة كما ذكر، وإنما وردت بإبدال درهم طازج بدرهم غلة مع جعل الغلة من الصائغ، والطازج الخالص </w:t>
      </w:r>
      <w:r>
        <w:rPr>
          <w:rStyle w:val="FootnoteAnchor"/>
          <w:rtl w:val="true"/>
        </w:rPr>
        <w:footnoteReference w:id="731"/>
      </w:r>
      <w:r>
        <w:rPr>
          <w:rFonts w:ascii="Amiri" w:hAnsi="Amiri" w:eastAsia="Amiri" w:cs="Amiri"/>
          <w:color w:val="111111"/>
          <w:sz w:val="28"/>
          <w:sz w:val="28"/>
          <w:szCs w:val="28"/>
          <w:rtl w:val="true"/>
          <w:lang w:bidi="ar-SA"/>
        </w:rPr>
        <w:t>، والغلّة غيره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فالصياغة منضمّة إلى المغشوش مقابلة للزائد من الخالص، وهذا لا محذور فيه بوجه، ولا إشكال في تعديته إلى ما أشبهه</w:t>
      </w:r>
      <w:r>
        <w:rPr>
          <w:rFonts w:eastAsia="Amiri" w:cs="Amiri" w:ascii="Amiri" w:hAnsi="Amiri"/>
          <w:color w:val="111111"/>
          <w:sz w:val="28"/>
          <w:szCs w:val="28"/>
          <w:rtl w:val="true"/>
          <w:lang w:bidi="ar-SA"/>
        </w:rPr>
        <w:t xml:space="preserve">. </w:t>
      </w:r>
      <w:bookmarkStart w:id="512" w:name="pg10189_116215"/>
    </w:p>
    <w:p>
      <w:pPr>
        <w:pStyle w:val="Heading4"/>
        <w:numPr>
          <w:ilvl w:val="3"/>
          <w:numId w:val="1"/>
        </w:numPr>
        <w:rPr/>
      </w:pPr>
      <w:bookmarkStart w:id="513" w:name="__RefHeading___Toc2156702_1067777946"/>
      <w:bookmarkStart w:id="514" w:name="_Toc192"/>
      <w:bookmarkEnd w:id="512"/>
      <w:bookmarkEnd w:id="513"/>
      <w:r>
        <w:rPr>
          <w:rtl w:val="true"/>
        </w:rPr>
        <w:t>[</w:t>
      </w:r>
      <w:r>
        <w:rPr>
          <w:rtl w:val="true"/>
        </w:rPr>
        <w:t xml:space="preserve">المقصد الرابع في أنواع البيع </w:t>
      </w:r>
      <w:r>
        <w:rPr>
          <w:rtl w:val="true"/>
        </w:rPr>
        <w:t>]</w:t>
      </w:r>
      <w:bookmarkEnd w:id="514"/>
    </w:p>
    <w:p>
      <w:pPr>
        <w:pStyle w:val="Heading5"/>
        <w:numPr>
          <w:ilvl w:val="4"/>
          <w:numId w:val="1"/>
        </w:numPr>
        <w:rPr/>
      </w:pPr>
      <w:bookmarkStart w:id="515" w:name="__RefHeading___Toc2156704_1067777946"/>
      <w:bookmarkStart w:id="516" w:name="_Toc193"/>
      <w:bookmarkEnd w:id="515"/>
      <w:r>
        <w:rPr>
          <w:rtl w:val="true"/>
        </w:rPr>
        <w:t>[</w:t>
      </w:r>
      <w:r>
        <w:rPr>
          <w:rtl w:val="true"/>
        </w:rPr>
        <w:t>الفصل الأول</w:t>
      </w:r>
      <w:r>
        <w:rPr>
          <w:rtl w:val="true"/>
        </w:rPr>
        <w:t>:]</w:t>
      </w:r>
      <w:bookmarkEnd w:id="516"/>
    </w:p>
    <w:p>
      <w:pPr>
        <w:pStyle w:val="Heading6"/>
        <w:numPr>
          <w:ilvl w:val="5"/>
          <w:numId w:val="1"/>
        </w:numPr>
        <w:rPr/>
      </w:pPr>
      <w:bookmarkStart w:id="517" w:name="__RefHeading___Toc2156706_1067777946"/>
      <w:bookmarkStart w:id="518" w:name="_Toc194"/>
      <w:bookmarkEnd w:id="517"/>
      <w:r>
        <w:rPr>
          <w:rtl w:val="true"/>
        </w:rPr>
        <w:t>[</w:t>
      </w:r>
      <w:r>
        <w:rPr>
          <w:rtl w:val="true"/>
        </w:rPr>
        <w:t xml:space="preserve">المطلب الأوّل في النقد والنسيئة </w:t>
      </w:r>
      <w:r>
        <w:rPr>
          <w:rtl w:val="true"/>
        </w:rPr>
        <w:t>]</w:t>
      </w:r>
      <w:bookmarkEnd w:id="518"/>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إن لم يكن شرطه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فيبطل مع اشتراطه على المشهور؛ للزوم الدور، حيث إنّ بَيْعه له يتوقف على ملكيته له المتوقفة على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توقف ملكيته على بيعه، وإنما يتوقف على البَيْعِ الأول الناقل للملك إليه ليتحقق البيع منه شرعاً، غايته أنه يملكه مع شرط آخر، وهو غير قادح كغيره من الشروط، خصوصاً بَيْعه من غيره فإنه جائز إجماعاً مع جريان ما ذكر من الدور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أيضاً بعدم قصد البائع خروجه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المعروض قصده إليه، وإنما شرط عوده بعد انتقاله عن ملكه المتوقف على قصده، ملكه المتوقف على قصده، ولو كان ذلك مانعاً لمنع لو قصداه وإن لم يشترطاه في متن العقد مع اتفاقهم على عدم تأثير قصد ذلك من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البيع نسيئة بزيادة عن قيمته ونقصان مع علم المشتري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علمه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يراد بالجواز حينئذ اللزوم؛ لئلا يقتضي عدم صحة بَيْع </w:t>
      </w:r>
      <w:bookmarkStart w:id="519" w:name="pg10189_116216"/>
    </w:p>
    <w:p>
      <w:pPr>
        <w:pStyle w:val="BookText"/>
        <w:rPr/>
      </w:pPr>
      <w:bookmarkEnd w:id="519"/>
      <w:r>
        <w:rPr>
          <w:rFonts w:ascii="Amiri" w:hAnsi="Amiri" w:eastAsia="Amiri" w:cs="Amiri"/>
          <w:color w:val="111111"/>
          <w:sz w:val="28"/>
          <w:sz w:val="28"/>
          <w:szCs w:val="28"/>
          <w:rtl w:val="true"/>
          <w:lang w:bidi="ar-SA"/>
        </w:rPr>
        <w:t>الجاهل بالقيمة، مع الاتفاق على جوازه، وإن لم يثبت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العلم على الرشد ليبقى الجواز على ظاهره فبعيد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صحة البَيْع نظر، فإن قلنا به بطل الشرط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بصحة البيع دون الشرط ضعيف؛ لمخالفته لقصد المتبائعين الذي هو شرط صحة العقد</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2156708_1067777946"/>
      <w:bookmarkStart w:id="521" w:name="_Toc195"/>
      <w:bookmarkEnd w:id="520"/>
      <w:r>
        <w:rPr>
          <w:rtl w:val="true"/>
        </w:rPr>
        <w:t>[</w:t>
      </w:r>
      <w:r>
        <w:rPr>
          <w:rtl w:val="true"/>
        </w:rPr>
        <w:t>المطلب الثاني في السَلَف</w:t>
      </w:r>
      <w:r>
        <w:rPr>
          <w:rtl w:val="true"/>
        </w:rPr>
        <w:t>]</w:t>
      </w:r>
      <w:bookmarkEnd w:id="521"/>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بلا ثمن أو على أن لا ثمن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ففي انعقاده هبة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أكثر النُسَخ المعتبرة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انعقاده هبة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المعطوف عليه الحكم بانعقاد البيع وهو لا يوافق التوقف بعده، وكأنه عطفه على معنى الأقرب المقتضى للخلاف والمعنى، وكذا الخلاف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ثمّ أكمله باحتمال انعقاده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مستهجن، والأولى حذف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الموجود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النظر ممّا ذكر فإنّ ذكر البيع بغير ثمن دال بحسب المعنى على الهبة وإن كان استعمال لفظ البيع فيها بطريق المجاز، حيث إنّ المتبادر منه غيرها إلّا أنّ الإضافة المذكورة قرينة جليّة على إرادة الهبة وهي لا تنحصر في لفظ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تتأدّى بكلّ لفظ يدلّ عليها، وهذا 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اقتضاء البيع الثمن، فإخلافه عنه يوجب فساده، وهو الأقوى إلّا أن يصرّح بإرادة الهبة فيقوى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يكون مضموناً على القابض؟ فيه إشكال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مقتضى التفريع أن الإشكال في الضمان متفرع على الإشكال في وقوعه هبة أو بيعاً </w:t>
      </w:r>
    </w:p>
    <w:p>
      <w:pPr>
        <w:pStyle w:val="BookText"/>
        <w:rPr/>
      </w:pPr>
      <w:r>
        <w:rPr>
          <w:rFonts w:ascii="Amiri" w:hAnsi="Amiri" w:eastAsia="Amiri" w:cs="Amiri"/>
          <w:color w:val="111111"/>
          <w:sz w:val="28"/>
          <w:sz w:val="28"/>
          <w:szCs w:val="28"/>
          <w:rtl w:val="true"/>
          <w:lang w:bidi="ar-SA"/>
        </w:rPr>
        <w:t>فاسداً، وليس بمراد؛ لأنه على تقدير كونه هبة لا يتفرّع الضمان، وإنما يتفرع على القول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يحتمل كونه بيعاً فاسداً؛ نظراً إلى اللفظ فيكون مضموناً، وكونه هبة فاسدة؛ نظراً إلى المعنى، فلا يكون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المنشأ الذي ذكره وجه ثالث ، وهو أنّ الإشكال على تقدير كونه بَيْعاً فاسداً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ماذكره من اقتضاء البيع الفاسد الضمان، ومن احتمال خروج هذا الفرد منه، حيث صرّح بعدم الثمن، فإنّه يقتضي عدم الضمان؛ لأنه لم يوقعه على وجه المعاوضة، بل على وجه الإباحة والتمليك فلا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تفريعاً على عدم وقوعه هبة الضمان عملاً بظاهر اللفظ الدال على كونه بَيْعاً فاسداً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في الأوصاف الاستقصاء إلى أن يبلغ الغاية؛ لعسر الوجود، بل يقتصر على ما يتناوله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عسر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عزّته، كما هو الظاهر منه، وحينئذ فالاستقصاء المفضي إلى عسر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إمكانه في الجملة إمكاناً غير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لكنه غير واجب والمفضي إلى عزّة الوجود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التعليل بالعسر</w:t>
      </w:r>
      <w:r>
        <w:rPr>
          <w:rStyle w:val="FootnoteAnchor"/>
          <w:rtl w:val="true"/>
        </w:rPr>
        <w:footnoteReference w:id="732"/>
      </w:r>
      <w:r>
        <w:rPr>
          <w:rFonts w:ascii="Amiri" w:hAnsi="Amiri" w:eastAsia="Amiri" w:cs="Amiri"/>
          <w:color w:val="111111"/>
          <w:sz w:val="28"/>
          <w:sz w:val="28"/>
          <w:szCs w:val="28"/>
          <w:rtl w:val="true"/>
          <w:lang w:bidi="ar-SA"/>
        </w:rPr>
        <w:t>كان أيسر؛ ليبقى عدم الوجوب على ظاهره، إذ العسر قد يؤدّي إلى عدم الجواز كما إذا كان كثيراً يندر معه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عبر في الموضعين بعزة الوجود </w:t>
      </w:r>
      <w:r>
        <w:rPr>
          <w:rStyle w:val="FootnoteAnchor"/>
          <w:rtl w:val="true"/>
        </w:rPr>
        <w:footnoteReference w:id="733"/>
      </w:r>
      <w:r>
        <w:rPr>
          <w:rFonts w:ascii="Amiri" w:hAnsi="Amiri" w:eastAsia="Amiri" w:cs="Amiri"/>
          <w:color w:val="111111"/>
          <w:sz w:val="28"/>
          <w:sz w:val="28"/>
          <w:szCs w:val="28"/>
          <w:rtl w:val="true"/>
          <w:lang w:bidi="ar-SA"/>
        </w:rPr>
        <w:t>، مع تصديره بعدم الوجود كما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حينئذٍ معه عدم الجواز لا الوجوب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الإطناب في الوصف المفضي إلى عزّة الوجود، قد يمكن وجود الموصوف فينضبط بدونه فيصح السلم فيه مع عدم الاستقصاء، ويبطل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يوجد إلا بالاستقصاء المفضي إلى العزّة كاللآلئ الكبار، فلا يصح السلم فيها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وعبارة المصنّف تقتضي ذلك وليس فيها اختلال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الجارية الحسناء مع ولدها من القسم الأوّل، فوصفها الرافع للجهالة من غير استقصاء ليست معه عزيزة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وبالاستقصاء في اللون والشكل ووصف الأعضاء الخاصة بعزّ وجودها كما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والأردأ على إشكال، ينشأ من عدم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ماذكره  منشأ البطلان مع وصف الأردأ، ويظهر منه منشأ الصحة مع جوابه ووجه عدم الضبط أنّه ما من فرد رديء إلا ويمكن فرض أردأ منه، بل وجودة، فلا يكون هو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ووجوب قبض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إشارة إلى منشأ الصحة مع مافيه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 منع عدم الضبط المفضي إلى المنع؛ لأنّ الفرد الذي يؤدّى به الأرداً إن كان هو المسلم فيه ،فواضح وإلّا فهو أجود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w:t>
      </w:r>
      <w:r>
        <w:rPr>
          <w:rStyle w:val="FootnoteAnchor"/>
          <w:rtl w:val="true"/>
        </w:rPr>
        <w:footnoteReference w:id="734"/>
      </w:r>
      <w:r>
        <w:rPr>
          <w:rFonts w:ascii="Amiri" w:hAnsi="Amiri" w:eastAsia="Amiri" w:cs="Amiri"/>
          <w:color w:val="111111"/>
          <w:sz w:val="28"/>
          <w:sz w:val="28"/>
          <w:szCs w:val="28"/>
          <w:rtl w:val="true"/>
          <w:lang w:bidi="ar-SA"/>
        </w:rPr>
        <w:t>أنّ قبض الأجود عن الرديء واجب حيث يبذله المديون فيمكن تأدي الحق به، بل فيه زيادة الخير وفيه ما أشار إليه المصنّف من أن وجوب قبضه على تقدير بذله لا يقتضي كونه مضبوطاً وقت العقد ومتعيّناً في نفسه، وهو شرط في صحة العقد، فإنّه يجب تعيين المُسلّم فيه بحيث يمكن الرجوع إليه عند الحاجة، ويمكن تسليمه ولو بالقهر، وهذا لا يندفع ببذل المسلم إليه الجيد باختياره فيتعذر التخلُّص عند المماكسة، وحينئذ فالأقوى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يمكن ضبط أوصافه المطلوبة يصح السّلّم فيه وإن كان مما تمسه النار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نبه بذلك على خلاف بعض العامة، حيث جعل مس النار من موانع السلم </w:t>
      </w:r>
      <w:r>
        <w:rPr>
          <w:rStyle w:val="FootnoteAnchor"/>
          <w:rtl w:val="true"/>
        </w:rPr>
        <w:footnoteReference w:id="735"/>
      </w:r>
      <w:r>
        <w:rPr>
          <w:rFonts w:ascii="IRNazanin" w:hAnsi="IRNazanin" w:eastAsia="IRNazanin"/>
          <w:color w:val="111111"/>
          <w:sz w:val="28"/>
          <w:sz w:val="28"/>
          <w:szCs w:val="28"/>
          <w:rtl w:val="true"/>
          <w:lang w:bidi="fa-IR"/>
        </w:rPr>
        <w:t xml:space="preserve">، ولعدم </w:t>
      </w:r>
    </w:p>
    <w:p>
      <w:pPr>
        <w:pStyle w:val="BookText"/>
        <w:rPr/>
      </w:pPr>
      <w:r>
        <w:rPr>
          <w:rFonts w:ascii="Amiri" w:hAnsi="Amiri" w:eastAsia="Amiri" w:cs="Amiri"/>
          <w:color w:val="111111"/>
          <w:sz w:val="28"/>
          <w:sz w:val="28"/>
          <w:szCs w:val="28"/>
          <w:rtl w:val="true"/>
          <w:lang w:bidi="ar-SA"/>
        </w:rPr>
        <w:t>انضباط تأثيرها، ونحن نتكلّم على تقدير الانضباط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جارية كذلك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الحكم بالصحة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منعه فيما تقدّم</w:t>
      </w:r>
      <w:r>
        <w:rPr>
          <w:rStyle w:val="FootnoteAnchor"/>
          <w:rtl w:val="true"/>
        </w:rPr>
        <w:footnoteReference w:id="736"/>
      </w:r>
      <w:r>
        <w:rPr>
          <w:rFonts w:ascii="Amiri" w:hAnsi="Amiri" w:eastAsia="Amiri" w:cs="Amiri"/>
          <w:color w:val="111111"/>
          <w:sz w:val="28"/>
          <w:sz w:val="28"/>
          <w:szCs w:val="28"/>
          <w:rtl w:val="true"/>
          <w:lang w:bidi="ar-SA"/>
        </w:rPr>
        <w:t xml:space="preserve">من بطلانه في الجارية الحسناء ذات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بمطلقها هنا غير الحسناء ممّا لا يعزُّ وجودها، وعلى ما اخترناه فهي على إطلاقها مقيّدة بالقيد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حامل على إشكال ينشأ من الجهل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لا يصلح منشأ للمنع، خصوصاً على ما أسلفه </w:t>
      </w:r>
      <w:r>
        <w:rPr>
          <w:rStyle w:val="FootnoteAnchor"/>
          <w:rtl w:val="true"/>
        </w:rPr>
        <w:footnoteReference w:id="737"/>
      </w:r>
      <w:r>
        <w:rPr>
          <w:rFonts w:ascii="Amiri" w:hAnsi="Amiri" w:eastAsia="Amiri" w:cs="Amiri"/>
          <w:color w:val="111111"/>
          <w:sz w:val="28"/>
          <w:sz w:val="28"/>
          <w:szCs w:val="28"/>
          <w:rtl w:val="true"/>
          <w:lang w:bidi="ar-SA"/>
        </w:rPr>
        <w:t>من أن المجهول إذا كان تابعاً للمعلوم لا يقدح في الصحة، وهو هنا كذلك، ولهذا صح بَيْعه مع الأم، 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والخَزُّ الممتزج من الإبريسم والوَبَرِ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بالوَبَر هنا وَبَرُ الخَز والمراد أنّ الخَزَّ الممتزج بالإبريسم يصح السلم فيه مع ضبط أجزائه، ولذلك عدى الامتزاج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في قوة الخَز المركب منه ومن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Style w:val="FootnoteAnchor"/>
          <w:rtl w:val="true"/>
        </w:rPr>
        <w:footnoteReference w:id="738"/>
      </w:r>
      <w:r>
        <w:rPr>
          <w:rFonts w:ascii="Amiri" w:hAnsi="Amiri" w:eastAsia="Amiri" w:cs="Amiri"/>
          <w:color w:val="111111"/>
          <w:sz w:val="28"/>
          <w:sz w:val="28"/>
          <w:szCs w:val="28"/>
          <w:rtl w:val="true"/>
          <w:lang w:bidi="ar-SA"/>
        </w:rPr>
        <w:t>إبدال المزج بالتركيب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تعدية الامتزاج بالباء فمشروط بذكر الممتزج بغيره،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امتزج كذا بكذا والأمر هنا ليس كذلك، وإنّما يتم لو اقتصر على امتزاجه بالحرير، أو يجعل الوَبَر أمراً خارجاً عن الخَز بأن يمزج الخَزّ بوَبَرٍ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تكلُّف غیر محتاج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عبارة التذكرة مايدلّ على ما ذكرناه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جواز اشتراط ما لا يَعُزُّ وجودهُ وإن كان استقصاء، كالسِمَن والجُعُودة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w:t>
      </w:r>
      <w:r>
        <w:rPr>
          <w:rStyle w:val="FootnoteAnchor"/>
          <w:rtl w:val="true"/>
        </w:rPr>
        <w:footnoteReference w:id="739"/>
      </w:r>
      <w:r>
        <w:rPr>
          <w:rFonts w:ascii="Amiri" w:hAnsi="Amiri" w:eastAsia="Amiri" w:cs="Amiri"/>
          <w:color w:val="111111"/>
          <w:sz w:val="28"/>
          <w:sz w:val="28"/>
          <w:szCs w:val="28"/>
          <w:rtl w:val="true"/>
          <w:lang w:bidi="ar-SA"/>
        </w:rPr>
        <w:t xml:space="preserve">أنّ الاستقصاء إن أفضى إلى عزّة الوجود لم يصح وإلا صح، وهو شامل لما فيه عسر و عدمه فنبه هنا على الخلاف فيه في الحمل، حيث يمكن الغناء عنه </w:t>
      </w:r>
    </w:p>
    <w:p>
      <w:pPr>
        <w:pStyle w:val="BookText"/>
        <w:rPr/>
      </w:pPr>
      <w:r>
        <w:rPr>
          <w:rFonts w:ascii="Amiri" w:hAnsi="Amiri" w:eastAsia="Amiri" w:cs="Amiri"/>
          <w:color w:val="111111"/>
          <w:sz w:val="28"/>
          <w:sz w:val="28"/>
          <w:szCs w:val="28"/>
          <w:rtl w:val="true"/>
          <w:lang w:bidi="ar-SA"/>
        </w:rPr>
        <w:t>كالسمن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وصف الحيوان بما ذكره من القيود يرفع الجهالة عنه، ويتأدّى الواجب حينئذٍ بالسمين وغيره وبجعد الشعر وغيره، فلا ينبغي التعرّض له لما فيه من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ومقابل الأقرب عدم الجواز إلحاقاً للعسر بالعزّة الممكن خلافها ولو نادراً، وربما احتمل كون مقابل الجواز اشتراط ذلك؛ بناءً على أنّ هذه الصفات مقصودة تتفاوت باعتبارها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ويمنع كون ذلك موجباً لوجوب شرطه؛ لما علم من أنّ الإطلاق محمول على أقلّ مراتب الواجب، وإن بقي هناك أفراد كثيرة متفاوتة في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اتحد لونه كفى نوعه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إلى النوع والمراد أنّ النوع المعتبر ذكره، والصنف منه إذا اختلفت أفراد النوع إنّما يكتفي به عن ذكر اللون إذا اتحد لون النوع ، أما لو اختلف لونه وجب مع ذلك التعرّض للون في النوع، ثمّ إن اتحد لون الصنف اكتفى بذكره عنه، وإلا وجب ذكره فيه واستغنى عن ذكره في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والنوع كنَعَم بني فلان أو نتاجهم بختي أو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بختي أو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بدل من نَعم بني فلان أو من نتاجهم؛ لأنّ في ذكر البختي والعربي تعييناً للنوع كما يتعين بنعم بني فلان، بل أزيد، حيث يكون لبني فلان نَعَم من النوعين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حينئذ أن يذكر النوع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نَعَم بني فلان ونتاجهم أو بختي أو عربي إلى آخر ما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كبختي أو عربي بزيادة الكاف، والمراد على هذا التقدير أنه يعيّن النوع بنعم بني فلان ونتاجهم، كما يعينه ببختي أو عربي، ولا يخلو من تكلّف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التعرّض للشيات</w:t>
      </w:r>
      <w:r>
        <w:rPr>
          <w:rStyle w:val="FootnoteAnchor"/>
          <w:rtl w:val="true"/>
        </w:rPr>
        <w:footnoteReference w:id="740"/>
      </w:r>
      <w:r>
        <w:rPr>
          <w:rFonts w:ascii="Amiri" w:hAnsi="Amiri" w:eastAsia="Amiri" w:cs="Amiri"/>
          <w:color w:val="111111"/>
          <w:sz w:val="28"/>
          <w:sz w:val="28"/>
          <w:szCs w:val="28"/>
          <w:rtl w:val="true"/>
          <w:lang w:bidi="ar-SA"/>
        </w:rPr>
        <w:t>، كالأغرّ والمُحَجِّل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جمع شية، وهي لون في الشيء يخالف سائر لونه ومثله الوشي، وهما </w:t>
      </w:r>
    </w:p>
    <w:p>
      <w:pPr>
        <w:pStyle w:val="BookText"/>
        <w:rPr/>
      </w:pPr>
      <w:r>
        <w:rPr>
          <w:rFonts w:ascii="Amiri" w:hAnsi="Amiri" w:eastAsia="Amiri" w:cs="Amiri"/>
          <w:color w:val="111111"/>
          <w:sz w:val="28"/>
          <w:sz w:val="28"/>
          <w:szCs w:val="28"/>
          <w:rtl w:val="true"/>
          <w:lang w:bidi="ar-SA"/>
        </w:rPr>
        <w:t>الأصل مصدر وشاه وَشْياً وشِيَة</w:t>
      </w:r>
      <w:r>
        <w:rPr>
          <w:rStyle w:val="FootnoteAnchor"/>
          <w:rtl w:val="true"/>
        </w:rPr>
        <w:footnoteReference w:id="741"/>
      </w:r>
      <w:r>
        <w:rPr>
          <w:rFonts w:ascii="Amiri" w:hAnsi="Amiri" w:eastAsia="Amiri" w:cs="Amiri"/>
          <w:color w:val="111111"/>
          <w:sz w:val="28"/>
          <w:sz w:val="28"/>
          <w:szCs w:val="28"/>
          <w:rtl w:val="true"/>
          <w:lang w:bidi="ar-SA"/>
        </w:rPr>
        <w:t>، ومنه قوله تعالى في وصف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شِيَةَ فِيهَا</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أي لا لون لها غير الصُّفْرَة يخالف شيئاً من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البياض في وجهه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البياض في قوائمه، أو في رجليه، أو في أحدهما مع اليدين أو أحدهما لا في يديه خاصة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لم يعتبر التعرّض لذلك؛ لعدم الالتفات إلى ذلك عرفاً على وجه يختلف الثمن باختلافه ويفيد تركه 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نِتاج للبغال والحمير، بل يذكر عوضه النسبة إلى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ليس لها نتاج تنسب إليه، كنتاج بني فلان بحيث يعتد به عرفاً، بخلاف الإبل والخَيْل، فلا يجب التعرّض له، ومثله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البقر فربما اتفق له ذلك في بعض البلاد، فإن استقرّ واتفق السَلَم ثُمَّ اعتبر ذكره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كونها خالية من الخليط كالشعير مع البُرِّ، وإنّما يعتبر ذكرها في بلد يوجد فيه كذلك، وإلا لم يعتبر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كان له بحبّه مع الإطلاق، كالتمر بنواه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أنّه إن كان هناك عرف يدلّ على أحد الأمرين عند الإطلاق حمل عليه وإلا وجب التعيين وبطل العقد ،بدونه، بخلاف التمر لاستقرار اللغة والعرف على كونه بنواه عند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اشتراط الأنوثة أو الذكورة نظر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الاشتراط إن ظهر بينهما تفاوت تختلف القيمة باختلافه، وإلا فلا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أحد طرفيه أغلظ من الشرط فقد زاده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نظر؛ لأنّ الأغراض تختلف في ذلك، بل الغالب خلافه والأقوى أنّه لا يجب قبوله إلا أن لا يفوت به شيء من الأغراض، ولا يوجب نقص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تعتبر الاستفاضة أم تكفي معرفة عدلين؟ الأقرب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الاكتفاء بمعرفة العدلين إن وثق بالرجوع إليهما عند الحاجة إليه، وإلّا اعتبر الاستفاضة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الكيل أو الوزن في المكيل والموزون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بهما لقصر ،الأمرين بالإضافة إلى الاعتبار بغيرهما كالعدد لا لعدم اعتبار التقدير في غيرهما مطلقاً، وإن صح بَيْعه جزافاً مع المشاهدة لانتفاء الغرر معها، بخلاف السَلَم، فإنّه يفتقر إلى التعدّي مطلقاً، كما يبنى عليه منعه من بَيْعِ الحَطَب والقَصَب حُزَماً وأطناناً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يكفي العَدُّ في المعدودات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تفاوت أفرادها لا مطلقاً؛ لما سيأتي من جواز بيع الجوز واللوز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تقدير المكيل بالوزن وبالعكس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جواز الأوّل مطلقاً، والثاني حيث ينضبط به دون ما يتجافى في الميزان كقطع الملح الكبار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 الأثمان بالأثمان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وعلّلوه بأنّ السّلَم يقتضي تأجيل المسلم فيه، وهو ينافي قبضه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تماثل العوضين مانع آخر، وهو الزيادة الحكمية في الثمن المؤجل باعتبار الأجل، فإنّ له حظاً من الثمن فيوجب الربا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على القول بجوازه حالاً، وبإمكان الجمع بين الأجل والقبض في المجلس، بأن الأجل يجوز كونه لحظةً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الحلول يكون بَيْعاً بلفظ السَلَم لا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الجمع بين الأجل والتقابض في المجلس وإن كان ممكناً إلا أن الأجل </w:t>
      </w:r>
    </w:p>
    <w:p>
      <w:pPr>
        <w:pStyle w:val="BookText"/>
        <w:rPr/>
      </w:pPr>
      <w:r>
        <w:rPr>
          <w:rFonts w:ascii="Amiri" w:hAnsi="Amiri" w:eastAsia="Amiri" w:cs="Amiri"/>
          <w:color w:val="111111"/>
          <w:sz w:val="28"/>
          <w:sz w:val="28"/>
          <w:szCs w:val="28"/>
          <w:rtl w:val="true"/>
          <w:lang w:bidi="ar-SA"/>
        </w:rPr>
        <w:t xml:space="preserve">مانع منه مدته، فيكون العقد معرضاً للبطلان في كلّ وقتٍ من أوقات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بأنّ الشرط إذا كان هو التقابض في المجلس فإذا حصل تمّ العقد، والعرضة المذكورة لم يثبت شرعاً كونها قادحةً في الصحة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وللبائع الامتناع من قبض البعض للتعيب بخلاف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بالدين ما كان عوض قرض أو بدل متلف ونحوهما، فلو كان تلفاً مطلقاً فلصاحبه الامتناع إلى أن يسلّم الجميع للعلة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وتسليمهما بتسليم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سؤال يرد على تجويز جعل المنفعة ثمناً في السلم، حيث إنّ المنفعة ممّا يتجدّد وقتاً بعد وقت، فلا يمكن تسليمها قبل 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الجواب أنّ تسليم المنفعة يتحقق بتسليم العين التي تستوفى منها المنفعة فإنّه وإن لم يكن تسليماً لها حقيقةً، لكنّه في معنى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لا يحسم مادة الإشكال؛ لأنّ حقيقة تسليم الثمن الذي هو المنفعة لم يقع، وإنما حصل بقبض العين المتمكن من استيفائها، وهو أمر آخر غير 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تسليم كلّ شيء بحَسَبِه، فكما أن قبض المنقول لا يتحقق إلا بنقله، وقبض العقار يتحقق بالتخلية بينه وبينه وإن لم يدخل إليه، كذلك قبض المنفعة يكون بقبض العين المستوفى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 الثمن في العقد ما يستحقه في ذمّة البائع بطل؛ لأنه بَيْعِ دَين بدَيْن على إشكال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الإشكال مما ذكر، ومن أنّ ما في الذمة بمنزلة المقبوض، فيتحقق قبض الثمن قبل التفرُّق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نشأ الإشكال من الشك في تحقق بَيْع الدين بالدين في الفرض؛ لأنّ ظاهره كون كلّ من العوضين ديناً قبل العقد، وذلك لا يتحقق إِلَّا بَبَيْعِ دَيْن له في ذمّة زيد بدَيْن له في ذمّته أو في ذمة عمرو،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الدليل بحث من وجه آخر وهو أنّ المنع من بَيْع الدين بالدين مطلقاً يحتاج إلى دليل، وإن اشتهر النهي عنه على </w:t>
      </w:r>
    </w:p>
    <w:p>
      <w:pPr>
        <w:pStyle w:val="BookText"/>
        <w:rPr/>
      </w:pPr>
      <w:r>
        <w:rPr>
          <w:rFonts w:ascii="Amiri" w:hAnsi="Amiri" w:eastAsia="Amiri" w:cs="Amiri"/>
          <w:color w:val="111111"/>
          <w:sz w:val="28"/>
          <w:sz w:val="28"/>
          <w:szCs w:val="28"/>
          <w:rtl w:val="true"/>
          <w:lang w:bidi="ar-SA"/>
        </w:rPr>
        <w:t xml:space="preserve">ألسنة الفقهاء </w:t>
      </w:r>
      <w:r>
        <w:rPr>
          <w:rStyle w:val="FootnoteAnchor"/>
          <w:rtl w:val="true"/>
        </w:rPr>
        <w:footnoteReference w:id="745"/>
      </w:r>
      <w:r>
        <w:rPr>
          <w:rFonts w:ascii="Amiri" w:hAnsi="Amiri" w:eastAsia="Amiri" w:cs="Amiri"/>
          <w:color w:val="111111"/>
          <w:sz w:val="28"/>
          <w:sz w:val="28"/>
          <w:szCs w:val="28"/>
          <w:rtl w:val="true"/>
          <w:lang w:bidi="ar-SA"/>
        </w:rPr>
        <w:t xml:space="preserve">؛ لأنّ ذلك لم يرد في النص بخصوصه </w:t>
      </w:r>
      <w:r>
        <w:rPr>
          <w:rStyle w:val="FootnoteAnchor"/>
          <w:rtl w:val="true"/>
        </w:rPr>
        <w:footnoteReference w:id="746"/>
      </w:r>
      <w:r>
        <w:rPr>
          <w:rFonts w:ascii="Amiri" w:hAnsi="Amiri" w:eastAsia="Amiri" w:cs="Amiri"/>
          <w:color w:val="111111"/>
          <w:sz w:val="28"/>
          <w:sz w:val="28"/>
          <w:szCs w:val="28"/>
          <w:rtl w:val="true"/>
          <w:lang w:bidi="ar-SA"/>
        </w:rPr>
        <w:t>، وإنّما ورد النهي عن بيع الكالي بالكالي</w:t>
      </w:r>
      <w:r>
        <w:rPr>
          <w:rStyle w:val="FootnoteAnchor"/>
          <w:rtl w:val="true"/>
        </w:rPr>
        <w:footnoteReference w:id="747"/>
      </w:r>
      <w:r>
        <w:rPr>
          <w:rFonts w:ascii="Amiri" w:hAnsi="Amiri" w:eastAsia="Amiri" w:cs="Amiri"/>
          <w:color w:val="111111"/>
          <w:sz w:val="28"/>
          <w:sz w:val="28"/>
          <w:szCs w:val="28"/>
          <w:rtl w:val="true"/>
          <w:lang w:bidi="ar-SA"/>
        </w:rPr>
        <w:t>، وقد فَسَّروه بأنّه بَيع النسيئة بالنسيئة</w:t>
      </w:r>
      <w:r>
        <w:rPr>
          <w:rStyle w:val="FootnoteAnchor"/>
          <w:rtl w:val="true"/>
        </w:rPr>
        <w:footnoteReference w:id="748"/>
      </w:r>
      <w:r>
        <w:rPr>
          <w:rFonts w:ascii="Amiri" w:hAnsi="Amiri" w:eastAsia="Amiri" w:cs="Amiri"/>
          <w:color w:val="111111"/>
          <w:sz w:val="28"/>
          <w:sz w:val="28"/>
          <w:szCs w:val="28"/>
          <w:rtl w:val="true"/>
          <w:lang w:bidi="ar-SA"/>
        </w:rPr>
        <w:t>، وهو غير متحقق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أُجل إلى نفر الحجيج احتمل البطلان، والحمل على الأوّل، وكذا إلى ربيع أو جمادى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الصحة في الجميع وحمله على الأوّل؛ لأنه المتبادر منه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تعيّن العرف إلى الاشتراك بينهما على السواء وجب القول بالبطلان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وتُحمل السنون والشهور على الهلالية وتُعتبر الأشْهرُ بالأهلة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بالهلالية في الأوّل ما يقابل الشهور الشمسيّة أعم من كونها مع ذلك عددية أم معتبرة بالأهلة، وإن كانت النسبة ظاهرة في الثاني؛ لإطلاقها عرفاً على العددية أيضاً، ومن ثُمّ احتيج إلى الثاني؛ لبيان اعتبارها بالأهلة لا العدد، إلّا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التكرار عن العبارة، وإن كان التحقيق يقتضى الاكتفاء بأحدهما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دفعه بإعادة الثاني ليتفرع عليه ما بعده فليس بجيد؛ لأنّ ذلك لا يتم إلا مع تخلل كلام آخر بينه وبين السابق، وهو هنا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قيل من أنه لو اقتصر على الأوّل أوهم قصر الأجل على الشهور التوأم المبتدأة في أوائلها العقود، فزاد الثاني للتنبيه على جواز وقوعه في الأثناء لإزالة الوهم؛ لأنّ ذلك يندفع بالتفريع من غير إعادة ما يوهم التكرار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 الشهر أو آخره احتمل البطلان؛ لأنه يعبر به عن جميع النصف الأوّل والنصف الأخير، والصحة، فيحمل على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يحمل الآخر على الجزء الأخير، فكأنه تركه اتكالاً على ما علم من حكم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أطلق حمل على الأجل واشتراط ضبطه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أطلق لفظ السَلَم من غير أن يدل دليل حالٍ أو مقال قبل العقد أو فيه على إرادة أحد الأمرين، فإنّه يحمل على معناه الظاهر وهو السَلَم المؤجل، فيشترط إكمال الصيغة بذكر الأجل المضبوط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تنافي بين الإطلاق في الابتداء والتقييد بالأجل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المعيّن فيحلّ بأوّله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المعين والمبهم كالشهر والشهرين مع اشتراكهما في الغاية والعرف؛ لأنه المحكم في ذلك حيث لا تكون للفظ حقيقة شرعية، ويزيد المبهم أنه لولا الحمل على آخره لخلا السَلَم من الأجل، وقد صرّحا به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في حاشيته بينهما بأنّ المُغيّى في المبهم مسمّى المدّة، وهو لا يصدق إلّا بالمجموع، والمُغيّى في المعيَّن مسمّى المعيَّن، وهو يصدق بأوّل جزء منه، ضرورة صدق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كَصَفرٍ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بأوّل جزء منه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المبهم لمّا حمل على الشهر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الهلالي إن اتفق وإلا فثلاثون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مسمّى المدة المبهمة هو المجموع المركب من الأيام المخصوصة المتصل بالعقد، فإن صدقت الغاية بأوّلها ثبت الحكم فيهما؛ وإلّا انتفى فيهما، وإنما المرجع إلى العرف وهو دالّ على العرف كما دلّ على دخول بعض الغايات وخروج ،بعض واتفقت دلالته في الثالث مع اشتراكهما في 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العرف يظهر حكم ما لو كان الشهر المعيّن متصلاً بالعقد،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رجب عند أوّل هلاله، فإنّ العرف يدلّ على أنهما يريدان آخره كالمبهم نظراً إلى صورة الأجل، وأنّهما لو أرادا الحلول لم يتعرّضا للشهر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احتمل هنا حمله على الحلولِ بناءً على صحته حالاً، وإلغاء القيد؛ نظراً إلى المعنى المستفاد من حال الشهر المعين؛ لما سبق</w:t>
      </w:r>
      <w:r>
        <w:rPr>
          <w:rStyle w:val="FootnoteAnchor"/>
          <w:rtl w:val="true"/>
        </w:rPr>
        <w:footnoteReference w:id="750"/>
      </w:r>
      <w:r>
        <w:rPr>
          <w:rFonts w:ascii="Amiri" w:hAnsi="Amiri" w:eastAsia="Amiri" w:cs="Amiri"/>
          <w:color w:val="111111"/>
          <w:sz w:val="28"/>
          <w:sz w:val="28"/>
          <w:szCs w:val="28"/>
          <w:rtl w:val="true"/>
          <w:lang w:bidi="ar-SA"/>
        </w:rPr>
        <w:t>، وهو حسن إن لم يدلَّ العرف على آخره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اعتبرنا الأجل في السّلَم ولم يدلُّ على إرادة آخره دليل 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أسلف في غنم وشرط أصواف نعجات معينة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كون النعجات موجودة مشاهدة؛ ليرتفع الغرر ثمّ إن شرط جزها في الحال أو أطلق فلا إشكال و استحقها حالة، ولا يقدح ذلك في السلم وإن اعتبر تأجيله؛ لأنه شرط فيه مصاحب له لاجزء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شرط تأجيله إلى مدة السلم أو غيرها، وشرط كون المتجدّد للمشتري أيضاً صح وإن كان بائعاً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يشترطه كان شريكاً ورجع إلى الصلح، ولم يقدح تأجيل المبيع المعين كالثمن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ادعى عليه في التذكرة </w:t>
      </w:r>
      <w:r>
        <w:rPr>
          <w:rStyle w:val="FootnoteAnchor"/>
          <w:rtl w:val="true"/>
        </w:rPr>
        <w:footnoteReference w:id="751"/>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واشترط بعضهم جزه في الحال </w:t>
      </w:r>
      <w:r>
        <w:rPr>
          <w:rStyle w:val="FootnoteAnchor"/>
          <w:rtl w:val="true"/>
        </w:rPr>
        <w:footnoteReference w:id="752"/>
      </w:r>
      <w:r>
        <w:rPr>
          <w:rFonts w:ascii="Amiri" w:hAnsi="Amiri" w:eastAsia="Amiri" w:cs="Amiri"/>
          <w:color w:val="111111"/>
          <w:sz w:val="28"/>
          <w:sz w:val="28"/>
          <w:szCs w:val="28"/>
          <w:rtl w:val="true"/>
          <w:lang w:bidi="ar-SA"/>
        </w:rPr>
        <w:t xml:space="preserve">، وادعى الاتفاق على منع تأجيله وهو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قولنا بصحة الحال فالإشكال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قبول مدّعى التأجيل مطلقاً، لما عرفت من صحته حالاً مشروطة بالتصريح بالحلول، وهو هنا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أقاما بينة؛ لأنّها تضم إلى الصحة الإثبات</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إنّما يتمّ على تقدير تضمّن شهادة مدّعي القبض بعد التفرّق النفي غير المحصور بأن شهدت أنّه ما أقبضه قبل التفرّق، فإنّ ترجيح الإثبات حينئذٍ واضح؛ </w:t>
      </w:r>
    </w:p>
    <w:p>
      <w:pPr>
        <w:pStyle w:val="BookText"/>
        <w:rPr/>
      </w:pPr>
      <w:r>
        <w:rPr>
          <w:rFonts w:ascii="Amiri" w:hAnsi="Amiri" w:eastAsia="Amiri" w:cs="Amiri"/>
          <w:color w:val="111111"/>
          <w:sz w:val="28"/>
          <w:sz w:val="28"/>
          <w:szCs w:val="28"/>
          <w:rtl w:val="true"/>
          <w:lang w:bidi="ar-SA"/>
        </w:rPr>
        <w:t>لأنّ شهادة النفي غير المحصور غير مسموعة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جعل متعلّق شهادتها مثبتاً أو نفياً محصوراً، بأن شهدت أنّ التقابض وقع بعد التفرّق تعيّناً بأن صحباهما من حين العقد إلى حين التفرّق وتيقنا عدم التقابض ثم شاهداه بعده أو ما في معناه، أشكل ترجيح  بينة مدعي الصحة؛ لكونهما مثبتين، ومع الأخرى ترجيح بأن من كان القول قوله فالبينة بينة الآخر، وحينئذٍ فتقديم بينته بناءً على تقديم الخارج 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 البائع قبضته ثم رددته إليك قبل التفرّق، قدّم قوله رعاية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أنهما اتفقا الآن على كون الثمن عند المشتري ولكن اختلفا في كون ذلك على وجه مفسد للعقد بأن لا يكونا تقابضا أصلاً، أو على وجه مصحح بأن يكون البائع قبضه ثمّ 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تعارض هنا أصلان صحة العقد، وعدم القبض، فيرجح الأوّل، للشكّ في طرق المفسد بتعارضهما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يقدح حينئذٍ قول البائع في ردّه فيستحق المطالبة به وجهان من اعترافه بالقبض، واتفاقهما على بقاء الثمن عند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عدم القبول</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وجده معيباً فردّه زال ملكه عنه وعاد حقه إلى الذمة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قبض المشتري السلّم فيه فوجد به عيباً فلا أرش له؛ لأنه لم يتعيّن للحق، بل يقع عوضاً عن الحقِّ الكلّي مملوكاً ملكاً متزلزلاً يتخير معه بين الرضى به مجاناً فيستقر ملكه عليه، وبين أن يردّه فيرجع إلى ذمة المسلم إليه سليماً بعد ان كان خرج عنهاخروجاً متزلزلاً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حيث إنّ العود يقتضي الخروج بعد أن لم يكن، فإنّه مصير الشيء إلى ما كان عليه بعد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النماء المنفصل المتجدّد بين القبض والردّ، فإنّه يكون للقابض؛ لأنّه نَماء ملكه كنظائره من النماء المتجدّد زمن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المتصل فيتبع العين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عليه أيضاً ما لو تجدّد عنده عيب قبل الرد، فإنه يمنع من الرد؛ لكونه </w:t>
      </w:r>
    </w:p>
    <w:p>
      <w:pPr>
        <w:pStyle w:val="BookText"/>
        <w:rPr/>
      </w:pPr>
      <w:r>
        <w:rPr>
          <w:rFonts w:ascii="Amiri" w:hAnsi="Amiri" w:eastAsia="Amiri" w:cs="Amiri"/>
          <w:color w:val="111111"/>
          <w:sz w:val="28"/>
          <w:sz w:val="28"/>
          <w:szCs w:val="28"/>
          <w:rtl w:val="true"/>
          <w:lang w:bidi="ar-SA"/>
        </w:rPr>
        <w:t>مضموناً عليه ولم يمكنه بعده ردّ العين كما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قطع المصنف في التذكرة</w:t>
      </w:r>
      <w:r>
        <w:rPr>
          <w:rStyle w:val="FootnoteAnchor"/>
          <w:rtl w:val="true"/>
        </w:rPr>
        <w:footnoteReference w:id="753"/>
      </w:r>
      <w:r>
        <w:rPr>
          <w:rFonts w:ascii="Amiri" w:hAnsi="Amiri" w:eastAsia="Amiri" w:cs="Amiri"/>
          <w:color w:val="111111"/>
          <w:sz w:val="28"/>
          <w:sz w:val="28"/>
          <w:szCs w:val="28"/>
          <w:rtl w:val="true"/>
          <w:lang w:bidi="ar-SA"/>
        </w:rPr>
        <w:t>، وزاد أن له حينئذٍ أخذ أرش العيب السابق، وإن لم يكن ثابتاً لولا الطارئ، فإنّ المنع منه إنّما كان لعدم انحصار الحقِّ فيه، حيث إنّه أمر كلّي، والمعيب غير تام في جملة أفراد الحقِّ، فلمّا طرأ العيب المانع من الردّ تعيّن قبوله كالمبيع المعيّن إذا كان معيباً، فإنّه يجوز أخذ أرشه، ويتعيَّن عند من منع من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قرّرناه جواب ما قيل على العبارة من أنّ زوال الملك عند ردّه إنما يكون بعد ثبوته و المعيب ليس المسلم فيه، فلا ينتقل عن المسلم إليه، وأن عود الحقِّ إنما يكون بعد زواله وهو مستلزم لأحد محذورين إما الحكم بالشيء مع وجود نقيضه، أو إثبات الحقيقة من دون لوازمها، وذلك ؛ لأن الحكم بالبراءة إن كان صادقاً لزم الأول وإلا لزم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نلتزم بأنّ المقبوض معيباً يصلح أداءً عن الحقِّ إذا رضي به المستحق؛ لأنه من جنس الحقِّ وعَيْبه ينجبر بالخيار، فيتمُّ الزوال والعود، ومن ثَمّ كان النماء له،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في تحقق الملك متزلزلاً لمكان العيب فإذا علم به كان له الفشخ وطلب السليم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حققناه أجود ممّا أجاب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حاشيته </w:t>
      </w:r>
      <w:r>
        <w:rPr>
          <w:rStyle w:val="FootnoteAnchor"/>
          <w:rtl w:val="true"/>
        </w:rPr>
        <w:footnoteReference w:id="754"/>
      </w:r>
      <w:r>
        <w:rPr>
          <w:rFonts w:ascii="Amiri" w:hAnsi="Amiri" w:eastAsia="Amiri" w:cs="Amiri"/>
          <w:color w:val="111111"/>
          <w:sz w:val="28"/>
          <w:sz w:val="28"/>
          <w:szCs w:val="28"/>
          <w:rtl w:val="true"/>
          <w:lang w:bidi="ar-SA"/>
        </w:rPr>
        <w:t>عن الإيراد بأن الحكم بالزوال والعود مبني على الظاهر، حيث كان المدفوع من جنس الحقِّ وصالحاً لأنّ يكون من جملة أفراده قبل العلم بالعيب، فإذا علم بالعيب زال ذلك الملك الذي حصل ظاهراً وإن لم يثبت في نفس الأمر ، فصح إطلاق الزوال والعود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لا ضرورة إلى التزام ذلك، بل الملك حصل ظاهراً وباطناً، غاية أمره التزلزل، وهو غير مانع منه كنظائره</w:t>
      </w:r>
      <w:r>
        <w:rPr>
          <w:rFonts w:eastAsia="Amiri" w:cs="Amiri" w:ascii="Amiri" w:hAnsi="Amiri"/>
          <w:color w:val="111111"/>
          <w:sz w:val="28"/>
          <w:szCs w:val="28"/>
          <w:rtl w:val="true"/>
          <w:lang w:bidi="ar-SA"/>
        </w:rPr>
        <w:t xml:space="preserve">. </w:t>
      </w:r>
      <w:bookmarkStart w:id="522" w:name="pg10189_116229"/>
    </w:p>
    <w:p>
      <w:pPr>
        <w:pStyle w:val="Heading5"/>
        <w:numPr>
          <w:ilvl w:val="4"/>
          <w:numId w:val="1"/>
        </w:numPr>
        <w:rPr/>
      </w:pPr>
      <w:bookmarkStart w:id="523" w:name="__RefHeading___Toc2156710_1067777946"/>
      <w:bookmarkStart w:id="524" w:name="_Toc196"/>
      <w:bookmarkEnd w:id="522"/>
      <w:bookmarkEnd w:id="523"/>
      <w:r>
        <w:rPr>
          <w:rtl w:val="true"/>
        </w:rPr>
        <w:t xml:space="preserve">[ </w:t>
      </w:r>
      <w:r>
        <w:rPr>
          <w:rtl w:val="true"/>
        </w:rPr>
        <w:t xml:space="preserve">الفصل الثاني في المرابحة وتوابعها </w:t>
      </w:r>
      <w:r>
        <w:rPr>
          <w:rtl w:val="true"/>
        </w:rPr>
        <w:t>]</w:t>
      </w:r>
      <w:bookmarkEnd w:id="524"/>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قال بعتك بما قام عليّ استحق مع الثمن جميع المؤن التي يقصد بالتزامها الاسترباح، مثل ما بذله من دَلالة، وأجرة البيت والكيال والحارس والحمّال والقصار والصبّاغ، مع علم قدر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أنه إذا باع بهذا اللفظ يستحق ما ذكر وإن لم يكن فصلها قبل البيع بحيث يعلم بها المشتري، وليس كذلك، بل لابد من تفصيلها قبل لتصير معلومة لهما، وينصرف الثمن إلى أمر مضبوط على تقدير إثباته بإحدى الصيغ المذكورة، ليترتب عليها لازمها وكذا القول في جميع مسائل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ويخبر بعد أخذ الأرش من العيب السابق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السابق على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أنّ اللاحق له لا يفتقر إلى إسقاطه من الثمن وإن كان مضموناً على البائع، كالواقع قبل القبض أو بعده في زمن الخيار، بل يكون حكمه حكم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 السابق كان أرشه ثابتاً حالة العقد وهو جزء من الثمن فكان في قوّة المستثنى منه، بخلاف اللاحق فإنّ الثمن يثبت قبله كاملاً فالإخبار بوقوع العقد به 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يفرق بين العيب والجناية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العَيْب متى أخذ أرشه لزم إسقاطه من الثمن؛ لاشتراك الجميع في كونها مستحقة بأصل العقد ومقتضاه، فكان المتأخّر منها كالموجود حالته، بخلاف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بالبائع وإن كان ولده أو غلامه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غلامه الحرّ ليمكن الحكم بصحة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ويشترط في الجواز أن لا يقصد بذلك زيادة الثمن ليربح فيه وإلّا ،حرم ولأنّه غش منهي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ذلك بین </w:t>
      </w:r>
    </w:p>
    <w:p>
      <w:pPr>
        <w:pStyle w:val="BookText"/>
        <w:rPr/>
      </w:pPr>
      <w:r>
        <w:rPr>
          <w:rFonts w:ascii="Amiri" w:hAnsi="Amiri" w:eastAsia="Amiri" w:cs="Amiri"/>
          <w:color w:val="111111"/>
          <w:sz w:val="28"/>
          <w:sz w:val="28"/>
          <w:szCs w:val="28"/>
          <w:rtl w:val="true"/>
          <w:lang w:bidi="ar-SA"/>
        </w:rPr>
        <w:t>الغلام والولد والأجنبي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 والحال هذه تخيّر المشتري مع تجدد علمه بين ردّه وأخذه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الحامل اذا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الحامل حالَ الشراء؛ ليكون الحمل بعض المبيع فلا يقسط الثمن عليهما، أما لو تجدّد في يد المشتري جاز الإخبار فيها بجميع الثمن كالثمرة المتجدّدة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أو بعتك وشبهه،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التولية أو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يختلف متعلّق الصيغة فيهما، فإنّ متعلّق التولية العقد، ومتعلّق البيع ونحوه السلعة، كغيره من أفراد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 السلعة، ففي الصحة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غلامه سلعةً، ثمّ اشتراها بزيادة قصداً للإخبار بالزائد جاز إن لم يكن شرط الابتياع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الجواز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يسقط الخيار بالتلف؟ فيه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عدم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تقبل بيّنة البائع لو ادّعى كثرة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يُظهر لكلامه الأوّل تأويلاً محتملاً يخرج عن تعمد الكذب،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وكيلي بذلك فظهر كذبه، أو انتقل نظري في الجريدة من متاع إلى غيره ونحو ذلك، فيقوى حينئذ القبول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الإحلاف إن ادّعى العلم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على البائع أي ما أخذه من المشتري على عدم علمه بكثرة الثمن عمّا أخبر به أوّلاً وإن لم يقبل منه؛ لأنّ المشتري لو أقرّ بذلك نفعه فيلزم الثمن لو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له حينئذ ردّ اليمين على البائع؟ يبنى على أن اليمين المردودة كإقرار المنكر، أو كبينة الحالف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الأوّل له الردّ؛ لأنه لو أقرّ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الثانى لا ، بناءً على عدم سماع بيّنته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ما اخترناه له الردّ حيث يُظهر لكلامه الأوّل تأويلاً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إحلاف المشتري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نظر إلى أن توجّه اليمين على المشتري يلزمها الحكم بجواز ردّها، فإذا امتنع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ردُّها على تقدير كونها كالبينة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الملازمة، فإنّ من اليمين ما يقبل الردّ ، ومنها ما لا يقبله، بل الحق في وجهه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اشتريا ثوباً بعشرين، ثمّ اشترى أحدهما نصيب صاحبه بأحد عشر أخبر بأحد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له الإخبار بذلك مع أنه لم يشتر النصيب الأول بعشرة، وإنما وقع العقد على المجموع؛ لأنّ المشتري لمّا كان متعدّداً كان العقد الواحد في قوة المتعدّد، وحينئذٍ فيصدق في العقدين شراء الجميع بأحد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اشترى جماعة صفقة في عقد واحد، جاز لكلّ منهم أن يخبر عن حصّته أنه اشتراها بما يخصها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أحدهما نصفه بعشرة والآخر بعشرين، ثمّ باعاه صَفْقَةٌ مُرابحةً، فالثمن بينهما نصفان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بَيْعه لهما مرابحةً مع الحكم بكون الثمن بينهما نصفين يقتضي بيعهما له بأزيد من أربعين ليتحقق مع كلّ من النصفين ربح فلو فرض بيعهما له بثلاثين مثلاً كان بالنسبة إلى الأوّل مرابحةً، وإلى الثاني مواضعة، لكنه خارج عن الفرض </w:t>
      </w:r>
      <w:r>
        <w:rPr>
          <w:rFonts w:eastAsia="Amiri" w:cs="Amiri" w:ascii="Amiri" w:hAnsi="Amiri"/>
          <w:color w:val="111111"/>
          <w:sz w:val="28"/>
          <w:szCs w:val="28"/>
          <w:rtl w:val="true"/>
          <w:lang w:bidi="ar-SA"/>
        </w:rPr>
        <w:t xml:space="preserve">. </w:t>
      </w:r>
      <w:bookmarkStart w:id="525" w:name="pg10189_116232"/>
    </w:p>
    <w:p>
      <w:pPr>
        <w:pStyle w:val="Heading5"/>
        <w:numPr>
          <w:ilvl w:val="4"/>
          <w:numId w:val="1"/>
        </w:numPr>
        <w:rPr/>
      </w:pPr>
      <w:bookmarkStart w:id="526" w:name="__RefHeading___Toc2156712_1067777946"/>
      <w:bookmarkStart w:id="527" w:name="_Toc197"/>
      <w:bookmarkEnd w:id="525"/>
      <w:bookmarkEnd w:id="526"/>
      <w:r>
        <w:rPr>
          <w:rtl w:val="true"/>
        </w:rPr>
        <w:t xml:space="preserve">[ </w:t>
      </w:r>
      <w:r>
        <w:rPr>
          <w:rtl w:val="true"/>
        </w:rPr>
        <w:t>الفصل الثالث في الربا</w:t>
      </w:r>
      <w:r>
        <w:rPr>
          <w:rtl w:val="true"/>
        </w:rPr>
        <w:t>]</w:t>
      </w:r>
      <w:bookmarkEnd w:id="527"/>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يثبت الربا في غير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الأقوى ثبوته في كلّ معاوضة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وَحَرَّمَ الرِّبوا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وقد تقدّم من المصنف في باب السلم الحكم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اتفقا على أن يعطيه أردأ منه وأزيد فإن كان ربويّاً لم يَجُز على إشكال </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ويأتي في الصلح </w:t>
      </w:r>
      <w:r>
        <w:rPr>
          <w:rStyle w:val="FootnoteAnchor"/>
          <w:rtl w:val="true"/>
        </w:rPr>
        <w:footnoteReference w:id="757"/>
      </w:r>
      <w:r>
        <w:rPr>
          <w:rFonts w:ascii="Amiri" w:hAnsi="Amiri" w:eastAsia="Amiri" w:cs="Amiri"/>
          <w:color w:val="111111"/>
          <w:sz w:val="28"/>
          <w:sz w:val="28"/>
          <w:szCs w:val="28"/>
          <w:rtl w:val="true"/>
          <w:lang w:bidi="ar-SA"/>
        </w:rPr>
        <w:t>توقفه فيه، وهاهنا جزم بعدمه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شمول اللفظ الخاص</w:t>
      </w:r>
      <w:r>
        <w:rPr>
          <w:rStyle w:val="FootnoteAnchor"/>
          <w:rtl w:val="true"/>
        </w:rPr>
        <w:footnoteReference w:id="758"/>
      </w:r>
      <w:r>
        <w:rPr>
          <w:rFonts w:ascii="Amiri" w:hAnsi="Amiri" w:eastAsia="Amiri" w:cs="Amiri"/>
          <w:color w:val="111111"/>
          <w:sz w:val="28"/>
          <w:sz w:val="28"/>
          <w:szCs w:val="28"/>
          <w:rtl w:val="true"/>
          <w:lang w:bidi="ar-SA"/>
        </w:rPr>
        <w:t>لهما كالحنطة والأرز، لا كالمطعوم المختلفة أفراده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يستثنى من ذلك ما وقع النصّ</w:t>
      </w:r>
      <w:r>
        <w:rPr>
          <w:rStyle w:val="FootnoteAnchor"/>
          <w:rtl w:val="true"/>
        </w:rPr>
        <w:footnoteReference w:id="759"/>
      </w:r>
      <w:r>
        <w:rPr>
          <w:rFonts w:ascii="Amiri" w:hAnsi="Amiri" w:eastAsia="Amiri" w:cs="Amiri"/>
          <w:color w:val="111111"/>
          <w:sz w:val="28"/>
          <w:sz w:val="28"/>
          <w:szCs w:val="28"/>
          <w:rtl w:val="true"/>
          <w:lang w:bidi="ar-SA"/>
        </w:rPr>
        <w:t>على اتفاقهما مع عدم شمول اللفظ الواحد لهما كالحنطة والشعير، ولا يقدح ذلك في الضابط ؛ لخروجه بدليل 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كردي الدقل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التمر الرديء</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تكون إضافة الرديء إليه في العبارة من باب إضافة الصفة إلى موصوفها كجُردِ قطيفة بالتأويل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تكلّفه على ظاهره بجعل الرديء من الثمر مطلقاً ،دقلاً، ثمّ الرديء على مراتب فتجري فيه</w:t>
      </w:r>
    </w:p>
    <w:p>
      <w:pPr>
        <w:pStyle w:val="BookText"/>
        <w:rPr/>
      </w:pP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والتبرُ والمضروب 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بالتبر هنا غير المضروب من الذهب، وإن كان مصفّى ، وقد يقال للفضّة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الجوهري </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الجنسية حينئذ للمضروب ظاهر، فلا يجوز بيع أحدهما بالآخر إلا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هنا جنس المكيل والموزون وإن لم يدخلاه، لقلّته كالحبَّة والحبتين، أو لكثرته كالزبرة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ما يعتبر منهما في أصل البيع، فإنّ الضابط فيه كونه مكيلاً أو موزوناً حيث يدخلاه عادة بخلافه في باب الربا فإنّ المعتبر فيه جنسهما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باع نحو الحبَّة والحبتين بغير جنسهما جاز من غير كيل ولاوزن ولا يجوز بالجنس 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أصل المثال بما تقدّم </w:t>
      </w:r>
      <w:r>
        <w:rPr>
          <w:rStyle w:val="FootnoteAnchor"/>
          <w:rtl w:val="true"/>
        </w:rPr>
        <w:footnoteReference w:id="762"/>
      </w:r>
      <w:r>
        <w:rPr>
          <w:rFonts w:ascii="Amiri" w:hAnsi="Amiri" w:eastAsia="Amiri" w:cs="Amiri"/>
          <w:color w:val="111111"/>
          <w:sz w:val="28"/>
          <w:sz w:val="28"/>
          <w:szCs w:val="28"/>
          <w:rtl w:val="true"/>
          <w:lang w:bidi="ar-SA"/>
        </w:rPr>
        <w:t>من عدم جواز بيع الحبّة ونحوها مما لا يعتد بالانتفاع به لقلته فينتفى فيه الحكمان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بيع الموزون بجنسه جزافاً ولا مكيلاً، ولا المكيل جزافاً ولا موزوناً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يريد بالمكيل والموزون ماكان كذلك في عهده ، فلا يجوز اعتبار أحدهما بالآخر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ثبت أنّ أربعة كانت مكيلة في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الحنطة والشعير والتمر والملح</w:t>
      </w:r>
      <w:r>
        <w:rPr>
          <w:rStyle w:val="FootnoteAnchor"/>
          <w:rtl w:val="true"/>
        </w:rPr>
        <w:footnoteReference w:id="763"/>
      </w:r>
      <w:r>
        <w:rPr>
          <w:rFonts w:ascii="Amiri" w:hAnsi="Amiri" w:eastAsia="Amiri" w:cs="Amiri"/>
          <w:color w:val="111111"/>
          <w:sz w:val="28"/>
          <w:sz w:val="28"/>
          <w:szCs w:val="28"/>
          <w:rtl w:val="true"/>
          <w:lang w:bidi="ar-SA"/>
        </w:rPr>
        <w:t>، فلا يباع بعضها ببعض إلا كيلاً، وإن اختلفت في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المصنف في التذكرة </w:t>
      </w:r>
      <w:r>
        <w:rPr>
          <w:rStyle w:val="FootnoteAnchor"/>
          <w:rtl w:val="true"/>
        </w:rPr>
        <w:footnoteReference w:id="764"/>
      </w:r>
      <w:r>
        <w:rPr>
          <w:rFonts w:ascii="Amiri" w:hAnsi="Amiri" w:eastAsia="Amiri" w:cs="Amiri"/>
          <w:color w:val="111111"/>
          <w:sz w:val="28"/>
          <w:sz w:val="28"/>
          <w:szCs w:val="28"/>
          <w:rtl w:val="true"/>
          <w:lang w:bidi="ar-SA"/>
        </w:rPr>
        <w:t xml:space="preserve">من الملح ما يتجافى في المكيال كالقطع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فيباع وزناً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يريد بهما ما ثبت له ذلك ولو لعادة البلد فإنّها المحكمة فيهما حيث تنتفى العادة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بجواز اعتبار الجميع بالوزن؛ لأنه أصل للكيل، ولأنّه أضبط، وبيع المذكورات بالكيل ذلك الوقت لا ينفي ما عداه حيث ينضبط به، وهو متجه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احتمل تحريم البيع بالكيل أو بالوزن للاختلاف قدراً، وتسويغه بالوزن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جوازه بالوزن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اشتمل أحد العوضين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التفريع على المثال الأخير خاصةً؛ لتقدم صحته مطّرداً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وبقرينة احتمال الصحة في المخالف؛ لأنّه في المثال الأوّل جميع العوض مخالف للدراهم، وفي الثاني جميعه موافق، فلا يتوجّه الاحتمال وأيضاً المفروض للمصنف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في غير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هو التفريع على الثالث خاصةً، وإن أمكن فرضه في المثال الأوّل على تقدير أن يكون قيمة المُدِّ أزيد من درهم، فإنّ احتمال البطلان متوجه حيث إنّ الباقي يقابل أزيد من مُدّ، وحينئذٍ فيحتمل التقسيط أيضاً، ولا يأتى احتمال الصحة في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فبتلف الدرهم يبقى الباقي من الدرهمين في مقابلة المُدّ كيف كان، ولا يتوجه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الاحتمالات الثلاثة ليست إلا في المثال الأخير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البطلان في الجميع حينئذٍ أنّ البطلان في الدرهم لكونه تالفاً قبل القبض يستلزم البطلان في مقابله من الثمن، فلو فرض كون نصف المبيع قابل مداً ودرهماً، </w:t>
      </w:r>
    </w:p>
    <w:p>
      <w:pPr>
        <w:pStyle w:val="BookText"/>
        <w:rPr/>
      </w:pPr>
      <w:r>
        <w:rPr>
          <w:rFonts w:ascii="Amiri" w:hAnsi="Amiri" w:eastAsia="Amiri" w:cs="Amiri"/>
          <w:color w:val="111111"/>
          <w:sz w:val="28"/>
          <w:sz w:val="28"/>
          <w:szCs w:val="28"/>
          <w:rtl w:val="true"/>
          <w:lang w:bidi="ar-SA"/>
        </w:rPr>
        <w:t>فبقي المدّ في مقابلة المد الباقي والدرهم، وهو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الثاني أن صحة البيع المذكور منزلة على صرف كلّ إلى مخالفه وإلا للزم الربا ابتداءً، فيكون الحكم كذلك حيث يحتاج إلى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الثالث أنّ التقسيط هو مقتضى المعاوضة؛ لأنّ أجزاء المبيع مقابلة بأجزاء الثمن، وحينئذٍ فيصح في الباقي وما قابله فلو فرض كون المدّ يساوي درهماً فالتالفُ نصف المبيع، فيقابله درهم ومد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يقدح في الزيادة؛ لأنّها حدثت بعد البيع بسبب التقسيط ، وليس بَيْعاً ولا معاوضة، وإنما المعاوضة بالبيع السابق ولم تكن حينئذٍ 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وتكلّف بعضُهم التقسيط على وجهِ لا يلزم فيه ربا؛ حذراً من صورة الزيادة، بأن يجعل جزءاً من الدرهم بإزاء جزء من مثله في الثمن، وجزءاً من المد بإزاء مثله أيضاً، والباقي من الدرهمين في مقابلة الباقي من المُد، والباقي من المُدَّين في مقابلة الباقي من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جعل نصف الدرهم في مقابلة نصف درهم ونصف المُدّ في مقابلة نصف قد بقي درهم ونصف في مقابلة نصف مد، ومد ونصف في مقابلة نصف درهم، فيكون كلّ من نصفي المبيع مقابلاً لنصف الثمن من الجنسين، ولا يلزم الزيادة في الجنس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فيمكن فرضُ الجزء المذكور نصفاً كما مثلنا وثلثاً وربعاً وغير ذلك، ويختلف بسببه حكم التقسيط وإن حصل الفرض، وهو تحكم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الوسط أوفق بأصول الأصحاب؛ لأنّ فرض مقابلة المخالف هو المصحح عندهم</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بيع اللحم بالحيوان إن تماثلا جنساً على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وجه التحريم رواية ضعيفة السند وردت بكراهيته</w:t>
      </w:r>
      <w:r>
        <w:rPr>
          <w:rStyle w:val="FootnoteAnchor"/>
          <w:rtl w:val="true"/>
        </w:rPr>
        <w:footnoteReference w:id="767"/>
      </w:r>
      <w:r>
        <w:rPr>
          <w:rFonts w:ascii="Amiri" w:hAnsi="Amiri" w:eastAsia="Amiri" w:cs="Amiri"/>
          <w:color w:val="111111"/>
          <w:sz w:val="28"/>
          <w:sz w:val="28"/>
          <w:szCs w:val="28"/>
          <w:rtl w:val="true"/>
          <w:lang w:bidi="ar-SA"/>
        </w:rPr>
        <w:t xml:space="preserve">، وحملت على التحريم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غاية البعد، خصوصاً مع كون الحيوان غير مكيل ولاموزون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كونه مذبوحاً توجه التحريم </w:t>
      </w:r>
      <w:r>
        <w:rPr>
          <w:rStyle w:val="FootnoteAnchor"/>
          <w:rtl w:val="true"/>
        </w:rPr>
        <w:footnoteReference w:id="769"/>
      </w:r>
      <w:r>
        <w:rPr>
          <w:rFonts w:ascii="Amiri" w:hAnsi="Amiri" w:eastAsia="Amiri" w:cs="Amiri"/>
          <w:color w:val="111111"/>
          <w:sz w:val="28"/>
          <w:sz w:val="28"/>
          <w:szCs w:val="28"/>
          <w:rtl w:val="true"/>
          <w:lang w:bidi="ar-SA"/>
        </w:rPr>
        <w:t>، لا من جهة كونه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بيع دجاجة فيها بيضة ببيضة أو دجاجة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الفروع قليلة الفائدة على أصولنا؛ لأنّ العوضين فيها ليست مكيلة ولا موزونة وإنما تتفرع على مذهب من يجعل الضابط المطعوم ونحوه خصوصاً حيث لا يثبت الربا في المعدود فإنّ البيضة إنّما تكون معدودة بعد انفصالها فلا وجه للتوهّم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اللبن إنّما يعتبر وزنه بعد انفصاله من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نبه بالحكم على خلاف من أثبته فيها من العامة</w:t>
      </w:r>
      <w:r>
        <w:rPr>
          <w:rStyle w:val="FootnoteAnchor"/>
          <w:rtl w:val="true"/>
        </w:rPr>
        <w:footnoteReference w:id="770"/>
      </w:r>
      <w:r>
        <w:rPr>
          <w:rFonts w:ascii="Amiri" w:hAnsi="Amiri" w:eastAsia="Amiri" w:cs="Amiri"/>
          <w:color w:val="111111"/>
          <w:sz w:val="28"/>
          <w:sz w:val="28"/>
          <w:szCs w:val="28"/>
          <w:rtl w:val="true"/>
          <w:lang w:bidi="ar-SA"/>
        </w:rPr>
        <w:t>، تفريعاً على أصله</w:t>
      </w:r>
      <w:r>
        <w:rPr>
          <w:rFonts w:eastAsia="Amiri" w:cs="Amiri" w:ascii="Amiri" w:hAnsi="Amiri"/>
          <w:color w:val="111111"/>
          <w:sz w:val="28"/>
          <w:szCs w:val="28"/>
          <w:rtl w:val="true"/>
          <w:lang w:bidi="ar-SA"/>
        </w:rPr>
        <w:t xml:space="preserve">. </w:t>
      </w:r>
      <w:bookmarkStart w:id="528" w:name="pg10189_116237"/>
    </w:p>
    <w:p>
      <w:pPr>
        <w:pStyle w:val="Heading4"/>
        <w:numPr>
          <w:ilvl w:val="3"/>
          <w:numId w:val="1"/>
        </w:numPr>
        <w:rPr/>
      </w:pPr>
      <w:bookmarkStart w:id="529" w:name="__RefHeading___Toc2156714_1067777946"/>
      <w:bookmarkStart w:id="530" w:name="_Toc198"/>
      <w:bookmarkEnd w:id="528"/>
      <w:bookmarkEnd w:id="529"/>
      <w:r>
        <w:rPr>
          <w:rtl w:val="true"/>
        </w:rPr>
        <w:t xml:space="preserve">[ </w:t>
      </w:r>
      <w:r>
        <w:rPr>
          <w:rtl w:val="true"/>
        </w:rPr>
        <w:t xml:space="preserve">المقصد الخامس في لزوم البيع </w:t>
      </w:r>
      <w:r>
        <w:rPr>
          <w:rtl w:val="true"/>
        </w:rPr>
        <w:t>]</w:t>
      </w:r>
      <w:bookmarkEnd w:id="530"/>
    </w:p>
    <w:p>
      <w:pPr>
        <w:pStyle w:val="Heading5"/>
        <w:numPr>
          <w:ilvl w:val="4"/>
          <w:numId w:val="1"/>
        </w:numPr>
        <w:rPr/>
      </w:pPr>
      <w:bookmarkStart w:id="531" w:name="__RefHeading___Toc2156716_1067777946"/>
      <w:bookmarkStart w:id="532" w:name="_Toc199"/>
      <w:bookmarkEnd w:id="531"/>
      <w:r>
        <w:rPr>
          <w:rtl w:val="true"/>
        </w:rPr>
        <w:t xml:space="preserve">[ </w:t>
      </w:r>
      <w:r>
        <w:rPr>
          <w:rtl w:val="true"/>
        </w:rPr>
        <w:t>الفصل الأوّل في الخيار</w:t>
      </w:r>
      <w:r>
        <w:rPr>
          <w:rtl w:val="true"/>
        </w:rPr>
        <w:t>]</w:t>
      </w:r>
      <w:bookmarkEnd w:id="532"/>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الأصل في البيع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الأصل في اصطلاح الفقهاء يطلق على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ما بُني عليه الشيء ووضع عليه، أعني الحالة التي جعل عليها،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الماء الطهارة، والأصل في فعل المسلم الصحة؛ أي الحالة التي وضع عليها الماء أن يكون طاهراً وإن عرض له منجس، وكذا القول في فعل المُسلم مع عروض المبطل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عنه بالقاعدة الكلية لذلك الحكم،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أصل، وهو أنّ الأصل مقدّم على الظاهر، وإن تخلف ذلك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الأصل والظاهر أي الحكم الثابت للشيء قبل تحقق الظاهر، فاستصحب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الراجح والغالب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الإطلاق الحقيقة، أي الأمر الراجح فيه وإن خولف في بعض المواضع 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على غير ذلك مما لا تعلق لمسألتنا به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تقرر ذلك فالمراد من الأصل هنا هو المعنى الأوّل، بمعنى أنّ البيع من العقود التي يقتضي وضعها اللزوم؛ ليتمكن كلّ واحد من المتعاقدين من التصرف فيما أخذه آمناً من نقض صاحبه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أنه إذا نظر إليه من حيث هو هو، وقطع النظر عن </w:t>
      </w:r>
    </w:p>
    <w:p>
      <w:pPr>
        <w:pStyle w:val="BookText"/>
        <w:rPr/>
      </w:pPr>
      <w:r>
        <w:rPr>
          <w:rFonts w:ascii="Amiri" w:hAnsi="Amiri" w:eastAsia="Amiri" w:cs="Amiri"/>
          <w:color w:val="111111"/>
          <w:sz w:val="28"/>
          <w:sz w:val="28"/>
          <w:szCs w:val="28"/>
          <w:rtl w:val="true"/>
          <w:lang w:bidi="ar-SA"/>
        </w:rPr>
        <w:t>العوارض العارضة له كان حكمه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أثبت له الجواز بعوارض خارجية إرفاقاً بالمكلّف ليترؤى أو يتخلّص من ضرر ونحوه، فإن علم ثبوت شيء من الأسباب الموجبة للجواز حكم به، وإلا بقي على حكمه الأصل وهو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أصالة طهارة الماء وفعل المسلم،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في التذكرة أنّ المراد من الأصل هنا المعنى الثاني؛ لأنه علله بكون الشارع وضعه مفيداً لنقل الملك، والأصل الاستصحاب إلى أن يثبت المزيل</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خيار المجلس يثبت به ابتداءاً، فليس للزوم حكم سابق ليستصحب حتّى يجيء المزيل، بخلاف القاعدة الوضعية التي يقتضيها المعنى الأول، فإنّها لا تنافي ثبوت المعارض ابتداءاً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العلماء جعله من المعنى الثالث، بمعنى أن الغالب من حالات البيع اللزوم، والجواز لا يثبت إلا في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وإن كان التحقيق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فساد ما قيل على الأصل من أنّ البيع لا ينفك عن خيار المجلس، فيكون الأصل في البيع الجواز لا اللزوم؛ لأنا لانريد به عروض الجواز على اللزوم بعد ثبوت اللزوم حتى يرد ما ذكره، بل إن وضعه على اللزوم وإن ابتدأ بالجواز كما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المُسلِم لو فعل فعلاً باطلاً ابتداءاً لا ينافي كون الأصل في فعله الصحة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 أيضاً بالمعنى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يرد على ما ذكره المصنف من الاستصحاب  والتحقيق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تكلّف جواز انفكاك البيع عن خيار المجلس أو مع قطع النظر عنه، فعلى غاية عظيمة من البعد عن التحقيق، كما لا يخفى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ثبوت خيار وظهور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عطف الخاص على العام لمزيد اهتمام بالخاص، فإنّ ظهور العَيْب من أسباب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من أنّه ذكره ليُرتِّب عليه أحكامه الخاصة به </w:t>
      </w:r>
      <w:r>
        <w:rPr>
          <w:rStyle w:val="FootnoteAnchor"/>
          <w:rtl w:val="true"/>
        </w:rPr>
        <w:footnoteReference w:id="772"/>
      </w:r>
      <w:r>
        <w:rPr>
          <w:rFonts w:ascii="Amiri" w:hAnsi="Amiri" w:eastAsia="Amiri" w:cs="Amiri"/>
          <w:color w:val="111111"/>
          <w:sz w:val="28"/>
          <w:sz w:val="28"/>
          <w:szCs w:val="28"/>
          <w:rtl w:val="true"/>
          <w:lang w:bidi="ar-SA"/>
        </w:rPr>
        <w:t>، لا معنى له، لأن ذلك يحصل بذكره مندرجاً في أقسام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ماداما في المجلس، وإن ضرب بينهما حائل، أو فُرّقا كُرْهاً إمّا بالضرب أو الحمل ولم يتمكنا من الاختيار، أو فارقاه مصطحبين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 هنا كناية عن عدم التفرّق اختياراً، وإن فارقا مكان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وإطلاقه عليه شائع في هذا الباب، وقد تقدّم </w:t>
      </w:r>
      <w:r>
        <w:rPr>
          <w:rStyle w:val="FootnoteAnchor"/>
          <w:rtl w:val="true"/>
        </w:rPr>
        <w:footnoteReference w:id="773"/>
      </w:r>
      <w:r>
        <w:rPr>
          <w:rFonts w:ascii="Amiri" w:hAnsi="Amiri" w:eastAsia="Amiri" w:cs="Amiri"/>
          <w:color w:val="111111"/>
          <w:sz w:val="28"/>
          <w:sz w:val="28"/>
          <w:szCs w:val="28"/>
          <w:rtl w:val="true"/>
          <w:lang w:bidi="ar-SA"/>
        </w:rPr>
        <w:t>مثله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ينافي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فرقا كرهاً، أو فارقاه مصطحبين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دوامه ما في المجلس 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فارقاه ضرب من الاستخدام، حيث أعاد الضمير إلى مجلس العقد، وأراد بلفظه عدم المفارقة على ذلك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وخيار العاقد عن اثنين باق بالنسبة إليهما، مالم يشترط سقوطه، أو یلتزم به عنهما بعد العقد، أو يفارق المجلس على قول</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الواحد عن اثنين ليشمل ما لو كانا خارجين عنه كالوكيل عن المتبايعين وما لو كان أحدهما كالأب يعقد للصبي على ماله، أو كان أحدهما وكيلاً عن الآخر، فإنّه يصدق أيضاً أن الواحد عاقد عن اثنين، وقائم مقامهما وإن كان هو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w:t>
      </w:r>
    </w:p>
    <w:p>
      <w:pPr>
        <w:pStyle w:val="BookText"/>
        <w:rPr/>
      </w:pPr>
      <w:r>
        <w:rPr>
          <w:rFonts w:ascii="Amiri" w:hAnsi="Amiri" w:eastAsia="Amiri" w:cs="Amiri"/>
          <w:color w:val="111111"/>
          <w:sz w:val="28"/>
          <w:sz w:val="28"/>
          <w:szCs w:val="28"/>
          <w:rtl w:val="true"/>
          <w:lang w:bidi="ar-SA"/>
        </w:rPr>
        <w:t>المحكوم ببقائه أعمّ من كونه لذلك العاقد، أو بالولاية لغيره كالوكيل في العقد خاصة، فإنّ الخيار للمتبايعين لا له إن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يشترط سقوطه أو يلتزم به عنهما إنّما يتم فيمن له الاشتراط والالتزام كالمالك والوليّ، فلو كان وكيلاً في الصيغة خاصة لم يكن له ذلك، وأيضاً فالالتزام عنهما لا يدخل فيه ما لو كان هو أحدهما إلا بتكلف، ففي العبارة قصور عن تأدية الحكم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فأجود الاحتمالات الأخير، وأضعفها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ولومات أحدهما احتمل سقوط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ثبوته مادام الميت والعاقد في المجلس، وحينئذٍ فينتقل إلى الوارث حاضراً كان أم غائباً، فإن بلغ الغائب الخبر وأمكنه الفسخ قبل التفرّق المذكور يثبت له ذلك غير تقييد بمجلسه،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 من أنّ المفارقة المسقطة للخيار ما يتمكّن المفارق معها من الاختيار وهي منتفية في حق الميّت، وأن المفارقة الموجبة للسقوط ما كانت من صاحب الخيار أو وكيله، وهنا ليست واقعة من أحدهما مندفع بأنّ الخبر دلّ على تفرّق المتعاقدين مطلقاً، وهو هنا متحقق وما خرج من ذلك بدليل يُقصر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ما خرج وما هنا بأن شرط المتمكن من الاختيار وقوعه من محل قابل ،له بناءً على كون عدمه من باب إعدام الملكة لا العدم المطلق، وحينئذٍ لو حمل الميت وفارق المجلس، فإن كان الحي متمكناً من مصاحبته ولم يصاحبه سقط خياره، وإلا فالخيار باقٍ</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غائباً امتد إلى أن يصل إليه الخبر إن أسقطنا اعتبار الميت قيد في ثبوت الخيار للغائب مطلقاً إلى أن يصل إليه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يسقط اعتباره لم يمتد إلى أن يصل إليه مطلقاً، بل مع بقاء الميّت والعاقد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p>
    <w:p>
      <w:pPr>
        <w:pStyle w:val="BookText"/>
        <w:rPr/>
      </w:pPr>
      <w:r>
        <w:rPr>
          <w:rFonts w:ascii="Amiri" w:hAnsi="Amiri" w:eastAsia="Amiri" w:cs="Amiri"/>
          <w:color w:val="111111"/>
          <w:sz w:val="28"/>
          <w:sz w:val="28"/>
          <w:szCs w:val="28"/>
          <w:rtl w:val="true"/>
          <w:lang w:bidi="ar-SA"/>
        </w:rPr>
        <w:t>معنى واضح وبه يضعف ما قيل</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مقابله أنا إن اعتبرنا الميت لم يكن للورثة خيار، أو لم يكن للغائب خيار، فإنّ العبارة لاتدلّ عليه، بل لا وجه له أيضاً؛ لأنّ اعتبار الميت لا ينافي إثبات الخيار لغيره، كما حرّرناه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يمتدّ بامتداد المجلس الذي وصل فيه الخبر؟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امتداده كذلك ضعيف جداً؛ لعدم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تقييده ببقاء المتعاقدين في المجلس، كما مرّ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حمل أحدهما ومنع من الاختيار لم يسقط خياره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ثبوت الخيار في الموضعين؛ لعدم صدق التفرّق المستند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هذه وما تقدّم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فُرّقا قهراً </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xml:space="preserve">أنّ هذه مختصة بتفريق أحدهما كرهاً، وتلك بتفريقهما فلا 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الإشكال هنا زائد على السابقة لينبه على أنها محلّه، وإن كان قد حكم فيها بعدم السقوط كالسابقة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تقديم قوله ترجيحاً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ترجيح الظاهر هنا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تطول المفارقة ويبعد معها بقاء الاصطحاب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ثبوته في الصرف إشكال</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الثبوت قوة؛ لعموم الأدلة</w:t>
      </w:r>
      <w:r>
        <w:rPr>
          <w:rStyle w:val="FootnoteAnchor"/>
          <w:rtl w:val="true"/>
        </w:rPr>
        <w:footnoteReference w:id="777"/>
      </w:r>
      <w:r>
        <w:rPr>
          <w:rFonts w:ascii="Amiri" w:hAnsi="Amiri" w:eastAsia="Amiri" w:cs="Amiri"/>
          <w:color w:val="111111"/>
          <w:sz w:val="28"/>
          <w:sz w:val="28"/>
          <w:szCs w:val="28"/>
          <w:rtl w:val="true"/>
          <w:lang w:bidi="ar-SA"/>
        </w:rPr>
        <w:t>، وعدم تحقق الناقل عنها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الغابن التفاوتَ فلاخيار على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الأقوم عدم السقوط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يسقط بالتصرف، إلا أن يخرج عن الملك بالبيع وشبه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المُسقِط للخيار ماكان من المغبون في الثمن إن كان هو البائع، أو في العين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تصرّف الغابن فلايُسقط خيار المغبون مطلقاً، لكن إن وجد العين على ملكه بغير مانع من الردّ أخذها وإلا انتقل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ما يفسد ليومه فالخيار فيه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الخيار يثبت في المذكور بعد دخول الليل ويلزم في النهار الذي وقع البيع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والعبارة لا تؤدي ذلك، بل تدلّ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مع ذلك إشكال آخر؛ لأنّ ما يفسد ليومه والمراد منه النهار، كما هو الظاهر من إطلاقه لغةً وعرفاً، وهو الذي تدلّ عليه الرواية</w:t>
      </w:r>
      <w:r>
        <w:rPr>
          <w:rStyle w:val="FootnoteAnchor"/>
          <w:rtl w:val="true"/>
        </w:rPr>
        <w:footnoteReference w:id="778"/>
      </w:r>
      <w:r>
        <w:rPr>
          <w:rFonts w:ascii="Amiri" w:hAnsi="Amiri" w:eastAsia="Amiri" w:cs="Amiri"/>
          <w:color w:val="111111"/>
          <w:sz w:val="28"/>
          <w:sz w:val="28"/>
          <w:szCs w:val="28"/>
          <w:rtl w:val="true"/>
          <w:lang w:bidi="ar-SA"/>
        </w:rPr>
        <w:t xml:space="preserve">التي هي 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لإثباتِ الخيار فيه بعد انقضاء النهار الموجب للفَساد، وإنّما تتمّ الفائدة مع ثبوتِ الخيارِ في وقتٍ يمكن فيه استدراك الضرر، وهو قبل دخول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فالمستند ضعيفٌ، مرسل لا يصلح لإثبات هذا الحكم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أنه متى خِيفَ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بنقص الوصف وفوت الرغبة بحيث يمكن تلافيه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الخيار، سواء في ذلك الليل والنهار واليوم والأيام؛ عملاً بخبر الضرار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نسج بعض الثوب، فاشتراه على أن ينسج الباقى كالأول بطل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البطلان أنه بيع بيع عين شخصية مجهولة؛ لأنها غير موصوفةٍ ولا مرئيّة رؤية تامة، ولأنه بَيْعُ معدوم غير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منع الجهالة فإنّ القدر المرئي كاف في رفعها؛ إذ الغرض رفعها على وجه يرتفع الغرر لامن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متحقق، بل أبلغ من رؤية الأنموذج إذا أدخله في البَيْع؛ لأنّ مادّة الباقي مشاهدة، وصفته من الصيغة معلومة من الموجود منها، ونمنع من كونه معدوماً معيناً، بل هو موجود معيّن وإنّما الفائتُ وصف النسج، فكان كشرط النِساجَة المعيّنة أو الخياطة ونحوهما من الصنائع في عقدِ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كون اللحمة غير مرئيّة فهي مضبوطة بالأنموذج الموعود، إذ لا يُشترط في صحة بيع الثوب رؤية جميع أجزائه، بل مايدلُّ عليه، غايته انجباره بالخيار لو ظهر على خلاف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فالصحة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احتجاج الشيخ في البطلان بأنّ بعضَه بَيْعٌ غير حاضر وبعضه في الذمة مجهول</w:t>
      </w:r>
      <w:r>
        <w:rPr>
          <w:rStyle w:val="FootnoteAnchor"/>
          <w:rtl w:val="true"/>
        </w:rPr>
        <w:footnoteReference w:id="779"/>
      </w:r>
      <w:r>
        <w:rPr>
          <w:rFonts w:ascii="Amiri" w:hAnsi="Amiri" w:eastAsia="Amiri" w:cs="Amiri"/>
          <w:color w:val="111111"/>
          <w:sz w:val="28"/>
          <w:sz w:val="28"/>
          <w:szCs w:val="28"/>
          <w:rtl w:val="true"/>
          <w:lang w:bidi="ar-SA"/>
        </w:rPr>
        <w:t>، وأنّ المشاهَدَ في الثوب يلزمه فيه البيع بغير خيار، وغير المشاهد يقف على خيار الرؤية، فيجتمع النقيضان على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فضعفه ظاهر؛ لعدم اتحاد الموضوع فإن موضوع اللزوم المنسوج، وموضوع الجواز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الزوجة غير ذات الولد في الأرض على إشكال أقربه ذلك إن اشترى بالخيار لترث من الثمن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استثناء الزوجة من الوارث المدلول عليه بالإرث التزاماً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أن الخيار موروث لجميع الوُرّاث إلا الزوجة المذكورة، وذلك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الاستثناء المذكور مقيّداً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فيكون جملته داخلة في حيّز الاستثناء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 عدم إرثها من الخيار لو كان الزوج قد اشترى أرضاً بخيار، فأرادت بفشخ البيع بالخيار أن ترث من الثمن؛ لأنه مما ترث منه، وإن لم ترث من الأرض ووجه عدم إرثها منه هنا أنه غير متروك للميت، وإنما ترك الخيار وهي لاترث منه، والثمن مترتب على الخيار المترتب على الأرض وهي لاترث منها فلا ترث من </w:t>
      </w:r>
    </w:p>
    <w:p>
      <w:pPr>
        <w:pStyle w:val="BookText"/>
        <w:rPr/>
      </w:pPr>
      <w:r>
        <w:rPr>
          <w:rFonts w:ascii="Amiri" w:hAnsi="Amiri" w:eastAsia="Amiri" w:cs="Amiri"/>
          <w:color w:val="111111"/>
          <w:sz w:val="28"/>
          <w:sz w:val="28"/>
          <w:szCs w:val="28"/>
          <w:rtl w:val="true"/>
          <w:lang w:bidi="ar-SA"/>
        </w:rPr>
        <w:t>الخيار المتعلّق بها وإن كانت ترث من الثمن لو رجع إلى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باع الأرض بخيار، فإنّها وإن ورثت من الثمن إلّا أنّها لا تملك الفشخ في الأرض بالخيار، وإن كان ذلك عليها لا لها، لما ذكرناه من أن الخيار يترتب على الأرض التي ليس لها فيها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والشارحان </w:t>
      </w:r>
      <w:r>
        <w:rPr>
          <w:rStyle w:val="FootnoteAnchor"/>
          <w:rtl w:val="true"/>
        </w:rPr>
        <w:footnoteReference w:id="780"/>
      </w:r>
      <w:r>
        <w:rPr>
          <w:rFonts w:ascii="Amiri" w:hAnsi="Amiri" w:eastAsia="Amiri" w:cs="Amiri"/>
          <w:color w:val="111111"/>
          <w:sz w:val="28"/>
          <w:sz w:val="28"/>
          <w:szCs w:val="28"/>
          <w:rtl w:val="true"/>
          <w:lang w:bidi="ar-SA"/>
        </w:rPr>
        <w:t>حملا العبارةً على أنّ الأقرب إرتُها من الخيار إذا اشترى الأرض بخيار؛ لأنها حينئذٍ تفسخ فترث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من حيث ظاهر اللفظ موجه، فإنّ تعليل الفسخ بالإرث من الثمن يناسبه؛ لكنّ المعنى لا يساعده، ولا مرجع للإشارة بذلك يدلّ عليه إلا بتكلُّف عوده إلى الإشكال المؤذن بعدم الاستثناء، إلا أن الإشكال أعم من صحة الاستثناء وعدمه؛ لأنه تردّد فيه، فعود الإشارة إلى أحد الأمرين ليس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التقييد بالشراء على هذا التقدير فحسن؛ لأنّه احترز به عن بيع الأرض بالخيار، فإنّه لا يُعقل حينئذٍ كونها تفسخ البيع؛ للمنع من الأرض والثمن وإن كان جائزاً لها، بخلاف الشراء، فإنّها تستفيد من الفشخ فائدة الإرث من الثمن، بل يحتمل أن يكون حكمه بعدم الاستحقاق أيضاً؛ لأنّ الخيار حينئذٍ حقٌّ يتعلق بالأرض لتسترد وهي لا تستحقها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المبيع قبل قبضه فهو من مال بائعه، فيرجع المشتري بالثمن لا غير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 أنه ينفسخ البيع فيه من حينه، ويرجع إلى ملكه والثمن إلى ملك المشتري فالنماء المتخلّل بین العقد والتلف للمبيع للمشتري، والثمن للبائع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تلف من عند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أتلفه متلف وإن كان هو البائع تخيّر المشتري بين الفشخ وأخذ الثمن، وبين مطالبة المتلف بالمثل أو القيمة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للمشتري خاصةً فمن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بالإضافة إلى البائع؛ ليدخل فيه ما لو كان الخيار له ولأجنبي، فإنّ التلف من البائع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العتق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نفوذه والانتقال إلى القيمة إذا فسخ البائع؛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اشترى عبداً بجارية ثم أعتقهما معاً، فإن كان الخيار له بطل العتقان، لأنه بعتق الجارية مبطل للبيع وبعتق العبد ملتزم ، به فعتق كلّ منهما يمنع عتق الآخر، فيتدافعان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لما ذكر ، إذ يمتنع الجمع بين النقيضين أو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وبين فَشخ أحد المتعاقدين وإجازة الآخر حيث قدم الفاسخ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إجازة المجيز أوجبت لزوم العقد من طرفه فبقي جائزاً من طرف الآخر فبعد فسخه كما لو كان العقد لازماً من أحد الطرفين وجائزاً من الآخر، بخلاف ما هنا، فإنّ كلاً منهما صدر من واحد بحق فامتنع الحكم بصحة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ترجيح الفشخ على الإجازة ليس بخصوصية كونه فشخاً ليثبت الحكم كلّيّاً، بل لما ذكرناه وبه يحصل الفرق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وعتق العبد؛ لأنّ الإجازة إبقاء للعقد، والأصل فيه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أنّ هذا الأصل قد انقطع بفعل ما يوجب الفشخ مع ثبوت الخيار، ولا يرد أنّ تعارض الأمرين أوجب ترجيح جانب العبد بالأصل المذكور؛ لأنّ جانب الجارية أيضاً معه أصالة بقاء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الخيار لبائع العبد لم ينفذ عتق الجارية ولا العبد إلا مع الإجازة على إشكال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في صحة عتق العبد خاصةً، وقد تقدّم مثله في عتق المشتري مطلقاً إذا لم يكن له خيار، وأن المتجه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اشترك الخيار صح عتق الجارية خاصة؛ لأنّ إعتاق البائع مع تضمنه للفشخ يكون نافذاً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ترجيح الفشخ على الإجازة، أو على أن تصرُّف المشتري في المبيع بالعتق مع ثبوت الخيار للبائع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بعدم الترجيح وصحة عتق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سلف أنهما أصح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هنا عدم صحتهما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للمشتري الوطء في مدة الخيار المشترك أو المختص بالبائع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بجواز الوطء في مدة الخيار، وهنا منع، وهو قوي إن كانتْ مظنة الحمل، وإلا فالجواز أقوى، كغيره من وجوه الانتفاعات التي لا توجب نقل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يجب قبض الثمن في المجلس أو قبضه؟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 عدم وجوب أحدهما؛ لأنه لا يدخُلُ في مفهوم بَيْع الدين بالدين، ولابيع الكالي بالكالي المنهي عنه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شرط الخيار شهراً مثلاً بعدم مضيّ مدّة معيّنة، احتمل بطلان الشرط؛ لأنّ الواجب لا ينقلب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الأقوى، ولا يقدح فرض الجواز بعد اللزوم، لوقوعه فيما لو تعيب المبيع قبل القبض مع فرض لزوم البيع، وكذا في المبيع يلزم مع عدم التقابض ثلاثة أيام، ثمّ ينقلب جائزاً ولم يثبت ما يعيبه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ويتعدّى الجواز إلى جعله كذلك في آجال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فسخ البائع فهي في يد المشتري أمانة على إشكال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المتجه استصحاب الضمان هنا كالسابق</w:t>
      </w:r>
      <w:r>
        <w:rPr>
          <w:rFonts w:eastAsia="Amiri" w:cs="Amiri" w:ascii="Amiri" w:hAnsi="Amiri"/>
          <w:color w:val="111111"/>
          <w:sz w:val="28"/>
          <w:szCs w:val="28"/>
          <w:rtl w:val="true"/>
          <w:lang w:bidi="ar-SA"/>
        </w:rPr>
        <w:t xml:space="preserve">. </w:t>
      </w:r>
      <w:bookmarkStart w:id="533" w:name="pg10189_116247"/>
    </w:p>
    <w:p>
      <w:pPr>
        <w:pStyle w:val="Heading5"/>
        <w:numPr>
          <w:ilvl w:val="4"/>
          <w:numId w:val="1"/>
        </w:numPr>
        <w:rPr/>
      </w:pPr>
      <w:bookmarkStart w:id="534" w:name="__RefHeading___Toc2156718_1067777946"/>
      <w:bookmarkStart w:id="535" w:name="_Toc200"/>
      <w:bookmarkEnd w:id="533"/>
      <w:bookmarkEnd w:id="534"/>
      <w:r>
        <w:rPr>
          <w:rtl w:val="true"/>
        </w:rPr>
        <w:t xml:space="preserve">[ </w:t>
      </w:r>
      <w:r>
        <w:rPr>
          <w:rtl w:val="true"/>
        </w:rPr>
        <w:t>الفصل الثاني في العيب</w:t>
      </w:r>
      <w:r>
        <w:rPr>
          <w:rtl w:val="true"/>
        </w:rPr>
        <w:t>]</w:t>
      </w:r>
      <w:bookmarkEnd w:id="535"/>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ظاهره تحقق العيب بمسمّاه وبه صرّح في التذكرة</w:t>
      </w:r>
      <w:r>
        <w:rPr>
          <w:rStyle w:val="FootnoteAnchor"/>
          <w:rtl w:val="true"/>
        </w:rPr>
        <w:footnoteReference w:id="782"/>
      </w:r>
      <w:r>
        <w:rPr>
          <w:rFonts w:ascii="Amiri" w:hAnsi="Amiri" w:eastAsia="Amiri" w:cs="Amiri"/>
          <w:color w:val="111111"/>
          <w:sz w:val="28"/>
          <w:sz w:val="28"/>
          <w:szCs w:val="28"/>
          <w:rtl w:val="true"/>
          <w:lang w:bidi="ar-SA"/>
        </w:rPr>
        <w:t>، فاكتفى بوقوعه مرّة عند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اعتياده </w:t>
      </w:r>
      <w:r>
        <w:rPr>
          <w:rStyle w:val="FootnoteAnchor"/>
          <w:rtl w:val="true"/>
        </w:rPr>
        <w:footnoteReference w:id="783"/>
      </w:r>
      <w:r>
        <w:rPr>
          <w:rFonts w:ascii="Amiri" w:hAnsi="Amiri" w:eastAsia="Amiri" w:cs="Amiri"/>
          <w:color w:val="111111"/>
          <w:sz w:val="28"/>
          <w:sz w:val="28"/>
          <w:szCs w:val="28"/>
          <w:rtl w:val="true"/>
          <w:lang w:bidi="ar-SA"/>
        </w:rPr>
        <w:t>وهو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ذلك بوقوعه قبل البيع مرتين، أو عند المشتري في الثلاثة، أو بالتلفيق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والمجلوب من بلاد الشرك مع علم المشتري بجلبه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بالجرّ عطف على الصغير أو الأمة، أي ودون المجلوب من بلاد الشرك وإن كان كبيراً، فإنّ عدم الختان فيه ليس عَيْباً مع علم المشتري بكونه مجلوباً عن قرب، وإن لم يعلم بعدم ختانه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نسخ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علم المشتري بجلبه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معطوفاً على أفراد العيوب السابقة أو على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حينئذ أنّ من العيوب عدم الختان في الكبير مطلقاً، وإن كان مجلوباً من بلاد الشرك إذا لم يعلم المشتري ،بجلبه، أما لو علم فلا خيار له، وإنما خصه بعد دخوله في الكبير لاحتمال أن يقال بعدم كونه عَيْباً في المجلوب مطلقاً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النسخة رديئة المعنى؛ فلذا غيرها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إطلاق كونه عَيْباً الكبير كافٍ عن ذكر المجلوب بعده؛ لأنّ المفروض كونه كبيراً فعطفه عليه يوهم المغايرة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يشترطه المشتري من الصفات المقصودة ممّا لا يُعدّ فَقْده عَيْباً، يثبت الخيار عند عدمه كاشتراط الإسلام، أو البكارة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الخيار في ذلك بين الردّ والإمساك بغير أرش بخلاف المعيب، ويستثنى  من ذلك اشتراط البكارة ، فإنّه يثبت بفواتها الأرش أيضاً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أمةً تخيّر، وإن كانت دابةً احتمل ذلك؛ لإمكان ارادة حمل ما تعجز عنه حينئذ، وعدمه للزيادة إن قلنا بدخول الحمل كالشيخ</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الفرق بين الأمة والدابة اشتمال حمل الأمة على الخطر وإن قيل بدخوله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حمل الدابة، فإنّه لاخطر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اقتضى الحمل والركوب فعلى تقدير القول بدخوله يكون نقصاً من وجه وزيادة من آخر فيحتمل عدم الخيار لذلك، والأقوى ثبوته من جملة النقصان، فإنّه كاف فيه الزيادة لالجبره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إعلام المشتري بالعيب أو التبرؤ مفصلاً فإن أجمل 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العيب المشتمل على الغش كمزج اللبن بالماء ونحوه، وإلا وجب ذكره ولم يجبره التبرؤ منه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فيُحتمل قيمته حين العقد والقبض والأقلّ منهما ويؤخذ من الثمن بنسبة التفاوت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ظهرت الأمة حاملاً قبل العقد كان له الردّ وإن تصرّف بالوطء خاصةً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بالحمل هنا من غير المولى؛ ليتحقق التخيير بين الردّ وعدمه إذ لو كان المولى تبيّن بطلان البيع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بنصف العشر مبني على الغالب من كون الحامل غير بكر، فلو اتفق كونُها بكراً فالأقرب العُشر كما سيأتي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بالوطء مقدماته من القُبلة، واللمس، وغيرهما على الأقوى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الفرد من التصرف مستثنى بالنصوص الكثيرة</w:t>
      </w:r>
      <w:r>
        <w:rPr>
          <w:rStyle w:val="FootnoteAnchor"/>
          <w:rtl w:val="true"/>
        </w:rPr>
        <w:footnoteReference w:id="786"/>
      </w:r>
      <w:r>
        <w:rPr>
          <w:rFonts w:ascii="Amiri" w:hAnsi="Amiri" w:eastAsia="Amiri" w:cs="Amiri"/>
          <w:color w:val="111111"/>
          <w:sz w:val="28"/>
          <w:sz w:val="28"/>
          <w:szCs w:val="28"/>
          <w:rtl w:val="true"/>
          <w:lang w:bidi="ar-SA"/>
        </w:rPr>
        <w:t xml:space="preserve">، وإن كان مخالفاً للأصول الشرعيّة في كثير من الموارد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المبيع غير الأمة، فحمل عند المشتري من غير تصرف فالأقرب أنّ للمشتري الردّ بالعيب السابق؛ لأنّ الحمل زيادة، ولو كانت حاملاً فولدت عنده ثمّ ردّها ردّ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الفرق بينها وبين غيرها من الحيوان في الحمل، من حيث الخطر الموجب للعيب، ويكون الحمل عند المشتري على ما لو كان قبل القبض، فإنّه يكون مضموناً على البائع</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مع التصرّف لاردّ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ذلك فلا يتم الحكم إلا على قول الشيخ من كون المبيع في زمن الخيار ملك البائع  </w:t>
      </w:r>
      <w:r>
        <w:rPr>
          <w:rStyle w:val="FootnoteAnchor"/>
          <w:rtl w:val="true"/>
        </w:rPr>
        <w:footnoteReference w:id="788"/>
      </w:r>
      <w:r>
        <w:rPr>
          <w:rFonts w:ascii="Amiri" w:hAnsi="Amiri" w:eastAsia="Amiri" w:cs="Amiri"/>
          <w:color w:val="111111"/>
          <w:sz w:val="28"/>
          <w:sz w:val="28"/>
          <w:szCs w:val="28"/>
          <w:rtl w:val="true"/>
          <w:lang w:bidi="ar-SA"/>
        </w:rPr>
        <w:t>وأن الحمل كالنماء المتصل لا المنفصل؛ ليتحقق كون الحمل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بنيناه على مذهبه لكان الحمل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للتعليل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فقد عرفت أنّه ز ، زيادة من وجه ونقصان من آخر فلا يتم والأقوى أنه لا يردّه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على تقدير ردّه إنما يكون بالعيب السابق كما ذكره، وحينئذٍ فلا فرق بين رده في الثلاثة وبعدها؛ لأنّ خيار العيب ليس على الفور، والحمل المذكور ليس بعيب على ذلك التقدير فلا يمنع من الردّ بالسابق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وللمشتري الفشخ مع الجهل فيرجع بالثمن أو الأرش، فإن استوعبت الجناية القيمة فالأرش ثمنه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فالأرش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المتعارف وهو ما بذله المشتري عوضاً عنه من غير التفات إلى القيمة؛ نظراً إلى أنّ هذا العَيْبَ المستوعب للقيمة لمّا كان مقدَّماً على العيب ومتعلّقاً بحق الغير كان بمنزلة ما لو ظهر مستحقاً يرجع بثمنه، ولأنّ الأرش جزء من الثمن، كما أنه لو كان غير مستوعب للقيمة، فيرجع من الثمن بنسبة النقصان، كذلك يرجع به أجمع مع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المعنى صرّح الشافعية في كتبهم في هذه المسألة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يريد بالثمن هنا القيمة مجازاً، وهو واقع في كلامهم أيضاً؛ نظراً إلى شأنه أنه إذا بيع يُشترى بقيمته وإن اقتضت العوارض زيادة أو 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حمله عليها أنّ الثمن لا يضمن إذا أجاز المجني عليه البيع، بل المضمون أقلّ الأمرين، وبهذا المعنى صرّح الشارح المحقق</w:t>
      </w:r>
      <w:r>
        <w:rPr>
          <w:rStyle w:val="FootnoteAnchor"/>
          <w:rtl w:val="true"/>
        </w:rPr>
        <w:footnoteReference w:id="791"/>
      </w:r>
      <w:r>
        <w:rPr>
          <w:rFonts w:ascii="Amiri" w:hAnsi="Amiri" w:eastAsia="Amiri" w:cs="Amiri"/>
          <w:color w:val="111111"/>
          <w:sz w:val="28"/>
          <w:sz w:val="28"/>
          <w:szCs w:val="28"/>
          <w:rtl w:val="true"/>
          <w:lang w:bidi="ar-SA"/>
        </w:rPr>
        <w:t>، ولعله الأنسب ؛ وإن كانت العبارة بعيدة الدلالة عليه، إذ كان الوجه حينئذٍ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استوعبت الجناية القيمة فهي 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وإلا فقدر الأرش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وإلا تستوعب الجناية القيمة فالواجب قدر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تكلُّف، فإنّ المتبادر من العبارة كون الأرش حينئذٍ قدر الأرش، ولا يخفى مافيه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ظهر تحريم الجارية مؤبداً عليه، فلا فشخ ولا أرش وإن نقص انتفاعه لبقاء القيمة محفوظة بالنسبة إلى غيره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القيمة ليس منافياً للعَيْب، فإنّ الخِصِيَّ قيمته محفوظة؛ بل زائدة مع تحقق عيبه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الجواب بأنّ بقاء المالية تعليل لعدم الفشخ والأرش لالعدم العيب، والحكم بالفسخ أعم من كونه معللاً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التحريم ليس بعيب؛ لعدم دخوله في تعريفه، وقد تقدم حكمه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وتختبر التَصْرِيَة </w:t>
      </w:r>
      <w:r>
        <w:rPr>
          <w:rStyle w:val="FootnoteAnchor"/>
          <w:rtl w:val="true"/>
        </w:rPr>
        <w:footnoteReference w:id="792"/>
      </w:r>
      <w:r>
        <w:rPr>
          <w:rFonts w:ascii="Amiri" w:hAnsi="Amiri" w:eastAsia="Amiri" w:cs="Amiri"/>
          <w:color w:val="111111"/>
          <w:sz w:val="28"/>
          <w:sz w:val="28"/>
          <w:szCs w:val="28"/>
          <w:rtl w:val="true"/>
          <w:lang w:bidi="ar-SA"/>
        </w:rPr>
        <w:t>بثلاثة أيام، فإن زالت التصرية قبل انقضائها فلاخيار، ويثبت لو زالت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تختبر بثلاثة أيام ومن قوله ويثبت لو زالت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على تقدير ثبوتها لا يختص بالثلاثة، بل يمكن أن لا يقع فيها أيضاً؛ لأنه لا يثبت إلا بعد الاختبار في الثلاثة، وهو يوجب تأخُرَ وقته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عبارة الدروس </w:t>
      </w:r>
      <w:r>
        <w:rPr>
          <w:rStyle w:val="FootnoteAnchor"/>
          <w:rtl w:val="true"/>
        </w:rPr>
        <w:footnoteReference w:id="793"/>
      </w:r>
      <w:r>
        <w:rPr>
          <w:rFonts w:ascii="Amiri" w:hAnsi="Amiri" w:eastAsia="Amiri" w:cs="Amiri"/>
          <w:color w:val="111111"/>
          <w:sz w:val="28"/>
          <w:sz w:val="28"/>
          <w:szCs w:val="28"/>
          <w:rtl w:val="true"/>
          <w:lang w:bidi="ar-SA"/>
        </w:rPr>
        <w:t xml:space="preserve">، وعبارة المصنّف في التحرير </w:t>
      </w:r>
      <w:r>
        <w:rPr>
          <w:rStyle w:val="FootnoteAnchor"/>
          <w:rtl w:val="true"/>
        </w:rPr>
        <w:footnoteReference w:id="794"/>
      </w:r>
      <w:r>
        <w:rPr>
          <w:rFonts w:ascii="Amiri" w:hAnsi="Amiri" w:eastAsia="Amiri" w:cs="Amiri"/>
          <w:color w:val="111111"/>
          <w:sz w:val="28"/>
          <w:sz w:val="28"/>
          <w:szCs w:val="28"/>
          <w:rtl w:val="true"/>
          <w:lang w:bidi="ar-SA"/>
        </w:rPr>
        <w:t xml:space="preserve">أنّ الخيار هنا إنّما هو في الثلاثة لابعدها، بل جعله في الدروس خيار الحيوان نفسه </w:t>
      </w:r>
      <w:r>
        <w:rPr>
          <w:rStyle w:val="FootnoteAnchor"/>
          <w:rtl w:val="true"/>
        </w:rPr>
        <w:footnoteReference w:id="795"/>
      </w:r>
      <w:r>
        <w:rPr>
          <w:rFonts w:ascii="Amiri" w:hAnsi="Amiri" w:eastAsia="Amiri" w:cs="Amiri"/>
          <w:color w:val="111111"/>
          <w:sz w:val="28"/>
          <w:sz w:val="28"/>
          <w:szCs w:val="28"/>
          <w:rtl w:val="true"/>
          <w:lang w:bidi="ar-SA"/>
        </w:rPr>
        <w:t>، ونقله عن الشيخ</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الأوّل إن كان طريق معرفتها الاختبار؛ لأنّ محله مجموع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ترجيح الثاني إن علمت بالبينة أو الإقرار وعلى الأوّل يثبت على الفور بعد انقضاء الثلاثة بغير فصل، إلا أن يجهل الفوريّة أو الخيار، وعليه يُنَزّل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لو زالت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والزيادة المنفصلة له والمتصلة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 الفضلاء ما صورته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جزم هنا بأنّ الزوائد للمشتري وإن فسخ واستشكل في زوائد المُصَرَّاة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الفرق نظر إلّا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الفَسْخ في التَصْرِيَةِ يجعله</w:t>
      </w:r>
      <w:r>
        <w:rPr>
          <w:rStyle w:val="FootnoteAnchor"/>
          <w:rtl w:val="true"/>
        </w:rPr>
        <w:footnoteReference w:id="797"/>
      </w:r>
      <w:r>
        <w:rPr>
          <w:rFonts w:ascii="Amiri" w:hAnsi="Amiri" w:eastAsia="Amiri" w:cs="Amiri"/>
          <w:color w:val="111111"/>
          <w:sz w:val="28"/>
          <w:sz w:val="28"/>
          <w:szCs w:val="28"/>
          <w:rtl w:val="true"/>
          <w:lang w:bidi="ar-SA"/>
        </w:rPr>
        <w:t xml:space="preserve">من أصله والعيب من حينه، وفيه سؤال اللميّة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الموضعين واحد من جهة كون الفسخ يبطله من حينه لا من أصله، وهو المقتضي لكون الزوائد المنفصلة للمشتري، وإنّما تردّ في اللبن المتجدّد للمُصَرَّاةِ، من حيث إطلاق النص </w:t>
      </w:r>
      <w:r>
        <w:rPr>
          <w:rStyle w:val="FootnoteAnchor"/>
          <w:rtl w:val="true"/>
        </w:rPr>
        <w:footnoteReference w:id="799"/>
      </w:r>
      <w:r>
        <w:rPr>
          <w:rFonts w:ascii="Amiri" w:hAnsi="Amiri" w:eastAsia="Amiri" w:cs="Amiri"/>
          <w:color w:val="111111"/>
          <w:sz w:val="28"/>
          <w:sz w:val="28"/>
          <w:szCs w:val="28"/>
          <w:rtl w:val="true"/>
          <w:lang w:bidi="ar-SA"/>
        </w:rPr>
        <w:t>بردّها مع اللبن الشامل بإطلاقه للموجود حال العقد والمتجدّد بعده، ولكنّ الإطلاق محمول على الأوّل، لأنه جزء من المبيع، فالفشخ فيه يقتضي ردّه بخلاف المتجدّد، فإنّه يخص النماء فيرجع إلى القاعدة ومن ثُمَّ حَكَم فيما سَبَق</w:t>
      </w:r>
      <w:r>
        <w:rPr>
          <w:rStyle w:val="FootnoteAnchor"/>
          <w:rtl w:val="true"/>
        </w:rPr>
        <w:footnoteReference w:id="800"/>
      </w:r>
      <w:r>
        <w:rPr>
          <w:rFonts w:ascii="Amiri" w:hAnsi="Amiri" w:eastAsia="Amiri" w:cs="Amiri"/>
          <w:color w:val="111111"/>
          <w:sz w:val="28"/>
          <w:sz w:val="28"/>
          <w:szCs w:val="28"/>
          <w:rtl w:val="true"/>
          <w:lang w:bidi="ar-SA"/>
        </w:rPr>
        <w:t>، بعدم دخوله، وإن عقبه بالإشكال لما ذكرناه، وحينئذ فلامنافاة بين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نكل فردّ عليه احتمل عدم ردّه على الموكل لإجرائه مجرى الإقرار، وثبوته لرجوعه قهراً كالبينة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مبنى الوجهين على أن اليمين المردودة على المدعي بعد نكول المنكر، هل هي كإقامة البينة من المدعي، أو كإقرار المنكر بالحقِّ؟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منشؤهما كونه صادراً من المدعي فهو كالبينة من جهته، ومن أنّ سببه النكول وهو من المنكر، فيكون كإقراره، والمشهور</w:t>
      </w:r>
      <w:r>
        <w:rPr>
          <w:rStyle w:val="FootnoteAnchor"/>
          <w:rtl w:val="true"/>
        </w:rPr>
        <w:footnoteReference w:id="801"/>
      </w:r>
      <w:r>
        <w:rPr>
          <w:rFonts w:ascii="Amiri" w:hAnsi="Amiri" w:eastAsia="Amiri" w:cs="Amiri"/>
          <w:color w:val="111111"/>
          <w:sz w:val="28"/>
          <w:sz w:val="28"/>
          <w:szCs w:val="28"/>
          <w:rtl w:val="true"/>
          <w:lang w:bidi="ar-SA"/>
        </w:rPr>
        <w:t>ترجيح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المصنّف على وجهه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لرجوعه قهراً كالبينة أي رجوع المبيع إلى المنكر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غير 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كالبينة، مع أنّها من وظيفة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بالأوّل ملك الوكيل ردّه على الموكل ؛ لأنّ </w:t>
      </w:r>
    </w:p>
    <w:p>
      <w:pPr>
        <w:pStyle w:val="BookText"/>
        <w:rPr/>
      </w:pPr>
      <w:r>
        <w:rPr>
          <w:rFonts w:ascii="Amiri" w:hAnsi="Amiri" w:eastAsia="Amiri" w:cs="Amiri"/>
          <w:color w:val="111111"/>
          <w:sz w:val="28"/>
          <w:sz w:val="28"/>
          <w:szCs w:val="28"/>
          <w:rtl w:val="true"/>
          <w:lang w:bidi="ar-SA"/>
        </w:rPr>
        <w:t>البينة لو قامت بتقدّم العَيْب ملك ردّه عليه، فكذا مع ما قام مقامها وهو 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بالثاني لم يملك ردّه عليه ؛ لأنه لو أقرّ به لم ينفعه الإقرار، فكذا مع ما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يظهر ضعف ما قيل على البناء المذكور من عدم توجهه، من حيث إنّ البينة في هذه الحالة على سَبْق العَيْب غير مسموعة من الوكيل، ولا موجبة للردّ على الموكل، لأن الوكيل ينكر سبق العيب، فهو معترف بكون المشتري ظالماً و مَن ظلم لا يظلم</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 xml:space="preserve">؛ لأنّ هذا الإشكال مبني على أن اليمين كإقامة البينة من المنكر، وليس كذلك كما بيناه </w:t>
      </w:r>
      <w:r>
        <w:rPr>
          <w:rStyle w:val="FootnoteAnchor"/>
          <w:rtl w:val="true"/>
        </w:rPr>
        <w:footnoteReference w:id="803"/>
      </w:r>
      <w:r>
        <w:rPr>
          <w:rFonts w:ascii="Amiri" w:hAnsi="Amiri" w:eastAsia="Amiri" w:cs="Amiri"/>
          <w:color w:val="111111"/>
          <w:sz w:val="28"/>
          <w:sz w:val="28"/>
          <w:szCs w:val="28"/>
          <w:rtl w:val="true"/>
          <w:lang w:bidi="ar-SA"/>
        </w:rPr>
        <w:t xml:space="preserve">وصَرَّحوا به في بابه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ردّها بخيار، فأنكر البائع أنّها سَلْعته احتمل المساواة وتقديم قول المشتري مع اليمين؛ لاتفاقهما على استحقاق الفشخ بخلاف العَيْب</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المساواة قوية لاشتراكهما في إنكار البائع كونها سلعته، والأصل يشهد له فيقدّم قوله فيهما، والخيار المفروض في الثانية لادخل له في هذا النزاع؛ لأنّ استحقاق الفشخ بالعيب ليس بالخيار ، كما أنّ الفشخ بالخيار المتفق عليه لا يتوقف على ثبوت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أقرّ البائع بعَيْب سَلْعَته في الأوّل وأنكر تعيين المشتري، فالقول قول البائع فيه أيضاً، وإن اتفقا على ثبوت الخيار بالعيب، لما عرفت من أنّ ذلك لا مدخل له في موضع النزاع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 الفشخ بالخيار الثابت بالعيب أو غيره طالب البائع بسَلْعَته؛ لأصالة عدم كون ذلك عين ماله، ولأنه منكر، وقبض المشتري إنما كان المصلحته فلا يترجّح قوله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المبيع حَلْياً من أحد النقدين بمساويه جنساً وقدراً، فوجد المشتري عيباً قديماً وتجدد عنده آخَرُ، لم يكن له الأرش ولا الردّ مجاناً ولا مع الأرش، ولا يجب الصبر على المعيب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التعليل إشارة إلى الجواب عمّا يرد على الحكم بالأرش، حيث إنّه يستلزمه الربا؛ لأنّ الأرش كالجزء من الثمن فيكون الحلي مع الأرش في مقابلة الثمن، وذلك يستلزم الزيادة الموجبة للربا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بأنّ مقتضى أصل المعاوضة كون الحلي في مقابلة الثمن وهو مساوٍ له قدراً، والأرش في مقابلة العيب المضمون، فهو كأرش عَيْب العين المقبوضة بالسوم إذا تجدّد بيد المُستام، وإن كانت ربويّة، فكما لا يعدّ فيه الربا لا يعد في صورة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فرق بين دفع الأرش من جنس الحلي وغيره؛ لأنّ الجنس لو امتنع لامتنع غيره؛ لتحقق الزيادة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المقابلة بمجردها لا تمنع الربا وإلا لزم جواز شراء الحلي المذكور مع أرش العيب ابتداءاً، وهو معلوم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القدر المجوّز مع الجهة أمر آخر ، وهو لحوق الزيادة لأصل المعاوضة، كما هو الواقع في محلّ النزاع دون ما عورض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 بمسألة المقبوض بالسوم، فإنّ الزيادة فيه لاحقة بسبب الضمان لا بسبب المعاوضة، ومرجعه إلى أنّ الربا إنّما يثبت في المعاوضات لا الضمانات وهذا حسن إن لم نقل بكون الأرش ثابتاً في ذمّة من يلتزم به في ابتداء العقد وإن لم يطالبه به المستحق وإلا كانت المعاوضة في معنى المشتمل عليه ابتداءاً، وهو في موضع النظر</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وجه ثالث، وهو جواز رجوع المشتري بأرش العيب القديم ولا تقدح الزيادة؛ لأنّ المماثلة في الربوي إنّما تشترط في ابتداء المعاوضة وقد حصلت والأرش حق يثبت بعد ذلك فلا يقدح في العقد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مرّ من البناء على كون الأرش ثابتاً ابتداءاً، أو بعد المطالبة به، فعلى الثاني يتجه ذلك وإلا فلا</w:t>
      </w:r>
      <w:r>
        <w:rPr>
          <w:rFonts w:eastAsia="Amiri" w:cs="Amiri" w:ascii="Amiri" w:hAnsi="Amiri"/>
          <w:color w:val="111111"/>
          <w:sz w:val="28"/>
          <w:szCs w:val="28"/>
          <w:rtl w:val="true"/>
          <w:lang w:bidi="ar-SA"/>
        </w:rPr>
        <w:t xml:space="preserve">. </w:t>
      </w:r>
      <w:bookmarkStart w:id="536" w:name="pg10189_116255"/>
    </w:p>
    <w:p>
      <w:pPr>
        <w:pStyle w:val="Heading4"/>
        <w:numPr>
          <w:ilvl w:val="3"/>
          <w:numId w:val="1"/>
        </w:numPr>
        <w:rPr/>
      </w:pPr>
      <w:bookmarkStart w:id="537" w:name="__RefHeading___Toc2156720_1067777946"/>
      <w:bookmarkStart w:id="538" w:name="_Toc201"/>
      <w:bookmarkEnd w:id="536"/>
      <w:bookmarkEnd w:id="537"/>
      <w:r>
        <w:rPr>
          <w:rtl w:val="true"/>
        </w:rPr>
        <w:t>[</w:t>
      </w:r>
      <w:r>
        <w:rPr>
          <w:rtl w:val="true"/>
        </w:rPr>
        <w:t xml:space="preserve">المقصد السادس في أحكام العقد </w:t>
      </w:r>
      <w:r>
        <w:rPr>
          <w:rtl w:val="true"/>
        </w:rPr>
        <w:t>]</w:t>
      </w:r>
      <w:bookmarkEnd w:id="538"/>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البذر وإن كان كامناً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في تحقق معنى البذر لغةً وعرفاً من كمونه تحت الأرض على تقدير كونه فيها، فلو كان قد ظهر بما يُسمّى زرعاً لا بذراً، فالمبالغة بالكمون بملاحظة المجاز بما كان عليه، أو بتكلف شموله لما وضع فى الأرض قبل طمه بالحرث ونحوه، وإنْ بَعد الفرض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قال بحقوقها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وصلي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تندرج فيها الأشجار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لاتدخل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بعتكها بحقوقها؛ لأنّ الأشجار ونحوها ليست من حقوق الأرض فلا يتناولها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ونبه به على خلاف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أدخلها بذلك</w:t>
      </w:r>
      <w:r>
        <w:rPr>
          <w:rStyle w:val="FootnoteAnchor"/>
          <w:rtl w:val="true"/>
        </w:rPr>
        <w:footnoteReference w:id="805"/>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قال وما أغلق عليه ،بابه، أو ما هو فيه، أو وما اشتملت عليه حدوده دخل الجميع</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دخول ذلك في كل واحدة من هذه الألفاظ غير مشروط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مقتضية لدخولها بنفسها، لصراحتها في ذلك، ويشكل الحكم في دخول البذر الكامن </w:t>
      </w:r>
    </w:p>
    <w:p>
      <w:pPr>
        <w:pStyle w:val="BookText"/>
        <w:rPr/>
      </w:pPr>
      <w:r>
        <w:rPr>
          <w:rFonts w:ascii="Amiri" w:hAnsi="Amiri" w:eastAsia="Amiri" w:cs="Amiri"/>
          <w:color w:val="111111"/>
          <w:sz w:val="28"/>
          <w:sz w:val="28"/>
          <w:szCs w:val="28"/>
          <w:rtl w:val="true"/>
          <w:lang w:bidi="ar-SA"/>
        </w:rPr>
        <w:t xml:space="preserve">مطلقاً؛ للجهالة والأجود تقييده بضبطه بالوصف أو المشاهدة، أو كونه تابعاً للأرض لا مقصوداً بالذات، كما سلف في أوّل الكتاب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دخول البناء إشكال أقربه عدم 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موضع الإشكال في غير الحائط ونحوه من الأبنية المعدودة جزءاً من البستان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دخول ما دلّت القرينة والعرف على دخوله دون غيره، ويختلف ذلك باختلاف البقاع وأوضاع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والإجانات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إجانة بكسر الهمزة وتشديد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ينتفع به في غسل الثياب ونحوه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ويدخل فيه المجاز ولو قال بحقوقها وتعدّد دخل الجميع، ولو لم يقل فإشكال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فيما مرّ إذا كان إلى الشارع أو ملك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اختصاص الإشكال هنا بغير الشارع وملك المشتري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المتقدّم ما لو قال بحقوقها وحكمه ثَمَّة بدخول الجميع على إشكال غير مناف للحكم، ولم يذكر حكم ما لو أطلق وهنا جزم بدخول الجميع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بحقوقها، فهو غير مناف لما تقدّم، غير أنّ في السابق تنبيهاً على محل الإشكال في بعض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استشكل هنا مع الإطلاق وهو حكم آخر، فلا وجه لتخصيصه جمعاً بينه وبين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عدم دخول الجميع، فيجب تعيين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دخول الأشجار النابتة وسطها إشكال، أقربه عدم الدخول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قوي إلا مع اقتضاء العرف دخولها ، أو دلالة القرينة عليه، كالمساومة على المجموع </w:t>
      </w:r>
    </w:p>
    <w:p>
      <w:pPr>
        <w:pStyle w:val="BookText"/>
        <w:rPr/>
      </w:pPr>
      <w:r>
        <w:rPr>
          <w:rFonts w:ascii="Amiri" w:hAnsi="Amiri" w:eastAsia="Amiri" w:cs="Amiri"/>
          <w:color w:val="111111"/>
          <w:sz w:val="28"/>
          <w:sz w:val="28"/>
          <w:szCs w:val="28"/>
          <w:rtl w:val="true"/>
          <w:lang w:bidi="ar-SA"/>
        </w:rPr>
        <w:t>مع بذل ثمن لا يقابل عادة إلا المجموع،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 الإبقاء في المَغْرِس ميتةً، إلا أن تستخلف عوضاً من فراخها المشترطة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الاستثناء منقطع؛ لأنّ استخلاف فراخها المشترطة ليس من أفراد إبقائها ميتةً؛ إلّا أنْ يريد يريد جواز إبقائها مع الفراخ المشترطة، ولا يتمُّ بتقدير حاجة الفرخ إلى بقاء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انتقلت النخلة بغيره من صلح بعوض أو غيره، أو هبة بعوض وغيره، أوإجارة، أو صداق، أو غير ذلك لم 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حواشي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بعوض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فخرالدين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عوض والصلح جائز بغير عوض، نقله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عود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وغير الصلح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وجه الأولوية، بل وجه صحة العبارة على تقديرها فإنّه يلزم استدراك سائر ما بعدهما لدخوله في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ردّها إلى العوض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بغيره بعد عوض الهبة غير العوض، فيكون الأول كذلك بمقتضى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استدراك المذكورات بمغايرتها للصلح والمتجه صحة الصلح بغير عوض بناءً على إفادته فائدة الهبة التي لا تقتضي العوض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صالحتك على كذا،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وصلح الحطيطة يرشد إليه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 يرد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عقود المعاوضات وهي تقتضي عوضاً؛ لأن كونه من </w:t>
      </w:r>
    </w:p>
    <w:p>
      <w:pPr>
        <w:pStyle w:val="BookText"/>
        <w:rPr/>
      </w:pPr>
      <w:r>
        <w:rPr>
          <w:rFonts w:ascii="Amiri" w:hAnsi="Amiri" w:eastAsia="Amiri" w:cs="Amiri"/>
          <w:color w:val="111111"/>
          <w:sz w:val="28"/>
          <w:sz w:val="28"/>
          <w:szCs w:val="28"/>
          <w:rtl w:val="true"/>
          <w:lang w:bidi="ar-SA"/>
        </w:rPr>
        <w:t>عقود المعاوضات ليس ممّا يجب اعتماده مطلقاً، بل لا دليل عليه كذلك، وإنّما هو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الثمرة بعد البيع، فهي للمشتري إذا لم تكن موجودة حال العقد، إلا أن يشترطها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من ظهور الثمرة بروزها إلى الوجود، سواء ظهرت للحسّ أم لا، وقد تقدّم في كلامه عن قريب ما يدلّ على ذلك، وحينئذٍ فلا وجه لاشتراط كونها غير موجودة حال البيع بعد الحكم بتجدّد ظهورها بعده، إلا أن يحمل الظهور على الوجود الحسّي، والوجود على الأعم منه، كما حملها الشهيد رحمه الله في حاشيته</w:t>
      </w:r>
      <w:r>
        <w:rPr>
          <w:rStyle w:val="FootnoteAnchor"/>
          <w:rtl w:val="true"/>
        </w:rPr>
        <w:footnoteReference w:id="811"/>
      </w:r>
      <w:r>
        <w:rPr>
          <w:rFonts w:ascii="Amiri" w:hAnsi="Amiri" w:eastAsia="Amiri" w:cs="Amiri"/>
          <w:color w:val="111111"/>
          <w:sz w:val="28"/>
          <w:sz w:val="28"/>
          <w:szCs w:val="28"/>
          <w:rtl w:val="true"/>
          <w:lang w:bidi="ar-SA"/>
        </w:rPr>
        <w:t>، وهو جيد وإن كان خلاف الظاهر لتستقيم معه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 الظهور على بُدو الصلاح ففساده أظهر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كان بعض طَلْع النخلة مُؤَبَّراً</w:t>
      </w:r>
      <w:r>
        <w:rPr>
          <w:rStyle w:val="FootnoteAnchor"/>
          <w:rtl w:val="true"/>
        </w:rPr>
        <w:footnoteReference w:id="812"/>
      </w:r>
      <w:r>
        <w:rPr>
          <w:rFonts w:ascii="Amiri" w:hAnsi="Amiri" w:eastAsia="Amiri" w:cs="Amiri"/>
          <w:color w:val="111111"/>
          <w:sz w:val="28"/>
          <w:sz w:val="28"/>
          <w:szCs w:val="28"/>
          <w:rtl w:val="true"/>
          <w:lang w:bidi="ar-SA"/>
        </w:rPr>
        <w:t>وبعضه غير مُؤَبَّرٍ، احتمل دخول غير المُؤَبَّر خاصةً، وعدم الدخول مطلقاً؛ لعسر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دخول غير المُؤبَّر خاصّةً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 الغصن اليابس ولا السعف </w:t>
      </w:r>
      <w:r>
        <w:rPr>
          <w:rStyle w:val="FootnoteAnchor"/>
          <w:rtl w:val="true"/>
        </w:rPr>
        <w:footnoteReference w:id="813"/>
      </w:r>
      <w:r>
        <w:rPr>
          <w:rFonts w:ascii="Amiri" w:hAnsi="Amiri" w:eastAsia="Amiri" w:cs="Amiri"/>
          <w:color w:val="111111"/>
          <w:sz w:val="28"/>
          <w:sz w:val="28"/>
          <w:szCs w:val="28"/>
          <w:rtl w:val="true"/>
          <w:lang w:bidi="ar-SA"/>
        </w:rPr>
        <w:t>اليابس على إشكال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الأقوى دخولهما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ورق التوت نظر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 الخارج من الربيع؛ لأنه هو القائم مقام الثمرة، والأقوى إلحاقه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فيدخل بغير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خيف الضرر الكثير فالأقرب جواز القطع، وفي دفع الأرش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جواز القطع حينئذٍ قوة من دون الأرش، ولا ينافيه ما تقدّم في الثمار من ترجيح مصلحة المشتري؛ لأنّه مقيّد بما إذا لم يكن الضرر كثيراً بحيث يتناول حكمه خبر الضرار</w:t>
      </w:r>
      <w:r>
        <w:rPr>
          <w:rStyle w:val="FootnoteAnchor"/>
          <w:rtl w:val="true"/>
        </w:rPr>
        <w:footnoteReference w:id="814"/>
      </w:r>
      <w:r>
        <w:rPr>
          <w:rFonts w:ascii="Amiri" w:hAnsi="Amiri" w:eastAsia="Amiri" w:cs="Amiri"/>
          <w:color w:val="111111"/>
          <w:sz w:val="28"/>
          <w:sz w:val="28"/>
          <w:szCs w:val="28"/>
          <w:rtl w:val="true"/>
          <w:lang w:bidi="ar-SA"/>
        </w:rPr>
        <w:t>، وإلا لم يقدّم ثُمَّ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إرادته فيما سبق تقديمه مطلقاً كان ما قلنا من التفصيل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يتناول ماله الذي ملكه مولاه، إلا أن يستثنيه المشتري إن قلنا إن العبد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باستثناء المشتري له اشتراط دخوله في المبيع لا الاستثناء المتعارف؛ لأنه منافٍ للمقصود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العبارة أنّه على القول بملك العبد لا يدخل ماله إلّا مع الشرط وبدونه يكون للبائع، وهو خلاف المعروف من حكم الملك، أن ملك العبد 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تسلّطه على الانتفاع به لاملك رقبته كما نقله في الدروس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آخر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وجدناه من هذه الحاشية والحمد لله وحده وصلّى الله على محمّد وآله وكتبها لنفسه بيده الفانية الجانية الفقير إلى رحمة ربه الغني المغني حسين بن عليّ بن طعمة الحوارزي تجاوز الله تعالى عنهم بمنه وكرمه وأفاض عليهم سبحانه فضله وجوده ونعمه إنه جواد كريم، وذلك في عشرين جمادى الأولى سنة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على مهاجرها أفضل الصلاة والسلام والحمد لله ربّ العالمين، اللهم اختم لنا بالصالحات يا كريم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حاشية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العبد الجليل الشيخ زين الدين المشهور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رحمة الله الملك الجبّار</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المخطوطات أن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مخطوطة مكتبة العالم الشهيد القاضي الطباطبائي، ومخطوطة مكتبة مجلس الشورى الإسلامي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المرقمة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ذكرها صاحب مدارك الأحكام في مواضع عديدة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السيد العاملي في مفتاح الكرامة والنجفي في جواهر الكلام أيضاً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حياته وآثاره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الموسوعة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وتجدر الإشارة إلى أنّ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قد شرح مبحث التجارة إلى بداية الفصل الثاني في التسليم ولم يتم الباقي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أشار إليه أيضاً في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شرح الخطبة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مقدّماً على مقدمة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رمسه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مبحث الإمامة من هذه الكتب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الملكوت في شرح الياقوت كشف الفوائد في شرح قواعد العقائد؛ نهج المسترشدين في أصول الدين وسائر الكتب الكلامية للعلامة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المراد في شرح تجريد الاعتقاد،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المعتزلة في 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السؤال فخر المحققين ولد المصنف على 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المقصد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الاقتصاد فيما يتعلق بالاعتقاد،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الحديث بهذا اللفظ في الكتب الحديثية من كتب الفريقين المتوفرة لدينا وورد قريب منه في بحار الأنوار،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حياته وآثاره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الموسوعة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فالتمست منه أن يعمل لي كتاباً في الفقه جامعاً لقواعده، حاوياً لفرائده مشتملاً على غوامضه ودقائقه، جامعاً لأسراره وحقائقه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كيحيى بن سعيد الحلّي في الجامع للشرائع،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منتهى المطلب،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نقل الشيخ عن عبدالله بن عنبري،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يدفن ابنه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يدفنه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فالابن يدفن أباه؟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لا بأس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والأدق أنْ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يُتَطَهَّرُ به من الحَدَث والخبث أو كتاب التطهر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التوضيح راجع النجعة،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المعنى الذي استقر علیه اصطلاح علماء الخاصة؛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أجوبة المسائل المصرية، ضمن الرسائل التسع،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ابن عقيل،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الكافية في النحو،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باب التنازع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يقول في تعريف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اسم للوضوء أو الغسل أو التيمم، على وجه له تأثير في استباحة الصلاة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أوقات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العلامة المحقق نصير الدين علي بن محمد القاشي من كبار العلماء، وله تأليف في الفقه والحكمة،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بالمشهد المقدّس ،الغروي، كما في مجموعة الجباعي الورقة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فلاسفة الشيعة،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ومقابس الأنوار،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ورياض العلماء،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وريحانة الأدب،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وللعلامة نصير الدين القاشي على هذا التعريف سؤالات عشرون في جزء 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ورسالته هذه مفقودة لم تصل إلينا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سببين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إلى علم الأصول،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المصدر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جهة الاشتراك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ولكنها في النسخ موجودة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عرفنا الحيوان بالإنسان فإن الإنسان لو أردنا تعريفه أخذنا فيه الحيوان فيكون دَوْراً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تعريف القواعد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الجوهر النضيد،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الفصل الخامس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الحد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غاية المراد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زيادة من القيود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مركبة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في اللمعة الجلية في معرفة النية، ضمن الرسائل العشر،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343/80</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إذا اجتمع،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منقولة بالمعنى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النوادر،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البيان،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كم يُجْزِئُ من الماء في الاستنجاء من البول؟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ما على الحشفة من البلل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الخلاء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وإليك نص الحديث كما 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عن علي بن الحسين بن عبد ربه، قال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الفص يتخذ من أحجار زمزم؟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 ولكن إذا أراد الاستنجاء نزعه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بيته يقُتُه قَماً إذا كنسه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النسخ، وأضفناها 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الزيادة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تخريجها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اختلاط ماء المطر بالبؤل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الماء قدر كُرّ لم ينجسه شيء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غسالة الحمّام لا يجوز استعمالها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ضمن الرسائل العشر لابن فهد،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الرواية 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وسائل الشيعة وتهذيب الأحكام وكما صرح في هامش مفتاح الكرامة، ووافقه صاحب الجواهر نعم ذكره كثير من العلماء في كتبهم الفقهية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كالنووي في 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العجين يعجن من الماء النجس كيف يصنع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يباع ممّن يستحل أكل الميتة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مدارك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أن يقرأ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اسم المفعول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القَصَرَةُ بالتحريك أصل العنق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لتوضيح عقائدتهم 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السراج الوهاج،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والمذكور في كتب علمائنا إذا انقلبت خلاً بنفسها أو بفعل آدمي حلّت وطهرت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كان على الإنسان أو معه مما لا يجوز الصلاة فيه وحده فلا بأس أن يصلّي فيه وإن كان فيه قذر مثل القلنسوة والكمرة والنعل والخفّين وما أشبه ذلك</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عن امرأة ليس لها إلا قميص واحد ولها مولود فيبول عليها كيف تصنع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تغسل القميص في اليوم مرّة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الموجز ، ضمن الرسائل العشر لابن فهد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صمام القارورة سدادها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صَمَمْتُ القارورة، أي سددتها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الفأر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أضفناء من المصدر، وإن لم يتعرض لها كلّها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الوصول،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فسَّر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المحقق الثاني الشيخ علي بن الحسين الكركي صاحب جامع المقاصد في شرح القواعد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الصلاح في الكافي في الفقه،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الإثم 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الإثم والشهيد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الجعفرية، ضمن المجموعة الأولى من رسائل الكركي،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صرّح بالإعادة في الوقت؛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صرّح بعدم الإعادة مطلقاً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الشرائع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ترك غسل موضع النجو أو البول، وصلّى، أعاد الصلاة عامداً كان أو ناسياً أو 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مفتاح الكرامة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من مشكلات عبارات القواعد وقد تصدى جماعة من الفضلاء لحلها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وللمزيد 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صلى الله عليه وسلم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نسي صلاة من صلاة يومه واحدة ولم يدر أي صلاة هي صلى ركعتين وثلاثاً وأربعاً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البحث فيهما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الإخلال من طهارتين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توضأ وصلّى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وهو متأخر عن المصنف ولم نعثر عليه عند غيره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شرح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 الإخلال من طهارتين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عندي وجوبه؛ لإنكار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الأنصار، فإنّه يدلّ عليه ؛ وقول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أنه قوى وجوب الغسل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والعُذرة والقرحة،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ولمزيد التوضيح والاطلاع راجع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جائز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والنَبَطُ والنبيط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ينزلون بالبطائح بين العراقين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الكوفة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أنباط؛ وفي 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النبط والنبيط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جيل معروف، كانوا ينزلون بالبطائح بين العراقين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الحائض والمستحاضة،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به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والفقيه يحيى بن سعيد الحلّي في الجامع للشرائع،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أفتى المصنف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الحائض والاستحاضة،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ذكرت المضطربة العدد دون الوقت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وعكسها أي أن تذكر الوقت وتنسى العدد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الحائض والمستحاضة،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مراد المصنف من الاحتياط الوجوب؛ وهو الظاهر من السيد عميد الدين في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صرّح العلّامة في بعض كتبه بالأقل وقال بعضهم مراده من الأقل الثلاثة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 الأخير بالأقل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يغسل المرأة والمرأة تغسل الرجل،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الشهید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وفي المصدرين والنسخ وما نقل في المتن تفاوت لا يضر بالمقصود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الأقوال في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لا خلاف بينهم في أن النمط ثوب كبير شامل للبدن كاللفافة والحبرة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تكفين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فيه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جنائز الرجال والنساء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الثاني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باب غسل مَنْ غسل الميت ومن مسه وهو حارٌ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صلاة النوافل،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في اللمعة الدمشقية،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والألفية،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نقلاً عن بعض العامة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والإقامة وفضلهما وثوابهما ،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الثاني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أخل بالموالاة </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من الضحك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خرج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في النسخ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جامع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أدرك ركعة من الصلاة فقد أدرك الصلاة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المعتبر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وجوب الجمعة وعلى كم تجب،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زياد المعروف بابن الأعرابي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أهل الكوفة، وعلامة في اللغة، وردت ترجمته في الأعلام، الزركلي،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بالذكر أنّ هذا الهامش والذي قبله مأخوذان من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تُبْطِلُوا أَعْمَلَكُمْ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نقلاً عن حاشية الميسي ومسالك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بالاستحباب هو سلّار في المراسم،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زكاة مال اليتيم،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المال الغائب والدين والوديعة،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وابن الجنيد كما نقله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الأوّل من المقصد الخامس من المتاجر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قبيل هذا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 المفيد في المقنعة،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الرجل يخلف عند أهله من النفقة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شطر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 أن الحول لغة اثنا عشر شهراً، ولكن أجمع أصحابنا على تعلّق الوجوب بدخول الثاني عشر، وقد أطلقوا على الأحد عشر اسم الحؤل أيضاً بناء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عن الباقر والصادق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الثاني عشر فقد حال عليه الحول ووجبت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الأحد عشر حوْلاً شرعياً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المال الذي لا يحول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معناه السنة؛ وفي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بأسرها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صدقة الإبل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وانظر مسالك الأفهام،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صدقة الغنم،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من عمل برواية الأول وهم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وابن الجنيد، 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ومنهم من عمل بالثاني وهم المفيد في المقنعة،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بابويه في المقنع،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وابن أبي عقيل، 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إخراج المُؤن، وينبغى أن تلاحظ ما هو المقصود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إرشاد الأذهان،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فيما يأخذ السلطان من الخراج،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تاج العروس،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 مالِهِ أي صامته، وهو الدرهم والدينار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 ناضاً إذا تَحوَّل عيناً بعد أن كان متاعاً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في غريب الحديث والأثر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باب من يحل له أن يأخذ الزكاة ومن لا يحلّ ومَن له المال القليل،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 ابن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المفيد في المقنعة،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في النهاية،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صرّح فيها وفي غيرها أن ذلك على سبيل الاستحباب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سلّار في المراسم،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والمحقق حكاه عن ابن الجنيد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الأقوى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تحديد القلّة، بل أقل ما يتملك</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لا يدفع القيمة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مات العبد المبتاع من الزكاة ولا وارث له فعاله لأرباب الزكاة وعليه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تضعف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 طريقها ابن فضال، وهو فطحي وعبيد الله بن بكير وفيه ضعف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تبصرة المتعلمين،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في المعقوفين أضفناه من المصدر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بعيد هذا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انقطع خَبَرُه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غيرهما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في النهاية،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المحرر، ضمن الرسائل العشر،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وابن حمزة في الوسيلة،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الوسيلة،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البيان،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والمحقق في شرائع الإسلام،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وابن فهد الحلّى في المحرّر، ضمن الرسائل العشر، ص</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وتفسير الخمس وحدوده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كتاب الجهاد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للسيد المرتضى في الانتصار،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وجماعة، لاحظ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الصفار عن أحمد بن محمد، عن علي بن الحكم، عن هشام بن سالم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يصبح ولا ينوي الصوم فإذا تعالى النهار حدث له رأي في الصوم،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نوى الصوم قبل أن تزول الشمس حسب له من يومه، وإن نواه بعد الزوال حسب له من الوقت الذي نوى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الثاني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والعلّامة في 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مارفع عن الأمة،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33/4272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وللمزيد راجع غاية المراد،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وجوب القضاء المفيد في المقنعة،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وذهب إلى عدمه ابن بابويه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لمزيد التوضيح راجع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المضمضة والاستنشاق للصائم،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الدواء يُصَبُّ في الأنف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كالمفيد في المقنعة،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وأبي الصلاح في الكافي في الفقه،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قول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ابن حمزة في الوسيلة،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1337/412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أمرتكم بشيء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الأخبار التي تدلّ على التصدق بما أمكن ما وردت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 أو جامع متعمداً في شهر رمضان،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وللوقوف على القولين راجع غاية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وانظر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وكنز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الحامل والمرضع يضعفان عن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والنهاية،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من توالى عليه رمضانان،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ذكره المحقق الكركي في حاشية الإرشاد،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الرجل يصبح وهو يريد الصيام فيفطر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نص ما روي في المصدر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أبو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أجنب في شهر رمضان فنسي أن يغتسل حتى خرج شهر رمضان،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أن يقضي الصلاة والصيام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صوم النافلة لك أن تفطر ما بينك وبين الليل متى شئت وصوم قضاء الفريضة لك أن تفطر إلى زوال الشمس فإذا زالت الشمس فليس لك أن تفطر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مدارك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جامع ثم أنشأ سفر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باب مولد النبي صلى الله عليه وسلم ووفاته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هشام في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وابن كثير في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بإباحته لابن الجنيد كما نقله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واختاره فيه وفي 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كلام الشيخ انظر الاقتصاد،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والجمل والعقود، ضمن الرسائل العشر ،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الثاني للمفيد في المقنعة،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وعلم الهدى في الانتصار،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وأبي الصلاح الحلبي في الكافي في الفقه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يأتي في متن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والمصنف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الجنيد كما نقله عنه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النهاية،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إلا في المساجد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مكة، والمدينة، وجامع الكوفة والبصرة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أبو الصلاح في الكافي في الفقه،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واختاره المصنف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ولو فات بالسفر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علف البهائم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بذلك ما يأتي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شرائط النذر وشبهه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والأقرب اشتراط العدالة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كالشيرازي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 ع ،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مطابق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المحقق الثاني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والصواب في العبارة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وإباحة التحليل للمولى لا التحلل؛ لأنّه لازم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قُبيل هذا بقليل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المختصر النافع،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من حجة الإسلام وما لا يجزئ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الكتاب المطبوع مع اللباب،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وحَسَّنَهُ 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في ذلك مارواه السكوني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باب النذور،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من يعطي حجة مفردة فيتمتع أو يخرج من غير الموضع الذي يشترط،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حريز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أعطى رجلاً حجّة يحج بها عنه من الكوفة فحج عنه من البصرة،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إذا قضى جميع مناسكه فقد تم حجه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من يعطي حجة مفردة فيتمتع أو يخرج من غير الموضع الذي يشترط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 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الأفضل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مجاز في كتاب الحج من الدروس الشرعية ووردت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عدم صحة نيابة الصبي ووصف أفعاله بالصحة والفساد مجازاً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الرجل يموت صرورة أو يوصي بالحج،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جامع المقاصد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نقف على شيء في ضبط الحاء بالمهملة أو المعجمة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المسافة بين كل منزلين من منازل الطريق، وهي أميال اختُلِفَ في عددها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بالتجريد، الإحرام كما صرح به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قُرب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على نحو فرسخ عن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ولمزيد الاطلاع راجع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مكة من جهة الشام نحو 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الصبيان والمماليك،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المتن موافق للتهذيب وما رواه في الكافي والفقيه يكون بإختلاف يسير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الحديث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متن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 المصنف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الأوّل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الدروس الشرعية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صفة الإقران وما يجب على القارن،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متن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فقه السنة،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صلاة الإحرام وعقده والاشتراط فيه،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رسائل المحقق الكركي،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الإحصار المنع والحبس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أخصره المرض أو السلطان إذا منعه عن مقصده، فهو مُحْصَر، وحَصَره إذا حبسه فهو محصور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الصيد، وهو الحيوان الممتنع بالأصالة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مدارك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كفارات ما أصاب المُحرم من الوحش،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يظهر من العامة الاتفاق على عدم الصحة، منهم الشافعي في مختصر المزني،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الأم،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النووي في المجموع شرح المهذب،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الذي قطع به المصنف وأكثر الأصحاب وهو نص الشافعي في المختصر اشتراط الطواف خارج جميع الحجر وخارج جداره وهو صريح في النص الذي قدمته عن المختصر، ودليله 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 خارج الحجر، وهكذا الخلفاء الراشدون وغيرهم من الصحابة فمن بعدهم وهذا يقتضي وجوب الطواف خارج الحجر سواء كان كله من البيت أم بعضه، لأنه وان كان بعضه من البيت فالمعتمد في باب الحج الاقتداء بفعل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فوجب الطواف بجميعه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يأتي أهله وقد قضى بعض مناسكه،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ابن أبي عمير،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عن متمتع وقع على أهله ولم يزر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ينحر جزوراً وقد خشيت أن يكون قد تلم حجّه إن كان عالماً وإن كان جاهلاً فلا شيء عليه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المتمتع إذا طاف وسعى، ثمّ لبّى بالحج قبل أن يقصر فليس عليه أن يقصر وليس له متعة</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ناشي من عموم الأخبار الدالة عليه كما وردت في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ابن حمزة في الوسيلة،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موضع بعرفة قُرْبَ نَمِرَةَ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متن قواعد الأحكام بعد ثلاثة أسطر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يضرب خباءه بنمرة وهي بطن عُرنة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الرؤية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تَضامُّون في رُؤيَته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يُروى بالتشديد والتخفيف فالتشديد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يَنْضَمُّ بعضُكم إلى بعض وتَزْدَحِمون وقت النظر إليه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المختصر النافع،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حصى الجمار من أين تؤخذ ومقدارها،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عن ابن أبي عمير، عن حماد، عن الحلبي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الرجل يشتري البدنة، ثُمّ تضل قبل أن يشعرها أو يقلّدها فلا يجدها حتى يأتي منى فينحر ويجد هديه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يكن قد أشعرها فهي من ماله إن شاء نحرها وإن شاء باعها، وإن كان أشعرها نحرها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الإهداء والصدقة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تلبيد الشعر في الإحرام أن يأخذ عَسَلاً أو صَمْعاً ويَجْعَلُه في رأسه لئلا يَفْمَلَ أو يَتَّسِخَ</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 أن تحلق المرأةُ رأْسَها</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فضالة بن أيوب، عن رفاعة بن موسى،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أغمي عليه،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يرمى عنه الجمار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قبر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دفنت في بيتها فلما زادت بنو أُمية في المسجد صارت في المسجد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فاطمة بنت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فاطمة بنت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باب إتيان المشاهد وقبور الشهداء،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بالفتح أرضُ ذاتُ حجارَةٍ سود المصباح المنير،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باب التكبير أيام التشريق،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منصور بن حازم، عن أبي عبدالله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وَاذْكُرُوا اللَّهَ فِي أَيَّامٍ مَّعْدُودَتٍ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أيام التشريق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وَاذْكُرُوا اللَّهَ فِي أَيَّامٍ مَّعْدُودَتٍ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التكبير في أيام التشريق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العمل في أيام التشريق؛ 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ومنبع الفوائد،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کابن حَمْزَةَ في الوسيلة،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والشيخ في الجمل والعقود، ضمن الرسائل العشر،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الأيام المعلومات أيام العشر والمعدودات أيام التشريق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الثاني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نقلاً عن الشهيد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المتن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فضالة وصفوان، عن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محرم قتل زنبوراً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خطأ فلاشيء عليه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تعمّداً،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يطعم شيئاً من الطعام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صام شهراً فعجز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بَدَنَةٌ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حمزة في الوسيلة،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كفّارة ما أصاب المُحْرِم من الطير والبيض، حه؛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متن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قتل كل واحد من القطا والحجل والدراج حمل قد فُطم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والمحقق الثاني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به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ادريس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والمحقق في المختصر النافع،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فَجَزَاءُ مِثْلُ مَا قَتَلَ مِنَ النَّعَمِ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كفارات ما أصاب المحرم من الوحش،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وانظر السنن الكبرى البيهقي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فدية النعام وبقر الوحش وحمار الوحش؛ الشرح الكبير المطبوع مع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موسى بن القاسم عن صفوان بن يحيى، عن بعض أصحابنا،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القُبَّرة والصعوة والعصفور إذا قتله المُحْرِم فعليه مدُّ من طعام عن كل واحدٍ منهم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ابن حمزة في الوسيلة،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والحلّي في الجامع للشرائع،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المُحرِم يصيد الصيد من أين يفديه وأين يذبحه،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مدارك الأحكام،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على هذا راجع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ومدارك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قول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 في شرح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نفّر الحمام فعاد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والنهاية،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مستند القول راجع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فلو وقع الصيد في شبكة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المُحْرِم يصيب الصيد في الحرم،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قَتَلَهُ مِنكُم مُّتَعَمِّدًا فَجَزَاءٌ مِّثْلُ مَا قَتَلَ مِنَ النَّعَم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تخريجه في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المُحْرِم يقبل امرأته وينظر إليها بشهوة أو غير شهوة أو ينظر إلى غيرها،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المحرم يتزوّج أو يزوّج ويطلق ويشتري الجواري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أنفاً قبل أسطر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أصحابنا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كان في دار الرجل شجرة من شجر الحرم لم تنزع، فإن أراد نزعها نَزَعها وكفر بذبح بقرة يتصدق بلحمها على المساكين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من أصحابنا، عن رجل من أهل خراسان إن مسألة وقعت في الموسم ولم يكن عند مواليه فيها شيء محرم قلع ضرسه، فكتب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يهريق دماً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وانظر مجمع البيان ذيل الآية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وَاقْتُلُوهُمْ حَيْثُ تَقِفْتُمُوهُمْ وَأَخْرِجُوهُم مِنْ حَيْثُ أَخْرَجُوكُمْ وَالْفِتْنَةُ أَشَدُّ مِنَ الْقَتْلِ وَلَا تُقَتِلُوهُمْ عِندَ الْمَسْجِدِ الْحَرَامِ حَتَّى يُقَتِلُوكُمْ فِيهِ فَإِن قَتَلُوكُمْ فَاقْتُلُوهُمْ كَذَلِكَ جَزَاءُ الْكَفِرِينَ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المنير،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والعَجْرُ من كلّ شيء مُؤَخَّرُهُ </w:t>
      </w:r>
      <w:r>
        <w:rPr>
          <w:rFonts w:eastAsia="IRNazanin" w:cs="IRNazanin"/>
          <w:b w:val="false"/>
          <w:bCs w:val="false"/>
          <w:i w:val="false"/>
          <w:iCs w:val="false"/>
          <w:color w:val="333333"/>
          <w:sz w:val="20"/>
          <w:szCs w:val="20"/>
          <w:rtl w:val="true"/>
        </w:rPr>
        <w:t>...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كمقاتل، حكاه عنه القرطبي في 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1354/16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1354/16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الرفق بالأسير وإطعامه،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المصادر تتمة للحديث وهي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الأسير إذا أسلم فقد حقن دمه وصار فيئاً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1670</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اختلاف يسير في عبارات الحديث، ففي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على هذا انظر كلام الشارح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المتصل بالمقتول، كالثياب، والعمامة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والقلنسوة، والدرع، والمغفر، والبيضة، والجوشن، والسلاح، والدابة المركوبة، والجنيب الذي يستعين به ونحوها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العطية القليلة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حاشية إرشاد الأذهان،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والرَضْحُ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 اليسير، والمراد هنا العطاء الذي لا يَبْلُغُ سهمَ المُقاتِلِ المُتَّصِفِ بصفة المُرْضَحَ له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معناه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صلى الله عليه وسلم وأمير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السرايا،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دليل وجوبها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المصنف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وضع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الفقير في كل حَوْلٍ اثني عشر درهما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18668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التفسير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المجموع شرح المهذب،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حمزة في الوسيلة،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والمختصر النافع،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الاقتصاد،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في الاقتصاد،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في النهاية،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بالمنع هو سلّار بن عبد العزيز في المراسم،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 الثوب يَحوكُهُ حوكاً وحياكةً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الفأرة تموت في الطعام والشراب،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القواعد،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والمختصر النافع،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شراء السرقة والخيانة،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مع الضرورة المخوف معها التلف</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وكذا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باب الرجل يدفع إليه الشي يفرقه وهو محتاج إليه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الرجل يأخذ من مال ولده والولد يأخذ من مال أبيه ،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الرواية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إنّ الولد لا يأخذ من مال والده شيئاً إلا بإذنه والوالد يأخذ من مال ابنه ما شاء وله أن يقع على جارية ابنه إذا لم يكن الابن وقع عليها وذكر أنّ رسول الله صلى الله عليه وسلم قال الرجل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ومالك لأبيك</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90/2848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92/2850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يَجْعَلَ اللَّهُ لِلْكَفِرِينَ عَلَى الْمُؤْمِنِينَ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يعلو ولا يُعلى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حاشية القواعد،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قطب الدين الرازي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بيع العصير والخمر،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شارب الخمر،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قول العلامه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وبيع النحل مع المشاهدة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يجوز من الوقف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قُبيل هذا بقليل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أجهضت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ألقت ولدها لغير 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أجهضت جنيناً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فأجهضت جنينها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مجهضٌ ومُجهِضَةٌ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جهض</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المفيد في المقنعة،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أحد قولي الشيخ في النهاية،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الجنيد حكاه عنه العلّامة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الثاني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الشرح الكبير المطبوع مع المغني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يصلح التمر اليابس بالرطب من أجل أن اليابس يابس والرطب رطب فإذا يبس نقص</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بيع الرطب بالتمر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التوضيح 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بذلك ما يأتي في متن القواعد راجع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الصروف،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الصباح الكناني،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الرجل يقول للصائغ صغ لي هذا الخاتم وأبدل لك درهماً طازجاً بدرهم غلة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طزج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الطازجة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الخالصة المُنقاة وكأنه تعريب تازه، بالفارسية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بالعز</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يأتي في متن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السَلَمُ في كل معمول بالنار ؛ لأنّ النارَ تَخْتَلِفُ، ويَخْتَلِفُ عَمَلُها ، ويَخْتَلِفُ التَمَنُ بذلك</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بذلك ما أسلفه في متن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الشية كلّ لون يخالف معظم لون الفرس وغيره، والجمع شيات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المختصر النافع،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بعد الفحص وجدنا في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بيع الدين بالدين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طلحة بن يزيد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يباع الدين بالدین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وراجع أيضاً السنن الكبرى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10539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والأثر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تهذيب اللغة،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متن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الثاني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باللفظ الخاص ما يكون مفهومه نوعاً بالإضافة إلى ما تحته، فالجنس في هذا الباب هو المعبّر عنه في المنطق بالنوع وأهل اللغة يسمونه جنساً أيضاً، ولا مشاحة في الاصطلاح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على هذا 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ابن أبي نصر، عن أبان، عن عبدالرحمن بن أبي عبدالله قال قلت لابي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أيجوز قفيز من حنطة بقفيز من الشعير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يجوز إلا مثلاً بمثل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الشعير من الحنطة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أردأ التمر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متن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العلّامة في تذكرة الفقهاء،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الحيوان والثياب وغير ذلك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الشيخ على التحريم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وسلار في المراسم،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في 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بذلك على خلاف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هذا راجع الأم،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مختصر المزني،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المقصد الثالث</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قهراً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يشتري من الرجل المتاع ثمّ يدعه عنده ويقول حتى آتيك بثمنه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 فيما بينه وبين ثلاثة أيام وإلا فلا بيع 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نص ما في تهذيب الأحكام عن أبي عبدالله صلى الله عليه وسلم أو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الرجل يشتري الشيء الذي يفسد من يومه ويتركه حتى يأتيه بالثمن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جاء فيما بينه وبين الليل بالثمن وإلا فلا بيع 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والسيد عميد الدين في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وللمزيد 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 مستند النهي في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ويقصد بذلك ما يأتي في 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حملت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محبوب، عن ابن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عن رجل اشترى جارية ولم يعلم بحبلها فوطئها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يردّها على الذي ابتاعها منه ويردّ عليه نصف عشر قيمتها لنكاحه اياها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رجل باع جارية حبلى وهو لا يعلم فنكحها الذي اشترى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يردّها ويرد نصف عشر قيمتها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على هذا راجع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المحقق الثاني الشيخ علي بن الحسين الكركي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صَرَّيْتُ الشاة تَصْرِيَةً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لم تحلبها أياماً حتى يجتمع اللبن في ضرعها، والشاةُ مُصَرّاةٌ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من حاشية القواعد، وفي النسختين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نحصله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من يشتري الحيوان وله لبن يشربه ثم يرده،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رجل اشترى شاة فأمسكها ثلاثة أيام ثمّ ردّها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في تلك الثلاثة الأيام يشرب لبنها رد معها ثلاثة أمداد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يكن لها لبن فليس عليه شيء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كون اليمين المردودة كإقرار المنكر أو كالبينة مسألة معلومة في باب القضاء، والخلاف فيها شائع</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هذا القول فيما لدينا من كتب الحديث والفقه وغيرهما الخاصة والعامة وورد مثله ضمن وصية للإمام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تحف العقول،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 آنفاً في تعليقته على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نكل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السنن الكبرى، البيهقي،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21203</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وفيهما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 على المدعي واليمين على من أنكر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وللمزيد على شرح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يغسل فيه الثياب والجمع أجاجين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قوله في الإيضاح ، حكاه عنه المحقق الثاني في 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التأبير تشقيق طلع الإناث وذرّ طلع الذكور فيه ليجيء رطبها أجود ممّا لم يؤبر وفي تاج العروس،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أبَرَ النخل والزرع يأبره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أصلحه؛ وفي المصباح المنير،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أبَرْتُ النخل لقحْتُه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أغصان النخلة، وأكثر ما يقال إذا يبست وإذا كانت رطبة، فهى الشَطْبَةُ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الأغصان هي الجريد، وورقها السعف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image" Target="media/image3.jpeg"/><Relationship Id="rId28" Type="http://schemas.openxmlformats.org/officeDocument/2006/relationships/image" Target="media/image3.jpeg"/><Relationship Id="rId29" Type="http://schemas.openxmlformats.org/officeDocument/2006/relationships/footer" Target="footer22.xml"/><Relationship Id="rId30" Type="http://schemas.openxmlformats.org/officeDocument/2006/relationships/image" Target="media/image4.jpeg"/><Relationship Id="rId31" Type="http://schemas.openxmlformats.org/officeDocument/2006/relationships/image" Target="media/image4.jpeg"/><Relationship Id="rId32" Type="http://schemas.openxmlformats.org/officeDocument/2006/relationships/footer" Target="footer23.xml"/><Relationship Id="rId33" Type="http://schemas.openxmlformats.org/officeDocument/2006/relationships/image" Target="media/image5.jpeg"/><Relationship Id="rId34" Type="http://schemas.openxmlformats.org/officeDocument/2006/relationships/image" Target="media/image5.jpeg"/><Relationship Id="rId35" Type="http://schemas.openxmlformats.org/officeDocument/2006/relationships/footer" Target="footer24.xml"/><Relationship Id="rId36" Type="http://schemas.openxmlformats.org/officeDocument/2006/relationships/image" Target="media/image6.jpeg"/><Relationship Id="rId37" Type="http://schemas.openxmlformats.org/officeDocument/2006/relationships/image" Target="media/image6.jpeg"/><Relationship Id="rId38" Type="http://schemas.openxmlformats.org/officeDocument/2006/relationships/footer" Target="footer25.xml"/><Relationship Id="rId39" Type="http://schemas.openxmlformats.org/officeDocument/2006/relationships/image" Target="media/image7.jpeg"/><Relationship Id="rId40" Type="http://schemas.openxmlformats.org/officeDocument/2006/relationships/image" Target="media/image7.jpeg"/><Relationship Id="rId41" Type="http://schemas.openxmlformats.org/officeDocument/2006/relationships/footer" Target="footer26.xml"/><Relationship Id="rId42" Type="http://schemas.openxmlformats.org/officeDocument/2006/relationships/image" Target="media/image8.jpeg"/><Relationship Id="rId43" Type="http://schemas.openxmlformats.org/officeDocument/2006/relationships/image" Target="media/image8.jpeg"/><Relationship Id="rId44" Type="http://schemas.openxmlformats.org/officeDocument/2006/relationships/footer" Target="footer27.xml"/><Relationship Id="rId45" Type="http://schemas.openxmlformats.org/officeDocument/2006/relationships/image" Target="media/image9.jpeg"/><Relationship Id="rId46" Type="http://schemas.openxmlformats.org/officeDocument/2006/relationships/image" Target="media/image9.jpeg"/><Relationship Id="rId47" Type="http://schemas.openxmlformats.org/officeDocument/2006/relationships/footer" Target="footer28.xml"/><Relationship Id="rId48" Type="http://schemas.openxmlformats.org/officeDocument/2006/relationships/image" Target="media/image10.jpeg"/><Relationship Id="rId49" Type="http://schemas.openxmlformats.org/officeDocument/2006/relationships/image" Target="media/image10.jpeg"/><Relationship Id="rId50" Type="http://schemas.openxmlformats.org/officeDocument/2006/relationships/footer" Target="footer29.xml"/><Relationship Id="rId51" Type="http://schemas.openxmlformats.org/officeDocument/2006/relationships/image" Target="media/image11.jpeg"/><Relationship Id="rId52" Type="http://schemas.openxmlformats.org/officeDocument/2006/relationships/image" Target="media/image11.jpeg"/><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image" Target="media/image2.jpeg"/><Relationship Id="rId449" Type="http://schemas.openxmlformats.org/officeDocument/2006/relationships/image" Target="media/image2.jpeg"/><Relationship Id="rId450" Type="http://schemas.openxmlformats.org/officeDocument/2006/relationships/footer" Target="footer425.xml"/><Relationship Id="rId451" Type="http://schemas.openxmlformats.org/officeDocument/2006/relationships/footnotes" Target="footnotes.xml"/><Relationship Id="rId452" Type="http://schemas.openxmlformats.org/officeDocument/2006/relationships/numbering" Target="numbering.xml"/><Relationship Id="rId453" Type="http://schemas.openxmlformats.org/officeDocument/2006/relationships/fontTable" Target="fontTable.xml"/><Relationship Id="rId454" Type="http://schemas.openxmlformats.org/officeDocument/2006/relationships/settings" Target="settings.xml"/><Relationship Id="rId4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60436</Words>
  <Characters>270333</Characters>
  <CharactersWithSpaces>328413</CharactersWithSpaces>
  <Paragraphs>2714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2026-08-21T01:51:41Z</dcterms:created>
  <dc:creator>ghaemiyeh.com</dc:creator>
  <dc:description/>
  <dc:language>en-US</dc:language>
  <cp:lastModifiedBy/>
  <dcterms:modified xsi:type="dcterms:W3CDTF">2026-08-21T05:21:54Z</dcterms:modified>
  <cp:revision>1</cp:revision>
  <dc:subject/>
  <dc:title>موسوعة الشهید الثانی جلد 15</dc:title>
</cp:coreProperties>
</file>

<file path=docProps/custom.xml><?xml version="1.0" encoding="utf-8"?>
<Properties xmlns="http://schemas.openxmlformats.org/officeDocument/2006/custom-properties" xmlns:vt="http://schemas.openxmlformats.org/officeDocument/2006/docPropsVTypes"/>
</file>