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59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594.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96.xml" ContentType="application/vnd.openxmlformats-officedocument.wordprocessingml.footer+xml"/>
  <Override PartName="/word/footer587.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641.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618.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16.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642.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64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646.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7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67.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566.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61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الانصاف فی مسائل دام فیها الخلاف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90903_1067777946">
            <w:r>
              <w:rPr>
                <w:webHidden/>
                <w:rStyle w:val="IndexLink"/>
                <w:rtl w:val="true"/>
              </w:rPr>
              <w:t>هویة الکتاب</w:t>
            </w:r>
            <w:r>
              <w:rPr>
                <w:rStyle w:val="IndexLink"/>
                <w:rtl w:val="true"/>
              </w:rPr>
              <w:tab/>
            </w:r>
            <w:r>
              <w:rPr>
                <w:rStyle w:val="IndexLink"/>
              </w:rPr>
              <w:t>13</w:t>
            </w:r>
          </w:hyperlink>
        </w:p>
        <w:p>
          <w:pPr>
            <w:pStyle w:val="Contents2"/>
            <w:tabs>
              <w:tab w:val="clear" w:pos="8743"/>
              <w:tab w:val="right" w:pos="9026" w:leader="dot"/>
            </w:tabs>
            <w:rPr/>
          </w:pPr>
          <w:hyperlink w:anchor="__RefHeading___Toc1390905_1067777946">
            <w:r>
              <w:rPr>
                <w:webHidden/>
                <w:rStyle w:val="IndexLink"/>
                <w:rtl w:val="true"/>
              </w:rPr>
              <w:t>اشارة</w:t>
            </w:r>
            <w:r>
              <w:rPr>
                <w:rStyle w:val="IndexLink"/>
                <w:rtl w:val="true"/>
              </w:rPr>
              <w:tab/>
            </w:r>
            <w:r>
              <w:rPr>
                <w:rStyle w:val="IndexLink"/>
              </w:rPr>
              <w:t>13</w:t>
            </w:r>
          </w:hyperlink>
        </w:p>
        <w:p>
          <w:pPr>
            <w:pStyle w:val="Contents2"/>
            <w:tabs>
              <w:tab w:val="clear" w:pos="8743"/>
              <w:tab w:val="right" w:pos="9026" w:leader="dot"/>
            </w:tabs>
            <w:rPr/>
          </w:pPr>
          <w:hyperlink w:anchor="__RefHeading___Toc1390907_1067777946">
            <w:r>
              <w:rPr>
                <w:webHidden/>
                <w:rStyle w:val="IndexLink"/>
                <w:rtl w:val="true"/>
              </w:rPr>
              <w:t xml:space="preserve">الفصل الأوّل </w:t>
            </w:r>
            <w:r>
              <w:rPr>
                <w:rStyle w:val="IndexLink"/>
                <w:rtl w:val="true"/>
              </w:rPr>
              <w:t xml:space="preserve">: </w:t>
            </w:r>
            <w:r>
              <w:rPr>
                <w:rStyle w:val="IndexLink"/>
                <w:rtl w:val="true"/>
              </w:rPr>
              <w:t>التحسين والتقبيح العقليان ومكانتهما في العقيدة والشريعة</w:t>
            </w:r>
            <w:r>
              <w:rPr>
                <w:rStyle w:val="IndexLink"/>
                <w:rtl w:val="true"/>
              </w:rPr>
              <w:tab/>
            </w:r>
            <w:r>
              <w:rPr>
                <w:rStyle w:val="IndexLink"/>
              </w:rPr>
              <w:t>19</w:t>
            </w:r>
          </w:hyperlink>
        </w:p>
        <w:p>
          <w:pPr>
            <w:pStyle w:val="Contents3"/>
            <w:tabs>
              <w:tab w:val="clear" w:pos="8459"/>
              <w:tab w:val="right" w:pos="9026" w:leader="dot"/>
            </w:tabs>
            <w:rPr/>
          </w:pPr>
          <w:hyperlink w:anchor="__RefHeading___Toc1390909_1067777946">
            <w:r>
              <w:rPr>
                <w:webHidden/>
                <w:rStyle w:val="IndexLink"/>
                <w:rtl w:val="true"/>
              </w:rPr>
              <w:t>اشارة</w:t>
            </w:r>
            <w:r>
              <w:rPr>
                <w:rStyle w:val="IndexLink"/>
                <w:rtl w:val="true"/>
              </w:rPr>
              <w:tab/>
            </w:r>
            <w:r>
              <w:rPr>
                <w:rStyle w:val="IndexLink"/>
              </w:rPr>
              <w:t>19</w:t>
            </w:r>
          </w:hyperlink>
        </w:p>
        <w:p>
          <w:pPr>
            <w:pStyle w:val="Contents3"/>
            <w:tabs>
              <w:tab w:val="clear" w:pos="8459"/>
              <w:tab w:val="right" w:pos="9026" w:leader="dot"/>
            </w:tabs>
            <w:rPr/>
          </w:pPr>
          <w:hyperlink w:anchor="__RefHeading___Toc1390911_1067777946">
            <w:r>
              <w:rPr>
                <w:webHidden/>
                <w:rStyle w:val="IndexLink"/>
                <w:rtl w:val="true"/>
              </w:rPr>
              <w:t>تمهيد</w:t>
            </w:r>
            <w:r>
              <w:rPr>
                <w:rStyle w:val="IndexLink"/>
                <w:rtl w:val="true"/>
              </w:rPr>
              <w:tab/>
            </w:r>
            <w:r>
              <w:rPr>
                <w:rStyle w:val="IndexLink"/>
              </w:rPr>
              <w:t>21</w:t>
            </w:r>
          </w:hyperlink>
        </w:p>
        <w:p>
          <w:pPr>
            <w:pStyle w:val="Contents3"/>
            <w:tabs>
              <w:tab w:val="clear" w:pos="8459"/>
              <w:tab w:val="right" w:pos="9026" w:leader="dot"/>
            </w:tabs>
            <w:rPr/>
          </w:pPr>
          <w:hyperlink w:anchor="__RefHeading___Toc1390913_1067777946">
            <w:r>
              <w:rPr>
                <w:webHidden/>
                <w:rStyle w:val="IndexLink"/>
                <w:rtl w:val="true"/>
              </w:rPr>
              <w:t>دور القاعدة في العلوم الإنسانية</w:t>
            </w:r>
            <w:r>
              <w:rPr>
                <w:rStyle w:val="IndexLink"/>
                <w:rtl w:val="true"/>
              </w:rPr>
              <w:tab/>
            </w:r>
            <w:r>
              <w:rPr>
                <w:rStyle w:val="IndexLink"/>
              </w:rPr>
              <w:t>23</w:t>
            </w:r>
          </w:hyperlink>
        </w:p>
        <w:p>
          <w:pPr>
            <w:pStyle w:val="Contents4"/>
            <w:tabs>
              <w:tab w:val="clear" w:pos="8176"/>
              <w:tab w:val="right" w:pos="9026" w:leader="dot"/>
            </w:tabs>
            <w:rPr/>
          </w:pPr>
          <w:hyperlink w:anchor="__RefHeading___Toc1390915_1067777946">
            <w:r>
              <w:rPr>
                <w:webHidden/>
                <w:rStyle w:val="IndexLink"/>
                <w:rtl w:val="true"/>
              </w:rPr>
              <w:t>اشارة</w:t>
            </w:r>
            <w:r>
              <w:rPr>
                <w:rStyle w:val="IndexLink"/>
                <w:rtl w:val="true"/>
              </w:rPr>
              <w:tab/>
            </w:r>
            <w:r>
              <w:rPr>
                <w:rStyle w:val="IndexLink"/>
              </w:rPr>
              <w:t>23</w:t>
            </w:r>
          </w:hyperlink>
        </w:p>
        <w:p>
          <w:pPr>
            <w:pStyle w:val="Contents4"/>
            <w:tabs>
              <w:tab w:val="clear" w:pos="8176"/>
              <w:tab w:val="right" w:pos="9026" w:leader="dot"/>
            </w:tabs>
            <w:rPr/>
          </w:pPr>
          <w:hyperlink w:anchor="__RefHeading___Toc1390917_1067777946">
            <w:r>
              <w:rPr>
                <w:webHidden/>
                <w:rStyle w:val="IndexLink"/>
              </w:rPr>
              <w:t>1</w:t>
            </w:r>
            <w:r>
              <w:rPr>
                <w:rStyle w:val="IndexLink"/>
                <w:rtl w:val="true"/>
              </w:rPr>
              <w:t xml:space="preserve">- </w:t>
            </w:r>
            <w:r>
              <w:rPr>
                <w:rStyle w:val="IndexLink"/>
                <w:rtl w:val="true"/>
              </w:rPr>
              <w:t>ملاكات التحسين والتقبيح العقليّين</w:t>
            </w:r>
            <w:r>
              <w:rPr>
                <w:rStyle w:val="IndexLink"/>
                <w:rtl w:val="true"/>
              </w:rPr>
              <w:tab/>
            </w:r>
            <w:r>
              <w:rPr>
                <w:rStyle w:val="IndexLink"/>
              </w:rPr>
              <w:t>24</w:t>
            </w:r>
          </w:hyperlink>
        </w:p>
        <w:p>
          <w:pPr>
            <w:pStyle w:val="Contents5"/>
            <w:tabs>
              <w:tab w:val="clear" w:pos="7892"/>
              <w:tab w:val="right" w:pos="9026" w:leader="dot"/>
            </w:tabs>
            <w:rPr/>
          </w:pPr>
          <w:hyperlink w:anchor="__RefHeading___Toc1390919_1067777946">
            <w:r>
              <w:rPr>
                <w:webHidden/>
                <w:rStyle w:val="IndexLink"/>
                <w:rtl w:val="true"/>
              </w:rPr>
              <w:t>اشارة</w:t>
            </w:r>
            <w:r>
              <w:rPr>
                <w:rStyle w:val="IndexLink"/>
                <w:rtl w:val="true"/>
              </w:rPr>
              <w:tab/>
            </w:r>
            <w:r>
              <w:rPr>
                <w:rStyle w:val="IndexLink"/>
              </w:rPr>
              <w:t>24</w:t>
            </w:r>
          </w:hyperlink>
        </w:p>
        <w:p>
          <w:pPr>
            <w:pStyle w:val="Contents5"/>
            <w:tabs>
              <w:tab w:val="clear" w:pos="7892"/>
              <w:tab w:val="right" w:pos="9026" w:leader="dot"/>
            </w:tabs>
            <w:rPr/>
          </w:pPr>
          <w:hyperlink w:anchor="__RefHeading___Toc1390921_1067777946">
            <w:r>
              <w:rPr>
                <w:webHidden/>
                <w:rStyle w:val="IndexLink"/>
              </w:rPr>
              <w:t>1</w:t>
            </w:r>
            <w:r>
              <w:rPr>
                <w:rStyle w:val="IndexLink"/>
                <w:rtl w:val="true"/>
              </w:rPr>
              <w:t xml:space="preserve">. </w:t>
            </w:r>
            <w:r>
              <w:rPr>
                <w:rStyle w:val="IndexLink"/>
                <w:rtl w:val="true"/>
              </w:rPr>
              <w:t>التحسين والتقبيح الذاتيان</w:t>
            </w:r>
            <w:r>
              <w:rPr>
                <w:rStyle w:val="IndexLink"/>
                <w:rtl w:val="true"/>
              </w:rPr>
              <w:tab/>
            </w:r>
            <w:r>
              <w:rPr>
                <w:rStyle w:val="IndexLink"/>
              </w:rPr>
              <w:t>24</w:t>
            </w:r>
          </w:hyperlink>
        </w:p>
        <w:p>
          <w:pPr>
            <w:pStyle w:val="Contents5"/>
            <w:tabs>
              <w:tab w:val="clear" w:pos="7892"/>
              <w:tab w:val="right" w:pos="9026" w:leader="dot"/>
            </w:tabs>
            <w:rPr/>
          </w:pPr>
          <w:hyperlink w:anchor="__RefHeading___Toc1390923_1067777946">
            <w:r>
              <w:rPr>
                <w:webHidden/>
                <w:rStyle w:val="IndexLink"/>
              </w:rPr>
              <w:t>2</w:t>
            </w:r>
            <w:r>
              <w:rPr>
                <w:rStyle w:val="IndexLink"/>
                <w:rtl w:val="true"/>
              </w:rPr>
              <w:t xml:space="preserve">. </w:t>
            </w:r>
            <w:r>
              <w:rPr>
                <w:rStyle w:val="IndexLink"/>
                <w:rtl w:val="true"/>
              </w:rPr>
              <w:t>التحسين والتقبيح في إطار المصالح والمفاسد</w:t>
            </w:r>
            <w:r>
              <w:rPr>
                <w:rStyle w:val="IndexLink"/>
                <w:rtl w:val="true"/>
              </w:rPr>
              <w:tab/>
            </w:r>
            <w:r>
              <w:rPr>
                <w:rStyle w:val="IndexLink"/>
              </w:rPr>
              <w:t>25</w:t>
            </w:r>
          </w:hyperlink>
        </w:p>
        <w:p>
          <w:pPr>
            <w:pStyle w:val="Contents5"/>
            <w:tabs>
              <w:tab w:val="clear" w:pos="7892"/>
              <w:tab w:val="right" w:pos="9026" w:leader="dot"/>
            </w:tabs>
            <w:rPr/>
          </w:pPr>
          <w:hyperlink w:anchor="__RefHeading___Toc1390925_1067777946">
            <w:r>
              <w:rPr>
                <w:webHidden/>
                <w:rStyle w:val="IndexLink"/>
              </w:rPr>
              <w:t>3</w:t>
            </w:r>
            <w:r>
              <w:rPr>
                <w:rStyle w:val="IndexLink"/>
                <w:rtl w:val="true"/>
              </w:rPr>
              <w:t xml:space="preserve">. </w:t>
            </w:r>
            <w:r>
              <w:rPr>
                <w:rStyle w:val="IndexLink"/>
                <w:rtl w:val="true"/>
              </w:rPr>
              <w:t>موافقة العادات والتقاليد</w:t>
            </w:r>
            <w:r>
              <w:rPr>
                <w:rStyle w:val="IndexLink"/>
                <w:rtl w:val="true"/>
              </w:rPr>
              <w:tab/>
            </w:r>
            <w:r>
              <w:rPr>
                <w:rStyle w:val="IndexLink"/>
              </w:rPr>
              <w:t>26</w:t>
            </w:r>
          </w:hyperlink>
        </w:p>
        <w:p>
          <w:pPr>
            <w:pStyle w:val="Contents4"/>
            <w:tabs>
              <w:tab w:val="clear" w:pos="8176"/>
              <w:tab w:val="right" w:pos="9026" w:leader="dot"/>
            </w:tabs>
            <w:rPr/>
          </w:pPr>
          <w:hyperlink w:anchor="__RefHeading___Toc1390927_1067777946">
            <w:r>
              <w:rPr>
                <w:webHidden/>
                <w:rStyle w:val="IndexLink"/>
              </w:rPr>
              <w:t>2</w:t>
            </w:r>
            <w:r>
              <w:rPr>
                <w:rStyle w:val="IndexLink"/>
                <w:rtl w:val="true"/>
              </w:rPr>
              <w:t xml:space="preserve">- </w:t>
            </w:r>
            <w:r>
              <w:rPr>
                <w:rStyle w:val="IndexLink"/>
                <w:rtl w:val="true"/>
              </w:rPr>
              <w:t>تقسيم الحكمة إلى نظريّة وعمليّة</w:t>
            </w:r>
            <w:r>
              <w:rPr>
                <w:rStyle w:val="IndexLink"/>
                <w:rtl w:val="true"/>
              </w:rPr>
              <w:tab/>
            </w:r>
            <w:r>
              <w:rPr>
                <w:rStyle w:val="IndexLink"/>
              </w:rPr>
              <w:t>27</w:t>
            </w:r>
          </w:hyperlink>
        </w:p>
        <w:p>
          <w:pPr>
            <w:pStyle w:val="Contents4"/>
            <w:tabs>
              <w:tab w:val="clear" w:pos="8176"/>
              <w:tab w:val="right" w:pos="9026" w:leader="dot"/>
            </w:tabs>
            <w:rPr/>
          </w:pPr>
          <w:hyperlink w:anchor="__RefHeading___Toc1390929_1067777946">
            <w:r>
              <w:rPr>
                <w:webHidden/>
                <w:rStyle w:val="IndexLink"/>
              </w:rPr>
              <w:t>3</w:t>
            </w:r>
            <w:r>
              <w:rPr>
                <w:rStyle w:val="IndexLink"/>
                <w:rtl w:val="true"/>
              </w:rPr>
              <w:t xml:space="preserve">- </w:t>
            </w:r>
            <w:r>
              <w:rPr>
                <w:rStyle w:val="IndexLink"/>
                <w:rtl w:val="true"/>
              </w:rPr>
              <w:t>تقسيم القضايا إلى ضرورية وغير ضرورية</w:t>
            </w:r>
            <w:r>
              <w:rPr>
                <w:rStyle w:val="IndexLink"/>
                <w:rtl w:val="true"/>
              </w:rPr>
              <w:tab/>
            </w:r>
            <w:r>
              <w:rPr>
                <w:rStyle w:val="IndexLink"/>
              </w:rPr>
              <w:t>28</w:t>
            </w:r>
          </w:hyperlink>
        </w:p>
        <w:p>
          <w:pPr>
            <w:pStyle w:val="Contents4"/>
            <w:tabs>
              <w:tab w:val="clear" w:pos="8176"/>
              <w:tab w:val="right" w:pos="9026" w:leader="dot"/>
            </w:tabs>
            <w:rPr/>
          </w:pPr>
          <w:hyperlink w:anchor="__RefHeading___Toc1390931_1067777946">
            <w:r>
              <w:rPr>
                <w:webHidden/>
                <w:rStyle w:val="IndexLink"/>
              </w:rPr>
              <w:t>4</w:t>
            </w:r>
            <w:r>
              <w:rPr>
                <w:rStyle w:val="IndexLink"/>
                <w:rtl w:val="true"/>
              </w:rPr>
              <w:t xml:space="preserve">- </w:t>
            </w:r>
            <w:r>
              <w:rPr>
                <w:rStyle w:val="IndexLink"/>
                <w:rtl w:val="true"/>
              </w:rPr>
              <w:t>أدلّة القول بالتحسين والتقبيح العقليّين</w:t>
            </w:r>
            <w:r>
              <w:rPr>
                <w:rStyle w:val="IndexLink"/>
                <w:rtl w:val="true"/>
              </w:rPr>
              <w:tab/>
            </w:r>
            <w:r>
              <w:rPr>
                <w:rStyle w:val="IndexLink"/>
              </w:rPr>
              <w:t>30</w:t>
            </w:r>
          </w:hyperlink>
        </w:p>
        <w:p>
          <w:pPr>
            <w:pStyle w:val="Contents5"/>
            <w:tabs>
              <w:tab w:val="clear" w:pos="7892"/>
              <w:tab w:val="right" w:pos="9026" w:leader="dot"/>
            </w:tabs>
            <w:rPr/>
          </w:pPr>
          <w:hyperlink w:anchor="__RefHeading___Toc1390933_1067777946">
            <w:r>
              <w:rPr>
                <w:webHidden/>
                <w:rStyle w:val="IndexLink"/>
                <w:rtl w:val="true"/>
              </w:rPr>
              <w:t>اشارة</w:t>
            </w:r>
            <w:r>
              <w:rPr>
                <w:rStyle w:val="IndexLink"/>
                <w:rtl w:val="true"/>
              </w:rPr>
              <w:tab/>
            </w:r>
            <w:r>
              <w:rPr>
                <w:rStyle w:val="IndexLink"/>
              </w:rPr>
              <w:t>30</w:t>
            </w:r>
          </w:hyperlink>
        </w:p>
        <w:p>
          <w:pPr>
            <w:pStyle w:val="Contents5"/>
            <w:tabs>
              <w:tab w:val="clear" w:pos="7892"/>
              <w:tab w:val="right" w:pos="9026" w:leader="dot"/>
            </w:tabs>
            <w:rPr/>
          </w:pPr>
          <w:hyperlink w:anchor="__RefHeading___Toc1390935_1067777946">
            <w:r>
              <w:rPr>
                <w:webHidden/>
                <w:rStyle w:val="IndexLink"/>
                <w:rtl w:val="true"/>
              </w:rPr>
              <w:t xml:space="preserve">الأوّل </w:t>
            </w:r>
            <w:r>
              <w:rPr>
                <w:rStyle w:val="IndexLink"/>
                <w:rtl w:val="true"/>
              </w:rPr>
              <w:t xml:space="preserve">: </w:t>
            </w:r>
            <w:r>
              <w:rPr>
                <w:rStyle w:val="IndexLink"/>
                <w:rtl w:val="true"/>
              </w:rPr>
              <w:t>بداهة العقل</w:t>
            </w:r>
            <w:r>
              <w:rPr>
                <w:rStyle w:val="IndexLink"/>
                <w:rtl w:val="true"/>
              </w:rPr>
              <w:tab/>
            </w:r>
            <w:r>
              <w:rPr>
                <w:rStyle w:val="IndexLink"/>
              </w:rPr>
              <w:t>30</w:t>
            </w:r>
          </w:hyperlink>
        </w:p>
        <w:p>
          <w:pPr>
            <w:pStyle w:val="Contents5"/>
            <w:tabs>
              <w:tab w:val="clear" w:pos="7892"/>
              <w:tab w:val="right" w:pos="9026" w:leader="dot"/>
            </w:tabs>
            <w:rPr/>
          </w:pPr>
          <w:hyperlink w:anchor="__RefHeading___Toc1390937_1067777946">
            <w:r>
              <w:rPr>
                <w:webHidden/>
                <w:rStyle w:val="IndexLink"/>
                <w:rtl w:val="true"/>
              </w:rPr>
              <w:t xml:space="preserve">الثاني </w:t>
            </w:r>
            <w:r>
              <w:rPr>
                <w:rStyle w:val="IndexLink"/>
                <w:rtl w:val="true"/>
              </w:rPr>
              <w:t xml:space="preserve">: </w:t>
            </w:r>
            <w:r>
              <w:rPr>
                <w:rStyle w:val="IndexLink"/>
                <w:rtl w:val="true"/>
              </w:rPr>
              <w:t>عدم ثبوتهما مطلقاً لو قلنا بالشرع فقط</w:t>
            </w:r>
            <w:r>
              <w:rPr>
                <w:rStyle w:val="IndexLink"/>
                <w:rtl w:val="true"/>
              </w:rPr>
              <w:tab/>
            </w:r>
            <w:r>
              <w:rPr>
                <w:rStyle w:val="IndexLink"/>
              </w:rPr>
              <w:t>31</w:t>
            </w:r>
          </w:hyperlink>
        </w:p>
        <w:p>
          <w:pPr>
            <w:pStyle w:val="Contents5"/>
            <w:tabs>
              <w:tab w:val="clear" w:pos="7892"/>
              <w:tab w:val="right" w:pos="9026" w:leader="dot"/>
            </w:tabs>
            <w:rPr/>
          </w:pPr>
          <w:hyperlink w:anchor="__RefHeading___Toc1390939_1067777946">
            <w:r>
              <w:rPr>
                <w:webHidden/>
                <w:rStyle w:val="IndexLink"/>
                <w:rtl w:val="true"/>
              </w:rPr>
              <w:t xml:space="preserve">الثالث </w:t>
            </w:r>
            <w:r>
              <w:rPr>
                <w:rStyle w:val="IndexLink"/>
                <w:rtl w:val="true"/>
              </w:rPr>
              <w:t xml:space="preserve">: </w:t>
            </w:r>
            <w:r>
              <w:rPr>
                <w:rStyle w:val="IndexLink"/>
                <w:rtl w:val="true"/>
              </w:rPr>
              <w:t>إنكارهما يلازم امتناع إثبات الشرائع السماوية</w:t>
            </w:r>
            <w:r>
              <w:rPr>
                <w:rStyle w:val="IndexLink"/>
                <w:rtl w:val="true"/>
              </w:rPr>
              <w:tab/>
            </w:r>
            <w:r>
              <w:rPr>
                <w:rStyle w:val="IndexLink"/>
              </w:rPr>
              <w:t>32</w:t>
            </w:r>
          </w:hyperlink>
        </w:p>
        <w:p>
          <w:pPr>
            <w:pStyle w:val="Contents5"/>
            <w:tabs>
              <w:tab w:val="clear" w:pos="7892"/>
              <w:tab w:val="right" w:pos="9026" w:leader="dot"/>
            </w:tabs>
            <w:rPr/>
          </w:pPr>
          <w:hyperlink w:anchor="__RefHeading___Toc1390941_1067777946">
            <w:r>
              <w:rPr>
                <w:webHidden/>
                <w:rStyle w:val="IndexLink"/>
                <w:rtl w:val="true"/>
              </w:rPr>
              <w:t xml:space="preserve">الرابع </w:t>
            </w:r>
            <w:r>
              <w:rPr>
                <w:rStyle w:val="IndexLink"/>
                <w:rtl w:val="true"/>
              </w:rPr>
              <w:t xml:space="preserve">: </w:t>
            </w:r>
            <w:r>
              <w:rPr>
                <w:rStyle w:val="IndexLink"/>
                <w:rtl w:val="true"/>
              </w:rPr>
              <w:t>الحسن والقبح العقليان في الذكر الحكيم</w:t>
            </w:r>
            <w:r>
              <w:rPr>
                <w:rStyle w:val="IndexLink"/>
                <w:rtl w:val="true"/>
              </w:rPr>
              <w:tab/>
            </w:r>
            <w:r>
              <w:rPr>
                <w:rStyle w:val="IndexLink"/>
              </w:rPr>
              <w:t>33</w:t>
            </w:r>
          </w:hyperlink>
        </w:p>
        <w:p>
          <w:pPr>
            <w:pStyle w:val="Contents4"/>
            <w:tabs>
              <w:tab w:val="clear" w:pos="8176"/>
              <w:tab w:val="right" w:pos="9026" w:leader="dot"/>
            </w:tabs>
            <w:rPr/>
          </w:pPr>
          <w:hyperlink w:anchor="__RefHeading___Toc1390943_1067777946">
            <w:r>
              <w:rPr>
                <w:webHidden/>
                <w:rStyle w:val="IndexLink"/>
              </w:rPr>
              <w:t>5</w:t>
            </w:r>
            <w:r>
              <w:rPr>
                <w:rStyle w:val="IndexLink"/>
                <w:rtl w:val="true"/>
              </w:rPr>
              <w:t xml:space="preserve">- </w:t>
            </w:r>
            <w:r>
              <w:rPr>
                <w:rStyle w:val="IndexLink"/>
                <w:rtl w:val="true"/>
              </w:rPr>
              <w:t>أدلّة المنكرين للتحسين والتقبيح العقليّين</w:t>
            </w:r>
            <w:r>
              <w:rPr>
                <w:rStyle w:val="IndexLink"/>
                <w:rtl w:val="true"/>
              </w:rPr>
              <w:tab/>
            </w:r>
            <w:r>
              <w:rPr>
                <w:rStyle w:val="IndexLink"/>
              </w:rPr>
              <w:t>37</w:t>
            </w:r>
          </w:hyperlink>
        </w:p>
        <w:p>
          <w:pPr>
            <w:pStyle w:val="Contents5"/>
            <w:tabs>
              <w:tab w:val="clear" w:pos="7892"/>
              <w:tab w:val="right" w:pos="9026" w:leader="dot"/>
            </w:tabs>
            <w:rPr/>
          </w:pPr>
          <w:hyperlink w:anchor="__RefHeading___Toc1390945_1067777946">
            <w:r>
              <w:rPr>
                <w:webHidden/>
                <w:rStyle w:val="IndexLink"/>
                <w:rtl w:val="true"/>
              </w:rPr>
              <w:t>اشارة</w:t>
            </w:r>
            <w:r>
              <w:rPr>
                <w:rStyle w:val="IndexLink"/>
                <w:rtl w:val="true"/>
              </w:rPr>
              <w:tab/>
            </w:r>
            <w:r>
              <w:rPr>
                <w:rStyle w:val="IndexLink"/>
              </w:rPr>
              <w:t>37</w:t>
            </w:r>
          </w:hyperlink>
        </w:p>
        <w:p>
          <w:pPr>
            <w:pStyle w:val="Contents5"/>
            <w:tabs>
              <w:tab w:val="clear" w:pos="7892"/>
              <w:tab w:val="right" w:pos="9026" w:leader="dot"/>
            </w:tabs>
            <w:rPr/>
          </w:pPr>
          <w:hyperlink w:anchor="__RefHeading___Toc1390947_1067777946">
            <w:r>
              <w:rPr>
                <w:webHidden/>
                <w:rStyle w:val="IndexLink"/>
                <w:rtl w:val="true"/>
              </w:rPr>
              <w:t xml:space="preserve">الأوّل </w:t>
            </w:r>
            <w:r>
              <w:rPr>
                <w:rStyle w:val="IndexLink"/>
                <w:rtl w:val="true"/>
              </w:rPr>
              <w:t xml:space="preserve">: </w:t>
            </w:r>
            <w:r>
              <w:rPr>
                <w:rStyle w:val="IndexLink"/>
                <w:rtl w:val="true"/>
              </w:rPr>
              <w:t>لو كانا بديهيين لما اختلف فيه اثنان</w:t>
            </w:r>
            <w:r>
              <w:rPr>
                <w:rStyle w:val="IndexLink"/>
                <w:rtl w:val="true"/>
              </w:rPr>
              <w:tab/>
            </w:r>
            <w:r>
              <w:rPr>
                <w:rStyle w:val="IndexLink"/>
              </w:rPr>
              <w:t>38</w:t>
            </w:r>
          </w:hyperlink>
        </w:p>
        <w:p>
          <w:pPr>
            <w:pStyle w:val="Contents6"/>
            <w:tabs>
              <w:tab w:val="clear" w:pos="7609"/>
              <w:tab w:val="right" w:pos="9026" w:leader="dot"/>
            </w:tabs>
            <w:rPr/>
          </w:pPr>
          <w:hyperlink w:anchor="__RefHeading___Toc1390949_1067777946">
            <w:r>
              <w:rPr>
                <w:webHidden/>
                <w:rStyle w:val="IndexLink"/>
                <w:rtl w:val="true"/>
              </w:rPr>
              <w:t>اشارة</w:t>
            </w:r>
            <w:r>
              <w:rPr>
                <w:rStyle w:val="IndexLink"/>
                <w:rtl w:val="true"/>
              </w:rPr>
              <w:tab/>
            </w:r>
            <w:r>
              <w:rPr>
                <w:rStyle w:val="IndexLink"/>
              </w:rPr>
              <w:t>38</w:t>
            </w:r>
          </w:hyperlink>
        </w:p>
        <w:p>
          <w:pPr>
            <w:pStyle w:val="Contents6"/>
            <w:tabs>
              <w:tab w:val="clear" w:pos="7609"/>
              <w:tab w:val="right" w:pos="9026" w:leader="dot"/>
            </w:tabs>
            <w:rPr/>
          </w:pPr>
          <w:hyperlink w:anchor="__RefHeading___Toc1390951_1067777946">
            <w:r>
              <w:rPr>
                <w:webHidden/>
                <w:rStyle w:val="IndexLink"/>
                <w:rtl w:val="true"/>
              </w:rPr>
              <w:t>على هامش الاستدلال</w:t>
            </w:r>
            <w:r>
              <w:rPr>
                <w:rStyle w:val="IndexLink"/>
                <w:rtl w:val="true"/>
              </w:rPr>
              <w:tab/>
            </w:r>
            <w:r>
              <w:rPr>
                <w:rStyle w:val="IndexLink"/>
              </w:rPr>
              <w:t>38</w:t>
            </w:r>
          </w:hyperlink>
        </w:p>
        <w:p>
          <w:pPr>
            <w:pStyle w:val="Contents5"/>
            <w:tabs>
              <w:tab w:val="clear" w:pos="7892"/>
              <w:tab w:val="right" w:pos="9026" w:leader="dot"/>
            </w:tabs>
            <w:rPr/>
          </w:pPr>
          <w:hyperlink w:anchor="__RefHeading___Toc1390953_1067777946">
            <w:r>
              <w:rPr>
                <w:webHidden/>
                <w:rStyle w:val="IndexLink"/>
                <w:rtl w:val="true"/>
              </w:rPr>
              <w:t xml:space="preserve">الثاني </w:t>
            </w:r>
            <w:r>
              <w:rPr>
                <w:rStyle w:val="IndexLink"/>
                <w:rtl w:val="true"/>
              </w:rPr>
              <w:t xml:space="preserve">: </w:t>
            </w:r>
            <w:r>
              <w:rPr>
                <w:rStyle w:val="IndexLink"/>
                <w:rtl w:val="true"/>
              </w:rPr>
              <w:t>الكذب النافع ليس بقبيح</w:t>
            </w:r>
            <w:r>
              <w:rPr>
                <w:rStyle w:val="IndexLink"/>
                <w:rtl w:val="true"/>
              </w:rPr>
              <w:tab/>
            </w:r>
            <w:r>
              <w:rPr>
                <w:rStyle w:val="IndexLink"/>
              </w:rPr>
              <w:t>40</w:t>
            </w:r>
          </w:hyperlink>
        </w:p>
        <w:p>
          <w:pPr>
            <w:pStyle w:val="Contents6"/>
            <w:tabs>
              <w:tab w:val="clear" w:pos="7609"/>
              <w:tab w:val="right" w:pos="9026" w:leader="dot"/>
            </w:tabs>
            <w:rPr/>
          </w:pPr>
          <w:hyperlink w:anchor="__RefHeading___Toc1390955_1067777946">
            <w:r>
              <w:rPr>
                <w:webHidden/>
                <w:rStyle w:val="IndexLink"/>
                <w:rtl w:val="true"/>
              </w:rPr>
              <w:t>اشارة</w:t>
            </w:r>
            <w:r>
              <w:rPr>
                <w:rStyle w:val="IndexLink"/>
                <w:rtl w:val="true"/>
              </w:rPr>
              <w:tab/>
            </w:r>
            <w:r>
              <w:rPr>
                <w:rStyle w:val="IndexLink"/>
              </w:rPr>
              <w:t>40</w:t>
            </w:r>
          </w:hyperlink>
        </w:p>
        <w:p>
          <w:pPr>
            <w:pStyle w:val="Contents6"/>
            <w:tabs>
              <w:tab w:val="clear" w:pos="7609"/>
              <w:tab w:val="right" w:pos="9026" w:leader="dot"/>
            </w:tabs>
            <w:rPr/>
          </w:pPr>
          <w:hyperlink w:anchor="__RefHeading___Toc1390957_1067777946">
            <w:r>
              <w:rPr>
                <w:webHidden/>
                <w:rStyle w:val="IndexLink"/>
                <w:rtl w:val="true"/>
              </w:rPr>
              <w:t>على هامش الاستدلال</w:t>
            </w:r>
            <w:r>
              <w:rPr>
                <w:rStyle w:val="IndexLink"/>
                <w:rtl w:val="true"/>
              </w:rPr>
              <w:tab/>
            </w:r>
            <w:r>
              <w:rPr>
                <w:rStyle w:val="IndexLink"/>
              </w:rPr>
              <w:t>40</w:t>
            </w:r>
          </w:hyperlink>
        </w:p>
        <w:p>
          <w:pPr>
            <w:pStyle w:val="Contents5"/>
            <w:tabs>
              <w:tab w:val="clear" w:pos="7892"/>
              <w:tab w:val="right" w:pos="9026" w:leader="dot"/>
            </w:tabs>
            <w:rPr/>
          </w:pPr>
          <w:hyperlink w:anchor="__RefHeading___Toc1390959_1067777946">
            <w:r>
              <w:rPr>
                <w:webHidden/>
                <w:rStyle w:val="IndexLink"/>
                <w:rtl w:val="true"/>
              </w:rPr>
              <w:t xml:space="preserve">الثالث </w:t>
            </w:r>
            <w:r>
              <w:rPr>
                <w:rStyle w:val="IndexLink"/>
                <w:rtl w:val="true"/>
              </w:rPr>
              <w:t xml:space="preserve">: </w:t>
            </w:r>
            <w:r>
              <w:rPr>
                <w:rStyle w:val="IndexLink"/>
                <w:rtl w:val="true"/>
              </w:rPr>
              <w:t>التحسين والتقبيح فرض تكليف على الله</w:t>
            </w:r>
            <w:r>
              <w:rPr>
                <w:rStyle w:val="IndexLink"/>
                <w:rtl w:val="true"/>
              </w:rPr>
              <w:tab/>
            </w:r>
            <w:r>
              <w:rPr>
                <w:rStyle w:val="IndexLink"/>
              </w:rPr>
              <w:t>40</w:t>
            </w:r>
          </w:hyperlink>
        </w:p>
        <w:p>
          <w:pPr>
            <w:pStyle w:val="Contents6"/>
            <w:tabs>
              <w:tab w:val="clear" w:pos="7609"/>
              <w:tab w:val="right" w:pos="9026" w:leader="dot"/>
            </w:tabs>
            <w:rPr/>
          </w:pPr>
          <w:hyperlink w:anchor="__RefHeading___Toc1390961_1067777946">
            <w:r>
              <w:rPr>
                <w:webHidden/>
                <w:rStyle w:val="IndexLink"/>
                <w:rtl w:val="true"/>
              </w:rPr>
              <w:t>اشارة</w:t>
            </w:r>
            <w:r>
              <w:rPr>
                <w:rStyle w:val="IndexLink"/>
                <w:rtl w:val="true"/>
              </w:rPr>
              <w:tab/>
            </w:r>
            <w:r>
              <w:rPr>
                <w:rStyle w:val="IndexLink"/>
              </w:rPr>
              <w:t>40</w:t>
            </w:r>
          </w:hyperlink>
        </w:p>
        <w:p>
          <w:pPr>
            <w:pStyle w:val="Contents6"/>
            <w:tabs>
              <w:tab w:val="clear" w:pos="7609"/>
              <w:tab w:val="right" w:pos="9026" w:leader="dot"/>
            </w:tabs>
            <w:rPr/>
          </w:pPr>
          <w:hyperlink w:anchor="__RefHeading___Toc1390963_1067777946">
            <w:r>
              <w:rPr>
                <w:webHidden/>
                <w:rStyle w:val="IndexLink"/>
                <w:rtl w:val="true"/>
              </w:rPr>
              <w:t>على هامش الاستدلال</w:t>
            </w:r>
            <w:r>
              <w:rPr>
                <w:rStyle w:val="IndexLink"/>
                <w:rtl w:val="true"/>
              </w:rPr>
              <w:tab/>
            </w:r>
            <w:r>
              <w:rPr>
                <w:rStyle w:val="IndexLink"/>
              </w:rPr>
              <w:t>41</w:t>
            </w:r>
          </w:hyperlink>
        </w:p>
        <w:p>
          <w:pPr>
            <w:pStyle w:val="Contents6"/>
            <w:tabs>
              <w:tab w:val="clear" w:pos="7609"/>
              <w:tab w:val="right" w:pos="9026" w:leader="dot"/>
            </w:tabs>
            <w:rPr/>
          </w:pPr>
          <w:hyperlink w:anchor="__RefHeading___Toc1390965_1067777946">
            <w:r>
              <w:rPr>
                <w:webHidden/>
                <w:rStyle w:val="IndexLink"/>
                <w:rtl w:val="true"/>
              </w:rPr>
              <w:t>الدوافع من وراء إنكار التحسين والتقبيح العقليّين</w:t>
            </w:r>
            <w:r>
              <w:rPr>
                <w:rStyle w:val="IndexLink"/>
                <w:rtl w:val="true"/>
              </w:rPr>
              <w:tab/>
            </w:r>
            <w:r>
              <w:rPr>
                <w:rStyle w:val="IndexLink"/>
              </w:rPr>
              <w:t>42</w:t>
            </w:r>
          </w:hyperlink>
        </w:p>
        <w:p>
          <w:pPr>
            <w:pStyle w:val="Contents5"/>
            <w:tabs>
              <w:tab w:val="clear" w:pos="7892"/>
              <w:tab w:val="right" w:pos="9026" w:leader="dot"/>
            </w:tabs>
            <w:rPr/>
          </w:pPr>
          <w:hyperlink w:anchor="__RefHeading___Toc1390967_1067777946">
            <w:r>
              <w:rPr>
                <w:webHidden/>
                <w:rStyle w:val="IndexLink"/>
                <w:rtl w:val="true"/>
              </w:rPr>
              <w:t xml:space="preserve">الرابع </w:t>
            </w:r>
            <w:r>
              <w:rPr>
                <w:rStyle w:val="IndexLink"/>
                <w:rtl w:val="true"/>
              </w:rPr>
              <w:t xml:space="preserve">: </w:t>
            </w:r>
            <w:r>
              <w:rPr>
                <w:rStyle w:val="IndexLink"/>
                <w:rtl w:val="true"/>
              </w:rPr>
              <w:t>جواز التكليف بما لا يطاق</w:t>
            </w:r>
            <w:r>
              <w:rPr>
                <w:rStyle w:val="IndexLink"/>
                <w:rtl w:val="true"/>
              </w:rPr>
              <w:tab/>
            </w:r>
            <w:r>
              <w:rPr>
                <w:rStyle w:val="IndexLink"/>
              </w:rPr>
              <w:t>43</w:t>
            </w:r>
          </w:hyperlink>
        </w:p>
        <w:p>
          <w:pPr>
            <w:pStyle w:val="Contents4"/>
            <w:tabs>
              <w:tab w:val="clear" w:pos="8176"/>
              <w:tab w:val="right" w:pos="9026" w:leader="dot"/>
            </w:tabs>
            <w:rPr/>
          </w:pPr>
          <w:hyperlink w:anchor="__RefHeading___Toc1390969_1067777946">
            <w:r>
              <w:rPr>
                <w:webHidden/>
                <w:rStyle w:val="IndexLink"/>
              </w:rPr>
              <w:t>6</w:t>
            </w:r>
            <w:r>
              <w:rPr>
                <w:rStyle w:val="IndexLink"/>
                <w:rtl w:val="true"/>
              </w:rPr>
              <w:t xml:space="preserve">- </w:t>
            </w:r>
            <w:r>
              <w:rPr>
                <w:rStyle w:val="IndexLink"/>
                <w:rtl w:val="true"/>
              </w:rPr>
              <w:t>النتائج المترتّبة على التحسين والتقبيح العقليّين</w:t>
            </w:r>
            <w:r>
              <w:rPr>
                <w:rStyle w:val="IndexLink"/>
                <w:rtl w:val="true"/>
              </w:rPr>
              <w:tab/>
            </w:r>
            <w:r>
              <w:rPr>
                <w:rStyle w:val="IndexLink"/>
              </w:rPr>
              <w:t>46</w:t>
            </w:r>
          </w:hyperlink>
        </w:p>
        <w:p>
          <w:pPr>
            <w:pStyle w:val="Contents5"/>
            <w:tabs>
              <w:tab w:val="clear" w:pos="7892"/>
              <w:tab w:val="right" w:pos="9026" w:leader="dot"/>
            </w:tabs>
            <w:rPr/>
          </w:pPr>
          <w:hyperlink w:anchor="__RefHeading___Toc1390971_1067777946">
            <w:r>
              <w:rPr>
                <w:webHidden/>
                <w:rStyle w:val="IndexLink"/>
                <w:rtl w:val="true"/>
              </w:rPr>
              <w:t>اشارة</w:t>
            </w:r>
            <w:r>
              <w:rPr>
                <w:rStyle w:val="IndexLink"/>
                <w:rtl w:val="true"/>
              </w:rPr>
              <w:tab/>
            </w:r>
            <w:r>
              <w:rPr>
                <w:rStyle w:val="IndexLink"/>
              </w:rPr>
              <w:t>46</w:t>
            </w:r>
          </w:hyperlink>
        </w:p>
        <w:p>
          <w:pPr>
            <w:pStyle w:val="Contents5"/>
            <w:tabs>
              <w:tab w:val="clear" w:pos="7892"/>
              <w:tab w:val="right" w:pos="9026" w:leader="dot"/>
            </w:tabs>
            <w:rPr/>
          </w:pPr>
          <w:hyperlink w:anchor="__RefHeading___Toc1390973_1067777946">
            <w:r>
              <w:rPr>
                <w:webHidden/>
                <w:rStyle w:val="IndexLink"/>
              </w:rPr>
              <w:t>1</w:t>
            </w:r>
            <w:r>
              <w:rPr>
                <w:rStyle w:val="IndexLink"/>
                <w:rtl w:val="true"/>
              </w:rPr>
              <w:t xml:space="preserve">. </w:t>
            </w:r>
            <w:r>
              <w:rPr>
                <w:rStyle w:val="IndexLink"/>
                <w:rtl w:val="true"/>
              </w:rPr>
              <w:t>وجوب المعرفة عقلاً</w:t>
            </w:r>
            <w:r>
              <w:rPr>
                <w:rStyle w:val="IndexLink"/>
                <w:rtl w:val="true"/>
              </w:rPr>
              <w:tab/>
            </w:r>
            <w:r>
              <w:rPr>
                <w:rStyle w:val="IndexLink"/>
              </w:rPr>
              <w:t>46</w:t>
            </w:r>
          </w:hyperlink>
        </w:p>
        <w:p>
          <w:pPr>
            <w:pStyle w:val="Contents6"/>
            <w:tabs>
              <w:tab w:val="clear" w:pos="7609"/>
              <w:tab w:val="right" w:pos="9026" w:leader="dot"/>
            </w:tabs>
            <w:rPr/>
          </w:pPr>
          <w:hyperlink w:anchor="__RefHeading___Toc1390975_1067777946">
            <w:r>
              <w:rPr>
                <w:webHidden/>
                <w:rStyle w:val="IndexLink"/>
                <w:rtl w:val="true"/>
              </w:rPr>
              <w:t>اشارة</w:t>
            </w:r>
            <w:r>
              <w:rPr>
                <w:rStyle w:val="IndexLink"/>
                <w:rtl w:val="true"/>
              </w:rPr>
              <w:tab/>
            </w:r>
            <w:r>
              <w:rPr>
                <w:rStyle w:val="IndexLink"/>
              </w:rPr>
              <w:t>46</w:t>
            </w:r>
          </w:hyperlink>
        </w:p>
        <w:p>
          <w:pPr>
            <w:pStyle w:val="Contents6"/>
            <w:tabs>
              <w:tab w:val="clear" w:pos="7609"/>
              <w:tab w:val="right" w:pos="9026" w:leader="dot"/>
            </w:tabs>
            <w:rPr/>
          </w:pPr>
          <w:hyperlink w:anchor="__RefHeading___Toc1390977_1067777946">
            <w:r>
              <w:rPr>
                <w:webHidden/>
                <w:rStyle w:val="IndexLink"/>
                <w:rtl w:val="true"/>
              </w:rPr>
              <w:t xml:space="preserve">الف </w:t>
            </w:r>
            <w:r>
              <w:rPr>
                <w:rStyle w:val="IndexLink"/>
                <w:rtl w:val="true"/>
              </w:rPr>
              <w:t xml:space="preserve">: </w:t>
            </w:r>
            <w:r>
              <w:rPr>
                <w:rStyle w:val="IndexLink"/>
                <w:rtl w:val="true"/>
              </w:rPr>
              <w:t>لزوم شكر المنعم</w:t>
            </w:r>
            <w:r>
              <w:rPr>
                <w:rStyle w:val="IndexLink"/>
                <w:rtl w:val="true"/>
              </w:rPr>
              <w:tab/>
            </w:r>
            <w:r>
              <w:rPr>
                <w:rStyle w:val="IndexLink"/>
              </w:rPr>
              <w:t>47</w:t>
            </w:r>
          </w:hyperlink>
        </w:p>
        <w:p>
          <w:pPr>
            <w:pStyle w:val="Contents6"/>
            <w:tabs>
              <w:tab w:val="clear" w:pos="7609"/>
              <w:tab w:val="right" w:pos="9026" w:leader="dot"/>
            </w:tabs>
            <w:rPr/>
          </w:pPr>
          <w:hyperlink w:anchor="__RefHeading___Toc1390979_1067777946">
            <w:r>
              <w:rPr>
                <w:webHidden/>
                <w:rStyle w:val="IndexLink"/>
                <w:rtl w:val="true"/>
              </w:rPr>
              <w:t xml:space="preserve">ب </w:t>
            </w:r>
            <w:r>
              <w:rPr>
                <w:rStyle w:val="IndexLink"/>
                <w:rtl w:val="true"/>
              </w:rPr>
              <w:t xml:space="preserve">: </w:t>
            </w:r>
            <w:r>
              <w:rPr>
                <w:rStyle w:val="IndexLink"/>
                <w:rtl w:val="true"/>
              </w:rPr>
              <w:t>دفع العقاب المحتمل بالمعرفة</w:t>
            </w:r>
            <w:r>
              <w:rPr>
                <w:rStyle w:val="IndexLink"/>
                <w:rtl w:val="true"/>
              </w:rPr>
              <w:tab/>
            </w:r>
            <w:r>
              <w:rPr>
                <w:rStyle w:val="IndexLink"/>
              </w:rPr>
              <w:t>47</w:t>
            </w:r>
          </w:hyperlink>
        </w:p>
        <w:p>
          <w:pPr>
            <w:pStyle w:val="Contents5"/>
            <w:tabs>
              <w:tab w:val="clear" w:pos="7892"/>
              <w:tab w:val="right" w:pos="9026" w:leader="dot"/>
            </w:tabs>
            <w:rPr/>
          </w:pPr>
          <w:hyperlink w:anchor="__RefHeading___Toc1390981_1067777946">
            <w:r>
              <w:rPr>
                <w:webHidden/>
                <w:rStyle w:val="IndexLink"/>
              </w:rPr>
              <w:t>2</w:t>
            </w:r>
            <w:r>
              <w:rPr>
                <w:rStyle w:val="IndexLink"/>
                <w:rtl w:val="true"/>
              </w:rPr>
              <w:t xml:space="preserve">. </w:t>
            </w:r>
            <w:r>
              <w:rPr>
                <w:rStyle w:val="IndexLink"/>
                <w:rtl w:val="true"/>
              </w:rPr>
              <w:t>وصفه بالعدل والحكمة</w:t>
            </w:r>
            <w:r>
              <w:rPr>
                <w:rStyle w:val="IndexLink"/>
                <w:rtl w:val="true"/>
              </w:rPr>
              <w:tab/>
            </w:r>
            <w:r>
              <w:rPr>
                <w:rStyle w:val="IndexLink"/>
              </w:rPr>
              <w:t>47</w:t>
            </w:r>
          </w:hyperlink>
        </w:p>
        <w:p>
          <w:pPr>
            <w:pStyle w:val="Contents6"/>
            <w:tabs>
              <w:tab w:val="clear" w:pos="7609"/>
              <w:tab w:val="right" w:pos="9026" w:leader="dot"/>
            </w:tabs>
            <w:rPr/>
          </w:pPr>
          <w:hyperlink w:anchor="__RefHeading___Toc1390983_1067777946">
            <w:r>
              <w:rPr>
                <w:webHidden/>
                <w:rStyle w:val="IndexLink"/>
                <w:rtl w:val="true"/>
              </w:rPr>
              <w:t>اشارة</w:t>
            </w:r>
            <w:r>
              <w:rPr>
                <w:rStyle w:val="IndexLink"/>
                <w:rtl w:val="true"/>
              </w:rPr>
              <w:tab/>
            </w:r>
            <w:r>
              <w:rPr>
                <w:rStyle w:val="IndexLink"/>
              </w:rPr>
              <w:t>47</w:t>
            </w:r>
          </w:hyperlink>
        </w:p>
        <w:p>
          <w:pPr>
            <w:pStyle w:val="Contents6"/>
            <w:tabs>
              <w:tab w:val="clear" w:pos="7609"/>
              <w:tab w:val="right" w:pos="9026" w:leader="dot"/>
            </w:tabs>
            <w:rPr/>
          </w:pPr>
          <w:hyperlink w:anchor="__RefHeading___Toc1390985_1067777946">
            <w:r>
              <w:rPr>
                <w:webHidden/>
                <w:rStyle w:val="IndexLink"/>
                <w:rtl w:val="true"/>
              </w:rPr>
              <w:t>الدليل على نفي صدور القبيح عن الله سبحانه</w:t>
            </w:r>
            <w:r>
              <w:rPr>
                <w:rStyle w:val="IndexLink"/>
                <w:rtl w:val="true"/>
              </w:rPr>
              <w:tab/>
            </w:r>
            <w:r>
              <w:rPr>
                <w:rStyle w:val="IndexLink"/>
              </w:rPr>
              <w:t>48</w:t>
            </w:r>
          </w:hyperlink>
        </w:p>
        <w:p>
          <w:pPr>
            <w:pStyle w:val="Contents5"/>
            <w:tabs>
              <w:tab w:val="clear" w:pos="7892"/>
              <w:tab w:val="right" w:pos="9026" w:leader="dot"/>
            </w:tabs>
            <w:rPr/>
          </w:pPr>
          <w:hyperlink w:anchor="__RefHeading___Toc1390987_1067777946">
            <w:r>
              <w:rPr>
                <w:webHidden/>
                <w:rStyle w:val="IndexLink"/>
              </w:rPr>
              <w:t>3</w:t>
            </w:r>
            <w:r>
              <w:rPr>
                <w:rStyle w:val="IndexLink"/>
                <w:rtl w:val="true"/>
              </w:rPr>
              <w:t xml:space="preserve">. </w:t>
            </w:r>
            <w:r>
              <w:rPr>
                <w:rStyle w:val="IndexLink"/>
                <w:rtl w:val="true"/>
              </w:rPr>
              <w:t>لزوم اللطف على الله</w:t>
            </w:r>
            <w:r>
              <w:rPr>
                <w:rStyle w:val="IndexLink"/>
                <w:rtl w:val="true"/>
              </w:rPr>
              <w:tab/>
            </w:r>
            <w:r>
              <w:rPr>
                <w:rStyle w:val="IndexLink"/>
              </w:rPr>
              <w:t>48</w:t>
            </w:r>
          </w:hyperlink>
        </w:p>
        <w:p>
          <w:pPr>
            <w:pStyle w:val="Contents5"/>
            <w:tabs>
              <w:tab w:val="clear" w:pos="7892"/>
              <w:tab w:val="right" w:pos="9026" w:leader="dot"/>
            </w:tabs>
            <w:rPr/>
          </w:pPr>
          <w:hyperlink w:anchor="__RefHeading___Toc1390989_1067777946">
            <w:r>
              <w:rPr>
                <w:webHidden/>
                <w:rStyle w:val="IndexLink"/>
              </w:rPr>
              <w:t>4</w:t>
            </w:r>
            <w:r>
              <w:rPr>
                <w:rStyle w:val="IndexLink"/>
                <w:rtl w:val="true"/>
              </w:rPr>
              <w:t xml:space="preserve">. </w:t>
            </w:r>
            <w:r>
              <w:rPr>
                <w:rStyle w:val="IndexLink"/>
                <w:rtl w:val="true"/>
              </w:rPr>
              <w:t>بعثة الأنبياء</w:t>
            </w:r>
            <w:r>
              <w:rPr>
                <w:rStyle w:val="IndexLink"/>
                <w:rtl w:val="true"/>
              </w:rPr>
              <w:tab/>
            </w:r>
            <w:r>
              <w:rPr>
                <w:rStyle w:val="IndexLink"/>
              </w:rPr>
              <w:t>49</w:t>
            </w:r>
          </w:hyperlink>
        </w:p>
        <w:p>
          <w:pPr>
            <w:pStyle w:val="Contents5"/>
            <w:tabs>
              <w:tab w:val="clear" w:pos="7892"/>
              <w:tab w:val="right" w:pos="9026" w:leader="dot"/>
            </w:tabs>
            <w:rPr/>
          </w:pPr>
          <w:hyperlink w:anchor="__RefHeading___Toc1390991_1067777946">
            <w:r>
              <w:rPr>
                <w:webHidden/>
                <w:rStyle w:val="IndexLink"/>
              </w:rPr>
              <w:t>5</w:t>
            </w:r>
            <w:r>
              <w:rPr>
                <w:rStyle w:val="IndexLink"/>
                <w:rtl w:val="true"/>
              </w:rPr>
              <w:t xml:space="preserve">. </w:t>
            </w:r>
            <w:r>
              <w:rPr>
                <w:rStyle w:val="IndexLink"/>
                <w:rtl w:val="true"/>
              </w:rPr>
              <w:t>حسن التكليف</w:t>
            </w:r>
            <w:r>
              <w:rPr>
                <w:rStyle w:val="IndexLink"/>
                <w:rtl w:val="true"/>
              </w:rPr>
              <w:tab/>
            </w:r>
            <w:r>
              <w:rPr>
                <w:rStyle w:val="IndexLink"/>
              </w:rPr>
              <w:t>50</w:t>
            </w:r>
          </w:hyperlink>
        </w:p>
        <w:p>
          <w:pPr>
            <w:pStyle w:val="Contents5"/>
            <w:tabs>
              <w:tab w:val="clear" w:pos="7892"/>
              <w:tab w:val="right" w:pos="9026" w:leader="dot"/>
            </w:tabs>
            <w:rPr/>
          </w:pPr>
          <w:hyperlink w:anchor="__RefHeading___Toc1390993_1067777946">
            <w:r>
              <w:rPr>
                <w:webHidden/>
                <w:rStyle w:val="IndexLink"/>
              </w:rPr>
              <w:t>6</w:t>
            </w:r>
            <w:r>
              <w:rPr>
                <w:rStyle w:val="IndexLink"/>
                <w:rtl w:val="true"/>
              </w:rPr>
              <w:t xml:space="preserve">. </w:t>
            </w:r>
            <w:r>
              <w:rPr>
                <w:rStyle w:val="IndexLink"/>
                <w:rtl w:val="true"/>
              </w:rPr>
              <w:t>لزوم تزويد الأنبياء بالبيّنات والمعاجز</w:t>
            </w:r>
            <w:r>
              <w:rPr>
                <w:rStyle w:val="IndexLink"/>
                <w:rtl w:val="true"/>
              </w:rPr>
              <w:tab/>
            </w:r>
            <w:r>
              <w:rPr>
                <w:rStyle w:val="IndexLink"/>
              </w:rPr>
              <w:t>50</w:t>
            </w:r>
          </w:hyperlink>
        </w:p>
        <w:p>
          <w:pPr>
            <w:pStyle w:val="Contents4"/>
            <w:tabs>
              <w:tab w:val="clear" w:pos="8176"/>
              <w:tab w:val="right" w:pos="9026" w:leader="dot"/>
            </w:tabs>
            <w:rPr/>
          </w:pPr>
          <w:hyperlink w:anchor="__RefHeading___Toc1390995_1067777946">
            <w:r>
              <w:rPr>
                <w:webHidden/>
                <w:rStyle w:val="IndexLink"/>
              </w:rPr>
              <w:t>7</w:t>
            </w:r>
            <w:r>
              <w:rPr>
                <w:rStyle w:val="IndexLink"/>
                <w:rtl w:val="true"/>
              </w:rPr>
              <w:t xml:space="preserve">. </w:t>
            </w:r>
            <w:r>
              <w:rPr>
                <w:rStyle w:val="IndexLink"/>
                <w:rtl w:val="true"/>
              </w:rPr>
              <w:t>لزوم النظر في برهان مدّعي النبوة</w:t>
            </w:r>
            <w:r>
              <w:rPr>
                <w:rStyle w:val="IndexLink"/>
                <w:rtl w:val="true"/>
              </w:rPr>
              <w:tab/>
            </w:r>
            <w:r>
              <w:rPr>
                <w:rStyle w:val="IndexLink"/>
              </w:rPr>
              <w:t>50</w:t>
            </w:r>
          </w:hyperlink>
        </w:p>
        <w:p>
          <w:pPr>
            <w:pStyle w:val="Contents4"/>
            <w:tabs>
              <w:tab w:val="clear" w:pos="8176"/>
              <w:tab w:val="right" w:pos="9026" w:leader="dot"/>
            </w:tabs>
            <w:rPr/>
          </w:pPr>
          <w:hyperlink w:anchor="__RefHeading___Toc1390997_1067777946">
            <w:r>
              <w:rPr>
                <w:webHidden/>
                <w:rStyle w:val="IndexLink"/>
              </w:rPr>
              <w:t>8</w:t>
            </w:r>
            <w:r>
              <w:rPr>
                <w:rStyle w:val="IndexLink"/>
                <w:rtl w:val="true"/>
              </w:rPr>
              <w:t xml:space="preserve">. </w:t>
            </w:r>
            <w:r>
              <w:rPr>
                <w:rStyle w:val="IndexLink"/>
                <w:rtl w:val="true"/>
              </w:rPr>
              <w:t>العلم بصدق دعوى الأنبياء</w:t>
            </w:r>
            <w:r>
              <w:rPr>
                <w:rStyle w:val="IndexLink"/>
                <w:rtl w:val="true"/>
              </w:rPr>
              <w:tab/>
            </w:r>
            <w:r>
              <w:rPr>
                <w:rStyle w:val="IndexLink"/>
              </w:rPr>
              <w:t>51</w:t>
            </w:r>
          </w:hyperlink>
        </w:p>
        <w:p>
          <w:pPr>
            <w:pStyle w:val="Contents4"/>
            <w:tabs>
              <w:tab w:val="clear" w:pos="8176"/>
              <w:tab w:val="right" w:pos="9026" w:leader="dot"/>
            </w:tabs>
            <w:rPr/>
          </w:pPr>
          <w:hyperlink w:anchor="__RefHeading___Toc1390999_1067777946">
            <w:r>
              <w:rPr>
                <w:webHidden/>
                <w:rStyle w:val="IndexLink"/>
              </w:rPr>
              <w:t>9</w:t>
            </w:r>
            <w:r>
              <w:rPr>
                <w:rStyle w:val="IndexLink"/>
                <w:rtl w:val="true"/>
              </w:rPr>
              <w:t xml:space="preserve">. </w:t>
            </w:r>
            <w:r>
              <w:rPr>
                <w:rStyle w:val="IndexLink"/>
                <w:rtl w:val="true"/>
              </w:rPr>
              <w:t>الخاتمية واستمرار أحكام الإسلام</w:t>
            </w:r>
            <w:r>
              <w:rPr>
                <w:rStyle w:val="IndexLink"/>
                <w:rtl w:val="true"/>
              </w:rPr>
              <w:tab/>
            </w:r>
            <w:r>
              <w:rPr>
                <w:rStyle w:val="IndexLink"/>
              </w:rPr>
              <w:t>51</w:t>
            </w:r>
          </w:hyperlink>
        </w:p>
        <w:p>
          <w:pPr>
            <w:pStyle w:val="Contents4"/>
            <w:tabs>
              <w:tab w:val="clear" w:pos="8176"/>
              <w:tab w:val="right" w:pos="9026" w:leader="dot"/>
            </w:tabs>
            <w:rPr/>
          </w:pPr>
          <w:hyperlink w:anchor="__RefHeading___Toc1391001_1067777946">
            <w:r>
              <w:rPr>
                <w:webHidden/>
                <w:rStyle w:val="IndexLink"/>
              </w:rPr>
              <w:t>10</w:t>
            </w:r>
            <w:r>
              <w:rPr>
                <w:rStyle w:val="IndexLink"/>
                <w:rtl w:val="true"/>
              </w:rPr>
              <w:t xml:space="preserve">. </w:t>
            </w:r>
            <w:r>
              <w:rPr>
                <w:rStyle w:val="IndexLink"/>
                <w:rtl w:val="true"/>
              </w:rPr>
              <w:t>الله عادل لا يجور</w:t>
            </w:r>
            <w:r>
              <w:rPr>
                <w:rStyle w:val="IndexLink"/>
                <w:rtl w:val="true"/>
              </w:rPr>
              <w:tab/>
            </w:r>
            <w:r>
              <w:rPr>
                <w:rStyle w:val="IndexLink"/>
              </w:rPr>
              <w:t>51</w:t>
            </w:r>
          </w:hyperlink>
        </w:p>
        <w:p>
          <w:pPr>
            <w:pStyle w:val="Contents5"/>
            <w:tabs>
              <w:tab w:val="clear" w:pos="7892"/>
              <w:tab w:val="right" w:pos="9026" w:leader="dot"/>
            </w:tabs>
            <w:rPr/>
          </w:pPr>
          <w:hyperlink w:anchor="__RefHeading___Toc1391003_1067777946">
            <w:r>
              <w:rPr>
                <w:webHidden/>
                <w:rStyle w:val="IndexLink"/>
                <w:rtl w:val="true"/>
              </w:rPr>
              <w:t>اشارة</w:t>
            </w:r>
            <w:r>
              <w:rPr>
                <w:rStyle w:val="IndexLink"/>
                <w:rtl w:val="true"/>
              </w:rPr>
              <w:tab/>
            </w:r>
            <w:r>
              <w:rPr>
                <w:rStyle w:val="IndexLink"/>
              </w:rPr>
              <w:t>51</w:t>
            </w:r>
          </w:hyperlink>
        </w:p>
        <w:p>
          <w:pPr>
            <w:pStyle w:val="Contents5"/>
            <w:tabs>
              <w:tab w:val="clear" w:pos="7892"/>
              <w:tab w:val="right" w:pos="9026" w:leader="dot"/>
            </w:tabs>
            <w:rPr/>
          </w:pPr>
          <w:hyperlink w:anchor="__RefHeading___Toc1391005_1067777946">
            <w:r>
              <w:rPr>
                <w:webHidden/>
                <w:rStyle w:val="IndexLink"/>
                <w:rtl w:val="true"/>
              </w:rPr>
              <w:t>أ</w:t>
            </w:r>
            <w:r>
              <w:rPr>
                <w:rStyle w:val="IndexLink"/>
                <w:rtl w:val="true"/>
              </w:rPr>
              <w:t xml:space="preserve">. </w:t>
            </w:r>
            <w:r>
              <w:rPr>
                <w:rStyle w:val="IndexLink"/>
                <w:rtl w:val="true"/>
              </w:rPr>
              <w:t>قبح العقاب بلا بيان</w:t>
            </w:r>
            <w:r>
              <w:rPr>
                <w:rStyle w:val="IndexLink"/>
                <w:rtl w:val="true"/>
              </w:rPr>
              <w:tab/>
            </w:r>
            <w:r>
              <w:rPr>
                <w:rStyle w:val="IndexLink"/>
              </w:rPr>
              <w:t>52</w:t>
            </w:r>
          </w:hyperlink>
        </w:p>
        <w:p>
          <w:pPr>
            <w:pStyle w:val="Contents5"/>
            <w:tabs>
              <w:tab w:val="clear" w:pos="7892"/>
              <w:tab w:val="right" w:pos="9026" w:leader="dot"/>
            </w:tabs>
            <w:rPr/>
          </w:pPr>
          <w:hyperlink w:anchor="__RefHeading___Toc1391007_1067777946">
            <w:r>
              <w:rPr>
                <w:webHidden/>
                <w:rStyle w:val="IndexLink"/>
                <w:rtl w:val="true"/>
              </w:rPr>
              <w:t>ب</w:t>
            </w:r>
            <w:r>
              <w:rPr>
                <w:rStyle w:val="IndexLink"/>
                <w:rtl w:val="true"/>
              </w:rPr>
              <w:t xml:space="preserve">. </w:t>
            </w:r>
            <w:r>
              <w:rPr>
                <w:rStyle w:val="IndexLink"/>
                <w:rtl w:val="true"/>
              </w:rPr>
              <w:t>قبح التكليف بما لا يطاق</w:t>
            </w:r>
            <w:r>
              <w:rPr>
                <w:rStyle w:val="IndexLink"/>
                <w:rtl w:val="true"/>
              </w:rPr>
              <w:tab/>
            </w:r>
            <w:r>
              <w:rPr>
                <w:rStyle w:val="IndexLink"/>
              </w:rPr>
              <w:t>52</w:t>
            </w:r>
          </w:hyperlink>
        </w:p>
        <w:p>
          <w:pPr>
            <w:pStyle w:val="Contents5"/>
            <w:tabs>
              <w:tab w:val="clear" w:pos="7892"/>
              <w:tab w:val="right" w:pos="9026" w:leader="dot"/>
            </w:tabs>
            <w:rPr/>
          </w:pPr>
          <w:hyperlink w:anchor="__RefHeading___Toc1391009_1067777946">
            <w:r>
              <w:rPr>
                <w:webHidden/>
                <w:rStyle w:val="IndexLink"/>
                <w:rtl w:val="true"/>
              </w:rPr>
              <w:t>ج</w:t>
            </w:r>
            <w:r>
              <w:rPr>
                <w:rStyle w:val="IndexLink"/>
                <w:rtl w:val="true"/>
              </w:rPr>
              <w:t xml:space="preserve">. </w:t>
            </w:r>
            <w:r>
              <w:rPr>
                <w:rStyle w:val="IndexLink"/>
                <w:rtl w:val="true"/>
              </w:rPr>
              <w:t>مدَى تأثير القضاء والقدر في مصير الإنسان</w:t>
            </w:r>
            <w:r>
              <w:rPr>
                <w:rStyle w:val="IndexLink"/>
                <w:rtl w:val="true"/>
              </w:rPr>
              <w:tab/>
            </w:r>
            <w:r>
              <w:rPr>
                <w:rStyle w:val="IndexLink"/>
              </w:rPr>
              <w:t>52</w:t>
            </w:r>
          </w:hyperlink>
        </w:p>
        <w:p>
          <w:pPr>
            <w:pStyle w:val="Contents5"/>
            <w:tabs>
              <w:tab w:val="clear" w:pos="7892"/>
              <w:tab w:val="right" w:pos="9026" w:leader="dot"/>
            </w:tabs>
            <w:rPr/>
          </w:pPr>
          <w:hyperlink w:anchor="__RefHeading___Toc1391011_1067777946">
            <w:r>
              <w:rPr>
                <w:webHidden/>
                <w:rStyle w:val="IndexLink"/>
                <w:rtl w:val="true"/>
              </w:rPr>
              <w:t>د</w:t>
            </w:r>
            <w:r>
              <w:rPr>
                <w:rStyle w:val="IndexLink"/>
                <w:rtl w:val="true"/>
              </w:rPr>
              <w:t xml:space="preserve">. </w:t>
            </w:r>
            <w:r>
              <w:rPr>
                <w:rStyle w:val="IndexLink"/>
                <w:rtl w:val="true"/>
              </w:rPr>
              <w:t>اختيار الإنسان</w:t>
            </w:r>
            <w:r>
              <w:rPr>
                <w:rStyle w:val="IndexLink"/>
                <w:rtl w:val="true"/>
              </w:rPr>
              <w:t>.</w:t>
              <w:tab/>
            </w:r>
            <w:r>
              <w:rPr>
                <w:rStyle w:val="IndexLink"/>
              </w:rPr>
              <w:t>52</w:t>
            </w:r>
          </w:hyperlink>
        </w:p>
        <w:p>
          <w:pPr>
            <w:pStyle w:val="Contents4"/>
            <w:tabs>
              <w:tab w:val="clear" w:pos="8176"/>
              <w:tab w:val="right" w:pos="9026" w:leader="dot"/>
            </w:tabs>
            <w:rPr/>
          </w:pPr>
          <w:hyperlink w:anchor="__RefHeading___Toc1391013_1067777946">
            <w:r>
              <w:rPr>
                <w:webHidden/>
                <w:rStyle w:val="IndexLink"/>
              </w:rPr>
              <w:t>11</w:t>
            </w:r>
            <w:r>
              <w:rPr>
                <w:rStyle w:val="IndexLink"/>
                <w:rtl w:val="true"/>
              </w:rPr>
              <w:t xml:space="preserve">. </w:t>
            </w:r>
            <w:r>
              <w:rPr>
                <w:rStyle w:val="IndexLink"/>
                <w:rtl w:val="true"/>
              </w:rPr>
              <w:t>ثبات الأخلاق والقيم</w:t>
            </w:r>
            <w:r>
              <w:rPr>
                <w:rStyle w:val="IndexLink"/>
                <w:rtl w:val="true"/>
              </w:rPr>
              <w:tab/>
            </w:r>
            <w:r>
              <w:rPr>
                <w:rStyle w:val="IndexLink"/>
              </w:rPr>
              <w:t>52</w:t>
            </w:r>
          </w:hyperlink>
        </w:p>
        <w:p>
          <w:pPr>
            <w:pStyle w:val="Contents2"/>
            <w:tabs>
              <w:tab w:val="clear" w:pos="8743"/>
              <w:tab w:val="right" w:pos="9026" w:leader="dot"/>
            </w:tabs>
            <w:rPr/>
          </w:pPr>
          <w:hyperlink w:anchor="__RefHeading___Toc1391015_1067777946">
            <w:r>
              <w:rPr>
                <w:webHidden/>
                <w:rStyle w:val="IndexLink"/>
                <w:rtl w:val="true"/>
              </w:rPr>
              <w:t>الفصل الثاني</w:t>
            </w:r>
            <w:r>
              <w:rPr>
                <w:rStyle w:val="IndexLink"/>
                <w:rtl w:val="true"/>
              </w:rPr>
              <w:t xml:space="preserve">: </w:t>
            </w:r>
            <w:r>
              <w:rPr>
                <w:rStyle w:val="IndexLink"/>
                <w:rtl w:val="true"/>
              </w:rPr>
              <w:t>الإنسان بين الجبر والتفويض</w:t>
            </w:r>
            <w:r>
              <w:rPr>
                <w:rStyle w:val="IndexLink"/>
                <w:rtl w:val="true"/>
              </w:rPr>
              <w:tab/>
            </w:r>
            <w:r>
              <w:rPr>
                <w:rStyle w:val="IndexLink"/>
              </w:rPr>
              <w:t>57</w:t>
            </w:r>
          </w:hyperlink>
        </w:p>
        <w:p>
          <w:pPr>
            <w:pStyle w:val="Contents3"/>
            <w:tabs>
              <w:tab w:val="clear" w:pos="8459"/>
              <w:tab w:val="right" w:pos="9026" w:leader="dot"/>
            </w:tabs>
            <w:rPr/>
          </w:pPr>
          <w:hyperlink w:anchor="__RefHeading___Toc1391017_1067777946">
            <w:r>
              <w:rPr>
                <w:webHidden/>
                <w:rStyle w:val="IndexLink"/>
                <w:rtl w:val="true"/>
              </w:rPr>
              <w:t>اشارة</w:t>
            </w:r>
            <w:r>
              <w:rPr>
                <w:rStyle w:val="IndexLink"/>
                <w:rtl w:val="true"/>
              </w:rPr>
              <w:tab/>
            </w:r>
            <w:r>
              <w:rPr>
                <w:rStyle w:val="IndexLink"/>
              </w:rPr>
              <w:t>57</w:t>
            </w:r>
          </w:hyperlink>
        </w:p>
        <w:p>
          <w:pPr>
            <w:pStyle w:val="Contents3"/>
            <w:tabs>
              <w:tab w:val="clear" w:pos="8459"/>
              <w:tab w:val="right" w:pos="9026" w:leader="dot"/>
            </w:tabs>
            <w:rPr/>
          </w:pPr>
          <w:hyperlink w:anchor="__RefHeading___Toc1391019_1067777946">
            <w:r>
              <w:rPr>
                <w:webHidden/>
                <w:rStyle w:val="IndexLink"/>
                <w:rtl w:val="true"/>
              </w:rPr>
              <w:t>تمهيد</w:t>
            </w:r>
            <w:r>
              <w:rPr>
                <w:rStyle w:val="IndexLink"/>
                <w:rtl w:val="true"/>
              </w:rPr>
              <w:tab/>
            </w:r>
            <w:r>
              <w:rPr>
                <w:rStyle w:val="IndexLink"/>
              </w:rPr>
              <w:t>59</w:t>
            </w:r>
          </w:hyperlink>
        </w:p>
        <w:p>
          <w:pPr>
            <w:pStyle w:val="Contents3"/>
            <w:tabs>
              <w:tab w:val="clear" w:pos="8459"/>
              <w:tab w:val="right" w:pos="9026" w:leader="dot"/>
            </w:tabs>
            <w:rPr/>
          </w:pPr>
          <w:hyperlink w:anchor="__RefHeading___Toc1391021_1067777946">
            <w:r>
              <w:rPr>
                <w:webHidden/>
                <w:rStyle w:val="IndexLink"/>
              </w:rPr>
              <w:t>1</w:t>
            </w:r>
            <w:r>
              <w:rPr>
                <w:rStyle w:val="IndexLink"/>
                <w:rtl w:val="true"/>
              </w:rPr>
              <w:t xml:space="preserve">- </w:t>
            </w:r>
            <w:r>
              <w:rPr>
                <w:rStyle w:val="IndexLink"/>
                <w:rtl w:val="true"/>
              </w:rPr>
              <w:t>الجبر على مسرح التاريخ الإسلامي</w:t>
            </w:r>
            <w:r>
              <w:rPr>
                <w:rStyle w:val="IndexLink"/>
                <w:rtl w:val="true"/>
              </w:rPr>
              <w:tab/>
            </w:r>
            <w:r>
              <w:rPr>
                <w:rStyle w:val="IndexLink"/>
              </w:rPr>
              <w:t>61</w:t>
            </w:r>
          </w:hyperlink>
        </w:p>
        <w:p>
          <w:pPr>
            <w:pStyle w:val="Contents4"/>
            <w:tabs>
              <w:tab w:val="clear" w:pos="8176"/>
              <w:tab w:val="right" w:pos="9026" w:leader="dot"/>
            </w:tabs>
            <w:rPr/>
          </w:pPr>
          <w:hyperlink w:anchor="__RefHeading___Toc1391023_1067777946">
            <w:r>
              <w:rPr>
                <w:webHidden/>
                <w:rStyle w:val="IndexLink"/>
                <w:rtl w:val="true"/>
              </w:rPr>
              <w:t>اشارة</w:t>
            </w:r>
            <w:r>
              <w:rPr>
                <w:rStyle w:val="IndexLink"/>
                <w:rtl w:val="true"/>
              </w:rPr>
              <w:tab/>
            </w:r>
            <w:r>
              <w:rPr>
                <w:rStyle w:val="IndexLink"/>
              </w:rPr>
              <w:t>61</w:t>
            </w:r>
          </w:hyperlink>
        </w:p>
        <w:p>
          <w:pPr>
            <w:pStyle w:val="Contents4"/>
            <w:tabs>
              <w:tab w:val="clear" w:pos="8176"/>
              <w:tab w:val="right" w:pos="9026" w:leader="dot"/>
            </w:tabs>
            <w:rPr/>
          </w:pPr>
          <w:hyperlink w:anchor="__RefHeading___Toc1391025_1067777946">
            <w:r>
              <w:rPr>
                <w:webHidden/>
                <w:rStyle w:val="IndexLink"/>
                <w:rtl w:val="true"/>
              </w:rPr>
              <w:t>استغلال الأُمويّين للقدر</w:t>
            </w:r>
            <w:r>
              <w:rPr>
                <w:rStyle w:val="IndexLink"/>
                <w:rtl w:val="true"/>
              </w:rPr>
              <w:tab/>
            </w:r>
            <w:r>
              <w:rPr>
                <w:rStyle w:val="IndexLink"/>
              </w:rPr>
              <w:t>63</w:t>
            </w:r>
          </w:hyperlink>
        </w:p>
        <w:p>
          <w:pPr>
            <w:pStyle w:val="Contents4"/>
            <w:tabs>
              <w:tab w:val="clear" w:pos="8176"/>
              <w:tab w:val="right" w:pos="9026" w:leader="dot"/>
            </w:tabs>
            <w:rPr/>
          </w:pPr>
          <w:hyperlink w:anchor="__RefHeading___Toc1391027_1067777946">
            <w:r>
              <w:rPr>
                <w:webHidden/>
                <w:rStyle w:val="IndexLink"/>
                <w:rtl w:val="true"/>
              </w:rPr>
              <w:t>التقدير المساوي للجبر عقيدة مستوردة</w:t>
            </w:r>
            <w:r>
              <w:rPr>
                <w:rStyle w:val="IndexLink"/>
                <w:rtl w:val="true"/>
              </w:rPr>
              <w:tab/>
            </w:r>
            <w:r>
              <w:rPr>
                <w:rStyle w:val="IndexLink"/>
              </w:rPr>
              <w:t>65</w:t>
            </w:r>
          </w:hyperlink>
        </w:p>
        <w:p>
          <w:pPr>
            <w:pStyle w:val="Contents4"/>
            <w:tabs>
              <w:tab w:val="clear" w:pos="8176"/>
              <w:tab w:val="right" w:pos="9026" w:leader="dot"/>
            </w:tabs>
            <w:rPr/>
          </w:pPr>
          <w:hyperlink w:anchor="__RefHeading___Toc1391029_1067777946">
            <w:r>
              <w:rPr>
                <w:webHidden/>
                <w:rStyle w:val="IndexLink"/>
                <w:rtl w:val="true"/>
              </w:rPr>
              <w:t xml:space="preserve">حديث </w:t>
            </w:r>
            <w:r>
              <w:rPr>
                <w:rStyle w:val="IndexLink"/>
                <w:rtl w:val="true"/>
              </w:rPr>
              <w:t>«</w:t>
            </w:r>
            <w:r>
              <w:rPr>
                <w:rStyle w:val="IndexLink"/>
                <w:rtl w:val="true"/>
              </w:rPr>
              <w:t>الفراغ من الأمر</w:t>
            </w:r>
            <w:r>
              <w:rPr>
                <w:rStyle w:val="IndexLink"/>
                <w:rtl w:val="true"/>
              </w:rPr>
              <w:t xml:space="preserve">» </w:t>
            </w:r>
            <w:r>
              <w:rPr>
                <w:rStyle w:val="IndexLink"/>
                <w:rtl w:val="true"/>
              </w:rPr>
              <w:t>بدعة يهوديّة</w:t>
            </w:r>
            <w:r>
              <w:rPr>
                <w:rStyle w:val="IndexLink"/>
                <w:rtl w:val="true"/>
              </w:rPr>
              <w:tab/>
            </w:r>
            <w:r>
              <w:rPr>
                <w:rStyle w:val="IndexLink"/>
              </w:rPr>
              <w:t>66</w:t>
            </w:r>
          </w:hyperlink>
        </w:p>
        <w:p>
          <w:pPr>
            <w:pStyle w:val="Contents3"/>
            <w:tabs>
              <w:tab w:val="clear" w:pos="8459"/>
              <w:tab w:val="right" w:pos="9026" w:leader="dot"/>
            </w:tabs>
            <w:rPr/>
          </w:pPr>
          <w:hyperlink w:anchor="__RefHeading___Toc1391031_1067777946">
            <w:r>
              <w:rPr>
                <w:webHidden/>
                <w:rStyle w:val="IndexLink"/>
              </w:rPr>
              <w:t>2</w:t>
            </w:r>
            <w:r>
              <w:rPr>
                <w:rStyle w:val="IndexLink"/>
                <w:rtl w:val="true"/>
              </w:rPr>
              <w:t xml:space="preserve">- </w:t>
            </w:r>
            <w:r>
              <w:rPr>
                <w:rStyle w:val="IndexLink"/>
                <w:rtl w:val="true"/>
              </w:rPr>
              <w:t>أحاديث لا تفارق الجبرَ قيد شعرة</w:t>
            </w:r>
            <w:r>
              <w:rPr>
                <w:rStyle w:val="IndexLink"/>
                <w:rtl w:val="true"/>
              </w:rPr>
              <w:tab/>
            </w:r>
            <w:r>
              <w:rPr>
                <w:rStyle w:val="IndexLink"/>
              </w:rPr>
              <w:t>69</w:t>
            </w:r>
          </w:hyperlink>
        </w:p>
        <w:p>
          <w:pPr>
            <w:pStyle w:val="Contents3"/>
            <w:tabs>
              <w:tab w:val="clear" w:pos="8459"/>
              <w:tab w:val="right" w:pos="9026" w:leader="dot"/>
            </w:tabs>
            <w:rPr/>
          </w:pPr>
          <w:hyperlink w:anchor="__RefHeading___Toc1391033_1067777946">
            <w:r>
              <w:rPr>
                <w:webHidden/>
                <w:rStyle w:val="IndexLink"/>
              </w:rPr>
              <w:t>3</w:t>
            </w:r>
            <w:r>
              <w:rPr>
                <w:rStyle w:val="IndexLink"/>
                <w:rtl w:val="true"/>
              </w:rPr>
              <w:t xml:space="preserve">- </w:t>
            </w:r>
            <w:r>
              <w:rPr>
                <w:rStyle w:val="IndexLink"/>
                <w:rtl w:val="true"/>
              </w:rPr>
              <w:t>مضاعفات القول بالجبر</w:t>
            </w:r>
            <w:r>
              <w:rPr>
                <w:rStyle w:val="IndexLink"/>
                <w:rtl w:val="true"/>
              </w:rPr>
              <w:tab/>
            </w:r>
            <w:r>
              <w:rPr>
                <w:rStyle w:val="IndexLink"/>
              </w:rPr>
              <w:t>72</w:t>
            </w:r>
          </w:hyperlink>
        </w:p>
        <w:p>
          <w:pPr>
            <w:pStyle w:val="Contents4"/>
            <w:tabs>
              <w:tab w:val="clear" w:pos="8176"/>
              <w:tab w:val="right" w:pos="9026" w:leader="dot"/>
            </w:tabs>
            <w:rPr/>
          </w:pPr>
          <w:hyperlink w:anchor="__RefHeading___Toc1391035_1067777946">
            <w:r>
              <w:rPr>
                <w:webHidden/>
                <w:rStyle w:val="IndexLink"/>
                <w:rtl w:val="true"/>
              </w:rPr>
              <w:t>اشارة</w:t>
            </w:r>
            <w:r>
              <w:rPr>
                <w:rStyle w:val="IndexLink"/>
                <w:rtl w:val="true"/>
              </w:rPr>
              <w:tab/>
            </w:r>
            <w:r>
              <w:rPr>
                <w:rStyle w:val="IndexLink"/>
              </w:rPr>
              <w:t>72</w:t>
            </w:r>
          </w:hyperlink>
        </w:p>
        <w:p>
          <w:pPr>
            <w:pStyle w:val="Contents4"/>
            <w:tabs>
              <w:tab w:val="clear" w:pos="8176"/>
              <w:tab w:val="right" w:pos="9026" w:leader="dot"/>
            </w:tabs>
            <w:rPr/>
          </w:pPr>
          <w:hyperlink w:anchor="__RefHeading___Toc1391037_1067777946">
            <w:r>
              <w:rPr>
                <w:webHidden/>
                <w:rStyle w:val="IndexLink"/>
              </w:rPr>
              <w:t>1</w:t>
            </w:r>
            <w:r>
              <w:rPr>
                <w:rStyle w:val="IndexLink"/>
                <w:rtl w:val="true"/>
              </w:rPr>
              <w:t xml:space="preserve">. </w:t>
            </w:r>
            <w:r>
              <w:rPr>
                <w:rStyle w:val="IndexLink"/>
                <w:rtl w:val="true"/>
              </w:rPr>
              <w:t>انتفاء الغرض من بعثة الأنبياء</w:t>
            </w:r>
            <w:r>
              <w:rPr>
                <w:rStyle w:val="IndexLink"/>
                <w:rtl w:val="true"/>
              </w:rPr>
              <w:tab/>
            </w:r>
            <w:r>
              <w:rPr>
                <w:rStyle w:val="IndexLink"/>
              </w:rPr>
              <w:t>72</w:t>
            </w:r>
          </w:hyperlink>
        </w:p>
        <w:p>
          <w:pPr>
            <w:pStyle w:val="Contents4"/>
            <w:tabs>
              <w:tab w:val="clear" w:pos="8176"/>
              <w:tab w:val="right" w:pos="9026" w:leader="dot"/>
            </w:tabs>
            <w:rPr/>
          </w:pPr>
          <w:hyperlink w:anchor="__RefHeading___Toc1391039_1067777946">
            <w:r>
              <w:rPr>
                <w:webHidden/>
                <w:rStyle w:val="IndexLink"/>
              </w:rPr>
              <w:t>2</w:t>
            </w:r>
            <w:r>
              <w:rPr>
                <w:rStyle w:val="IndexLink"/>
                <w:rtl w:val="true"/>
              </w:rPr>
              <w:t xml:space="preserve">. </w:t>
            </w:r>
            <w:r>
              <w:rPr>
                <w:rStyle w:val="IndexLink"/>
                <w:rtl w:val="true"/>
              </w:rPr>
              <w:t>انتفاء فائدة المناهج التربوية</w:t>
            </w:r>
            <w:r>
              <w:rPr>
                <w:rStyle w:val="IndexLink"/>
                <w:rtl w:val="true"/>
              </w:rPr>
              <w:tab/>
            </w:r>
            <w:r>
              <w:rPr>
                <w:rStyle w:val="IndexLink"/>
              </w:rPr>
              <w:t>73</w:t>
            </w:r>
          </w:hyperlink>
        </w:p>
        <w:p>
          <w:pPr>
            <w:pStyle w:val="Contents4"/>
            <w:tabs>
              <w:tab w:val="clear" w:pos="8176"/>
              <w:tab w:val="right" w:pos="9026" w:leader="dot"/>
            </w:tabs>
            <w:rPr/>
          </w:pPr>
          <w:hyperlink w:anchor="__RefHeading___Toc1391041_1067777946">
            <w:r>
              <w:rPr>
                <w:webHidden/>
                <w:rStyle w:val="IndexLink"/>
              </w:rPr>
              <w:t>3</w:t>
            </w:r>
            <w:r>
              <w:rPr>
                <w:rStyle w:val="IndexLink"/>
                <w:rtl w:val="true"/>
              </w:rPr>
              <w:t xml:space="preserve">. </w:t>
            </w:r>
            <w:r>
              <w:rPr>
                <w:rStyle w:val="IndexLink"/>
                <w:rtl w:val="true"/>
              </w:rPr>
              <w:t>تكذيب الكتاب العزيز</w:t>
            </w:r>
            <w:r>
              <w:rPr>
                <w:rStyle w:val="IndexLink"/>
                <w:rtl w:val="true"/>
              </w:rPr>
              <w:tab/>
            </w:r>
            <w:r>
              <w:rPr>
                <w:rStyle w:val="IndexLink"/>
              </w:rPr>
              <w:t>73</w:t>
            </w:r>
          </w:hyperlink>
        </w:p>
        <w:p>
          <w:pPr>
            <w:pStyle w:val="Contents4"/>
            <w:tabs>
              <w:tab w:val="clear" w:pos="8176"/>
              <w:tab w:val="right" w:pos="9026" w:leader="dot"/>
            </w:tabs>
            <w:rPr/>
          </w:pPr>
          <w:hyperlink w:anchor="__RefHeading___Toc1391043_1067777946">
            <w:r>
              <w:rPr>
                <w:webHidden/>
                <w:rStyle w:val="IndexLink"/>
              </w:rPr>
              <w:t>4</w:t>
            </w:r>
            <w:r>
              <w:rPr>
                <w:rStyle w:val="IndexLink"/>
                <w:rtl w:val="true"/>
              </w:rPr>
              <w:t xml:space="preserve">. </w:t>
            </w:r>
            <w:r>
              <w:rPr>
                <w:rStyle w:val="IndexLink"/>
                <w:rtl w:val="true"/>
              </w:rPr>
              <w:t>الجبري في ساحة الحياة ، اختياريّ</w:t>
            </w:r>
            <w:r>
              <w:rPr>
                <w:rStyle w:val="IndexLink"/>
                <w:rtl w:val="true"/>
              </w:rPr>
              <w:tab/>
            </w:r>
            <w:r>
              <w:rPr>
                <w:rStyle w:val="IndexLink"/>
              </w:rPr>
              <w:t>74</w:t>
            </w:r>
          </w:hyperlink>
        </w:p>
        <w:p>
          <w:pPr>
            <w:pStyle w:val="Contents4"/>
            <w:tabs>
              <w:tab w:val="clear" w:pos="8176"/>
              <w:tab w:val="right" w:pos="9026" w:leader="dot"/>
            </w:tabs>
            <w:rPr/>
          </w:pPr>
          <w:hyperlink w:anchor="__RefHeading___Toc1391045_1067777946">
            <w:r>
              <w:rPr>
                <w:webHidden/>
                <w:rStyle w:val="IndexLink"/>
              </w:rPr>
              <w:t>5</w:t>
            </w:r>
            <w:r>
              <w:rPr>
                <w:rStyle w:val="IndexLink"/>
                <w:rtl w:val="true"/>
              </w:rPr>
              <w:t xml:space="preserve">. </w:t>
            </w:r>
            <w:r>
              <w:rPr>
                <w:rStyle w:val="IndexLink"/>
                <w:rtl w:val="true"/>
              </w:rPr>
              <w:t>الجبر واجهة لنيل المزيد من الحرية</w:t>
            </w:r>
            <w:r>
              <w:rPr>
                <w:rStyle w:val="IndexLink"/>
                <w:rtl w:val="true"/>
              </w:rPr>
              <w:tab/>
            </w:r>
            <w:r>
              <w:rPr>
                <w:rStyle w:val="IndexLink"/>
              </w:rPr>
              <w:t>75</w:t>
            </w:r>
          </w:hyperlink>
        </w:p>
        <w:p>
          <w:pPr>
            <w:pStyle w:val="Contents3"/>
            <w:tabs>
              <w:tab w:val="clear" w:pos="8459"/>
              <w:tab w:val="right" w:pos="9026" w:leader="dot"/>
            </w:tabs>
            <w:rPr/>
          </w:pPr>
          <w:hyperlink w:anchor="__RefHeading___Toc1391047_1067777946">
            <w:r>
              <w:rPr>
                <w:webHidden/>
                <w:rStyle w:val="IndexLink"/>
              </w:rPr>
              <w:t>4</w:t>
            </w:r>
            <w:r>
              <w:rPr>
                <w:rStyle w:val="IndexLink"/>
                <w:rtl w:val="true"/>
              </w:rPr>
              <w:t xml:space="preserve">- </w:t>
            </w:r>
            <w:r>
              <w:rPr>
                <w:rStyle w:val="IndexLink"/>
                <w:rtl w:val="true"/>
              </w:rPr>
              <w:t>شبهات وحلول</w:t>
            </w:r>
            <w:r>
              <w:rPr>
                <w:rStyle w:val="IndexLink"/>
                <w:rtl w:val="true"/>
              </w:rPr>
              <w:tab/>
            </w:r>
            <w:r>
              <w:rPr>
                <w:rStyle w:val="IndexLink"/>
              </w:rPr>
              <w:t>76</w:t>
            </w:r>
          </w:hyperlink>
        </w:p>
        <w:p>
          <w:pPr>
            <w:pStyle w:val="Contents4"/>
            <w:tabs>
              <w:tab w:val="clear" w:pos="8176"/>
              <w:tab w:val="right" w:pos="9026" w:leader="dot"/>
            </w:tabs>
            <w:rPr/>
          </w:pPr>
          <w:hyperlink w:anchor="__RefHeading___Toc1391049_1067777946">
            <w:r>
              <w:rPr>
                <w:webHidden/>
                <w:rStyle w:val="IndexLink"/>
                <w:rtl w:val="true"/>
              </w:rPr>
              <w:t>اشارة</w:t>
            </w:r>
            <w:r>
              <w:rPr>
                <w:rStyle w:val="IndexLink"/>
                <w:rtl w:val="true"/>
              </w:rPr>
              <w:tab/>
            </w:r>
            <w:r>
              <w:rPr>
                <w:rStyle w:val="IndexLink"/>
              </w:rPr>
              <w:t>76</w:t>
            </w:r>
          </w:hyperlink>
        </w:p>
        <w:p>
          <w:pPr>
            <w:pStyle w:val="Contents4"/>
            <w:tabs>
              <w:tab w:val="clear" w:pos="8176"/>
              <w:tab w:val="right" w:pos="9026" w:leader="dot"/>
            </w:tabs>
            <w:rPr/>
          </w:pPr>
          <w:hyperlink w:anchor="__RefHeading___Toc1391051_1067777946">
            <w:r>
              <w:rPr>
                <w:webHidden/>
                <w:rStyle w:val="IndexLink"/>
                <w:rtl w:val="true"/>
              </w:rPr>
              <w:t>الشبهة الأُولى</w:t>
            </w:r>
            <w:r>
              <w:rPr>
                <w:rStyle w:val="IndexLink"/>
                <w:rtl w:val="true"/>
              </w:rPr>
              <w:tab/>
            </w:r>
            <w:r>
              <w:rPr>
                <w:rStyle w:val="IndexLink"/>
              </w:rPr>
              <w:t>76</w:t>
            </w:r>
          </w:hyperlink>
        </w:p>
        <w:p>
          <w:pPr>
            <w:pStyle w:val="Contents5"/>
            <w:tabs>
              <w:tab w:val="clear" w:pos="7892"/>
              <w:tab w:val="right" w:pos="9026" w:leader="dot"/>
            </w:tabs>
            <w:rPr/>
          </w:pPr>
          <w:hyperlink w:anchor="__RefHeading___Toc1391053_1067777946">
            <w:r>
              <w:rPr>
                <w:webHidden/>
                <w:rStyle w:val="IndexLink"/>
              </w:rPr>
              <w:t>1</w:t>
            </w:r>
            <w:r>
              <w:rPr>
                <w:rStyle w:val="IndexLink"/>
                <w:rtl w:val="true"/>
              </w:rPr>
              <w:t xml:space="preserve">. </w:t>
            </w:r>
            <w:r>
              <w:rPr>
                <w:rStyle w:val="IndexLink"/>
                <w:rtl w:val="true"/>
              </w:rPr>
              <w:t>مثلث الشخصية</w:t>
            </w:r>
            <w:r>
              <w:rPr>
                <w:rStyle w:val="IndexLink"/>
                <w:rtl w:val="true"/>
              </w:rPr>
              <w:tab/>
            </w:r>
            <w:r>
              <w:rPr>
                <w:rStyle w:val="IndexLink"/>
              </w:rPr>
              <w:t>76</w:t>
            </w:r>
          </w:hyperlink>
        </w:p>
        <w:p>
          <w:pPr>
            <w:pStyle w:val="Contents4"/>
            <w:tabs>
              <w:tab w:val="clear" w:pos="8176"/>
              <w:tab w:val="right" w:pos="9026" w:leader="dot"/>
            </w:tabs>
            <w:rPr/>
          </w:pPr>
          <w:hyperlink w:anchor="__RefHeading___Toc1391055_1067777946">
            <w:r>
              <w:rPr>
                <w:webHidden/>
                <w:rStyle w:val="IndexLink"/>
                <w:rtl w:val="true"/>
              </w:rPr>
              <w:t xml:space="preserve">الشبهة الثانية </w:t>
            </w:r>
            <w:r>
              <w:rPr>
                <w:rStyle w:val="IndexLink"/>
                <w:rtl w:val="true"/>
              </w:rPr>
              <w:t xml:space="preserve">: </w:t>
            </w:r>
            <w:r>
              <w:rPr>
                <w:rStyle w:val="IndexLink"/>
                <w:rtl w:val="true"/>
              </w:rPr>
              <w:t>أفعال الإنسان في إطار القضاء والقدر</w:t>
            </w:r>
            <w:r>
              <w:rPr>
                <w:rStyle w:val="IndexLink"/>
                <w:rtl w:val="true"/>
              </w:rPr>
              <w:tab/>
            </w:r>
            <w:r>
              <w:rPr>
                <w:rStyle w:val="IndexLink"/>
              </w:rPr>
              <w:t>80</w:t>
            </w:r>
          </w:hyperlink>
        </w:p>
        <w:p>
          <w:pPr>
            <w:pStyle w:val="Contents5"/>
            <w:tabs>
              <w:tab w:val="clear" w:pos="7892"/>
              <w:tab w:val="right" w:pos="9026" w:leader="dot"/>
            </w:tabs>
            <w:rPr/>
          </w:pPr>
          <w:hyperlink w:anchor="__RefHeading___Toc1391057_1067777946">
            <w:r>
              <w:rPr>
                <w:webHidden/>
                <w:rStyle w:val="IndexLink"/>
                <w:rtl w:val="true"/>
              </w:rPr>
              <w:t>اشارة</w:t>
            </w:r>
            <w:r>
              <w:rPr>
                <w:rStyle w:val="IndexLink"/>
                <w:rtl w:val="true"/>
              </w:rPr>
              <w:tab/>
            </w:r>
            <w:r>
              <w:rPr>
                <w:rStyle w:val="IndexLink"/>
              </w:rPr>
              <w:t>80</w:t>
            </w:r>
          </w:hyperlink>
        </w:p>
        <w:p>
          <w:pPr>
            <w:pStyle w:val="Contents5"/>
            <w:tabs>
              <w:tab w:val="clear" w:pos="7892"/>
              <w:tab w:val="right" w:pos="9026" w:leader="dot"/>
            </w:tabs>
            <w:rPr/>
          </w:pPr>
          <w:hyperlink w:anchor="__RefHeading___Toc1391059_1067777946">
            <w:r>
              <w:rPr>
                <w:webHidden/>
                <w:rStyle w:val="IndexLink"/>
                <w:rtl w:val="true"/>
              </w:rPr>
              <w:t>ما هو محط النزاع في المقام؟</w:t>
            </w:r>
            <w:r>
              <w:rPr>
                <w:rStyle w:val="IndexLink"/>
                <w:rtl w:val="true"/>
              </w:rPr>
              <w:tab/>
            </w:r>
            <w:r>
              <w:rPr>
                <w:rStyle w:val="IndexLink"/>
              </w:rPr>
              <w:t>81</w:t>
            </w:r>
          </w:hyperlink>
        </w:p>
        <w:p>
          <w:pPr>
            <w:pStyle w:val="Contents5"/>
            <w:tabs>
              <w:tab w:val="clear" w:pos="7892"/>
              <w:tab w:val="right" w:pos="9026" w:leader="dot"/>
            </w:tabs>
            <w:rPr/>
          </w:pPr>
          <w:hyperlink w:anchor="__RefHeading___Toc1391061_1067777946">
            <w:r>
              <w:rPr>
                <w:webHidden/>
                <w:rStyle w:val="IndexLink"/>
              </w:rPr>
              <w:t>1</w:t>
            </w:r>
            <w:r>
              <w:rPr>
                <w:rStyle w:val="IndexLink"/>
                <w:rtl w:val="true"/>
              </w:rPr>
              <w:t xml:space="preserve">- </w:t>
            </w:r>
            <w:r>
              <w:rPr>
                <w:rStyle w:val="IndexLink"/>
                <w:rtl w:val="true"/>
              </w:rPr>
              <w:t>المعنى الأوّل للقضاء والقدر</w:t>
            </w:r>
            <w:r>
              <w:rPr>
                <w:rStyle w:val="IndexLink"/>
                <w:rtl w:val="true"/>
              </w:rPr>
              <w:tab/>
            </w:r>
            <w:r>
              <w:rPr>
                <w:rStyle w:val="IndexLink"/>
              </w:rPr>
              <w:t>85</w:t>
            </w:r>
          </w:hyperlink>
        </w:p>
        <w:p>
          <w:pPr>
            <w:pStyle w:val="Contents6"/>
            <w:tabs>
              <w:tab w:val="clear" w:pos="7609"/>
              <w:tab w:val="right" w:pos="9026" w:leader="dot"/>
            </w:tabs>
            <w:rPr/>
          </w:pPr>
          <w:hyperlink w:anchor="__RefHeading___Toc1391063_1067777946">
            <w:r>
              <w:rPr>
                <w:webHidden/>
                <w:rStyle w:val="IndexLink"/>
                <w:rtl w:val="true"/>
              </w:rPr>
              <w:t xml:space="preserve">القضاء والقدر </w:t>
            </w:r>
            <w:r>
              <w:rPr>
                <w:rStyle w:val="IndexLink"/>
                <w:rtl w:val="true"/>
              </w:rPr>
              <w:t xml:space="preserve">: </w:t>
            </w:r>
            <w:r>
              <w:rPr>
                <w:rStyle w:val="IndexLink"/>
                <w:rtl w:val="true"/>
              </w:rPr>
              <w:t>السنن الكونية</w:t>
            </w:r>
            <w:r>
              <w:rPr>
                <w:rStyle w:val="IndexLink"/>
                <w:rtl w:val="true"/>
              </w:rPr>
              <w:tab/>
            </w:r>
            <w:r>
              <w:rPr>
                <w:rStyle w:val="IndexLink"/>
              </w:rPr>
              <w:t>85</w:t>
            </w:r>
          </w:hyperlink>
        </w:p>
        <w:p>
          <w:pPr>
            <w:pStyle w:val="Contents5"/>
            <w:tabs>
              <w:tab w:val="clear" w:pos="7892"/>
              <w:tab w:val="right" w:pos="9026" w:leader="dot"/>
            </w:tabs>
            <w:rPr/>
          </w:pPr>
          <w:hyperlink w:anchor="__RefHeading___Toc1391065_1067777946">
            <w:r>
              <w:rPr>
                <w:webHidden/>
                <w:rStyle w:val="IndexLink"/>
              </w:rPr>
              <w:t>2</w:t>
            </w:r>
            <w:r>
              <w:rPr>
                <w:rStyle w:val="IndexLink"/>
                <w:rtl w:val="true"/>
              </w:rPr>
              <w:t xml:space="preserve">. </w:t>
            </w:r>
            <w:r>
              <w:rPr>
                <w:rStyle w:val="IndexLink"/>
                <w:rtl w:val="true"/>
              </w:rPr>
              <w:t>المعنى الثانى للقضاء والقدر</w:t>
            </w:r>
            <w:r>
              <w:rPr>
                <w:rStyle w:val="IndexLink"/>
                <w:rtl w:val="true"/>
              </w:rPr>
              <w:tab/>
            </w:r>
            <w:r>
              <w:rPr>
                <w:rStyle w:val="IndexLink"/>
              </w:rPr>
              <w:t>90</w:t>
            </w:r>
          </w:hyperlink>
        </w:p>
        <w:p>
          <w:pPr>
            <w:pStyle w:val="Contents6"/>
            <w:tabs>
              <w:tab w:val="clear" w:pos="7609"/>
              <w:tab w:val="right" w:pos="9026" w:leader="dot"/>
            </w:tabs>
            <w:rPr/>
          </w:pPr>
          <w:hyperlink w:anchor="__RefHeading___Toc1391067_1067777946">
            <w:r>
              <w:rPr>
                <w:webHidden/>
                <w:rStyle w:val="IndexLink"/>
                <w:rtl w:val="true"/>
              </w:rPr>
              <w:t>علمه الأزلي بتحقّق الشيء مع خصوصياته</w:t>
            </w:r>
            <w:r>
              <w:rPr>
                <w:rStyle w:val="IndexLink"/>
                <w:rtl w:val="true"/>
              </w:rPr>
              <w:tab/>
            </w:r>
            <w:r>
              <w:rPr>
                <w:rStyle w:val="IndexLink"/>
              </w:rPr>
              <w:t>90</w:t>
            </w:r>
          </w:hyperlink>
        </w:p>
        <w:p>
          <w:pPr>
            <w:pStyle w:val="Contents6"/>
            <w:tabs>
              <w:tab w:val="clear" w:pos="7609"/>
              <w:tab w:val="right" w:pos="9026" w:leader="dot"/>
            </w:tabs>
            <w:rPr/>
          </w:pPr>
          <w:hyperlink w:anchor="__RefHeading___Toc1391069_1067777946">
            <w:r>
              <w:rPr>
                <w:webHidden/>
                <w:rStyle w:val="IndexLink"/>
                <w:rtl w:val="true"/>
              </w:rPr>
              <w:t>على هامش الشبهة</w:t>
            </w:r>
            <w:r>
              <w:rPr>
                <w:rStyle w:val="IndexLink"/>
                <w:rtl w:val="true"/>
              </w:rPr>
              <w:tab/>
            </w:r>
            <w:r>
              <w:rPr>
                <w:rStyle w:val="IndexLink"/>
              </w:rPr>
              <w:t>90</w:t>
            </w:r>
          </w:hyperlink>
        </w:p>
        <w:p>
          <w:pPr>
            <w:pStyle w:val="Contents6"/>
            <w:tabs>
              <w:tab w:val="clear" w:pos="7609"/>
              <w:tab w:val="right" w:pos="9026" w:leader="dot"/>
            </w:tabs>
            <w:rPr/>
          </w:pPr>
          <w:hyperlink w:anchor="__RefHeading___Toc1391071_1067777946">
            <w:r>
              <w:rPr>
                <w:webHidden/>
                <w:rStyle w:val="IndexLink"/>
                <w:rtl w:val="true"/>
              </w:rPr>
              <w:t>كلمة للشيخ الغزالي حولَ استنتاج الجبر من العلم الإلهي</w:t>
            </w:r>
            <w:r>
              <w:rPr>
                <w:rStyle w:val="IndexLink"/>
                <w:rtl w:val="true"/>
              </w:rPr>
              <w:tab/>
            </w:r>
            <w:r>
              <w:rPr>
                <w:rStyle w:val="IndexLink"/>
              </w:rPr>
              <w:t>92</w:t>
            </w:r>
          </w:hyperlink>
        </w:p>
        <w:p>
          <w:pPr>
            <w:pStyle w:val="Contents4"/>
            <w:tabs>
              <w:tab w:val="clear" w:pos="8176"/>
              <w:tab w:val="right" w:pos="9026" w:leader="dot"/>
            </w:tabs>
            <w:rPr/>
          </w:pPr>
          <w:hyperlink w:anchor="__RefHeading___Toc1391073_1067777946">
            <w:r>
              <w:rPr>
                <w:webHidden/>
                <w:rStyle w:val="IndexLink"/>
                <w:rtl w:val="true"/>
              </w:rPr>
              <w:t>الشبهة الثالثة</w:t>
            </w:r>
            <w:r>
              <w:rPr>
                <w:rStyle w:val="IndexLink"/>
                <w:rtl w:val="true"/>
              </w:rPr>
              <w:t xml:space="preserve">: </w:t>
            </w:r>
            <w:r>
              <w:rPr>
                <w:rStyle w:val="IndexLink"/>
                <w:rtl w:val="true"/>
              </w:rPr>
              <w:t>الهداية والضلالة بيد الله</w:t>
            </w:r>
            <w:r>
              <w:rPr>
                <w:rStyle w:val="IndexLink"/>
                <w:rtl w:val="true"/>
              </w:rPr>
              <w:tab/>
            </w:r>
            <w:r>
              <w:rPr>
                <w:rStyle w:val="IndexLink"/>
              </w:rPr>
              <w:t>95</w:t>
            </w:r>
          </w:hyperlink>
        </w:p>
        <w:p>
          <w:pPr>
            <w:pStyle w:val="Contents5"/>
            <w:tabs>
              <w:tab w:val="clear" w:pos="7892"/>
              <w:tab w:val="right" w:pos="9026" w:leader="dot"/>
            </w:tabs>
            <w:rPr/>
          </w:pPr>
          <w:hyperlink w:anchor="__RefHeading___Toc1391075_1067777946">
            <w:r>
              <w:rPr>
                <w:webHidden/>
                <w:rStyle w:val="IndexLink"/>
                <w:rtl w:val="true"/>
              </w:rPr>
              <w:t>اشارة</w:t>
            </w:r>
            <w:r>
              <w:rPr>
                <w:rStyle w:val="IndexLink"/>
                <w:rtl w:val="true"/>
              </w:rPr>
              <w:tab/>
            </w:r>
            <w:r>
              <w:rPr>
                <w:rStyle w:val="IndexLink"/>
              </w:rPr>
              <w:t>95</w:t>
            </w:r>
          </w:hyperlink>
        </w:p>
        <w:p>
          <w:pPr>
            <w:pStyle w:val="Contents5"/>
            <w:tabs>
              <w:tab w:val="clear" w:pos="7892"/>
              <w:tab w:val="right" w:pos="9026" w:leader="dot"/>
            </w:tabs>
            <w:rPr/>
          </w:pPr>
          <w:hyperlink w:anchor="__RefHeading___Toc1391077_1067777946">
            <w:r>
              <w:rPr>
                <w:webHidden/>
                <w:rStyle w:val="IndexLink"/>
                <w:rtl w:val="true"/>
              </w:rPr>
              <w:t>على هامش الشبهة</w:t>
            </w:r>
            <w:r>
              <w:rPr>
                <w:rStyle w:val="IndexLink"/>
                <w:rtl w:val="true"/>
              </w:rPr>
              <w:tab/>
            </w:r>
            <w:r>
              <w:rPr>
                <w:rStyle w:val="IndexLink"/>
              </w:rPr>
              <w:t>95</w:t>
            </w:r>
          </w:hyperlink>
        </w:p>
        <w:p>
          <w:pPr>
            <w:pStyle w:val="Contents6"/>
            <w:tabs>
              <w:tab w:val="clear" w:pos="7609"/>
              <w:tab w:val="right" w:pos="9026" w:leader="dot"/>
            </w:tabs>
            <w:rPr/>
          </w:pPr>
          <w:hyperlink w:anchor="__RefHeading___Toc1391079_1067777946">
            <w:r>
              <w:rPr>
                <w:webHidden/>
                <w:rStyle w:val="IndexLink"/>
                <w:rtl w:val="true"/>
              </w:rPr>
              <w:t>اشارة</w:t>
            </w:r>
            <w:r>
              <w:rPr>
                <w:rStyle w:val="IndexLink"/>
                <w:rtl w:val="true"/>
              </w:rPr>
              <w:tab/>
            </w:r>
            <w:r>
              <w:rPr>
                <w:rStyle w:val="IndexLink"/>
              </w:rPr>
              <w:t>95</w:t>
            </w:r>
          </w:hyperlink>
        </w:p>
        <w:p>
          <w:pPr>
            <w:pStyle w:val="Contents6"/>
            <w:tabs>
              <w:tab w:val="clear" w:pos="7609"/>
              <w:tab w:val="right" w:pos="9026" w:leader="dot"/>
            </w:tabs>
            <w:rPr/>
          </w:pPr>
          <w:hyperlink w:anchor="__RefHeading___Toc1391081_1067777946">
            <w:r>
              <w:rPr>
                <w:webHidden/>
                <w:rStyle w:val="IndexLink"/>
              </w:rPr>
              <w:t>1</w:t>
            </w:r>
            <w:r>
              <w:rPr>
                <w:rStyle w:val="IndexLink"/>
                <w:rtl w:val="true"/>
              </w:rPr>
              <w:t xml:space="preserve">. </w:t>
            </w:r>
            <w:r>
              <w:rPr>
                <w:rStyle w:val="IndexLink"/>
                <w:rtl w:val="true"/>
              </w:rPr>
              <w:t>الهداية التكوينية العامّة</w:t>
            </w:r>
            <w:r>
              <w:rPr>
                <w:rStyle w:val="IndexLink"/>
                <w:rtl w:val="true"/>
              </w:rPr>
              <w:tab/>
            </w:r>
            <w:r>
              <w:rPr>
                <w:rStyle w:val="IndexLink"/>
              </w:rPr>
              <w:t>96</w:t>
            </w:r>
          </w:hyperlink>
        </w:p>
        <w:p>
          <w:pPr>
            <w:pStyle w:val="Contents6"/>
            <w:tabs>
              <w:tab w:val="clear" w:pos="7609"/>
              <w:tab w:val="right" w:pos="9026" w:leader="dot"/>
            </w:tabs>
            <w:rPr/>
          </w:pPr>
          <w:hyperlink w:anchor="__RefHeading___Toc1391083_1067777946">
            <w:r>
              <w:rPr>
                <w:webHidden/>
                <w:rStyle w:val="IndexLink"/>
              </w:rPr>
              <w:t>2</w:t>
            </w:r>
            <w:r>
              <w:rPr>
                <w:rStyle w:val="IndexLink"/>
                <w:rtl w:val="true"/>
              </w:rPr>
              <w:t xml:space="preserve">. </w:t>
            </w:r>
            <w:r>
              <w:rPr>
                <w:rStyle w:val="IndexLink"/>
                <w:rtl w:val="true"/>
              </w:rPr>
              <w:t>الهداية التشريعية العامّة</w:t>
            </w:r>
            <w:r>
              <w:rPr>
                <w:rStyle w:val="IndexLink"/>
                <w:rtl w:val="true"/>
              </w:rPr>
              <w:tab/>
            </w:r>
            <w:r>
              <w:rPr>
                <w:rStyle w:val="IndexLink"/>
              </w:rPr>
              <w:t>97</w:t>
            </w:r>
          </w:hyperlink>
        </w:p>
        <w:p>
          <w:pPr>
            <w:pStyle w:val="Contents6"/>
            <w:tabs>
              <w:tab w:val="clear" w:pos="7609"/>
              <w:tab w:val="right" w:pos="9026" w:leader="dot"/>
            </w:tabs>
            <w:rPr/>
          </w:pPr>
          <w:hyperlink w:anchor="__RefHeading___Toc1391085_1067777946">
            <w:r>
              <w:rPr>
                <w:webHidden/>
                <w:rStyle w:val="IndexLink"/>
              </w:rPr>
              <w:t>3</w:t>
            </w:r>
            <w:r>
              <w:rPr>
                <w:rStyle w:val="IndexLink"/>
                <w:rtl w:val="true"/>
              </w:rPr>
              <w:t xml:space="preserve">. </w:t>
            </w:r>
            <w:r>
              <w:rPr>
                <w:rStyle w:val="IndexLink"/>
                <w:rtl w:val="true"/>
              </w:rPr>
              <w:t>الهداية الخاصة</w:t>
            </w:r>
            <w:r>
              <w:rPr>
                <w:rStyle w:val="IndexLink"/>
                <w:rtl w:val="true"/>
              </w:rPr>
              <w:tab/>
            </w:r>
            <w:r>
              <w:rPr>
                <w:rStyle w:val="IndexLink"/>
              </w:rPr>
              <w:t>97</w:t>
            </w:r>
          </w:hyperlink>
        </w:p>
        <w:p>
          <w:pPr>
            <w:pStyle w:val="Contents3"/>
            <w:tabs>
              <w:tab w:val="clear" w:pos="8459"/>
              <w:tab w:val="right" w:pos="9026" w:leader="dot"/>
            </w:tabs>
            <w:rPr/>
          </w:pPr>
          <w:hyperlink w:anchor="__RefHeading___Toc1391087_1067777946">
            <w:r>
              <w:rPr>
                <w:webHidden/>
                <w:rStyle w:val="IndexLink"/>
              </w:rPr>
              <w:t>5</w:t>
            </w:r>
            <w:r>
              <w:rPr>
                <w:rStyle w:val="IndexLink"/>
                <w:rtl w:val="true"/>
              </w:rPr>
              <w:t xml:space="preserve">- </w:t>
            </w:r>
            <w:r>
              <w:rPr>
                <w:rStyle w:val="IndexLink"/>
                <w:rtl w:val="true"/>
              </w:rPr>
              <w:t>هل الإيمان بالقدر ركن من أركان الإيمان؟</w:t>
            </w:r>
            <w:r>
              <w:rPr>
                <w:rStyle w:val="IndexLink"/>
                <w:rtl w:val="true"/>
              </w:rPr>
              <w:tab/>
            </w:r>
            <w:r>
              <w:rPr>
                <w:rStyle w:val="IndexLink"/>
              </w:rPr>
              <w:t>101</w:t>
            </w:r>
          </w:hyperlink>
        </w:p>
        <w:p>
          <w:pPr>
            <w:pStyle w:val="Contents3"/>
            <w:tabs>
              <w:tab w:val="clear" w:pos="8459"/>
              <w:tab w:val="right" w:pos="9026" w:leader="dot"/>
            </w:tabs>
            <w:rPr/>
          </w:pPr>
          <w:hyperlink w:anchor="__RefHeading___Toc1391089_1067777946">
            <w:r>
              <w:rPr>
                <w:webHidden/>
                <w:rStyle w:val="IndexLink"/>
              </w:rPr>
              <w:t>6</w:t>
            </w:r>
            <w:r>
              <w:rPr>
                <w:rStyle w:val="IndexLink"/>
                <w:rtl w:val="true"/>
              </w:rPr>
              <w:t xml:space="preserve">- </w:t>
            </w:r>
            <w:r>
              <w:rPr>
                <w:rStyle w:val="IndexLink"/>
                <w:rtl w:val="true"/>
              </w:rPr>
              <w:t>التفويض ومضاعفاته</w:t>
            </w:r>
            <w:r>
              <w:rPr>
                <w:rStyle w:val="IndexLink"/>
                <w:rtl w:val="true"/>
              </w:rPr>
              <w:tab/>
            </w:r>
            <w:r>
              <w:rPr>
                <w:rStyle w:val="IndexLink"/>
              </w:rPr>
              <w:t>104</w:t>
            </w:r>
          </w:hyperlink>
        </w:p>
        <w:p>
          <w:pPr>
            <w:pStyle w:val="Contents4"/>
            <w:tabs>
              <w:tab w:val="clear" w:pos="8176"/>
              <w:tab w:val="right" w:pos="9026" w:leader="dot"/>
            </w:tabs>
            <w:rPr/>
          </w:pPr>
          <w:hyperlink w:anchor="__RefHeading___Toc1391091_1067777946">
            <w:r>
              <w:rPr>
                <w:webHidden/>
                <w:rStyle w:val="IndexLink"/>
                <w:rtl w:val="true"/>
              </w:rPr>
              <w:t>اشارة</w:t>
            </w:r>
            <w:r>
              <w:rPr>
                <w:rStyle w:val="IndexLink"/>
                <w:rtl w:val="true"/>
              </w:rPr>
              <w:tab/>
            </w:r>
            <w:r>
              <w:rPr>
                <w:rStyle w:val="IndexLink"/>
              </w:rPr>
              <w:t>104</w:t>
            </w:r>
          </w:hyperlink>
        </w:p>
        <w:p>
          <w:pPr>
            <w:pStyle w:val="Contents4"/>
            <w:tabs>
              <w:tab w:val="clear" w:pos="8176"/>
              <w:tab w:val="right" w:pos="9026" w:leader="dot"/>
            </w:tabs>
            <w:rPr/>
          </w:pPr>
          <w:hyperlink w:anchor="__RefHeading___Toc1391093_1067777946">
            <w:r>
              <w:rPr>
                <w:webHidden/>
                <w:rStyle w:val="IndexLink"/>
              </w:rPr>
              <w:t>1</w:t>
            </w:r>
            <w:r>
              <w:rPr>
                <w:rStyle w:val="IndexLink"/>
                <w:rtl w:val="true"/>
              </w:rPr>
              <w:t xml:space="preserve">. </w:t>
            </w:r>
            <w:r>
              <w:rPr>
                <w:rStyle w:val="IndexLink"/>
                <w:rtl w:val="true"/>
              </w:rPr>
              <w:t>القول بالتفويض يلازم الشرك</w:t>
            </w:r>
            <w:r>
              <w:rPr>
                <w:rStyle w:val="IndexLink"/>
                <w:rtl w:val="true"/>
              </w:rPr>
              <w:tab/>
            </w:r>
            <w:r>
              <w:rPr>
                <w:rStyle w:val="IndexLink"/>
              </w:rPr>
              <w:t>105</w:t>
            </w:r>
          </w:hyperlink>
        </w:p>
        <w:p>
          <w:pPr>
            <w:pStyle w:val="Contents4"/>
            <w:tabs>
              <w:tab w:val="clear" w:pos="8176"/>
              <w:tab w:val="right" w:pos="9026" w:leader="dot"/>
            </w:tabs>
            <w:rPr/>
          </w:pPr>
          <w:hyperlink w:anchor="__RefHeading___Toc1391095_1067777946">
            <w:r>
              <w:rPr>
                <w:webHidden/>
                <w:rStyle w:val="IndexLink"/>
              </w:rPr>
              <w:t>2</w:t>
            </w:r>
            <w:r>
              <w:rPr>
                <w:rStyle w:val="IndexLink"/>
                <w:rtl w:val="true"/>
              </w:rPr>
              <w:t xml:space="preserve">. </w:t>
            </w:r>
            <w:r>
              <w:rPr>
                <w:rStyle w:val="IndexLink"/>
                <w:rtl w:val="true"/>
              </w:rPr>
              <w:t>الإنسان في دوّامة الحدوث</w:t>
            </w:r>
            <w:r>
              <w:rPr>
                <w:rStyle w:val="IndexLink"/>
                <w:rtl w:val="true"/>
              </w:rPr>
              <w:tab/>
            </w:r>
            <w:r>
              <w:rPr>
                <w:rStyle w:val="IndexLink"/>
              </w:rPr>
              <w:t>105</w:t>
            </w:r>
          </w:hyperlink>
        </w:p>
        <w:p>
          <w:pPr>
            <w:pStyle w:val="Contents3"/>
            <w:tabs>
              <w:tab w:val="clear" w:pos="8459"/>
              <w:tab w:val="right" w:pos="9026" w:leader="dot"/>
            </w:tabs>
            <w:rPr/>
          </w:pPr>
          <w:hyperlink w:anchor="__RefHeading___Toc1391097_1067777946">
            <w:r>
              <w:rPr>
                <w:webHidden/>
                <w:rStyle w:val="IndexLink"/>
              </w:rPr>
              <w:t>7</w:t>
            </w:r>
            <w:r>
              <w:rPr>
                <w:rStyle w:val="IndexLink"/>
                <w:rtl w:val="true"/>
              </w:rPr>
              <w:t xml:space="preserve">- </w:t>
            </w:r>
            <w:r>
              <w:rPr>
                <w:rStyle w:val="IndexLink"/>
                <w:rtl w:val="true"/>
              </w:rPr>
              <w:t>الأمر بين الأمرين</w:t>
            </w:r>
            <w:r>
              <w:rPr>
                <w:rStyle w:val="IndexLink"/>
                <w:rtl w:val="true"/>
              </w:rPr>
              <w:tab/>
            </w:r>
            <w:r>
              <w:rPr>
                <w:rStyle w:val="IndexLink"/>
              </w:rPr>
              <w:t>107</w:t>
            </w:r>
          </w:hyperlink>
        </w:p>
        <w:p>
          <w:pPr>
            <w:pStyle w:val="Contents4"/>
            <w:tabs>
              <w:tab w:val="clear" w:pos="8176"/>
              <w:tab w:val="right" w:pos="9026" w:leader="dot"/>
            </w:tabs>
            <w:rPr/>
          </w:pPr>
          <w:hyperlink w:anchor="__RefHeading___Toc1391099_1067777946">
            <w:r>
              <w:rPr>
                <w:webHidden/>
                <w:rStyle w:val="IndexLink"/>
                <w:rtl w:val="true"/>
              </w:rPr>
              <w:t>اشارة</w:t>
            </w:r>
            <w:r>
              <w:rPr>
                <w:rStyle w:val="IndexLink"/>
                <w:rtl w:val="true"/>
              </w:rPr>
              <w:tab/>
            </w:r>
            <w:r>
              <w:rPr>
                <w:rStyle w:val="IndexLink"/>
              </w:rPr>
              <w:t>107</w:t>
            </w:r>
          </w:hyperlink>
        </w:p>
        <w:p>
          <w:pPr>
            <w:pStyle w:val="Contents4"/>
            <w:tabs>
              <w:tab w:val="clear" w:pos="8176"/>
              <w:tab w:val="right" w:pos="9026" w:leader="dot"/>
            </w:tabs>
            <w:rPr/>
          </w:pPr>
          <w:hyperlink w:anchor="__RefHeading___Toc1391101_1067777946">
            <w:r>
              <w:rPr>
                <w:webHidden/>
                <w:rStyle w:val="IndexLink"/>
              </w:rPr>
              <w:t>1</w:t>
            </w:r>
            <w:r>
              <w:rPr>
                <w:rStyle w:val="IndexLink"/>
                <w:rtl w:val="true"/>
              </w:rPr>
              <w:t xml:space="preserve">. </w:t>
            </w:r>
            <w:r>
              <w:rPr>
                <w:rStyle w:val="IndexLink"/>
                <w:rtl w:val="true"/>
              </w:rPr>
              <w:t>نسبة الفعل إلى الله بالتسبيب وإلى العبد بالمباشرة</w:t>
            </w:r>
            <w:r>
              <w:rPr>
                <w:rStyle w:val="IndexLink"/>
                <w:rtl w:val="true"/>
              </w:rPr>
              <w:tab/>
            </w:r>
            <w:r>
              <w:rPr>
                <w:rStyle w:val="IndexLink"/>
              </w:rPr>
              <w:t>110</w:t>
            </w:r>
          </w:hyperlink>
        </w:p>
        <w:p>
          <w:pPr>
            <w:pStyle w:val="Contents4"/>
            <w:tabs>
              <w:tab w:val="clear" w:pos="8176"/>
              <w:tab w:val="right" w:pos="9026" w:leader="dot"/>
            </w:tabs>
            <w:rPr/>
          </w:pPr>
          <w:hyperlink w:anchor="__RefHeading___Toc1391103_1067777946">
            <w:r>
              <w:rPr>
                <w:webHidden/>
                <w:rStyle w:val="IndexLink"/>
              </w:rPr>
              <w:t>2</w:t>
            </w:r>
            <w:r>
              <w:rPr>
                <w:rStyle w:val="IndexLink"/>
                <w:rtl w:val="true"/>
              </w:rPr>
              <w:t xml:space="preserve">. </w:t>
            </w:r>
            <w:r>
              <w:rPr>
                <w:rStyle w:val="IndexLink"/>
                <w:rtl w:val="true"/>
              </w:rPr>
              <w:t>الأمر بين الأمرين في الكتاب العزيز</w:t>
            </w:r>
            <w:r>
              <w:rPr>
                <w:rStyle w:val="IndexLink"/>
                <w:rtl w:val="true"/>
              </w:rPr>
              <w:tab/>
            </w:r>
            <w:r>
              <w:rPr>
                <w:rStyle w:val="IndexLink"/>
              </w:rPr>
              <w:t>113</w:t>
            </w:r>
          </w:hyperlink>
        </w:p>
        <w:p>
          <w:pPr>
            <w:pStyle w:val="Contents4"/>
            <w:tabs>
              <w:tab w:val="clear" w:pos="8176"/>
              <w:tab w:val="right" w:pos="9026" w:leader="dot"/>
            </w:tabs>
            <w:rPr/>
          </w:pPr>
          <w:hyperlink w:anchor="__RefHeading___Toc1391105_1067777946">
            <w:r>
              <w:rPr>
                <w:webHidden/>
                <w:rStyle w:val="IndexLink"/>
              </w:rPr>
              <w:t>3</w:t>
            </w:r>
            <w:r>
              <w:rPr>
                <w:rStyle w:val="IndexLink"/>
                <w:rtl w:val="true"/>
              </w:rPr>
              <w:t xml:space="preserve">. </w:t>
            </w:r>
            <w:r>
              <w:rPr>
                <w:rStyle w:val="IndexLink"/>
                <w:rtl w:val="true"/>
              </w:rPr>
              <w:t>الأمر بين الأمرين في الروايات</w:t>
            </w:r>
            <w:r>
              <w:rPr>
                <w:rStyle w:val="IndexLink"/>
                <w:rtl w:val="true"/>
              </w:rPr>
              <w:tab/>
            </w:r>
            <w:r>
              <w:rPr>
                <w:rStyle w:val="IndexLink"/>
              </w:rPr>
              <w:t>114</w:t>
            </w:r>
          </w:hyperlink>
        </w:p>
        <w:p>
          <w:pPr>
            <w:pStyle w:val="Contents2"/>
            <w:tabs>
              <w:tab w:val="clear" w:pos="8743"/>
              <w:tab w:val="right" w:pos="9026" w:leader="dot"/>
            </w:tabs>
            <w:rPr/>
          </w:pPr>
          <w:hyperlink w:anchor="__RefHeading___Toc1391107_1067777946">
            <w:r>
              <w:rPr>
                <w:webHidden/>
                <w:rStyle w:val="IndexLink"/>
                <w:rtl w:val="true"/>
              </w:rPr>
              <w:t>الفصل الثالث</w:t>
            </w:r>
            <w:r>
              <w:rPr>
                <w:rStyle w:val="IndexLink"/>
                <w:rtl w:val="true"/>
              </w:rPr>
              <w:t xml:space="preserve">: </w:t>
            </w:r>
            <w:r>
              <w:rPr>
                <w:rStyle w:val="IndexLink"/>
                <w:rtl w:val="true"/>
              </w:rPr>
              <w:t>نظرية الكسب في أفعال العباد</w:t>
            </w:r>
            <w:r>
              <w:rPr>
                <w:rStyle w:val="IndexLink"/>
                <w:rtl w:val="true"/>
              </w:rPr>
              <w:tab/>
            </w:r>
            <w:r>
              <w:rPr>
                <w:rStyle w:val="IndexLink"/>
              </w:rPr>
              <w:t>115</w:t>
            </w:r>
          </w:hyperlink>
        </w:p>
        <w:p>
          <w:pPr>
            <w:pStyle w:val="Contents3"/>
            <w:tabs>
              <w:tab w:val="clear" w:pos="8459"/>
              <w:tab w:val="right" w:pos="9026" w:leader="dot"/>
            </w:tabs>
            <w:rPr/>
          </w:pPr>
          <w:hyperlink w:anchor="__RefHeading___Toc1391109_1067777946">
            <w:r>
              <w:rPr>
                <w:webHidden/>
                <w:rStyle w:val="IndexLink"/>
                <w:rtl w:val="true"/>
              </w:rPr>
              <w:t>اشارة</w:t>
            </w:r>
            <w:r>
              <w:rPr>
                <w:rStyle w:val="IndexLink"/>
                <w:rtl w:val="true"/>
              </w:rPr>
              <w:tab/>
            </w:r>
            <w:r>
              <w:rPr>
                <w:rStyle w:val="IndexLink"/>
              </w:rPr>
              <w:t>115</w:t>
            </w:r>
          </w:hyperlink>
        </w:p>
        <w:p>
          <w:pPr>
            <w:pStyle w:val="Contents3"/>
            <w:tabs>
              <w:tab w:val="clear" w:pos="8459"/>
              <w:tab w:val="right" w:pos="9026" w:leader="dot"/>
            </w:tabs>
            <w:rPr/>
          </w:pPr>
          <w:hyperlink w:anchor="__RefHeading___Toc1391111_1067777946">
            <w:r>
              <w:rPr>
                <w:webHidden/>
                <w:rStyle w:val="IndexLink"/>
                <w:rtl w:val="true"/>
              </w:rPr>
              <w:t>نظرية الله خالق والعبد كاسب في الميزان</w:t>
            </w:r>
            <w:r>
              <w:rPr>
                <w:rStyle w:val="IndexLink"/>
                <w:rtl w:val="true"/>
              </w:rPr>
              <w:tab/>
            </w:r>
            <w:r>
              <w:rPr>
                <w:rStyle w:val="IndexLink"/>
              </w:rPr>
              <w:t>117</w:t>
            </w:r>
          </w:hyperlink>
        </w:p>
        <w:p>
          <w:pPr>
            <w:pStyle w:val="Contents3"/>
            <w:tabs>
              <w:tab w:val="clear" w:pos="8459"/>
              <w:tab w:val="right" w:pos="9026" w:leader="dot"/>
            </w:tabs>
            <w:rPr/>
          </w:pPr>
          <w:hyperlink w:anchor="__RefHeading___Toc1391113_1067777946">
            <w:r>
              <w:rPr>
                <w:webHidden/>
                <w:rStyle w:val="IndexLink"/>
              </w:rPr>
              <w:t>1</w:t>
            </w:r>
            <w:r>
              <w:rPr>
                <w:rStyle w:val="IndexLink"/>
                <w:rtl w:val="true"/>
              </w:rPr>
              <w:t xml:space="preserve">- </w:t>
            </w:r>
            <w:r>
              <w:rPr>
                <w:rStyle w:val="IndexLink"/>
                <w:rtl w:val="true"/>
              </w:rPr>
              <w:t>التوحيد في الخالقية عند أهل الحديث</w:t>
            </w:r>
            <w:r>
              <w:rPr>
                <w:rStyle w:val="IndexLink"/>
                <w:rtl w:val="true"/>
              </w:rPr>
              <w:tab/>
            </w:r>
            <w:r>
              <w:rPr>
                <w:rStyle w:val="IndexLink"/>
              </w:rPr>
              <w:t>118</w:t>
            </w:r>
          </w:hyperlink>
        </w:p>
        <w:p>
          <w:pPr>
            <w:pStyle w:val="Contents3"/>
            <w:tabs>
              <w:tab w:val="clear" w:pos="8459"/>
              <w:tab w:val="right" w:pos="9026" w:leader="dot"/>
            </w:tabs>
            <w:rPr/>
          </w:pPr>
          <w:hyperlink w:anchor="__RefHeading___Toc1391115_1067777946">
            <w:r>
              <w:rPr>
                <w:webHidden/>
                <w:rStyle w:val="IndexLink"/>
              </w:rPr>
              <w:t>2</w:t>
            </w:r>
            <w:r>
              <w:rPr>
                <w:rStyle w:val="IndexLink"/>
                <w:rtl w:val="true"/>
              </w:rPr>
              <w:t xml:space="preserve">- </w:t>
            </w:r>
            <w:r>
              <w:rPr>
                <w:rStyle w:val="IndexLink"/>
                <w:rtl w:val="true"/>
              </w:rPr>
              <w:t>التوحيد في الخالقية عند الإماميّة</w:t>
            </w:r>
            <w:r>
              <w:rPr>
                <w:rStyle w:val="IndexLink"/>
                <w:rtl w:val="true"/>
              </w:rPr>
              <w:tab/>
            </w:r>
            <w:r>
              <w:rPr>
                <w:rStyle w:val="IndexLink"/>
              </w:rPr>
              <w:t>122</w:t>
            </w:r>
          </w:hyperlink>
        </w:p>
        <w:p>
          <w:pPr>
            <w:pStyle w:val="Contents3"/>
            <w:tabs>
              <w:tab w:val="clear" w:pos="8459"/>
              <w:tab w:val="right" w:pos="9026" w:leader="dot"/>
            </w:tabs>
            <w:rPr/>
          </w:pPr>
          <w:hyperlink w:anchor="__RefHeading___Toc1391117_1067777946">
            <w:r>
              <w:rPr>
                <w:webHidden/>
                <w:rStyle w:val="IndexLink"/>
              </w:rPr>
              <w:t>3</w:t>
            </w:r>
            <w:r>
              <w:rPr>
                <w:rStyle w:val="IndexLink"/>
                <w:rtl w:val="true"/>
              </w:rPr>
              <w:t xml:space="preserve">- </w:t>
            </w:r>
            <w:r>
              <w:rPr>
                <w:rStyle w:val="IndexLink"/>
                <w:rtl w:val="true"/>
              </w:rPr>
              <w:t>مضاعفات حصر الخالقية في الله على ضوء التفسير الأشعري</w:t>
            </w:r>
            <w:r>
              <w:rPr>
                <w:rStyle w:val="IndexLink"/>
                <w:rtl w:val="true"/>
              </w:rPr>
              <w:tab/>
            </w:r>
            <w:r>
              <w:rPr>
                <w:rStyle w:val="IndexLink"/>
              </w:rPr>
              <w:t>127</w:t>
            </w:r>
          </w:hyperlink>
        </w:p>
        <w:p>
          <w:pPr>
            <w:pStyle w:val="Contents4"/>
            <w:tabs>
              <w:tab w:val="clear" w:pos="8176"/>
              <w:tab w:val="right" w:pos="9026" w:leader="dot"/>
            </w:tabs>
            <w:rPr/>
          </w:pPr>
          <w:hyperlink w:anchor="__RefHeading___Toc1391119_1067777946">
            <w:r>
              <w:rPr>
                <w:webHidden/>
                <w:rStyle w:val="IndexLink"/>
                <w:rtl w:val="true"/>
              </w:rPr>
              <w:t>اشارة</w:t>
            </w:r>
            <w:r>
              <w:rPr>
                <w:rStyle w:val="IndexLink"/>
                <w:rtl w:val="true"/>
              </w:rPr>
              <w:tab/>
            </w:r>
            <w:r>
              <w:rPr>
                <w:rStyle w:val="IndexLink"/>
              </w:rPr>
              <w:t>127</w:t>
            </w:r>
          </w:hyperlink>
        </w:p>
        <w:p>
          <w:pPr>
            <w:pStyle w:val="Contents4"/>
            <w:tabs>
              <w:tab w:val="clear" w:pos="8176"/>
              <w:tab w:val="right" w:pos="9026" w:leader="dot"/>
            </w:tabs>
            <w:rPr/>
          </w:pPr>
          <w:hyperlink w:anchor="__RefHeading___Toc1391121_1067777946">
            <w:r>
              <w:rPr>
                <w:webHidden/>
                <w:rStyle w:val="IndexLink"/>
                <w:rtl w:val="true"/>
              </w:rPr>
              <w:t xml:space="preserve">الأُولى </w:t>
            </w:r>
            <w:r>
              <w:rPr>
                <w:rStyle w:val="IndexLink"/>
                <w:rtl w:val="true"/>
              </w:rPr>
              <w:t xml:space="preserve">: </w:t>
            </w:r>
            <w:r>
              <w:rPr>
                <w:rStyle w:val="IndexLink"/>
                <w:rtl w:val="true"/>
              </w:rPr>
              <w:t>تصريح القرآن بتأثير العلل الطبيعية</w:t>
            </w:r>
            <w:r>
              <w:rPr>
                <w:rStyle w:val="IndexLink"/>
                <w:rtl w:val="true"/>
              </w:rPr>
              <w:tab/>
            </w:r>
            <w:r>
              <w:rPr>
                <w:rStyle w:val="IndexLink"/>
              </w:rPr>
              <w:t>127</w:t>
            </w:r>
          </w:hyperlink>
        </w:p>
        <w:p>
          <w:pPr>
            <w:pStyle w:val="Contents4"/>
            <w:tabs>
              <w:tab w:val="clear" w:pos="8176"/>
              <w:tab w:val="right" w:pos="9026" w:leader="dot"/>
            </w:tabs>
            <w:rPr/>
          </w:pPr>
          <w:hyperlink w:anchor="__RefHeading___Toc1391123_1067777946">
            <w:r>
              <w:rPr>
                <w:webHidden/>
                <w:rStyle w:val="IndexLink"/>
                <w:rtl w:val="true"/>
              </w:rPr>
              <w:t xml:space="preserve">الثانية </w:t>
            </w:r>
            <w:r>
              <w:rPr>
                <w:rStyle w:val="IndexLink"/>
                <w:rtl w:val="true"/>
              </w:rPr>
              <w:t xml:space="preserve">: </w:t>
            </w:r>
            <w:r>
              <w:rPr>
                <w:rStyle w:val="IndexLink"/>
                <w:rtl w:val="true"/>
              </w:rPr>
              <w:t>انتفاء الغاية من إيجاد القدرة في الإنسان</w:t>
            </w:r>
            <w:r>
              <w:rPr>
                <w:rStyle w:val="IndexLink"/>
                <w:rtl w:val="true"/>
              </w:rPr>
              <w:tab/>
            </w:r>
            <w:r>
              <w:rPr>
                <w:rStyle w:val="IndexLink"/>
              </w:rPr>
              <w:t>130</w:t>
            </w:r>
          </w:hyperlink>
        </w:p>
        <w:p>
          <w:pPr>
            <w:pStyle w:val="Contents4"/>
            <w:tabs>
              <w:tab w:val="clear" w:pos="8176"/>
              <w:tab w:val="right" w:pos="9026" w:leader="dot"/>
            </w:tabs>
            <w:rPr/>
          </w:pPr>
          <w:hyperlink w:anchor="__RefHeading___Toc1391125_1067777946">
            <w:r>
              <w:rPr>
                <w:webHidden/>
                <w:rStyle w:val="IndexLink"/>
                <w:rtl w:val="true"/>
              </w:rPr>
              <w:t xml:space="preserve">الثالثة </w:t>
            </w:r>
            <w:r>
              <w:rPr>
                <w:rStyle w:val="IndexLink"/>
                <w:rtl w:val="true"/>
              </w:rPr>
              <w:t xml:space="preserve">: </w:t>
            </w:r>
            <w:r>
              <w:rPr>
                <w:rStyle w:val="IndexLink"/>
                <w:rtl w:val="true"/>
              </w:rPr>
              <w:t>كلّ فاعل مسئول عن فعله</w:t>
            </w:r>
            <w:r>
              <w:rPr>
                <w:rStyle w:val="IndexLink"/>
                <w:rtl w:val="true"/>
              </w:rPr>
              <w:tab/>
            </w:r>
            <w:r>
              <w:rPr>
                <w:rStyle w:val="IndexLink"/>
              </w:rPr>
              <w:t>132</w:t>
            </w:r>
          </w:hyperlink>
        </w:p>
        <w:p>
          <w:pPr>
            <w:pStyle w:val="Contents3"/>
            <w:tabs>
              <w:tab w:val="clear" w:pos="8459"/>
              <w:tab w:val="right" w:pos="9026" w:leader="dot"/>
            </w:tabs>
            <w:rPr/>
          </w:pPr>
          <w:hyperlink w:anchor="__RefHeading___Toc1391127_1067777946">
            <w:r>
              <w:rPr>
                <w:webHidden/>
                <w:rStyle w:val="IndexLink"/>
              </w:rPr>
              <w:t>4</w:t>
            </w:r>
            <w:r>
              <w:rPr>
                <w:rStyle w:val="IndexLink"/>
                <w:rtl w:val="true"/>
              </w:rPr>
              <w:t xml:space="preserve">- </w:t>
            </w:r>
            <w:r>
              <w:rPr>
                <w:rStyle w:val="IndexLink"/>
                <w:rtl w:val="true"/>
              </w:rPr>
              <w:t>نظرية الكسب بين التفسير ، والتكامل ، والإبطال</w:t>
            </w:r>
            <w:r>
              <w:rPr>
                <w:rStyle w:val="IndexLink"/>
                <w:rtl w:val="true"/>
              </w:rPr>
              <w:tab/>
            </w:r>
            <w:r>
              <w:rPr>
                <w:rStyle w:val="IndexLink"/>
              </w:rPr>
              <w:t>135</w:t>
            </w:r>
          </w:hyperlink>
        </w:p>
        <w:p>
          <w:pPr>
            <w:pStyle w:val="Contents4"/>
            <w:tabs>
              <w:tab w:val="clear" w:pos="8176"/>
              <w:tab w:val="right" w:pos="9026" w:leader="dot"/>
            </w:tabs>
            <w:rPr/>
          </w:pPr>
          <w:hyperlink w:anchor="__RefHeading___Toc1391129_1067777946">
            <w:r>
              <w:rPr>
                <w:webHidden/>
                <w:rStyle w:val="IndexLink"/>
                <w:rtl w:val="true"/>
              </w:rPr>
              <w:t>اشارة</w:t>
            </w:r>
            <w:r>
              <w:rPr>
                <w:rStyle w:val="IndexLink"/>
                <w:rtl w:val="true"/>
              </w:rPr>
              <w:tab/>
            </w:r>
            <w:r>
              <w:rPr>
                <w:rStyle w:val="IndexLink"/>
              </w:rPr>
              <w:t>135</w:t>
            </w:r>
          </w:hyperlink>
        </w:p>
        <w:p>
          <w:pPr>
            <w:pStyle w:val="Contents4"/>
            <w:tabs>
              <w:tab w:val="clear" w:pos="8176"/>
              <w:tab w:val="right" w:pos="9026" w:leader="dot"/>
            </w:tabs>
            <w:rPr/>
          </w:pPr>
          <w:hyperlink w:anchor="__RefHeading___Toc1391131_1067777946">
            <w:r>
              <w:rPr>
                <w:webHidden/>
                <w:rStyle w:val="IndexLink"/>
                <w:rtl w:val="true"/>
              </w:rPr>
              <w:t>المرحلة الأُولى</w:t>
            </w:r>
            <w:r>
              <w:rPr>
                <w:rStyle w:val="IndexLink"/>
                <w:rtl w:val="true"/>
              </w:rPr>
              <w:t xml:space="preserve">: </w:t>
            </w:r>
            <w:r>
              <w:rPr>
                <w:rStyle w:val="IndexLink"/>
                <w:rtl w:val="true"/>
              </w:rPr>
              <w:t>في تبيين النظرية وتفسيرها</w:t>
            </w:r>
            <w:r>
              <w:rPr>
                <w:rStyle w:val="IndexLink"/>
                <w:rtl w:val="true"/>
              </w:rPr>
              <w:tab/>
            </w:r>
            <w:r>
              <w:rPr>
                <w:rStyle w:val="IndexLink"/>
              </w:rPr>
              <w:t>137</w:t>
            </w:r>
          </w:hyperlink>
        </w:p>
        <w:p>
          <w:pPr>
            <w:pStyle w:val="Contents5"/>
            <w:tabs>
              <w:tab w:val="clear" w:pos="7892"/>
              <w:tab w:val="right" w:pos="9026" w:leader="dot"/>
            </w:tabs>
            <w:rPr/>
          </w:pPr>
          <w:hyperlink w:anchor="__RefHeading___Toc1391133_1067777946">
            <w:r>
              <w:rPr>
                <w:webHidden/>
                <w:rStyle w:val="IndexLink"/>
                <w:rtl w:val="true"/>
              </w:rPr>
              <w:t>اشارة</w:t>
            </w:r>
            <w:r>
              <w:rPr>
                <w:rStyle w:val="IndexLink"/>
                <w:rtl w:val="true"/>
              </w:rPr>
              <w:tab/>
            </w:r>
            <w:r>
              <w:rPr>
                <w:rStyle w:val="IndexLink"/>
              </w:rPr>
              <w:t>137</w:t>
            </w:r>
          </w:hyperlink>
        </w:p>
        <w:p>
          <w:pPr>
            <w:pStyle w:val="Contents5"/>
            <w:tabs>
              <w:tab w:val="clear" w:pos="7892"/>
              <w:tab w:val="right" w:pos="9026" w:leader="dot"/>
            </w:tabs>
            <w:rPr/>
          </w:pPr>
          <w:hyperlink w:anchor="__RefHeading___Toc1391135_1067777946">
            <w:r>
              <w:rPr>
                <w:webHidden/>
                <w:rStyle w:val="IndexLink"/>
                <w:rtl w:val="true"/>
              </w:rPr>
              <w:t>مرحلة التبيين</w:t>
            </w:r>
            <w:r>
              <w:rPr>
                <w:rStyle w:val="IndexLink"/>
                <w:rtl w:val="true"/>
              </w:rPr>
              <w:tab/>
            </w:r>
            <w:r>
              <w:rPr>
                <w:rStyle w:val="IndexLink"/>
              </w:rPr>
              <w:t>138</w:t>
            </w:r>
          </w:hyperlink>
        </w:p>
        <w:p>
          <w:pPr>
            <w:pStyle w:val="Contents5"/>
            <w:tabs>
              <w:tab w:val="clear" w:pos="7892"/>
              <w:tab w:val="right" w:pos="9026" w:leader="dot"/>
            </w:tabs>
            <w:rPr/>
          </w:pPr>
          <w:hyperlink w:anchor="__RefHeading___Toc1391137_1067777946">
            <w:r>
              <w:rPr>
                <w:webHidden/>
                <w:rStyle w:val="IndexLink"/>
              </w:rPr>
              <w:t>1</w:t>
            </w:r>
            <w:r>
              <w:rPr>
                <w:rStyle w:val="IndexLink"/>
                <w:rtl w:val="true"/>
              </w:rPr>
              <w:t xml:space="preserve">. </w:t>
            </w:r>
            <w:r>
              <w:rPr>
                <w:rStyle w:val="IndexLink"/>
                <w:rtl w:val="true"/>
              </w:rPr>
              <w:t>الكسب صدور الفعل من الله ، عند حدوث القدرة في العبد</w:t>
            </w:r>
            <w:r>
              <w:rPr>
                <w:rStyle w:val="IndexLink"/>
                <w:rtl w:val="true"/>
              </w:rPr>
              <w:tab/>
            </w:r>
            <w:r>
              <w:rPr>
                <w:rStyle w:val="IndexLink"/>
              </w:rPr>
              <w:t>138</w:t>
            </w:r>
          </w:hyperlink>
        </w:p>
        <w:p>
          <w:pPr>
            <w:pStyle w:val="Contents5"/>
            <w:tabs>
              <w:tab w:val="clear" w:pos="7892"/>
              <w:tab w:val="right" w:pos="9026" w:leader="dot"/>
            </w:tabs>
            <w:rPr/>
          </w:pPr>
          <w:hyperlink w:anchor="__RefHeading___Toc1391139_1067777946">
            <w:r>
              <w:rPr>
                <w:webHidden/>
                <w:rStyle w:val="IndexLink"/>
              </w:rPr>
              <w:t>2</w:t>
            </w:r>
            <w:r>
              <w:rPr>
                <w:rStyle w:val="IndexLink"/>
                <w:rtl w:val="true"/>
              </w:rPr>
              <w:t xml:space="preserve">. </w:t>
            </w:r>
            <w:r>
              <w:rPr>
                <w:rStyle w:val="IndexLink"/>
                <w:rtl w:val="true"/>
              </w:rPr>
              <w:t xml:space="preserve">الكسب </w:t>
            </w:r>
            <w:r>
              <w:rPr>
                <w:rStyle w:val="IndexLink"/>
                <w:rtl w:val="true"/>
              </w:rPr>
              <w:t xml:space="preserve">: </w:t>
            </w:r>
            <w:r>
              <w:rPr>
                <w:rStyle w:val="IndexLink"/>
                <w:rtl w:val="true"/>
              </w:rPr>
              <w:t>توجه قدرة العبد صوب الفعل عند صدوره من الله</w:t>
            </w:r>
            <w:r>
              <w:rPr>
                <w:rStyle w:val="IndexLink"/>
                <w:rtl w:val="true"/>
              </w:rPr>
              <w:tab/>
            </w:r>
            <w:r>
              <w:rPr>
                <w:rStyle w:val="IndexLink"/>
              </w:rPr>
              <w:t>141</w:t>
            </w:r>
          </w:hyperlink>
        </w:p>
        <w:p>
          <w:pPr>
            <w:pStyle w:val="Contents4"/>
            <w:tabs>
              <w:tab w:val="clear" w:pos="8176"/>
              <w:tab w:val="right" w:pos="9026" w:leader="dot"/>
            </w:tabs>
            <w:rPr/>
          </w:pPr>
          <w:hyperlink w:anchor="__RefHeading___Toc1391141_1067777946">
            <w:r>
              <w:rPr>
                <w:webHidden/>
                <w:rStyle w:val="IndexLink"/>
                <w:rtl w:val="true"/>
              </w:rPr>
              <w:t>المرحلة الثانية</w:t>
            </w:r>
            <w:r>
              <w:rPr>
                <w:rStyle w:val="IndexLink"/>
                <w:rtl w:val="true"/>
              </w:rPr>
              <w:t xml:space="preserve">: </w:t>
            </w:r>
            <w:r>
              <w:rPr>
                <w:rStyle w:val="IndexLink"/>
                <w:rtl w:val="true"/>
              </w:rPr>
              <w:t>مرحلة التطوير والتكامل</w:t>
            </w:r>
            <w:r>
              <w:rPr>
                <w:rStyle w:val="IndexLink"/>
                <w:rtl w:val="true"/>
              </w:rPr>
              <w:tab/>
            </w:r>
            <w:r>
              <w:rPr>
                <w:rStyle w:val="IndexLink"/>
              </w:rPr>
              <w:t>143</w:t>
            </w:r>
          </w:hyperlink>
        </w:p>
        <w:p>
          <w:pPr>
            <w:pStyle w:val="Contents5"/>
            <w:tabs>
              <w:tab w:val="clear" w:pos="7892"/>
              <w:tab w:val="right" w:pos="9026" w:leader="dot"/>
            </w:tabs>
            <w:rPr/>
          </w:pPr>
          <w:hyperlink w:anchor="__RefHeading___Toc1391143_1067777946">
            <w:r>
              <w:rPr>
                <w:webHidden/>
                <w:rStyle w:val="IndexLink"/>
                <w:rtl w:val="true"/>
              </w:rPr>
              <w:t>اشارة</w:t>
            </w:r>
            <w:r>
              <w:rPr>
                <w:rStyle w:val="IndexLink"/>
                <w:rtl w:val="true"/>
              </w:rPr>
              <w:tab/>
            </w:r>
            <w:r>
              <w:rPr>
                <w:rStyle w:val="IndexLink"/>
              </w:rPr>
              <w:t>143</w:t>
            </w:r>
          </w:hyperlink>
        </w:p>
        <w:p>
          <w:pPr>
            <w:pStyle w:val="Contents5"/>
            <w:tabs>
              <w:tab w:val="clear" w:pos="7892"/>
              <w:tab w:val="right" w:pos="9026" w:leader="dot"/>
            </w:tabs>
            <w:rPr/>
          </w:pPr>
          <w:hyperlink w:anchor="__RefHeading___Toc1391145_1067777946">
            <w:r>
              <w:rPr>
                <w:webHidden/>
                <w:rStyle w:val="IndexLink"/>
              </w:rPr>
              <w:t>2</w:t>
            </w:r>
            <w:r>
              <w:rPr>
                <w:rStyle w:val="IndexLink"/>
                <w:rtl w:val="true"/>
              </w:rPr>
              <w:t xml:space="preserve">. </w:t>
            </w:r>
            <w:r>
              <w:rPr>
                <w:rStyle w:val="IndexLink"/>
                <w:rtl w:val="true"/>
              </w:rPr>
              <w:t xml:space="preserve">كمال الدين بن همام </w:t>
            </w:r>
            <w:r>
              <w:rPr>
                <w:rStyle w:val="IndexLink"/>
                <w:rtl w:val="true"/>
              </w:rPr>
              <w:t>(</w:t>
            </w:r>
            <w:r>
              <w:rPr>
                <w:rStyle w:val="IndexLink"/>
              </w:rPr>
              <w:t>861789</w:t>
            </w:r>
            <w:r>
              <w:rPr>
                <w:rStyle w:val="IndexLink"/>
                <w:rtl w:val="true"/>
              </w:rPr>
              <w:t xml:space="preserve"> </w:t>
            </w:r>
            <w:r>
              <w:rPr>
                <w:rStyle w:val="IndexLink"/>
                <w:rtl w:val="true"/>
              </w:rPr>
              <w:t>ه</w:t>
            </w:r>
            <w:r>
              <w:rPr>
                <w:rStyle w:val="IndexLink"/>
                <w:rtl w:val="true"/>
              </w:rPr>
              <w:t>)</w:t>
              <w:tab/>
            </w:r>
            <w:r>
              <w:rPr>
                <w:rStyle w:val="IndexLink"/>
              </w:rPr>
              <w:t>147</w:t>
            </w:r>
          </w:hyperlink>
        </w:p>
        <w:p>
          <w:pPr>
            <w:pStyle w:val="Contents5"/>
            <w:tabs>
              <w:tab w:val="clear" w:pos="7892"/>
              <w:tab w:val="right" w:pos="9026" w:leader="dot"/>
            </w:tabs>
            <w:rPr/>
          </w:pPr>
          <w:hyperlink w:anchor="__RefHeading___Toc1391147_1067777946">
            <w:r>
              <w:rPr>
                <w:webHidden/>
                <w:rStyle w:val="IndexLink"/>
              </w:rPr>
              <w:t>3</w:t>
            </w:r>
            <w:r>
              <w:rPr>
                <w:rStyle w:val="IndexLink"/>
                <w:rtl w:val="true"/>
              </w:rPr>
              <w:t xml:space="preserve">. </w:t>
            </w:r>
            <w:r>
              <w:rPr>
                <w:rStyle w:val="IndexLink"/>
                <w:rtl w:val="true"/>
              </w:rPr>
              <w:t xml:space="preserve">ابن الخطيب </w:t>
            </w:r>
            <w:r>
              <w:rPr>
                <w:rStyle w:val="IndexLink"/>
                <w:rtl w:val="true"/>
              </w:rPr>
              <w:t>«</w:t>
            </w:r>
            <w:r>
              <w:rPr>
                <w:rStyle w:val="IndexLink"/>
                <w:rtl w:val="true"/>
              </w:rPr>
              <w:t>قدرة الله مانعة عن قدرة العبد</w:t>
            </w:r>
            <w:r>
              <w:rPr>
                <w:rStyle w:val="IndexLink"/>
                <w:rtl w:val="true"/>
              </w:rPr>
              <w:t>»</w:t>
              <w:tab/>
            </w:r>
            <w:r>
              <w:rPr>
                <w:rStyle w:val="IndexLink"/>
              </w:rPr>
              <w:t>149</w:t>
            </w:r>
          </w:hyperlink>
        </w:p>
        <w:p>
          <w:pPr>
            <w:pStyle w:val="Contents3"/>
            <w:tabs>
              <w:tab w:val="clear" w:pos="8459"/>
              <w:tab w:val="right" w:pos="9026" w:leader="dot"/>
            </w:tabs>
            <w:rPr/>
          </w:pPr>
          <w:hyperlink w:anchor="__RefHeading___Toc1391149_1067777946">
            <w:r>
              <w:rPr>
                <w:webHidden/>
                <w:rStyle w:val="IndexLink"/>
                <w:rtl w:val="true"/>
              </w:rPr>
              <w:t>المرحلة الثالثة</w:t>
            </w:r>
            <w:r>
              <w:rPr>
                <w:rStyle w:val="IndexLink"/>
                <w:rtl w:val="true"/>
              </w:rPr>
              <w:t xml:space="preserve">: </w:t>
            </w:r>
            <w:r>
              <w:rPr>
                <w:rStyle w:val="IndexLink"/>
                <w:rtl w:val="true"/>
              </w:rPr>
              <w:t>مرحلة الإنكار والإبطال</w:t>
            </w:r>
            <w:r>
              <w:rPr>
                <w:rStyle w:val="IndexLink"/>
                <w:rtl w:val="true"/>
              </w:rPr>
              <w:tab/>
            </w:r>
            <w:r>
              <w:rPr>
                <w:rStyle w:val="IndexLink"/>
              </w:rPr>
              <w:t>152</w:t>
            </w:r>
          </w:hyperlink>
        </w:p>
        <w:p>
          <w:pPr>
            <w:pStyle w:val="Contents4"/>
            <w:tabs>
              <w:tab w:val="clear" w:pos="8176"/>
              <w:tab w:val="right" w:pos="9026" w:leader="dot"/>
            </w:tabs>
            <w:rPr/>
          </w:pPr>
          <w:hyperlink w:anchor="__RefHeading___Toc1391151_1067777946">
            <w:r>
              <w:rPr>
                <w:webHidden/>
                <w:rStyle w:val="IndexLink"/>
                <w:rtl w:val="true"/>
              </w:rPr>
              <w:t>اشارة</w:t>
            </w:r>
            <w:r>
              <w:rPr>
                <w:rStyle w:val="IndexLink"/>
                <w:rtl w:val="true"/>
              </w:rPr>
              <w:tab/>
            </w:r>
            <w:r>
              <w:rPr>
                <w:rStyle w:val="IndexLink"/>
              </w:rPr>
              <w:t>152</w:t>
            </w:r>
          </w:hyperlink>
        </w:p>
        <w:p>
          <w:pPr>
            <w:pStyle w:val="Contents4"/>
            <w:tabs>
              <w:tab w:val="clear" w:pos="8176"/>
              <w:tab w:val="right" w:pos="9026" w:leader="dot"/>
            </w:tabs>
            <w:rPr/>
          </w:pPr>
          <w:hyperlink w:anchor="__RefHeading___Toc1391153_1067777946">
            <w:r>
              <w:rPr>
                <w:webHidden/>
                <w:rStyle w:val="IndexLink"/>
              </w:rPr>
              <w:t>1</w:t>
            </w:r>
            <w:r>
              <w:rPr>
                <w:rStyle w:val="IndexLink"/>
                <w:rtl w:val="true"/>
              </w:rPr>
              <w:t xml:space="preserve">. </w:t>
            </w:r>
            <w:r>
              <w:rPr>
                <w:rStyle w:val="IndexLink"/>
                <w:rtl w:val="true"/>
              </w:rPr>
              <w:t xml:space="preserve">إمام الحرمين الجويني </w:t>
            </w:r>
            <w:r>
              <w:rPr>
                <w:rStyle w:val="IndexLink"/>
                <w:rtl w:val="true"/>
              </w:rPr>
              <w:t>(</w:t>
            </w:r>
            <w:r>
              <w:rPr>
                <w:rStyle w:val="IndexLink"/>
                <w:rtl w:val="true"/>
              </w:rPr>
              <w:t xml:space="preserve">المتوفّى </w:t>
            </w:r>
            <w:r>
              <w:rPr>
                <w:rStyle w:val="IndexLink"/>
              </w:rPr>
              <w:t>478</w:t>
            </w:r>
            <w:r>
              <w:rPr>
                <w:rStyle w:val="IndexLink"/>
                <w:rtl w:val="true"/>
              </w:rPr>
              <w:t xml:space="preserve"> </w:t>
            </w:r>
            <w:r>
              <w:rPr>
                <w:rStyle w:val="IndexLink"/>
                <w:rtl w:val="true"/>
              </w:rPr>
              <w:t>ه</w:t>
            </w:r>
            <w:r>
              <w:rPr>
                <w:rStyle w:val="IndexLink"/>
                <w:rtl w:val="true"/>
              </w:rPr>
              <w:t xml:space="preserve">) </w:t>
            </w:r>
            <w:r>
              <w:rPr>
                <w:rStyle w:val="IndexLink"/>
                <w:rtl w:val="true"/>
              </w:rPr>
              <w:t>نسبة الفعل إلى قدرة العبد حقيقة</w:t>
            </w:r>
            <w:r>
              <w:rPr>
                <w:rStyle w:val="IndexLink"/>
                <w:rtl w:val="true"/>
              </w:rPr>
              <w:tab/>
            </w:r>
            <w:r>
              <w:rPr>
                <w:rStyle w:val="IndexLink"/>
              </w:rPr>
              <w:t>152</w:t>
            </w:r>
          </w:hyperlink>
        </w:p>
        <w:p>
          <w:pPr>
            <w:pStyle w:val="Contents4"/>
            <w:tabs>
              <w:tab w:val="clear" w:pos="8176"/>
              <w:tab w:val="right" w:pos="9026" w:leader="dot"/>
            </w:tabs>
            <w:rPr/>
          </w:pPr>
          <w:hyperlink w:anchor="__RefHeading___Toc1391155_1067777946">
            <w:r>
              <w:rPr>
                <w:webHidden/>
                <w:rStyle w:val="IndexLink"/>
              </w:rPr>
              <w:t>2</w:t>
            </w:r>
            <w:r>
              <w:rPr>
                <w:rStyle w:val="IndexLink"/>
                <w:rtl w:val="true"/>
              </w:rPr>
              <w:t xml:space="preserve">. </w:t>
            </w:r>
            <w:r>
              <w:rPr>
                <w:rStyle w:val="IndexLink"/>
                <w:rtl w:val="true"/>
              </w:rPr>
              <w:t xml:space="preserve">أحمد بن تيمية </w:t>
            </w:r>
            <w:r>
              <w:rPr>
                <w:rStyle w:val="IndexLink"/>
                <w:rtl w:val="true"/>
              </w:rPr>
              <w:t>(</w:t>
            </w:r>
            <w:r>
              <w:rPr>
                <w:rStyle w:val="IndexLink"/>
              </w:rPr>
              <w:t>662</w:t>
            </w:r>
            <w:r>
              <w:rPr>
                <w:rStyle w:val="IndexLink"/>
                <w:rtl w:val="true"/>
              </w:rPr>
              <w:t xml:space="preserve"> - </w:t>
            </w:r>
            <w:r>
              <w:rPr>
                <w:rStyle w:val="IndexLink"/>
              </w:rPr>
              <w:t>728</w:t>
            </w:r>
            <w:r>
              <w:rPr>
                <w:rStyle w:val="IndexLink"/>
                <w:rtl w:val="true"/>
              </w:rPr>
              <w:t xml:space="preserve"> </w:t>
            </w:r>
            <w:r>
              <w:rPr>
                <w:rStyle w:val="IndexLink"/>
                <w:rtl w:val="true"/>
              </w:rPr>
              <w:t>ه</w:t>
            </w:r>
            <w:r>
              <w:rPr>
                <w:rStyle w:val="IndexLink"/>
                <w:rtl w:val="true"/>
              </w:rPr>
              <w:t xml:space="preserve">) </w:t>
            </w:r>
            <w:r>
              <w:rPr>
                <w:rStyle w:val="IndexLink"/>
                <w:rtl w:val="true"/>
              </w:rPr>
              <w:t>يعترف بتأثر قدرة العبد</w:t>
            </w:r>
            <w:r>
              <w:rPr>
                <w:rStyle w:val="IndexLink"/>
                <w:rtl w:val="true"/>
              </w:rPr>
              <w:tab/>
            </w:r>
            <w:r>
              <w:rPr>
                <w:rStyle w:val="IndexLink"/>
              </w:rPr>
              <w:t>155</w:t>
            </w:r>
          </w:hyperlink>
        </w:p>
        <w:p>
          <w:pPr>
            <w:pStyle w:val="Contents4"/>
            <w:tabs>
              <w:tab w:val="clear" w:pos="8176"/>
              <w:tab w:val="right" w:pos="9026" w:leader="dot"/>
            </w:tabs>
            <w:rPr/>
          </w:pPr>
          <w:hyperlink w:anchor="__RefHeading___Toc1391157_1067777946">
            <w:r>
              <w:rPr>
                <w:webHidden/>
                <w:rStyle w:val="IndexLink"/>
              </w:rPr>
              <w:t>3</w:t>
            </w:r>
            <w:r>
              <w:rPr>
                <w:rStyle w:val="IndexLink"/>
                <w:rtl w:val="true"/>
              </w:rPr>
              <w:t xml:space="preserve">. </w:t>
            </w:r>
            <w:r>
              <w:rPr>
                <w:rStyle w:val="IndexLink"/>
                <w:rtl w:val="true"/>
              </w:rPr>
              <w:t xml:space="preserve">نظرية الشعراني </w:t>
            </w:r>
            <w:r>
              <w:rPr>
                <w:rStyle w:val="IndexLink"/>
                <w:rtl w:val="true"/>
              </w:rPr>
              <w:t>(</w:t>
            </w:r>
            <w:r>
              <w:rPr>
                <w:rStyle w:val="IndexLink"/>
              </w:rPr>
              <w:t>973911</w:t>
            </w:r>
            <w:r>
              <w:rPr>
                <w:rStyle w:val="IndexLink"/>
                <w:rtl w:val="true"/>
              </w:rPr>
              <w:t xml:space="preserve"> </w:t>
            </w:r>
            <w:r>
              <w:rPr>
                <w:rStyle w:val="IndexLink"/>
                <w:rtl w:val="true"/>
              </w:rPr>
              <w:t>ه</w:t>
            </w:r>
            <w:r>
              <w:rPr>
                <w:rStyle w:val="IndexLink"/>
                <w:rtl w:val="true"/>
              </w:rPr>
              <w:t xml:space="preserve">) </w:t>
            </w:r>
            <w:r>
              <w:rPr>
                <w:rStyle w:val="IndexLink"/>
                <w:rtl w:val="true"/>
              </w:rPr>
              <w:t>وتأثير قدرة العبد في فعله</w:t>
            </w:r>
            <w:r>
              <w:rPr>
                <w:rStyle w:val="IndexLink"/>
                <w:rtl w:val="true"/>
              </w:rPr>
              <w:tab/>
            </w:r>
            <w:r>
              <w:rPr>
                <w:rStyle w:val="IndexLink"/>
              </w:rPr>
              <w:t>156</w:t>
            </w:r>
          </w:hyperlink>
        </w:p>
        <w:p>
          <w:pPr>
            <w:pStyle w:val="Contents4"/>
            <w:tabs>
              <w:tab w:val="clear" w:pos="8176"/>
              <w:tab w:val="right" w:pos="9026" w:leader="dot"/>
            </w:tabs>
            <w:rPr/>
          </w:pPr>
          <w:hyperlink w:anchor="__RefHeading___Toc1391159_1067777946">
            <w:r>
              <w:rPr>
                <w:webHidden/>
                <w:rStyle w:val="IndexLink"/>
              </w:rPr>
              <w:t>4</w:t>
            </w:r>
            <w:r>
              <w:rPr>
                <w:rStyle w:val="IndexLink"/>
                <w:rtl w:val="true"/>
              </w:rPr>
              <w:t xml:space="preserve">. </w:t>
            </w:r>
            <w:r>
              <w:rPr>
                <w:rStyle w:val="IndexLink"/>
                <w:rtl w:val="true"/>
              </w:rPr>
              <w:t xml:space="preserve">الشيخ عبده </w:t>
            </w:r>
            <w:r>
              <w:rPr>
                <w:rStyle w:val="IndexLink"/>
                <w:rtl w:val="true"/>
              </w:rPr>
              <w:t>(</w:t>
            </w:r>
            <w:r>
              <w:rPr>
                <w:rStyle w:val="IndexLink"/>
              </w:rPr>
              <w:t>13231266</w:t>
            </w:r>
            <w:r>
              <w:rPr>
                <w:rStyle w:val="IndexLink"/>
                <w:rtl w:val="true"/>
              </w:rPr>
              <w:t xml:space="preserve"> </w:t>
            </w:r>
            <w:r>
              <w:rPr>
                <w:rStyle w:val="IndexLink"/>
                <w:rtl w:val="true"/>
              </w:rPr>
              <w:t>ه</w:t>
            </w:r>
            <w:r>
              <w:rPr>
                <w:rStyle w:val="IndexLink"/>
                <w:rtl w:val="true"/>
              </w:rPr>
              <w:t xml:space="preserve">) </w:t>
            </w:r>
            <w:r>
              <w:rPr>
                <w:rStyle w:val="IndexLink"/>
                <w:rtl w:val="true"/>
              </w:rPr>
              <w:t>، وتأثير قدرة العبد في فعله</w:t>
            </w:r>
            <w:r>
              <w:rPr>
                <w:rStyle w:val="IndexLink"/>
                <w:rtl w:val="true"/>
              </w:rPr>
              <w:tab/>
            </w:r>
            <w:r>
              <w:rPr>
                <w:rStyle w:val="IndexLink"/>
              </w:rPr>
              <w:t>158</w:t>
            </w:r>
          </w:hyperlink>
        </w:p>
        <w:p>
          <w:pPr>
            <w:pStyle w:val="Contents4"/>
            <w:tabs>
              <w:tab w:val="clear" w:pos="8176"/>
              <w:tab w:val="right" w:pos="9026" w:leader="dot"/>
            </w:tabs>
            <w:rPr/>
          </w:pPr>
          <w:hyperlink w:anchor="__RefHeading___Toc1391161_1067777946">
            <w:r>
              <w:rPr>
                <w:webHidden/>
                <w:rStyle w:val="IndexLink"/>
              </w:rPr>
              <w:t>5</w:t>
            </w:r>
            <w:r>
              <w:rPr>
                <w:rStyle w:val="IndexLink"/>
                <w:rtl w:val="true"/>
              </w:rPr>
              <w:t xml:space="preserve">. </w:t>
            </w:r>
            <w:r>
              <w:rPr>
                <w:rStyle w:val="IndexLink"/>
                <w:rtl w:val="true"/>
              </w:rPr>
              <w:t>الزرقاني والجمع بين النصوص</w:t>
            </w:r>
            <w:r>
              <w:rPr>
                <w:rStyle w:val="IndexLink"/>
                <w:rtl w:val="true"/>
              </w:rPr>
              <w:tab/>
            </w:r>
            <w:r>
              <w:rPr>
                <w:rStyle w:val="IndexLink"/>
              </w:rPr>
              <w:t>161</w:t>
            </w:r>
          </w:hyperlink>
        </w:p>
        <w:p>
          <w:pPr>
            <w:pStyle w:val="Contents4"/>
            <w:tabs>
              <w:tab w:val="clear" w:pos="8176"/>
              <w:tab w:val="right" w:pos="9026" w:leader="dot"/>
            </w:tabs>
            <w:rPr/>
          </w:pPr>
          <w:hyperlink w:anchor="__RefHeading___Toc1391163_1067777946">
            <w:r>
              <w:rPr>
                <w:webHidden/>
                <w:rStyle w:val="IndexLink"/>
              </w:rPr>
              <w:t>6</w:t>
            </w:r>
            <w:r>
              <w:rPr>
                <w:rStyle w:val="IndexLink"/>
                <w:rtl w:val="true"/>
              </w:rPr>
              <w:t xml:space="preserve">. </w:t>
            </w:r>
            <w:r>
              <w:rPr>
                <w:rStyle w:val="IndexLink"/>
                <w:rtl w:val="true"/>
              </w:rPr>
              <w:t xml:space="preserve">الشيخ شلتوت </w:t>
            </w:r>
            <w:r>
              <w:rPr>
                <w:rStyle w:val="IndexLink"/>
                <w:rtl w:val="true"/>
              </w:rPr>
              <w:t>(</w:t>
            </w:r>
            <w:r>
              <w:rPr>
                <w:rStyle w:val="IndexLink"/>
              </w:rPr>
              <w:t>13831310</w:t>
            </w:r>
            <w:r>
              <w:rPr>
                <w:rStyle w:val="IndexLink"/>
                <w:rtl w:val="true"/>
              </w:rPr>
              <w:t xml:space="preserve"> </w:t>
            </w:r>
            <w:r>
              <w:rPr>
                <w:rStyle w:val="IndexLink"/>
                <w:rtl w:val="true"/>
              </w:rPr>
              <w:t>ه</w:t>
            </w:r>
            <w:r>
              <w:rPr>
                <w:rStyle w:val="IndexLink"/>
                <w:rtl w:val="true"/>
              </w:rPr>
              <w:t xml:space="preserve">) </w:t>
            </w:r>
            <w:r>
              <w:rPr>
                <w:rStyle w:val="IndexLink"/>
                <w:rtl w:val="true"/>
              </w:rPr>
              <w:t>العبد فاعل بإرادته وقدرته</w:t>
            </w:r>
            <w:r>
              <w:rPr>
                <w:rStyle w:val="IndexLink"/>
                <w:rtl w:val="true"/>
              </w:rPr>
              <w:tab/>
            </w:r>
            <w:r>
              <w:rPr>
                <w:rStyle w:val="IndexLink"/>
              </w:rPr>
              <w:t>163</w:t>
            </w:r>
          </w:hyperlink>
        </w:p>
        <w:p>
          <w:pPr>
            <w:pStyle w:val="Contents5"/>
            <w:tabs>
              <w:tab w:val="clear" w:pos="7892"/>
              <w:tab w:val="right" w:pos="9026" w:leader="dot"/>
            </w:tabs>
            <w:rPr/>
          </w:pPr>
          <w:hyperlink w:anchor="__RefHeading___Toc1391165_1067777946">
            <w:r>
              <w:rPr>
                <w:webHidden/>
                <w:rStyle w:val="IndexLink"/>
                <w:rtl w:val="true"/>
              </w:rPr>
              <w:t>اشارة</w:t>
            </w:r>
            <w:r>
              <w:rPr>
                <w:rStyle w:val="IndexLink"/>
                <w:rtl w:val="true"/>
              </w:rPr>
              <w:tab/>
            </w:r>
            <w:r>
              <w:rPr>
                <w:rStyle w:val="IndexLink"/>
              </w:rPr>
              <w:t>163</w:t>
            </w:r>
          </w:hyperlink>
        </w:p>
        <w:p>
          <w:pPr>
            <w:pStyle w:val="Contents5"/>
            <w:tabs>
              <w:tab w:val="clear" w:pos="7892"/>
              <w:tab w:val="right" w:pos="9026" w:leader="dot"/>
            </w:tabs>
            <w:rPr/>
          </w:pPr>
          <w:hyperlink w:anchor="__RefHeading___Toc1391167_1067777946">
            <w:r>
              <w:rPr>
                <w:webHidden/>
                <w:rStyle w:val="IndexLink"/>
                <w:rtl w:val="true"/>
              </w:rPr>
              <w:t>القضاء والقدر لا يستلزمان الجبر</w:t>
            </w:r>
            <w:r>
              <w:rPr>
                <w:rStyle w:val="IndexLink"/>
                <w:rtl w:val="true"/>
              </w:rPr>
              <w:tab/>
            </w:r>
            <w:r>
              <w:rPr>
                <w:rStyle w:val="IndexLink"/>
              </w:rPr>
              <w:t>164</w:t>
            </w:r>
          </w:hyperlink>
        </w:p>
        <w:p>
          <w:pPr>
            <w:pStyle w:val="Contents3"/>
            <w:tabs>
              <w:tab w:val="clear" w:pos="8459"/>
              <w:tab w:val="right" w:pos="9026" w:leader="dot"/>
            </w:tabs>
            <w:rPr/>
          </w:pPr>
          <w:hyperlink w:anchor="__RefHeading___Toc1391169_1067777946">
            <w:r>
              <w:rPr>
                <w:webHidden/>
                <w:rStyle w:val="IndexLink"/>
              </w:rPr>
              <w:t>5</w:t>
            </w:r>
            <w:r>
              <w:rPr>
                <w:rStyle w:val="IndexLink"/>
                <w:rtl w:val="true"/>
              </w:rPr>
              <w:t xml:space="preserve">- </w:t>
            </w:r>
            <w:r>
              <w:rPr>
                <w:rStyle w:val="IndexLink"/>
                <w:rtl w:val="true"/>
              </w:rPr>
              <w:t>خاتمة المطاف</w:t>
            </w:r>
            <w:r>
              <w:rPr>
                <w:rStyle w:val="IndexLink"/>
                <w:rtl w:val="true"/>
              </w:rPr>
              <w:tab/>
            </w:r>
            <w:r>
              <w:rPr>
                <w:rStyle w:val="IndexLink"/>
              </w:rPr>
              <w:t>167</w:t>
            </w:r>
          </w:hyperlink>
        </w:p>
        <w:p>
          <w:pPr>
            <w:pStyle w:val="Contents4"/>
            <w:tabs>
              <w:tab w:val="clear" w:pos="8176"/>
              <w:tab w:val="right" w:pos="9026" w:leader="dot"/>
            </w:tabs>
            <w:rPr/>
          </w:pPr>
          <w:hyperlink w:anchor="__RefHeading___Toc1391171_1067777946">
            <w:r>
              <w:rPr>
                <w:webHidden/>
                <w:rStyle w:val="IndexLink"/>
                <w:rtl w:val="true"/>
              </w:rPr>
              <w:t>اشارة</w:t>
            </w:r>
            <w:r>
              <w:rPr>
                <w:rStyle w:val="IndexLink"/>
                <w:rtl w:val="true"/>
              </w:rPr>
              <w:tab/>
            </w:r>
            <w:r>
              <w:rPr>
                <w:rStyle w:val="IndexLink"/>
              </w:rPr>
              <w:t>167</w:t>
            </w:r>
          </w:hyperlink>
        </w:p>
        <w:p>
          <w:pPr>
            <w:pStyle w:val="Contents4"/>
            <w:tabs>
              <w:tab w:val="clear" w:pos="8176"/>
              <w:tab w:val="right" w:pos="9026" w:leader="dot"/>
            </w:tabs>
            <w:rPr/>
          </w:pPr>
          <w:hyperlink w:anchor="__RefHeading___Toc1391173_1067777946">
            <w:r>
              <w:rPr>
                <w:webHidden/>
                <w:rStyle w:val="IndexLink"/>
                <w:rtl w:val="true"/>
              </w:rPr>
              <w:t>الأمر الأوّل</w:t>
            </w:r>
            <w:r>
              <w:rPr>
                <w:rStyle w:val="IndexLink"/>
                <w:rtl w:val="true"/>
              </w:rPr>
              <w:t xml:space="preserve">: </w:t>
            </w:r>
            <w:r>
              <w:rPr>
                <w:rStyle w:val="IndexLink"/>
                <w:rtl w:val="true"/>
              </w:rPr>
              <w:t>نسبة فعل العبد إلى الله فوق التسبيب</w:t>
            </w:r>
            <w:r>
              <w:rPr>
                <w:rStyle w:val="IndexLink"/>
                <w:rtl w:val="true"/>
              </w:rPr>
              <w:tab/>
            </w:r>
            <w:r>
              <w:rPr>
                <w:rStyle w:val="IndexLink"/>
              </w:rPr>
              <w:t>167</w:t>
            </w:r>
          </w:hyperlink>
        </w:p>
        <w:p>
          <w:pPr>
            <w:pStyle w:val="Contents4"/>
            <w:tabs>
              <w:tab w:val="clear" w:pos="8176"/>
              <w:tab w:val="right" w:pos="9026" w:leader="dot"/>
            </w:tabs>
            <w:rPr/>
          </w:pPr>
          <w:hyperlink w:anchor="__RefHeading___Toc1391175_1067777946">
            <w:r>
              <w:rPr>
                <w:webHidden/>
                <w:rStyle w:val="IndexLink"/>
                <w:rtl w:val="true"/>
              </w:rPr>
              <w:t>الأمر الثاني</w:t>
            </w:r>
            <w:r>
              <w:rPr>
                <w:rStyle w:val="IndexLink"/>
                <w:rtl w:val="true"/>
              </w:rPr>
              <w:t xml:space="preserve">: </w:t>
            </w:r>
            <w:r>
              <w:rPr>
                <w:rStyle w:val="IndexLink"/>
                <w:rtl w:val="true"/>
              </w:rPr>
              <w:t>تنمية العلم في ظلّ القول بنظام الأسباب والمسبّبات</w:t>
            </w:r>
            <w:r>
              <w:rPr>
                <w:rStyle w:val="IndexLink"/>
                <w:rtl w:val="true"/>
              </w:rPr>
              <w:tab/>
            </w:r>
            <w:r>
              <w:rPr>
                <w:rStyle w:val="IndexLink"/>
              </w:rPr>
              <w:t>171</w:t>
            </w:r>
          </w:hyperlink>
        </w:p>
        <w:p>
          <w:pPr>
            <w:pStyle w:val="Contents4"/>
            <w:tabs>
              <w:tab w:val="clear" w:pos="8176"/>
              <w:tab w:val="right" w:pos="9026" w:leader="dot"/>
            </w:tabs>
            <w:rPr/>
          </w:pPr>
          <w:hyperlink w:anchor="__RefHeading___Toc1391177_1067777946">
            <w:r>
              <w:rPr>
                <w:webHidden/>
                <w:rStyle w:val="IndexLink"/>
                <w:rtl w:val="true"/>
              </w:rPr>
              <w:t xml:space="preserve">الأمر الثالث نظرية </w:t>
            </w:r>
            <w:r>
              <w:rPr>
                <w:rStyle w:val="IndexLink"/>
                <w:rtl w:val="true"/>
              </w:rPr>
              <w:t>«</w:t>
            </w:r>
            <w:r>
              <w:rPr>
                <w:rStyle w:val="IndexLink"/>
                <w:rtl w:val="true"/>
              </w:rPr>
              <w:t>مالبرانس</w:t>
            </w:r>
            <w:r>
              <w:rPr>
                <w:rStyle w:val="IndexLink"/>
                <w:rtl w:val="true"/>
              </w:rPr>
              <w:t>»</w:t>
              <w:tab/>
            </w:r>
            <w:r>
              <w:rPr>
                <w:rStyle w:val="IndexLink"/>
              </w:rPr>
              <w:t>172</w:t>
            </w:r>
          </w:hyperlink>
        </w:p>
        <w:p>
          <w:pPr>
            <w:pStyle w:val="Contents4"/>
            <w:tabs>
              <w:tab w:val="clear" w:pos="8176"/>
              <w:tab w:val="right" w:pos="9026" w:leader="dot"/>
            </w:tabs>
            <w:rPr/>
          </w:pPr>
          <w:hyperlink w:anchor="__RefHeading___Toc1391179_1067777946">
            <w:r>
              <w:rPr>
                <w:webHidden/>
                <w:rStyle w:val="IndexLink"/>
                <w:rtl w:val="true"/>
              </w:rPr>
              <w:t>الأمر الرابع التفسير الخاطئ في قسم من الأُصول</w:t>
            </w:r>
            <w:r>
              <w:rPr>
                <w:rStyle w:val="IndexLink"/>
                <w:rtl w:val="true"/>
              </w:rPr>
              <w:tab/>
            </w:r>
            <w:r>
              <w:rPr>
                <w:rStyle w:val="IndexLink"/>
              </w:rPr>
              <w:t>174</w:t>
            </w:r>
          </w:hyperlink>
        </w:p>
        <w:p>
          <w:pPr>
            <w:pStyle w:val="Contents4"/>
            <w:tabs>
              <w:tab w:val="clear" w:pos="8176"/>
              <w:tab w:val="right" w:pos="9026" w:leader="dot"/>
            </w:tabs>
            <w:rPr/>
          </w:pPr>
          <w:hyperlink w:anchor="__RefHeading___Toc1391181_1067777946">
            <w:r>
              <w:rPr>
                <w:webHidden/>
                <w:rStyle w:val="IndexLink"/>
                <w:rtl w:val="true"/>
              </w:rPr>
              <w:t>الأمر الخامس تغيير عنوان المسألة في كتب المتأخّرين</w:t>
            </w:r>
            <w:r>
              <w:rPr>
                <w:rStyle w:val="IndexLink"/>
                <w:rtl w:val="true"/>
              </w:rPr>
              <w:tab/>
            </w:r>
            <w:r>
              <w:rPr>
                <w:rStyle w:val="IndexLink"/>
              </w:rPr>
              <w:t>175</w:t>
            </w:r>
          </w:hyperlink>
        </w:p>
        <w:p>
          <w:pPr>
            <w:pStyle w:val="Contents4"/>
            <w:tabs>
              <w:tab w:val="clear" w:pos="8176"/>
              <w:tab w:val="right" w:pos="9026" w:leader="dot"/>
            </w:tabs>
            <w:rPr/>
          </w:pPr>
          <w:hyperlink w:anchor="__RefHeading___Toc1391183_1067777946">
            <w:r>
              <w:rPr>
                <w:webHidden/>
                <w:rStyle w:val="IndexLink"/>
                <w:rtl w:val="true"/>
              </w:rPr>
              <w:t>الأمر السادس في إيضاح الجهمية والنجارية والضرارية</w:t>
            </w:r>
            <w:r>
              <w:rPr>
                <w:rStyle w:val="IndexLink"/>
                <w:rtl w:val="true"/>
              </w:rPr>
              <w:tab/>
            </w:r>
            <w:r>
              <w:rPr>
                <w:rStyle w:val="IndexLink"/>
              </w:rPr>
              <w:t>176</w:t>
            </w:r>
          </w:hyperlink>
        </w:p>
        <w:p>
          <w:pPr>
            <w:pStyle w:val="Contents2"/>
            <w:tabs>
              <w:tab w:val="clear" w:pos="8743"/>
              <w:tab w:val="right" w:pos="9026" w:leader="dot"/>
            </w:tabs>
            <w:rPr/>
          </w:pPr>
          <w:hyperlink w:anchor="__RefHeading___Toc1391185_1067777946">
            <w:r>
              <w:rPr>
                <w:webHidden/>
                <w:rStyle w:val="IndexLink"/>
                <w:rtl w:val="true"/>
              </w:rPr>
              <w:t>الفصل الرابع</w:t>
            </w:r>
            <w:r>
              <w:rPr>
                <w:rStyle w:val="IndexLink"/>
                <w:rtl w:val="true"/>
              </w:rPr>
              <w:t xml:space="preserve">: </w:t>
            </w:r>
            <w:r>
              <w:rPr>
                <w:rStyle w:val="IndexLink"/>
                <w:rtl w:val="true"/>
              </w:rPr>
              <w:t>الإرادة الإلهية التكوينيّة والتشريعيّة</w:t>
            </w:r>
            <w:r>
              <w:rPr>
                <w:rStyle w:val="IndexLink"/>
                <w:rtl w:val="true"/>
              </w:rPr>
              <w:tab/>
            </w:r>
            <w:r>
              <w:rPr>
                <w:rStyle w:val="IndexLink"/>
              </w:rPr>
              <w:t>177</w:t>
            </w:r>
          </w:hyperlink>
        </w:p>
        <w:p>
          <w:pPr>
            <w:pStyle w:val="Contents3"/>
            <w:tabs>
              <w:tab w:val="clear" w:pos="8459"/>
              <w:tab w:val="right" w:pos="9026" w:leader="dot"/>
            </w:tabs>
            <w:rPr/>
          </w:pPr>
          <w:hyperlink w:anchor="__RefHeading___Toc1391187_1067777946">
            <w:r>
              <w:rPr>
                <w:webHidden/>
                <w:rStyle w:val="IndexLink"/>
                <w:rtl w:val="true"/>
              </w:rPr>
              <w:t>اشارة</w:t>
            </w:r>
            <w:r>
              <w:rPr>
                <w:rStyle w:val="IndexLink"/>
                <w:rtl w:val="true"/>
              </w:rPr>
              <w:tab/>
            </w:r>
            <w:r>
              <w:rPr>
                <w:rStyle w:val="IndexLink"/>
              </w:rPr>
              <w:t>177</w:t>
            </w:r>
          </w:hyperlink>
        </w:p>
        <w:p>
          <w:pPr>
            <w:pStyle w:val="Contents3"/>
            <w:tabs>
              <w:tab w:val="clear" w:pos="8459"/>
              <w:tab w:val="right" w:pos="9026" w:leader="dot"/>
            </w:tabs>
            <w:rPr/>
          </w:pPr>
          <w:hyperlink w:anchor="__RefHeading___Toc1391189_1067777946">
            <w:r>
              <w:rPr>
                <w:webHidden/>
                <w:rStyle w:val="IndexLink"/>
              </w:rPr>
              <w:t>1</w:t>
            </w:r>
            <w:r>
              <w:rPr>
                <w:rStyle w:val="IndexLink"/>
                <w:rtl w:val="true"/>
              </w:rPr>
              <w:t xml:space="preserve">- </w:t>
            </w:r>
            <w:r>
              <w:rPr>
                <w:rStyle w:val="IndexLink"/>
                <w:rtl w:val="true"/>
              </w:rPr>
              <w:t>في تقسيم صفاته</w:t>
            </w:r>
            <w:r>
              <w:rPr>
                <w:rStyle w:val="IndexLink"/>
                <w:rtl w:val="true"/>
              </w:rPr>
              <w:tab/>
            </w:r>
            <w:r>
              <w:rPr>
                <w:rStyle w:val="IndexLink"/>
              </w:rPr>
              <w:t>179</w:t>
            </w:r>
          </w:hyperlink>
        </w:p>
        <w:p>
          <w:pPr>
            <w:pStyle w:val="Contents4"/>
            <w:tabs>
              <w:tab w:val="clear" w:pos="8176"/>
              <w:tab w:val="right" w:pos="9026" w:leader="dot"/>
            </w:tabs>
            <w:rPr/>
          </w:pPr>
          <w:hyperlink w:anchor="__RefHeading___Toc1391191_1067777946">
            <w:r>
              <w:rPr>
                <w:webHidden/>
                <w:rStyle w:val="IndexLink"/>
                <w:rtl w:val="true"/>
              </w:rPr>
              <w:t>اشارة</w:t>
            </w:r>
            <w:r>
              <w:rPr>
                <w:rStyle w:val="IndexLink"/>
                <w:rtl w:val="true"/>
              </w:rPr>
              <w:tab/>
            </w:r>
            <w:r>
              <w:rPr>
                <w:rStyle w:val="IndexLink"/>
              </w:rPr>
              <w:t>179</w:t>
            </w:r>
          </w:hyperlink>
        </w:p>
        <w:p>
          <w:pPr>
            <w:pStyle w:val="Contents4"/>
            <w:tabs>
              <w:tab w:val="clear" w:pos="8176"/>
              <w:tab w:val="right" w:pos="9026" w:leader="dot"/>
            </w:tabs>
            <w:rPr/>
          </w:pPr>
          <w:hyperlink w:anchor="__RefHeading___Toc1391193_1067777946">
            <w:r>
              <w:rPr>
                <w:webHidden/>
                <w:rStyle w:val="IndexLink"/>
                <w:rtl w:val="true"/>
              </w:rPr>
              <w:t>تقسيم آخر</w:t>
            </w:r>
            <w:r>
              <w:rPr>
                <w:rStyle w:val="IndexLink"/>
                <w:rtl w:val="true"/>
              </w:rPr>
              <w:tab/>
            </w:r>
            <w:r>
              <w:rPr>
                <w:rStyle w:val="IndexLink"/>
              </w:rPr>
              <w:t>180</w:t>
            </w:r>
          </w:hyperlink>
        </w:p>
        <w:p>
          <w:pPr>
            <w:pStyle w:val="Contents3"/>
            <w:tabs>
              <w:tab w:val="clear" w:pos="8459"/>
              <w:tab w:val="right" w:pos="9026" w:leader="dot"/>
            </w:tabs>
            <w:rPr/>
          </w:pPr>
          <w:hyperlink w:anchor="__RefHeading___Toc1391195_1067777946">
            <w:r>
              <w:rPr>
                <w:webHidden/>
                <w:rStyle w:val="IndexLink"/>
              </w:rPr>
              <w:t>2</w:t>
            </w:r>
            <w:r>
              <w:rPr>
                <w:rStyle w:val="IndexLink"/>
                <w:rtl w:val="true"/>
              </w:rPr>
              <w:t xml:space="preserve">- </w:t>
            </w:r>
            <w:r>
              <w:rPr>
                <w:rStyle w:val="IndexLink"/>
                <w:rtl w:val="true"/>
              </w:rPr>
              <w:t>في حقيقة الإرادة الإنسانية</w:t>
            </w:r>
            <w:r>
              <w:rPr>
                <w:rStyle w:val="IndexLink"/>
                <w:rtl w:val="true"/>
              </w:rPr>
              <w:tab/>
            </w:r>
            <w:r>
              <w:rPr>
                <w:rStyle w:val="IndexLink"/>
              </w:rPr>
              <w:t>183</w:t>
            </w:r>
          </w:hyperlink>
        </w:p>
        <w:p>
          <w:pPr>
            <w:pStyle w:val="Contents4"/>
            <w:tabs>
              <w:tab w:val="clear" w:pos="8176"/>
              <w:tab w:val="right" w:pos="9026" w:leader="dot"/>
            </w:tabs>
            <w:rPr/>
          </w:pPr>
          <w:hyperlink w:anchor="__RefHeading___Toc1391197_1067777946">
            <w:r>
              <w:rPr>
                <w:webHidden/>
                <w:rStyle w:val="IndexLink"/>
                <w:rtl w:val="true"/>
              </w:rPr>
              <w:t>اشارة</w:t>
            </w:r>
            <w:r>
              <w:rPr>
                <w:rStyle w:val="IndexLink"/>
                <w:rtl w:val="true"/>
              </w:rPr>
              <w:tab/>
            </w:r>
            <w:r>
              <w:rPr>
                <w:rStyle w:val="IndexLink"/>
              </w:rPr>
              <w:t>183</w:t>
            </w:r>
          </w:hyperlink>
        </w:p>
        <w:p>
          <w:pPr>
            <w:pStyle w:val="Contents4"/>
            <w:tabs>
              <w:tab w:val="clear" w:pos="8176"/>
              <w:tab w:val="right" w:pos="9026" w:leader="dot"/>
            </w:tabs>
            <w:rPr/>
          </w:pPr>
          <w:hyperlink w:anchor="__RefHeading___Toc1391199_1067777946">
            <w:r>
              <w:rPr>
                <w:webHidden/>
                <w:rStyle w:val="IndexLink"/>
              </w:rPr>
              <w:t>1</w:t>
            </w:r>
            <w:r>
              <w:rPr>
                <w:rStyle w:val="IndexLink"/>
                <w:rtl w:val="true"/>
              </w:rPr>
              <w:t xml:space="preserve">. </w:t>
            </w:r>
            <w:r>
              <w:rPr>
                <w:rStyle w:val="IndexLink"/>
                <w:rtl w:val="true"/>
              </w:rPr>
              <w:t xml:space="preserve">نظرية المعتزلة </w:t>
            </w:r>
            <w:r>
              <w:rPr>
                <w:rStyle w:val="IndexLink"/>
                <w:rtl w:val="true"/>
              </w:rPr>
              <w:t xml:space="preserve">: </w:t>
            </w:r>
            <w:r>
              <w:rPr>
                <w:rStyle w:val="IndexLink"/>
                <w:rtl w:val="true"/>
              </w:rPr>
              <w:t>الاعتقاد بالنفع</w:t>
            </w:r>
            <w:r>
              <w:rPr>
                <w:rStyle w:val="IndexLink"/>
                <w:rtl w:val="true"/>
              </w:rPr>
              <w:tab/>
            </w:r>
            <w:r>
              <w:rPr>
                <w:rStyle w:val="IndexLink"/>
              </w:rPr>
              <w:t>183</w:t>
            </w:r>
          </w:hyperlink>
        </w:p>
        <w:p>
          <w:pPr>
            <w:pStyle w:val="Contents4"/>
            <w:tabs>
              <w:tab w:val="clear" w:pos="8176"/>
              <w:tab w:val="right" w:pos="9026" w:leader="dot"/>
            </w:tabs>
            <w:rPr/>
          </w:pPr>
          <w:hyperlink w:anchor="__RefHeading___Toc1391201_1067777946">
            <w:r>
              <w:rPr>
                <w:webHidden/>
                <w:rStyle w:val="IndexLink"/>
              </w:rPr>
              <w:t>2</w:t>
            </w:r>
            <w:r>
              <w:rPr>
                <w:rStyle w:val="IndexLink"/>
                <w:rtl w:val="true"/>
              </w:rPr>
              <w:t xml:space="preserve">. </w:t>
            </w:r>
            <w:r>
              <w:rPr>
                <w:rStyle w:val="IndexLink"/>
                <w:rtl w:val="true"/>
              </w:rPr>
              <w:t xml:space="preserve">نظرية الأشاعرة </w:t>
            </w:r>
            <w:r>
              <w:rPr>
                <w:rStyle w:val="IndexLink"/>
                <w:rtl w:val="true"/>
              </w:rPr>
              <w:t xml:space="preserve">: </w:t>
            </w:r>
            <w:r>
              <w:rPr>
                <w:rStyle w:val="IndexLink"/>
                <w:rtl w:val="true"/>
              </w:rPr>
              <w:t>المخصّصة للقدرة بأحد المقدورين</w:t>
            </w:r>
            <w:r>
              <w:rPr>
                <w:rStyle w:val="IndexLink"/>
                <w:rtl w:val="true"/>
              </w:rPr>
              <w:tab/>
            </w:r>
            <w:r>
              <w:rPr>
                <w:rStyle w:val="IndexLink"/>
              </w:rPr>
              <w:t>184</w:t>
            </w:r>
          </w:hyperlink>
        </w:p>
        <w:p>
          <w:pPr>
            <w:pStyle w:val="Contents4"/>
            <w:tabs>
              <w:tab w:val="clear" w:pos="8176"/>
              <w:tab w:val="right" w:pos="9026" w:leader="dot"/>
            </w:tabs>
            <w:rPr/>
          </w:pPr>
          <w:hyperlink w:anchor="__RefHeading___Toc1391203_1067777946">
            <w:r>
              <w:rPr>
                <w:webHidden/>
                <w:rStyle w:val="IndexLink"/>
              </w:rPr>
              <w:t>3</w:t>
            </w:r>
            <w:r>
              <w:rPr>
                <w:rStyle w:val="IndexLink"/>
                <w:rtl w:val="true"/>
              </w:rPr>
              <w:t xml:space="preserve">. </w:t>
            </w:r>
            <w:r>
              <w:rPr>
                <w:rStyle w:val="IndexLink"/>
                <w:rtl w:val="true"/>
              </w:rPr>
              <w:t xml:space="preserve">النظرية المعروفة </w:t>
            </w:r>
            <w:r>
              <w:rPr>
                <w:rStyle w:val="IndexLink"/>
                <w:rtl w:val="true"/>
              </w:rPr>
              <w:t xml:space="preserve">: </w:t>
            </w:r>
            <w:r>
              <w:rPr>
                <w:rStyle w:val="IndexLink"/>
                <w:rtl w:val="true"/>
              </w:rPr>
              <w:t>الشوق النفساني</w:t>
            </w:r>
            <w:r>
              <w:rPr>
                <w:rStyle w:val="IndexLink"/>
                <w:rtl w:val="true"/>
              </w:rPr>
              <w:tab/>
            </w:r>
            <w:r>
              <w:rPr>
                <w:rStyle w:val="IndexLink"/>
              </w:rPr>
              <w:t>184</w:t>
            </w:r>
          </w:hyperlink>
        </w:p>
        <w:p>
          <w:pPr>
            <w:pStyle w:val="Contents4"/>
            <w:tabs>
              <w:tab w:val="clear" w:pos="8176"/>
              <w:tab w:val="right" w:pos="9026" w:leader="dot"/>
            </w:tabs>
            <w:rPr/>
          </w:pPr>
          <w:hyperlink w:anchor="__RefHeading___Toc1391205_1067777946">
            <w:r>
              <w:rPr>
                <w:webHidden/>
                <w:rStyle w:val="IndexLink"/>
              </w:rPr>
              <w:t>4</w:t>
            </w:r>
            <w:r>
              <w:rPr>
                <w:rStyle w:val="IndexLink"/>
                <w:rtl w:val="true"/>
              </w:rPr>
              <w:t xml:space="preserve">. </w:t>
            </w:r>
            <w:r>
              <w:rPr>
                <w:rStyle w:val="IndexLink"/>
                <w:rtl w:val="true"/>
              </w:rPr>
              <w:t xml:space="preserve">الإرادة </w:t>
            </w:r>
            <w:r>
              <w:rPr>
                <w:rStyle w:val="IndexLink"/>
                <w:rtl w:val="true"/>
              </w:rPr>
              <w:t xml:space="preserve">: </w:t>
            </w:r>
            <w:r>
              <w:rPr>
                <w:rStyle w:val="IndexLink"/>
                <w:rtl w:val="true"/>
              </w:rPr>
              <w:t>القصد والعزم</w:t>
            </w:r>
            <w:r>
              <w:rPr>
                <w:rStyle w:val="IndexLink"/>
                <w:rtl w:val="true"/>
              </w:rPr>
              <w:tab/>
            </w:r>
            <w:r>
              <w:rPr>
                <w:rStyle w:val="IndexLink"/>
              </w:rPr>
              <w:t>185</w:t>
            </w:r>
          </w:hyperlink>
        </w:p>
        <w:p>
          <w:pPr>
            <w:pStyle w:val="Contents3"/>
            <w:tabs>
              <w:tab w:val="clear" w:pos="8459"/>
              <w:tab w:val="right" w:pos="9026" w:leader="dot"/>
            </w:tabs>
            <w:rPr/>
          </w:pPr>
          <w:hyperlink w:anchor="__RefHeading___Toc1391207_1067777946">
            <w:r>
              <w:rPr>
                <w:webHidden/>
                <w:rStyle w:val="IndexLink"/>
              </w:rPr>
              <w:t>3</w:t>
            </w:r>
            <w:r>
              <w:rPr>
                <w:rStyle w:val="IndexLink"/>
                <w:rtl w:val="true"/>
              </w:rPr>
              <w:t xml:space="preserve">- </w:t>
            </w:r>
            <w:r>
              <w:rPr>
                <w:rStyle w:val="IndexLink"/>
                <w:rtl w:val="true"/>
              </w:rPr>
              <w:t>الإرادة الإلهية من صفات الذات</w:t>
            </w:r>
            <w:r>
              <w:rPr>
                <w:rStyle w:val="IndexLink"/>
                <w:rtl w:val="true"/>
              </w:rPr>
              <w:tab/>
            </w:r>
            <w:r>
              <w:rPr>
                <w:rStyle w:val="IndexLink"/>
              </w:rPr>
              <w:t>187</w:t>
            </w:r>
          </w:hyperlink>
        </w:p>
        <w:p>
          <w:pPr>
            <w:pStyle w:val="Contents4"/>
            <w:tabs>
              <w:tab w:val="clear" w:pos="8176"/>
              <w:tab w:val="right" w:pos="9026" w:leader="dot"/>
            </w:tabs>
            <w:rPr/>
          </w:pPr>
          <w:hyperlink w:anchor="__RefHeading___Toc1391209_1067777946">
            <w:r>
              <w:rPr>
                <w:webHidden/>
                <w:rStyle w:val="IndexLink"/>
                <w:rtl w:val="true"/>
              </w:rPr>
              <w:t>اشارة</w:t>
            </w:r>
            <w:r>
              <w:rPr>
                <w:rStyle w:val="IndexLink"/>
                <w:rtl w:val="true"/>
              </w:rPr>
              <w:tab/>
            </w:r>
            <w:r>
              <w:rPr>
                <w:rStyle w:val="IndexLink"/>
              </w:rPr>
              <w:t>187</w:t>
            </w:r>
          </w:hyperlink>
        </w:p>
        <w:p>
          <w:pPr>
            <w:pStyle w:val="Contents4"/>
            <w:tabs>
              <w:tab w:val="clear" w:pos="8176"/>
              <w:tab w:val="right" w:pos="9026" w:leader="dot"/>
            </w:tabs>
            <w:rPr/>
          </w:pPr>
          <w:hyperlink w:anchor="__RefHeading___Toc1391211_1067777946">
            <w:r>
              <w:rPr>
                <w:webHidden/>
                <w:rStyle w:val="IndexLink"/>
                <w:rtl w:val="true"/>
              </w:rPr>
              <w:t xml:space="preserve">الأُولى </w:t>
            </w:r>
            <w:r>
              <w:rPr>
                <w:rStyle w:val="IndexLink"/>
                <w:rtl w:val="true"/>
              </w:rPr>
              <w:t xml:space="preserve">: </w:t>
            </w:r>
            <w:r>
              <w:rPr>
                <w:rStyle w:val="IndexLink"/>
                <w:rtl w:val="true"/>
              </w:rPr>
              <w:t>الإرادة هو العلم بالأصلح</w:t>
            </w:r>
            <w:r>
              <w:rPr>
                <w:rStyle w:val="IndexLink"/>
                <w:rtl w:val="true"/>
              </w:rPr>
              <w:tab/>
            </w:r>
            <w:r>
              <w:rPr>
                <w:rStyle w:val="IndexLink"/>
              </w:rPr>
              <w:t>187</w:t>
            </w:r>
          </w:hyperlink>
        </w:p>
        <w:p>
          <w:pPr>
            <w:pStyle w:val="Contents4"/>
            <w:tabs>
              <w:tab w:val="clear" w:pos="8176"/>
              <w:tab w:val="right" w:pos="9026" w:leader="dot"/>
            </w:tabs>
            <w:rPr/>
          </w:pPr>
          <w:hyperlink w:anchor="__RefHeading___Toc1391213_1067777946">
            <w:r>
              <w:rPr>
                <w:webHidden/>
                <w:rStyle w:val="IndexLink"/>
                <w:rtl w:val="true"/>
              </w:rPr>
              <w:t xml:space="preserve">الثانية </w:t>
            </w:r>
            <w:r>
              <w:rPr>
                <w:rStyle w:val="IndexLink"/>
                <w:rtl w:val="true"/>
              </w:rPr>
              <w:t xml:space="preserve">: </w:t>
            </w:r>
            <w:r>
              <w:rPr>
                <w:rStyle w:val="IndexLink"/>
                <w:rtl w:val="true"/>
              </w:rPr>
              <w:t>إرادته سبحانه هو ابتهاجه بذاته</w:t>
            </w:r>
            <w:r>
              <w:rPr>
                <w:rStyle w:val="IndexLink"/>
                <w:rtl w:val="true"/>
              </w:rPr>
              <w:tab/>
            </w:r>
            <w:r>
              <w:rPr>
                <w:rStyle w:val="IndexLink"/>
              </w:rPr>
              <w:t>190</w:t>
            </w:r>
          </w:hyperlink>
        </w:p>
        <w:p>
          <w:pPr>
            <w:pStyle w:val="Contents3"/>
            <w:tabs>
              <w:tab w:val="clear" w:pos="8459"/>
              <w:tab w:val="right" w:pos="9026" w:leader="dot"/>
            </w:tabs>
            <w:rPr/>
          </w:pPr>
          <w:hyperlink w:anchor="__RefHeading___Toc1391215_1067777946">
            <w:r>
              <w:rPr>
                <w:webHidden/>
                <w:rStyle w:val="IndexLink"/>
              </w:rPr>
              <w:t>4</w:t>
            </w:r>
            <w:r>
              <w:rPr>
                <w:rStyle w:val="IndexLink"/>
                <w:rtl w:val="true"/>
              </w:rPr>
              <w:t xml:space="preserve">- </w:t>
            </w:r>
            <w:r>
              <w:rPr>
                <w:rStyle w:val="IndexLink"/>
                <w:rtl w:val="true"/>
              </w:rPr>
              <w:t>الإرادة الإلهية من صفات الفعل</w:t>
            </w:r>
            <w:r>
              <w:rPr>
                <w:rStyle w:val="IndexLink"/>
                <w:rtl w:val="true"/>
              </w:rPr>
              <w:tab/>
            </w:r>
            <w:r>
              <w:rPr>
                <w:rStyle w:val="IndexLink"/>
              </w:rPr>
              <w:t>193</w:t>
            </w:r>
          </w:hyperlink>
        </w:p>
        <w:p>
          <w:pPr>
            <w:pStyle w:val="Contents4"/>
            <w:tabs>
              <w:tab w:val="clear" w:pos="8176"/>
              <w:tab w:val="right" w:pos="9026" w:leader="dot"/>
            </w:tabs>
            <w:rPr/>
          </w:pPr>
          <w:hyperlink w:anchor="__RefHeading___Toc1391217_1067777946">
            <w:r>
              <w:rPr>
                <w:webHidden/>
                <w:rStyle w:val="IndexLink"/>
                <w:rtl w:val="true"/>
              </w:rPr>
              <w:t>اشارة</w:t>
            </w:r>
            <w:r>
              <w:rPr>
                <w:rStyle w:val="IndexLink"/>
                <w:rtl w:val="true"/>
              </w:rPr>
              <w:tab/>
            </w:r>
            <w:r>
              <w:rPr>
                <w:rStyle w:val="IndexLink"/>
              </w:rPr>
              <w:t>193</w:t>
            </w:r>
          </w:hyperlink>
        </w:p>
        <w:p>
          <w:pPr>
            <w:pStyle w:val="Contents4"/>
            <w:tabs>
              <w:tab w:val="clear" w:pos="8176"/>
              <w:tab w:val="right" w:pos="9026" w:leader="dot"/>
            </w:tabs>
            <w:rPr/>
          </w:pPr>
          <w:hyperlink w:anchor="__RefHeading___Toc1391219_1067777946">
            <w:r>
              <w:rPr>
                <w:webHidden/>
                <w:rStyle w:val="IndexLink"/>
              </w:rPr>
              <w:t>1</w:t>
            </w:r>
            <w:r>
              <w:rPr>
                <w:rStyle w:val="IndexLink"/>
                <w:rtl w:val="true"/>
              </w:rPr>
              <w:t xml:space="preserve">. </w:t>
            </w:r>
            <w:r>
              <w:rPr>
                <w:rStyle w:val="IndexLink"/>
                <w:rtl w:val="true"/>
              </w:rPr>
              <w:t>الإرادة صفة منتزعة من حضور العلّة التامّة للفعل</w:t>
            </w:r>
            <w:r>
              <w:rPr>
                <w:rStyle w:val="IndexLink"/>
                <w:rtl w:val="true"/>
              </w:rPr>
              <w:tab/>
            </w:r>
            <w:r>
              <w:rPr>
                <w:rStyle w:val="IndexLink"/>
              </w:rPr>
              <w:t>194</w:t>
            </w:r>
          </w:hyperlink>
        </w:p>
        <w:p>
          <w:pPr>
            <w:pStyle w:val="Contents4"/>
            <w:tabs>
              <w:tab w:val="clear" w:pos="8176"/>
              <w:tab w:val="right" w:pos="9026" w:leader="dot"/>
            </w:tabs>
            <w:rPr/>
          </w:pPr>
          <w:hyperlink w:anchor="__RefHeading___Toc1391221_1067777946">
            <w:r>
              <w:rPr>
                <w:webHidden/>
                <w:rStyle w:val="IndexLink"/>
              </w:rPr>
              <w:t>2</w:t>
            </w:r>
            <w:r>
              <w:rPr>
                <w:rStyle w:val="IndexLink"/>
                <w:rtl w:val="true"/>
              </w:rPr>
              <w:t xml:space="preserve">. </w:t>
            </w:r>
            <w:r>
              <w:rPr>
                <w:rStyle w:val="IndexLink"/>
                <w:rtl w:val="true"/>
              </w:rPr>
              <w:t>الإرادة إعمال القدرة</w:t>
            </w:r>
            <w:r>
              <w:rPr>
                <w:rStyle w:val="IndexLink"/>
                <w:rtl w:val="true"/>
              </w:rPr>
              <w:tab/>
            </w:r>
            <w:r>
              <w:rPr>
                <w:rStyle w:val="IndexLink"/>
              </w:rPr>
              <w:t>197</w:t>
            </w:r>
          </w:hyperlink>
        </w:p>
        <w:p>
          <w:pPr>
            <w:pStyle w:val="Contents4"/>
            <w:tabs>
              <w:tab w:val="clear" w:pos="8176"/>
              <w:tab w:val="right" w:pos="9026" w:leader="dot"/>
            </w:tabs>
            <w:rPr/>
          </w:pPr>
          <w:hyperlink w:anchor="__RefHeading___Toc1391223_1067777946">
            <w:r>
              <w:rPr>
                <w:webHidden/>
                <w:rStyle w:val="IndexLink"/>
              </w:rPr>
              <w:t>3</w:t>
            </w:r>
            <w:r>
              <w:rPr>
                <w:rStyle w:val="IndexLink"/>
                <w:rtl w:val="true"/>
              </w:rPr>
              <w:t xml:space="preserve">. </w:t>
            </w:r>
            <w:r>
              <w:rPr>
                <w:rStyle w:val="IndexLink"/>
                <w:rtl w:val="true"/>
              </w:rPr>
              <w:t xml:space="preserve">الإرادة الإلهية في روايات أئمّة أهل البيت </w:t>
            </w:r>
            <w:r>
              <w:rPr>
                <w:rStyle w:val="IndexLink"/>
                <w:rtl w:val="true"/>
              </w:rPr>
              <w:t xml:space="preserve">- </w:t>
            </w:r>
            <w:r>
              <w:rPr>
                <w:rStyle w:val="IndexLink"/>
                <w:rtl w:val="true"/>
              </w:rPr>
              <w:t xml:space="preserve">عليهم السلام </w:t>
            </w:r>
            <w:r>
              <w:rPr>
                <w:rStyle w:val="IndexLink"/>
                <w:rtl w:val="true"/>
              </w:rPr>
              <w:t>-</w:t>
              <w:tab/>
            </w:r>
            <w:r>
              <w:rPr>
                <w:rStyle w:val="IndexLink"/>
              </w:rPr>
              <w:t>198</w:t>
            </w:r>
          </w:hyperlink>
        </w:p>
        <w:p>
          <w:pPr>
            <w:pStyle w:val="Contents5"/>
            <w:tabs>
              <w:tab w:val="clear" w:pos="7892"/>
              <w:tab w:val="right" w:pos="9026" w:leader="dot"/>
            </w:tabs>
            <w:rPr/>
          </w:pPr>
          <w:hyperlink w:anchor="__RefHeading___Toc1391225_1067777946">
            <w:r>
              <w:rPr>
                <w:webHidden/>
                <w:rStyle w:val="IndexLink"/>
                <w:rtl w:val="true"/>
              </w:rPr>
              <w:t>اشارة</w:t>
            </w:r>
            <w:r>
              <w:rPr>
                <w:rStyle w:val="IndexLink"/>
                <w:rtl w:val="true"/>
              </w:rPr>
              <w:tab/>
            </w:r>
            <w:r>
              <w:rPr>
                <w:rStyle w:val="IndexLink"/>
              </w:rPr>
              <w:t>198</w:t>
            </w:r>
          </w:hyperlink>
        </w:p>
        <w:p>
          <w:pPr>
            <w:pStyle w:val="Contents5"/>
            <w:tabs>
              <w:tab w:val="clear" w:pos="7892"/>
              <w:tab w:val="right" w:pos="9026" w:leader="dot"/>
            </w:tabs>
            <w:rPr/>
          </w:pPr>
          <w:hyperlink w:anchor="__RefHeading___Toc1391227_1067777946">
            <w:r>
              <w:rPr>
                <w:webHidden/>
                <w:rStyle w:val="IndexLink"/>
                <w:rtl w:val="true"/>
              </w:rPr>
              <w:t xml:space="preserve">الف </w:t>
            </w:r>
            <w:r>
              <w:rPr>
                <w:rStyle w:val="IndexLink"/>
                <w:rtl w:val="true"/>
              </w:rPr>
              <w:t xml:space="preserve">: </w:t>
            </w:r>
            <w:r>
              <w:rPr>
                <w:rStyle w:val="IndexLink"/>
                <w:rtl w:val="true"/>
              </w:rPr>
              <w:t>إرادته غير علمه وقدرته</w:t>
            </w:r>
            <w:r>
              <w:rPr>
                <w:rStyle w:val="IndexLink"/>
                <w:rtl w:val="true"/>
              </w:rPr>
              <w:tab/>
            </w:r>
            <w:r>
              <w:rPr>
                <w:rStyle w:val="IndexLink"/>
              </w:rPr>
              <w:t>199</w:t>
            </w:r>
          </w:hyperlink>
        </w:p>
        <w:p>
          <w:pPr>
            <w:pStyle w:val="Contents5"/>
            <w:tabs>
              <w:tab w:val="clear" w:pos="7892"/>
              <w:tab w:val="right" w:pos="9026" w:leader="dot"/>
            </w:tabs>
            <w:rPr/>
          </w:pPr>
          <w:hyperlink w:anchor="__RefHeading___Toc1391229_1067777946">
            <w:r>
              <w:rPr>
                <w:webHidden/>
                <w:rStyle w:val="IndexLink"/>
                <w:rtl w:val="true"/>
              </w:rPr>
              <w:t>ب</w:t>
            </w:r>
            <w:r>
              <w:rPr>
                <w:rStyle w:val="IndexLink"/>
                <w:rtl w:val="true"/>
              </w:rPr>
              <w:t xml:space="preserve">. </w:t>
            </w:r>
            <w:r>
              <w:rPr>
                <w:rStyle w:val="IndexLink"/>
                <w:rtl w:val="true"/>
              </w:rPr>
              <w:t>عموم إرادته سبحانه بكلّ ظاهرة كونية</w:t>
            </w:r>
            <w:r>
              <w:rPr>
                <w:rStyle w:val="IndexLink"/>
                <w:rtl w:val="true"/>
              </w:rPr>
              <w:tab/>
            </w:r>
            <w:r>
              <w:rPr>
                <w:rStyle w:val="IndexLink"/>
              </w:rPr>
              <w:t>200</w:t>
            </w:r>
          </w:hyperlink>
        </w:p>
        <w:p>
          <w:pPr>
            <w:pStyle w:val="Contents5"/>
            <w:tabs>
              <w:tab w:val="clear" w:pos="7892"/>
              <w:tab w:val="right" w:pos="9026" w:leader="dot"/>
            </w:tabs>
            <w:rPr/>
          </w:pPr>
          <w:hyperlink w:anchor="__RefHeading___Toc1391231_1067777946">
            <w:r>
              <w:rPr>
                <w:webHidden/>
                <w:rStyle w:val="IndexLink"/>
                <w:rtl w:val="true"/>
              </w:rPr>
              <w:t xml:space="preserve">ج </w:t>
            </w:r>
            <w:r>
              <w:rPr>
                <w:rStyle w:val="IndexLink"/>
                <w:rtl w:val="true"/>
              </w:rPr>
              <w:t xml:space="preserve">: </w:t>
            </w:r>
            <w:r>
              <w:rPr>
                <w:rStyle w:val="IndexLink"/>
                <w:rtl w:val="true"/>
              </w:rPr>
              <w:t>الإرادة من صفات الفعل</w:t>
            </w:r>
            <w:r>
              <w:rPr>
                <w:rStyle w:val="IndexLink"/>
                <w:rtl w:val="true"/>
              </w:rPr>
              <w:tab/>
            </w:r>
            <w:r>
              <w:rPr>
                <w:rStyle w:val="IndexLink"/>
              </w:rPr>
              <w:t>201</w:t>
            </w:r>
          </w:hyperlink>
        </w:p>
        <w:p>
          <w:pPr>
            <w:pStyle w:val="Contents6"/>
            <w:tabs>
              <w:tab w:val="clear" w:pos="7609"/>
              <w:tab w:val="right" w:pos="9026" w:leader="dot"/>
            </w:tabs>
            <w:rPr/>
          </w:pPr>
          <w:hyperlink w:anchor="__RefHeading___Toc1391233_1067777946">
            <w:r>
              <w:rPr>
                <w:webHidden/>
                <w:rStyle w:val="IndexLink"/>
                <w:rtl w:val="true"/>
              </w:rPr>
              <w:t>اشارة</w:t>
            </w:r>
            <w:r>
              <w:rPr>
                <w:rStyle w:val="IndexLink"/>
                <w:rtl w:val="true"/>
              </w:rPr>
              <w:tab/>
            </w:r>
            <w:r>
              <w:rPr>
                <w:rStyle w:val="IndexLink"/>
              </w:rPr>
              <w:t>201</w:t>
            </w:r>
          </w:hyperlink>
        </w:p>
        <w:p>
          <w:pPr>
            <w:pStyle w:val="Contents6"/>
            <w:tabs>
              <w:tab w:val="clear" w:pos="7609"/>
              <w:tab w:val="right" w:pos="9026" w:leader="dot"/>
            </w:tabs>
            <w:rPr/>
          </w:pPr>
          <w:hyperlink w:anchor="__RefHeading___Toc1391235_1067777946">
            <w:r>
              <w:rPr>
                <w:webHidden/>
                <w:rStyle w:val="IndexLink"/>
                <w:rtl w:val="true"/>
              </w:rPr>
              <w:t>تحليل الروايات الماضية</w:t>
            </w:r>
            <w:r>
              <w:rPr>
                <w:rStyle w:val="IndexLink"/>
                <w:rtl w:val="true"/>
              </w:rPr>
              <w:tab/>
            </w:r>
            <w:r>
              <w:rPr>
                <w:rStyle w:val="IndexLink"/>
              </w:rPr>
              <w:t>202</w:t>
            </w:r>
          </w:hyperlink>
        </w:p>
        <w:p>
          <w:pPr>
            <w:pStyle w:val="Contents6"/>
            <w:tabs>
              <w:tab w:val="clear" w:pos="7609"/>
              <w:tab w:val="right" w:pos="9026" w:leader="dot"/>
            </w:tabs>
            <w:rPr/>
          </w:pPr>
          <w:hyperlink w:anchor="__RefHeading___Toc1391237_1067777946">
            <w:r>
              <w:rPr>
                <w:webHidden/>
                <w:rStyle w:val="IndexLink"/>
                <w:rtl w:val="true"/>
              </w:rPr>
              <w:t>نقد وتحليل</w:t>
            </w:r>
            <w:r>
              <w:rPr>
                <w:rStyle w:val="IndexLink"/>
                <w:rtl w:val="true"/>
              </w:rPr>
              <w:tab/>
            </w:r>
            <w:r>
              <w:rPr>
                <w:rStyle w:val="IndexLink"/>
              </w:rPr>
              <w:t>203</w:t>
            </w:r>
          </w:hyperlink>
        </w:p>
        <w:p>
          <w:pPr>
            <w:pStyle w:val="Contents3"/>
            <w:tabs>
              <w:tab w:val="clear" w:pos="8459"/>
              <w:tab w:val="right" w:pos="9026" w:leader="dot"/>
            </w:tabs>
            <w:rPr/>
          </w:pPr>
          <w:hyperlink w:anchor="__RefHeading___Toc1391239_1067777946">
            <w:r>
              <w:rPr>
                <w:webHidden/>
                <w:rStyle w:val="IndexLink"/>
              </w:rPr>
              <w:t>5</w:t>
            </w:r>
            <w:r>
              <w:rPr>
                <w:rStyle w:val="IndexLink"/>
                <w:rtl w:val="true"/>
              </w:rPr>
              <w:t xml:space="preserve">- </w:t>
            </w:r>
            <w:r>
              <w:rPr>
                <w:rStyle w:val="IndexLink"/>
                <w:rtl w:val="true"/>
              </w:rPr>
              <w:t>ما هو المختار في الإرادة الالهيّة؟</w:t>
            </w:r>
            <w:r>
              <w:rPr>
                <w:rStyle w:val="IndexLink"/>
                <w:rtl w:val="true"/>
              </w:rPr>
              <w:tab/>
            </w:r>
            <w:r>
              <w:rPr>
                <w:rStyle w:val="IndexLink"/>
              </w:rPr>
              <w:t>205</w:t>
            </w:r>
          </w:hyperlink>
        </w:p>
        <w:p>
          <w:pPr>
            <w:pStyle w:val="Contents3"/>
            <w:tabs>
              <w:tab w:val="clear" w:pos="8459"/>
              <w:tab w:val="right" w:pos="9026" w:leader="dot"/>
            </w:tabs>
            <w:rPr/>
          </w:pPr>
          <w:hyperlink w:anchor="__RefHeading___Toc1391241_1067777946">
            <w:r>
              <w:rPr>
                <w:webHidden/>
                <w:rStyle w:val="IndexLink"/>
              </w:rPr>
              <w:t>6</w:t>
            </w:r>
            <w:r>
              <w:rPr>
                <w:rStyle w:val="IndexLink"/>
                <w:rtl w:val="true"/>
              </w:rPr>
              <w:t xml:space="preserve">- </w:t>
            </w:r>
            <w:r>
              <w:rPr>
                <w:rStyle w:val="IndexLink"/>
                <w:rtl w:val="true"/>
              </w:rPr>
              <w:t>الإرادة التكوينية والتشريعية</w:t>
            </w:r>
            <w:r>
              <w:rPr>
                <w:rStyle w:val="IndexLink"/>
                <w:rtl w:val="true"/>
              </w:rPr>
              <w:tab/>
            </w:r>
            <w:r>
              <w:rPr>
                <w:rStyle w:val="IndexLink"/>
              </w:rPr>
              <w:t>208</w:t>
            </w:r>
          </w:hyperlink>
        </w:p>
        <w:p>
          <w:pPr>
            <w:pStyle w:val="Contents4"/>
            <w:tabs>
              <w:tab w:val="clear" w:pos="8176"/>
              <w:tab w:val="right" w:pos="9026" w:leader="dot"/>
            </w:tabs>
            <w:rPr/>
          </w:pPr>
          <w:hyperlink w:anchor="__RefHeading___Toc1391243_1067777946">
            <w:r>
              <w:rPr>
                <w:webHidden/>
                <w:rStyle w:val="IndexLink"/>
                <w:rtl w:val="true"/>
              </w:rPr>
              <w:t>اشارة</w:t>
            </w:r>
            <w:r>
              <w:rPr>
                <w:rStyle w:val="IndexLink"/>
                <w:rtl w:val="true"/>
              </w:rPr>
              <w:tab/>
            </w:r>
            <w:r>
              <w:rPr>
                <w:rStyle w:val="IndexLink"/>
              </w:rPr>
              <w:t>208</w:t>
            </w:r>
          </w:hyperlink>
        </w:p>
        <w:p>
          <w:pPr>
            <w:pStyle w:val="Contents4"/>
            <w:tabs>
              <w:tab w:val="clear" w:pos="8176"/>
              <w:tab w:val="right" w:pos="9026" w:leader="dot"/>
            </w:tabs>
            <w:rPr/>
          </w:pPr>
          <w:hyperlink w:anchor="__RefHeading___Toc1391245_1067777946">
            <w:r>
              <w:rPr>
                <w:webHidden/>
                <w:rStyle w:val="IndexLink"/>
                <w:rtl w:val="true"/>
              </w:rPr>
              <w:t xml:space="preserve">الأُولى </w:t>
            </w:r>
            <w:r>
              <w:rPr>
                <w:rStyle w:val="IndexLink"/>
                <w:rtl w:val="true"/>
              </w:rPr>
              <w:t xml:space="preserve">: </w:t>
            </w:r>
            <w:r>
              <w:rPr>
                <w:rStyle w:val="IndexLink"/>
                <w:rtl w:val="true"/>
              </w:rPr>
              <w:t>نظرية المحقّق الخراساني</w:t>
            </w:r>
            <w:r>
              <w:rPr>
                <w:rStyle w:val="IndexLink"/>
                <w:rtl w:val="true"/>
              </w:rPr>
              <w:tab/>
            </w:r>
            <w:r>
              <w:rPr>
                <w:rStyle w:val="IndexLink"/>
              </w:rPr>
              <w:t>208</w:t>
            </w:r>
          </w:hyperlink>
        </w:p>
        <w:p>
          <w:pPr>
            <w:pStyle w:val="Contents4"/>
            <w:tabs>
              <w:tab w:val="clear" w:pos="8176"/>
              <w:tab w:val="right" w:pos="9026" w:leader="dot"/>
            </w:tabs>
            <w:rPr/>
          </w:pPr>
          <w:hyperlink w:anchor="__RefHeading___Toc1391247_1067777946">
            <w:r>
              <w:rPr>
                <w:webHidden/>
                <w:rStyle w:val="IndexLink"/>
                <w:rtl w:val="true"/>
              </w:rPr>
              <w:t xml:space="preserve">الثانية </w:t>
            </w:r>
            <w:r>
              <w:rPr>
                <w:rStyle w:val="IndexLink"/>
                <w:rtl w:val="true"/>
              </w:rPr>
              <w:t xml:space="preserve">: </w:t>
            </w:r>
            <w:r>
              <w:rPr>
                <w:rStyle w:val="IndexLink"/>
                <w:rtl w:val="true"/>
              </w:rPr>
              <w:t>نظرية المحقّق الأصفهاني</w:t>
            </w:r>
            <w:r>
              <w:rPr>
                <w:rStyle w:val="IndexLink"/>
                <w:rtl w:val="true"/>
              </w:rPr>
              <w:tab/>
            </w:r>
            <w:r>
              <w:rPr>
                <w:rStyle w:val="IndexLink"/>
              </w:rPr>
              <w:t>209</w:t>
            </w:r>
          </w:hyperlink>
        </w:p>
        <w:p>
          <w:pPr>
            <w:pStyle w:val="Contents4"/>
            <w:tabs>
              <w:tab w:val="clear" w:pos="8176"/>
              <w:tab w:val="right" w:pos="9026" w:leader="dot"/>
            </w:tabs>
            <w:rPr/>
          </w:pPr>
          <w:hyperlink w:anchor="__RefHeading___Toc1391249_1067777946">
            <w:r>
              <w:rPr>
                <w:webHidden/>
                <w:rStyle w:val="IndexLink"/>
                <w:rtl w:val="true"/>
              </w:rPr>
              <w:t xml:space="preserve">الثالثة </w:t>
            </w:r>
            <w:r>
              <w:rPr>
                <w:rStyle w:val="IndexLink"/>
                <w:rtl w:val="true"/>
              </w:rPr>
              <w:t xml:space="preserve">: </w:t>
            </w:r>
            <w:r>
              <w:rPr>
                <w:rStyle w:val="IndexLink"/>
                <w:rtl w:val="true"/>
              </w:rPr>
              <w:t>نظرية العلاّمة الطباطبائي</w:t>
            </w:r>
            <w:r>
              <w:rPr>
                <w:rStyle w:val="IndexLink"/>
                <w:rtl w:val="true"/>
              </w:rPr>
              <w:tab/>
            </w:r>
            <w:r>
              <w:rPr>
                <w:rStyle w:val="IndexLink"/>
              </w:rPr>
              <w:t>212</w:t>
            </w:r>
          </w:hyperlink>
        </w:p>
        <w:p>
          <w:pPr>
            <w:pStyle w:val="Contents2"/>
            <w:tabs>
              <w:tab w:val="clear" w:pos="8743"/>
              <w:tab w:val="right" w:pos="9026" w:leader="dot"/>
            </w:tabs>
            <w:rPr/>
          </w:pPr>
          <w:hyperlink w:anchor="__RefHeading___Toc1391251_1067777946">
            <w:r>
              <w:rPr>
                <w:webHidden/>
                <w:rStyle w:val="IndexLink"/>
                <w:rtl w:val="true"/>
              </w:rPr>
              <w:t>الفصل الخامس</w:t>
            </w:r>
            <w:r>
              <w:rPr>
                <w:rStyle w:val="IndexLink"/>
                <w:rtl w:val="true"/>
              </w:rPr>
              <w:t xml:space="preserve">: </w:t>
            </w:r>
            <w:r>
              <w:rPr>
                <w:rStyle w:val="IndexLink"/>
                <w:rtl w:val="true"/>
              </w:rPr>
              <w:t>رؤية الله سبحانه</w:t>
            </w:r>
            <w:r>
              <w:rPr>
                <w:rStyle w:val="IndexLink"/>
                <w:rtl w:val="true"/>
              </w:rPr>
              <w:tab/>
            </w:r>
            <w:r>
              <w:rPr>
                <w:rStyle w:val="IndexLink"/>
              </w:rPr>
              <w:t>215</w:t>
            </w:r>
          </w:hyperlink>
        </w:p>
        <w:p>
          <w:pPr>
            <w:pStyle w:val="Contents3"/>
            <w:tabs>
              <w:tab w:val="clear" w:pos="8459"/>
              <w:tab w:val="right" w:pos="9026" w:leader="dot"/>
            </w:tabs>
            <w:rPr/>
          </w:pPr>
          <w:hyperlink w:anchor="__RefHeading___Toc1391253_1067777946">
            <w:r>
              <w:rPr>
                <w:webHidden/>
                <w:rStyle w:val="IndexLink"/>
                <w:rtl w:val="true"/>
              </w:rPr>
              <w:t>اشارة</w:t>
            </w:r>
            <w:r>
              <w:rPr>
                <w:rStyle w:val="IndexLink"/>
                <w:rtl w:val="true"/>
              </w:rPr>
              <w:tab/>
            </w:r>
            <w:r>
              <w:rPr>
                <w:rStyle w:val="IndexLink"/>
              </w:rPr>
              <w:t>215</w:t>
            </w:r>
          </w:hyperlink>
        </w:p>
        <w:p>
          <w:pPr>
            <w:pStyle w:val="Contents3"/>
            <w:tabs>
              <w:tab w:val="clear" w:pos="8459"/>
              <w:tab w:val="right" w:pos="9026" w:leader="dot"/>
            </w:tabs>
            <w:rPr/>
          </w:pPr>
          <w:hyperlink w:anchor="__RefHeading___Toc1391255_1067777946">
            <w:r>
              <w:rPr>
                <w:webHidden/>
                <w:rStyle w:val="IndexLink"/>
                <w:rtl w:val="true"/>
              </w:rPr>
              <w:t>تمهيد</w:t>
            </w:r>
            <w:r>
              <w:rPr>
                <w:rStyle w:val="IndexLink"/>
                <w:rtl w:val="true"/>
              </w:rPr>
              <w:tab/>
            </w:r>
            <w:r>
              <w:rPr>
                <w:rStyle w:val="IndexLink"/>
              </w:rPr>
              <w:t>217</w:t>
            </w:r>
          </w:hyperlink>
        </w:p>
        <w:p>
          <w:pPr>
            <w:pStyle w:val="Contents3"/>
            <w:tabs>
              <w:tab w:val="clear" w:pos="8459"/>
              <w:tab w:val="right" w:pos="9026" w:leader="dot"/>
            </w:tabs>
            <w:rPr/>
          </w:pPr>
          <w:hyperlink w:anchor="__RefHeading___Toc1391257_1067777946">
            <w:r>
              <w:rPr>
                <w:webHidden/>
                <w:rStyle w:val="IndexLink"/>
              </w:rPr>
              <w:t>1</w:t>
            </w:r>
            <w:r>
              <w:rPr>
                <w:rStyle w:val="IndexLink"/>
                <w:rtl w:val="true"/>
              </w:rPr>
              <w:t xml:space="preserve">- </w:t>
            </w:r>
            <w:r>
              <w:rPr>
                <w:rStyle w:val="IndexLink"/>
                <w:rtl w:val="true"/>
              </w:rPr>
              <w:t>الرؤية فكرة يهودية مستوردة</w:t>
            </w:r>
            <w:r>
              <w:rPr>
                <w:rStyle w:val="IndexLink"/>
                <w:rtl w:val="true"/>
              </w:rPr>
              <w:tab/>
            </w:r>
            <w:r>
              <w:rPr>
                <w:rStyle w:val="IndexLink"/>
              </w:rPr>
              <w:t>218</w:t>
            </w:r>
          </w:hyperlink>
        </w:p>
        <w:p>
          <w:pPr>
            <w:pStyle w:val="Contents3"/>
            <w:tabs>
              <w:tab w:val="clear" w:pos="8459"/>
              <w:tab w:val="right" w:pos="9026" w:leader="dot"/>
            </w:tabs>
            <w:rPr/>
          </w:pPr>
          <w:hyperlink w:anchor="__RefHeading___Toc1391259_1067777946">
            <w:r>
              <w:rPr>
                <w:webHidden/>
                <w:rStyle w:val="IndexLink"/>
              </w:rPr>
              <w:t>2</w:t>
            </w:r>
            <w:r>
              <w:rPr>
                <w:rStyle w:val="IndexLink"/>
                <w:rtl w:val="true"/>
              </w:rPr>
              <w:t xml:space="preserve">- </w:t>
            </w:r>
            <w:r>
              <w:rPr>
                <w:rStyle w:val="IndexLink"/>
                <w:rtl w:val="true"/>
              </w:rPr>
              <w:t>الرؤية في العهد القديم</w:t>
            </w:r>
            <w:r>
              <w:rPr>
                <w:rStyle w:val="IndexLink"/>
                <w:rtl w:val="true"/>
              </w:rPr>
              <w:tab/>
            </w:r>
            <w:r>
              <w:rPr>
                <w:rStyle w:val="IndexLink"/>
              </w:rPr>
              <w:t>225</w:t>
            </w:r>
          </w:hyperlink>
        </w:p>
        <w:p>
          <w:pPr>
            <w:pStyle w:val="Contents3"/>
            <w:tabs>
              <w:tab w:val="clear" w:pos="8459"/>
              <w:tab w:val="right" w:pos="9026" w:leader="dot"/>
            </w:tabs>
            <w:rPr/>
          </w:pPr>
          <w:hyperlink w:anchor="__RefHeading___Toc1391261_1067777946">
            <w:r>
              <w:rPr>
                <w:webHidden/>
                <w:rStyle w:val="IndexLink"/>
              </w:rPr>
              <w:t>3</w:t>
            </w:r>
            <w:r>
              <w:rPr>
                <w:rStyle w:val="IndexLink"/>
                <w:rtl w:val="true"/>
              </w:rPr>
              <w:t xml:space="preserve">- </w:t>
            </w:r>
            <w:r>
              <w:rPr>
                <w:rStyle w:val="IndexLink"/>
                <w:rtl w:val="true"/>
              </w:rPr>
              <w:t>الرؤية في منطق العلم والعقل</w:t>
            </w:r>
            <w:r>
              <w:rPr>
                <w:rStyle w:val="IndexLink"/>
                <w:rtl w:val="true"/>
              </w:rPr>
              <w:tab/>
            </w:r>
            <w:r>
              <w:rPr>
                <w:rStyle w:val="IndexLink"/>
              </w:rPr>
              <w:t>229</w:t>
            </w:r>
          </w:hyperlink>
        </w:p>
        <w:p>
          <w:pPr>
            <w:pStyle w:val="Contents4"/>
            <w:tabs>
              <w:tab w:val="clear" w:pos="8176"/>
              <w:tab w:val="right" w:pos="9026" w:leader="dot"/>
            </w:tabs>
            <w:rPr/>
          </w:pPr>
          <w:hyperlink w:anchor="__RefHeading___Toc1391263_1067777946">
            <w:r>
              <w:rPr>
                <w:webHidden/>
                <w:rStyle w:val="IndexLink"/>
                <w:rtl w:val="true"/>
              </w:rPr>
              <w:t>اشارة</w:t>
            </w:r>
            <w:r>
              <w:rPr>
                <w:rStyle w:val="IndexLink"/>
                <w:rtl w:val="true"/>
              </w:rPr>
              <w:tab/>
            </w:r>
            <w:r>
              <w:rPr>
                <w:rStyle w:val="IndexLink"/>
              </w:rPr>
              <w:t>229</w:t>
            </w:r>
          </w:hyperlink>
        </w:p>
        <w:p>
          <w:pPr>
            <w:pStyle w:val="Contents4"/>
            <w:tabs>
              <w:tab w:val="clear" w:pos="8176"/>
              <w:tab w:val="right" w:pos="9026" w:leader="dot"/>
            </w:tabs>
            <w:rPr/>
          </w:pPr>
          <w:hyperlink w:anchor="__RefHeading___Toc1391265_1067777946">
            <w:r>
              <w:rPr>
                <w:webHidden/>
                <w:rStyle w:val="IndexLink"/>
                <w:rtl w:val="true"/>
              </w:rPr>
              <w:t>المحاولة اليائسة في تجويز الرؤية</w:t>
            </w:r>
            <w:r>
              <w:rPr>
                <w:rStyle w:val="IndexLink"/>
                <w:rtl w:val="true"/>
              </w:rPr>
              <w:tab/>
            </w:r>
            <w:r>
              <w:rPr>
                <w:rStyle w:val="IndexLink"/>
              </w:rPr>
              <w:t>230</w:t>
            </w:r>
          </w:hyperlink>
        </w:p>
        <w:p>
          <w:pPr>
            <w:pStyle w:val="Contents5"/>
            <w:tabs>
              <w:tab w:val="clear" w:pos="7892"/>
              <w:tab w:val="right" w:pos="9026" w:leader="dot"/>
            </w:tabs>
            <w:rPr/>
          </w:pPr>
          <w:hyperlink w:anchor="__RefHeading___Toc1391267_1067777946">
            <w:r>
              <w:rPr>
                <w:webHidden/>
                <w:rStyle w:val="IndexLink"/>
                <w:rtl w:val="true"/>
              </w:rPr>
              <w:t>اشارة</w:t>
            </w:r>
            <w:r>
              <w:rPr>
                <w:rStyle w:val="IndexLink"/>
                <w:rtl w:val="true"/>
              </w:rPr>
              <w:tab/>
            </w:r>
            <w:r>
              <w:rPr>
                <w:rStyle w:val="IndexLink"/>
              </w:rPr>
              <w:t>230</w:t>
            </w:r>
          </w:hyperlink>
        </w:p>
        <w:p>
          <w:pPr>
            <w:pStyle w:val="Contents5"/>
            <w:tabs>
              <w:tab w:val="clear" w:pos="7892"/>
              <w:tab w:val="right" w:pos="9026" w:leader="dot"/>
            </w:tabs>
            <w:rPr/>
          </w:pPr>
          <w:hyperlink w:anchor="__RefHeading___Toc1391269_1067777946">
            <w:r>
              <w:rPr>
                <w:webHidden/>
                <w:rStyle w:val="IndexLink"/>
              </w:rPr>
              <w:t>1</w:t>
            </w:r>
            <w:r>
              <w:rPr>
                <w:rStyle w:val="IndexLink"/>
                <w:rtl w:val="true"/>
              </w:rPr>
              <w:t xml:space="preserve">. </w:t>
            </w:r>
            <w:r>
              <w:rPr>
                <w:rStyle w:val="IndexLink"/>
                <w:rtl w:val="true"/>
              </w:rPr>
              <w:t>الرؤية بلا كيف</w:t>
            </w:r>
            <w:r>
              <w:rPr>
                <w:rStyle w:val="IndexLink"/>
                <w:rtl w:val="true"/>
              </w:rPr>
              <w:tab/>
            </w:r>
            <w:r>
              <w:rPr>
                <w:rStyle w:val="IndexLink"/>
              </w:rPr>
              <w:t>230</w:t>
            </w:r>
          </w:hyperlink>
        </w:p>
        <w:p>
          <w:pPr>
            <w:pStyle w:val="Contents5"/>
            <w:tabs>
              <w:tab w:val="clear" w:pos="7892"/>
              <w:tab w:val="right" w:pos="9026" w:leader="dot"/>
            </w:tabs>
            <w:rPr/>
          </w:pPr>
          <w:hyperlink w:anchor="__RefHeading___Toc1391271_1067777946">
            <w:r>
              <w:rPr>
                <w:webHidden/>
                <w:rStyle w:val="IndexLink"/>
              </w:rPr>
              <w:t>2</w:t>
            </w:r>
            <w:r>
              <w:rPr>
                <w:rStyle w:val="IndexLink"/>
                <w:rtl w:val="true"/>
              </w:rPr>
              <w:t xml:space="preserve">. </w:t>
            </w:r>
            <w:r>
              <w:rPr>
                <w:rStyle w:val="IndexLink"/>
                <w:rtl w:val="true"/>
              </w:rPr>
              <w:t>اختلاف الأحكام باختلاف الظروف</w:t>
            </w:r>
            <w:r>
              <w:rPr>
                <w:rStyle w:val="IndexLink"/>
                <w:rtl w:val="true"/>
              </w:rPr>
              <w:tab/>
            </w:r>
            <w:r>
              <w:rPr>
                <w:rStyle w:val="IndexLink"/>
              </w:rPr>
              <w:t>231</w:t>
            </w:r>
          </w:hyperlink>
        </w:p>
        <w:p>
          <w:pPr>
            <w:pStyle w:val="Contents5"/>
            <w:tabs>
              <w:tab w:val="clear" w:pos="7892"/>
              <w:tab w:val="right" w:pos="9026" w:leader="dot"/>
            </w:tabs>
            <w:rPr/>
          </w:pPr>
          <w:hyperlink w:anchor="__RefHeading___Toc1391273_1067777946">
            <w:r>
              <w:rPr>
                <w:webHidden/>
                <w:rStyle w:val="IndexLink"/>
              </w:rPr>
              <w:t>3</w:t>
            </w:r>
            <w:r>
              <w:rPr>
                <w:rStyle w:val="IndexLink"/>
                <w:rtl w:val="true"/>
              </w:rPr>
              <w:t xml:space="preserve">. </w:t>
            </w:r>
            <w:r>
              <w:rPr>
                <w:rStyle w:val="IndexLink"/>
                <w:rtl w:val="true"/>
              </w:rPr>
              <w:t>عدم المبالاة بإثبات الجهة</w:t>
            </w:r>
            <w:r>
              <w:rPr>
                <w:rStyle w:val="IndexLink"/>
                <w:rtl w:val="true"/>
              </w:rPr>
              <w:tab/>
            </w:r>
            <w:r>
              <w:rPr>
                <w:rStyle w:val="IndexLink"/>
              </w:rPr>
              <w:t>232</w:t>
            </w:r>
          </w:hyperlink>
        </w:p>
        <w:p>
          <w:pPr>
            <w:pStyle w:val="Contents5"/>
            <w:tabs>
              <w:tab w:val="clear" w:pos="7892"/>
              <w:tab w:val="right" w:pos="9026" w:leader="dot"/>
            </w:tabs>
            <w:rPr/>
          </w:pPr>
          <w:hyperlink w:anchor="__RefHeading___Toc1391275_1067777946">
            <w:r>
              <w:rPr>
                <w:webHidden/>
                <w:rStyle w:val="IndexLink"/>
                <w:rtl w:val="true"/>
              </w:rPr>
              <w:t xml:space="preserve">يلاحظ عليه </w:t>
            </w:r>
            <w:r>
              <w:rPr>
                <w:rStyle w:val="IndexLink"/>
                <w:rtl w:val="true"/>
              </w:rPr>
              <w:t>:</w:t>
              <w:tab/>
            </w:r>
            <w:r>
              <w:rPr>
                <w:rStyle w:val="IndexLink"/>
              </w:rPr>
              <w:t>233</w:t>
            </w:r>
          </w:hyperlink>
        </w:p>
        <w:p>
          <w:pPr>
            <w:pStyle w:val="Contents3"/>
            <w:tabs>
              <w:tab w:val="clear" w:pos="8459"/>
              <w:tab w:val="right" w:pos="9026" w:leader="dot"/>
            </w:tabs>
            <w:rPr/>
          </w:pPr>
          <w:hyperlink w:anchor="__RefHeading___Toc1391277_1067777946">
            <w:r>
              <w:rPr>
                <w:webHidden/>
                <w:rStyle w:val="IndexLink"/>
              </w:rPr>
              <w:t>4</w:t>
            </w:r>
            <w:r>
              <w:rPr>
                <w:rStyle w:val="IndexLink"/>
                <w:rtl w:val="true"/>
              </w:rPr>
              <w:t xml:space="preserve">- </w:t>
            </w:r>
            <w:r>
              <w:rPr>
                <w:rStyle w:val="IndexLink"/>
                <w:rtl w:val="true"/>
              </w:rPr>
              <w:t>موقف الذِّكر الحكيم من أمر الرؤية إجمالاً</w:t>
            </w:r>
            <w:r>
              <w:rPr>
                <w:rStyle w:val="IndexLink"/>
                <w:rtl w:val="true"/>
              </w:rPr>
              <w:tab/>
            </w:r>
            <w:r>
              <w:rPr>
                <w:rStyle w:val="IndexLink"/>
              </w:rPr>
              <w:t>235</w:t>
            </w:r>
          </w:hyperlink>
        </w:p>
        <w:p>
          <w:pPr>
            <w:pStyle w:val="Contents3"/>
            <w:tabs>
              <w:tab w:val="clear" w:pos="8459"/>
              <w:tab w:val="right" w:pos="9026" w:leader="dot"/>
            </w:tabs>
            <w:rPr/>
          </w:pPr>
          <w:hyperlink w:anchor="__RefHeading___Toc1391279_1067777946">
            <w:r>
              <w:rPr>
                <w:webHidden/>
                <w:rStyle w:val="IndexLink"/>
              </w:rPr>
              <w:t>5</w:t>
            </w:r>
            <w:r>
              <w:rPr>
                <w:rStyle w:val="IndexLink"/>
                <w:rtl w:val="true"/>
              </w:rPr>
              <w:t xml:space="preserve">- </w:t>
            </w:r>
            <w:r>
              <w:rPr>
                <w:rStyle w:val="IndexLink"/>
                <w:rtl w:val="true"/>
              </w:rPr>
              <w:t>الرؤية في الذكر الحكيم تفصيلاً</w:t>
            </w:r>
            <w:r>
              <w:rPr>
                <w:rStyle w:val="IndexLink"/>
                <w:rtl w:val="true"/>
              </w:rPr>
              <w:tab/>
            </w:r>
            <w:r>
              <w:rPr>
                <w:rStyle w:val="IndexLink"/>
              </w:rPr>
              <w:t>241</w:t>
            </w:r>
          </w:hyperlink>
        </w:p>
        <w:p>
          <w:pPr>
            <w:pStyle w:val="Contents4"/>
            <w:tabs>
              <w:tab w:val="clear" w:pos="8176"/>
              <w:tab w:val="right" w:pos="9026" w:leader="dot"/>
            </w:tabs>
            <w:rPr/>
          </w:pPr>
          <w:hyperlink w:anchor="__RefHeading___Toc1391281_1067777946">
            <w:r>
              <w:rPr>
                <w:webHidden/>
                <w:rStyle w:val="IndexLink"/>
                <w:rtl w:val="true"/>
              </w:rPr>
              <w:t xml:space="preserve">الآية الأُولى </w:t>
            </w:r>
            <w:r>
              <w:rPr>
                <w:rStyle w:val="IndexLink"/>
                <w:rtl w:val="true"/>
              </w:rPr>
              <w:t xml:space="preserve">: </w:t>
            </w:r>
            <w:r>
              <w:rPr>
                <w:rStyle w:val="IndexLink"/>
                <w:rtl w:val="true"/>
              </w:rPr>
              <w:t>عدم قدرة الأبصار على إدراكه</w:t>
            </w:r>
            <w:r>
              <w:rPr>
                <w:rStyle w:val="IndexLink"/>
                <w:rtl w:val="true"/>
              </w:rPr>
              <w:tab/>
            </w:r>
            <w:r>
              <w:rPr>
                <w:rStyle w:val="IndexLink"/>
              </w:rPr>
              <w:t>241</w:t>
            </w:r>
          </w:hyperlink>
        </w:p>
        <w:p>
          <w:pPr>
            <w:pStyle w:val="Contents5"/>
            <w:tabs>
              <w:tab w:val="clear" w:pos="7892"/>
              <w:tab w:val="right" w:pos="9026" w:leader="dot"/>
            </w:tabs>
            <w:rPr/>
          </w:pPr>
          <w:hyperlink w:anchor="__RefHeading___Toc1391283_1067777946">
            <w:r>
              <w:rPr>
                <w:webHidden/>
                <w:rStyle w:val="IndexLink"/>
                <w:rtl w:val="true"/>
              </w:rPr>
              <w:t>اشارة</w:t>
            </w:r>
            <w:r>
              <w:rPr>
                <w:rStyle w:val="IndexLink"/>
                <w:rtl w:val="true"/>
              </w:rPr>
              <w:tab/>
            </w:r>
            <w:r>
              <w:rPr>
                <w:rStyle w:val="IndexLink"/>
              </w:rPr>
              <w:t>241</w:t>
            </w:r>
          </w:hyperlink>
        </w:p>
        <w:p>
          <w:pPr>
            <w:pStyle w:val="Contents5"/>
            <w:tabs>
              <w:tab w:val="clear" w:pos="7892"/>
              <w:tab w:val="right" w:pos="9026" w:leader="dot"/>
            </w:tabs>
            <w:rPr/>
          </w:pPr>
          <w:hyperlink w:anchor="__RefHeading___Toc1391285_1067777946">
            <w:r>
              <w:rPr>
                <w:webHidden/>
                <w:rStyle w:val="IndexLink"/>
                <w:rtl w:val="true"/>
              </w:rPr>
              <w:t xml:space="preserve">المرحلة الأُولى </w:t>
            </w:r>
            <w:r>
              <w:rPr>
                <w:rStyle w:val="IndexLink"/>
                <w:rtl w:val="true"/>
              </w:rPr>
              <w:t xml:space="preserve">: </w:t>
            </w:r>
            <w:r>
              <w:rPr>
                <w:rStyle w:val="IndexLink"/>
                <w:rtl w:val="true"/>
              </w:rPr>
              <w:t>في بيان مفهوم الدرك</w:t>
            </w:r>
            <w:r>
              <w:rPr>
                <w:rStyle w:val="IndexLink"/>
                <w:rtl w:val="true"/>
              </w:rPr>
              <w:tab/>
            </w:r>
            <w:r>
              <w:rPr>
                <w:rStyle w:val="IndexLink"/>
              </w:rPr>
              <w:t>242</w:t>
            </w:r>
          </w:hyperlink>
        </w:p>
        <w:p>
          <w:pPr>
            <w:pStyle w:val="Contents5"/>
            <w:tabs>
              <w:tab w:val="clear" w:pos="7892"/>
              <w:tab w:val="right" w:pos="9026" w:leader="dot"/>
            </w:tabs>
            <w:rPr/>
          </w:pPr>
          <w:hyperlink w:anchor="__RefHeading___Toc1391287_1067777946">
            <w:r>
              <w:rPr>
                <w:webHidden/>
                <w:rStyle w:val="IndexLink"/>
                <w:rtl w:val="true"/>
              </w:rPr>
              <w:t xml:space="preserve">الثانية </w:t>
            </w:r>
            <w:r>
              <w:rPr>
                <w:rStyle w:val="IndexLink"/>
                <w:rtl w:val="true"/>
              </w:rPr>
              <w:t xml:space="preserve">: </w:t>
            </w:r>
            <w:r>
              <w:rPr>
                <w:rStyle w:val="IndexLink"/>
                <w:rtl w:val="true"/>
              </w:rPr>
              <w:t>في مفهوم الآيتين</w:t>
            </w:r>
            <w:r>
              <w:rPr>
                <w:rStyle w:val="IndexLink"/>
                <w:rtl w:val="true"/>
              </w:rPr>
              <w:tab/>
            </w:r>
            <w:r>
              <w:rPr>
                <w:rStyle w:val="IndexLink"/>
              </w:rPr>
              <w:t>243</w:t>
            </w:r>
          </w:hyperlink>
        </w:p>
        <w:p>
          <w:pPr>
            <w:pStyle w:val="Contents4"/>
            <w:tabs>
              <w:tab w:val="clear" w:pos="8176"/>
              <w:tab w:val="right" w:pos="9026" w:leader="dot"/>
            </w:tabs>
            <w:rPr/>
          </w:pPr>
          <w:hyperlink w:anchor="__RefHeading___Toc1391289_1067777946">
            <w:r>
              <w:rPr>
                <w:webHidden/>
                <w:rStyle w:val="IndexLink"/>
                <w:rtl w:val="true"/>
              </w:rPr>
              <w:t xml:space="preserve">الآية الثانية </w:t>
            </w:r>
            <w:r>
              <w:rPr>
                <w:rStyle w:val="IndexLink"/>
                <w:rtl w:val="true"/>
              </w:rPr>
              <w:t xml:space="preserve">: </w:t>
            </w:r>
            <w:r>
              <w:rPr>
                <w:rStyle w:val="IndexLink"/>
                <w:rtl w:val="true"/>
              </w:rPr>
              <w:t>الرؤية إحاطة علمية بالله سبحانه</w:t>
            </w:r>
            <w:r>
              <w:rPr>
                <w:rStyle w:val="IndexLink"/>
                <w:rtl w:val="true"/>
              </w:rPr>
              <w:tab/>
            </w:r>
            <w:r>
              <w:rPr>
                <w:rStyle w:val="IndexLink"/>
              </w:rPr>
              <w:t>244</w:t>
            </w:r>
          </w:hyperlink>
        </w:p>
        <w:p>
          <w:pPr>
            <w:pStyle w:val="Contents4"/>
            <w:tabs>
              <w:tab w:val="clear" w:pos="8176"/>
              <w:tab w:val="right" w:pos="9026" w:leader="dot"/>
            </w:tabs>
            <w:rPr/>
          </w:pPr>
          <w:hyperlink w:anchor="__RefHeading___Toc1391291_1067777946">
            <w:r>
              <w:rPr>
                <w:webHidden/>
                <w:rStyle w:val="IndexLink"/>
                <w:rtl w:val="true"/>
              </w:rPr>
              <w:t xml:space="preserve">الآية الثالثة </w:t>
            </w:r>
            <w:r>
              <w:rPr>
                <w:rStyle w:val="IndexLink"/>
                <w:rtl w:val="true"/>
              </w:rPr>
              <w:t xml:space="preserve">: </w:t>
            </w:r>
            <w:r>
              <w:rPr>
                <w:rStyle w:val="IndexLink"/>
                <w:rtl w:val="true"/>
              </w:rPr>
              <w:t>ردّ السؤال بنفي الرؤية مؤبّداً</w:t>
            </w:r>
            <w:r>
              <w:rPr>
                <w:rStyle w:val="IndexLink"/>
                <w:rtl w:val="true"/>
              </w:rPr>
              <w:tab/>
            </w:r>
            <w:r>
              <w:rPr>
                <w:rStyle w:val="IndexLink"/>
              </w:rPr>
              <w:t>245</w:t>
            </w:r>
          </w:hyperlink>
        </w:p>
        <w:p>
          <w:pPr>
            <w:pStyle w:val="Contents5"/>
            <w:tabs>
              <w:tab w:val="clear" w:pos="7892"/>
              <w:tab w:val="right" w:pos="9026" w:leader="dot"/>
            </w:tabs>
            <w:rPr/>
          </w:pPr>
          <w:hyperlink w:anchor="__RefHeading___Toc1391293_1067777946">
            <w:r>
              <w:rPr>
                <w:webHidden/>
                <w:rStyle w:val="IndexLink"/>
                <w:rtl w:val="true"/>
              </w:rPr>
              <w:t>اشارة</w:t>
            </w:r>
            <w:r>
              <w:rPr>
                <w:rStyle w:val="IndexLink"/>
                <w:rtl w:val="true"/>
              </w:rPr>
              <w:tab/>
            </w:r>
            <w:r>
              <w:rPr>
                <w:rStyle w:val="IndexLink"/>
              </w:rPr>
              <w:t>245</w:t>
            </w:r>
          </w:hyperlink>
        </w:p>
        <w:p>
          <w:pPr>
            <w:pStyle w:val="Contents5"/>
            <w:tabs>
              <w:tab w:val="clear" w:pos="7892"/>
              <w:tab w:val="right" w:pos="9026" w:leader="dot"/>
            </w:tabs>
            <w:rPr/>
          </w:pPr>
          <w:hyperlink w:anchor="__RefHeading___Toc1391295_1067777946">
            <w:r>
              <w:rPr>
                <w:webHidden/>
                <w:rStyle w:val="IndexLink"/>
              </w:rPr>
              <w:t>1</w:t>
            </w:r>
            <w:r>
              <w:rPr>
                <w:rStyle w:val="IndexLink"/>
                <w:rtl w:val="true"/>
              </w:rPr>
              <w:t xml:space="preserve">. </w:t>
            </w:r>
            <w:r>
              <w:rPr>
                <w:rStyle w:val="IndexLink"/>
                <w:rtl w:val="true"/>
              </w:rPr>
              <w:t>الإجابة بالنفي المؤبّد</w:t>
            </w:r>
            <w:r>
              <w:rPr>
                <w:rStyle w:val="IndexLink"/>
                <w:rtl w:val="true"/>
              </w:rPr>
              <w:tab/>
            </w:r>
            <w:r>
              <w:rPr>
                <w:rStyle w:val="IndexLink"/>
              </w:rPr>
              <w:t>245</w:t>
            </w:r>
          </w:hyperlink>
        </w:p>
        <w:p>
          <w:pPr>
            <w:pStyle w:val="Contents5"/>
            <w:tabs>
              <w:tab w:val="clear" w:pos="7892"/>
              <w:tab w:val="right" w:pos="9026" w:leader="dot"/>
            </w:tabs>
            <w:rPr/>
          </w:pPr>
          <w:hyperlink w:anchor="__RefHeading___Toc1391297_1067777946">
            <w:r>
              <w:rPr>
                <w:webHidden/>
                <w:rStyle w:val="IndexLink"/>
              </w:rPr>
              <w:t>2</w:t>
            </w:r>
            <w:r>
              <w:rPr>
                <w:rStyle w:val="IndexLink"/>
                <w:rtl w:val="true"/>
              </w:rPr>
              <w:t xml:space="preserve">. </w:t>
            </w:r>
            <w:r>
              <w:rPr>
                <w:rStyle w:val="IndexLink"/>
                <w:rtl w:val="true"/>
              </w:rPr>
              <w:t>تعليق الرؤية على أمر غير واقع</w:t>
            </w:r>
            <w:r>
              <w:rPr>
                <w:rStyle w:val="IndexLink"/>
                <w:rtl w:val="true"/>
              </w:rPr>
              <w:tab/>
            </w:r>
            <w:r>
              <w:rPr>
                <w:rStyle w:val="IndexLink"/>
              </w:rPr>
              <w:t>246</w:t>
            </w:r>
          </w:hyperlink>
        </w:p>
        <w:p>
          <w:pPr>
            <w:pStyle w:val="Contents5"/>
            <w:tabs>
              <w:tab w:val="clear" w:pos="7892"/>
              <w:tab w:val="right" w:pos="9026" w:leader="dot"/>
            </w:tabs>
            <w:rPr/>
          </w:pPr>
          <w:hyperlink w:anchor="__RefHeading___Toc1391299_1067777946">
            <w:r>
              <w:rPr>
                <w:webHidden/>
                <w:rStyle w:val="IndexLink"/>
              </w:rPr>
              <w:t>3</w:t>
            </w:r>
            <w:r>
              <w:rPr>
                <w:rStyle w:val="IndexLink"/>
                <w:rtl w:val="true"/>
              </w:rPr>
              <w:t xml:space="preserve">. </w:t>
            </w:r>
            <w:r>
              <w:rPr>
                <w:rStyle w:val="IndexLink"/>
                <w:rtl w:val="true"/>
              </w:rPr>
              <w:t xml:space="preserve">تنزيهه سبحانه </w:t>
            </w:r>
            <w:r>
              <w:rPr>
                <w:rStyle w:val="IndexLink"/>
                <w:rtl w:val="true"/>
              </w:rPr>
              <w:t xml:space="preserve">- </w:t>
            </w:r>
            <w:r>
              <w:rPr>
                <w:rStyle w:val="IndexLink"/>
                <w:rtl w:val="true"/>
              </w:rPr>
              <w:t xml:space="preserve">بعد الافاقة </w:t>
            </w:r>
            <w:r>
              <w:rPr>
                <w:rStyle w:val="IndexLink"/>
                <w:rtl w:val="true"/>
              </w:rPr>
              <w:t xml:space="preserve">- </w:t>
            </w:r>
            <w:r>
              <w:rPr>
                <w:rStyle w:val="IndexLink"/>
                <w:rtl w:val="true"/>
              </w:rPr>
              <w:t>عن الرؤية</w:t>
            </w:r>
            <w:r>
              <w:rPr>
                <w:rStyle w:val="IndexLink"/>
                <w:rtl w:val="true"/>
              </w:rPr>
              <w:tab/>
            </w:r>
            <w:r>
              <w:rPr>
                <w:rStyle w:val="IndexLink"/>
              </w:rPr>
              <w:t>247</w:t>
            </w:r>
          </w:hyperlink>
        </w:p>
        <w:p>
          <w:pPr>
            <w:pStyle w:val="Contents5"/>
            <w:tabs>
              <w:tab w:val="clear" w:pos="7892"/>
              <w:tab w:val="right" w:pos="9026" w:leader="dot"/>
            </w:tabs>
            <w:rPr/>
          </w:pPr>
          <w:hyperlink w:anchor="__RefHeading___Toc1391301_1067777946">
            <w:r>
              <w:rPr>
                <w:webHidden/>
                <w:rStyle w:val="IndexLink"/>
              </w:rPr>
              <w:t>4</w:t>
            </w:r>
            <w:r>
              <w:rPr>
                <w:rStyle w:val="IndexLink"/>
                <w:rtl w:val="true"/>
              </w:rPr>
              <w:t xml:space="preserve">. </w:t>
            </w:r>
            <w:r>
              <w:rPr>
                <w:rStyle w:val="IndexLink"/>
                <w:rtl w:val="true"/>
              </w:rPr>
              <w:t>توبته لأجل طلب الرؤية</w:t>
            </w:r>
            <w:r>
              <w:rPr>
                <w:rStyle w:val="IndexLink"/>
                <w:rtl w:val="true"/>
              </w:rPr>
              <w:tab/>
            </w:r>
            <w:r>
              <w:rPr>
                <w:rStyle w:val="IndexLink"/>
              </w:rPr>
              <w:t>247</w:t>
            </w:r>
          </w:hyperlink>
        </w:p>
        <w:p>
          <w:pPr>
            <w:pStyle w:val="Contents6"/>
            <w:tabs>
              <w:tab w:val="clear" w:pos="7609"/>
              <w:tab w:val="right" w:pos="9026" w:leader="dot"/>
            </w:tabs>
            <w:rPr/>
          </w:pPr>
          <w:hyperlink w:anchor="__RefHeading___Toc1391303_1067777946">
            <w:r>
              <w:rPr>
                <w:webHidden/>
                <w:rStyle w:val="IndexLink"/>
                <w:rtl w:val="true"/>
              </w:rPr>
              <w:t>اشارة</w:t>
            </w:r>
            <w:r>
              <w:rPr>
                <w:rStyle w:val="IndexLink"/>
                <w:rtl w:val="true"/>
              </w:rPr>
              <w:tab/>
            </w:r>
            <w:r>
              <w:rPr>
                <w:rStyle w:val="IndexLink"/>
              </w:rPr>
              <w:t>247</w:t>
            </w:r>
          </w:hyperlink>
        </w:p>
        <w:p>
          <w:pPr>
            <w:pStyle w:val="Contents6"/>
            <w:tabs>
              <w:tab w:val="clear" w:pos="7609"/>
              <w:tab w:val="right" w:pos="9026" w:leader="dot"/>
            </w:tabs>
            <w:rPr/>
          </w:pPr>
          <w:hyperlink w:anchor="__RefHeading___Toc1391305_1067777946">
            <w:r>
              <w:rPr>
                <w:webHidden/>
                <w:rStyle w:val="IndexLink"/>
                <w:rtl w:val="true"/>
              </w:rPr>
              <w:t>إجابة عن سؤال</w:t>
            </w:r>
            <w:r>
              <w:rPr>
                <w:rStyle w:val="IndexLink"/>
                <w:rtl w:val="true"/>
              </w:rPr>
              <w:tab/>
            </w:r>
            <w:r>
              <w:rPr>
                <w:rStyle w:val="IndexLink"/>
              </w:rPr>
              <w:t>247</w:t>
            </w:r>
          </w:hyperlink>
        </w:p>
        <w:p>
          <w:pPr>
            <w:pStyle w:val="Contents3"/>
            <w:tabs>
              <w:tab w:val="clear" w:pos="8459"/>
              <w:tab w:val="right" w:pos="9026" w:leader="dot"/>
            </w:tabs>
            <w:rPr/>
          </w:pPr>
          <w:hyperlink w:anchor="__RefHeading___Toc1391307_1067777946">
            <w:r>
              <w:rPr>
                <w:webHidden/>
                <w:rStyle w:val="IndexLink"/>
              </w:rPr>
              <w:t>6</w:t>
            </w:r>
            <w:r>
              <w:rPr>
                <w:rStyle w:val="IndexLink"/>
                <w:rtl w:val="true"/>
              </w:rPr>
              <w:t xml:space="preserve">- </w:t>
            </w:r>
            <w:r>
              <w:rPr>
                <w:rStyle w:val="IndexLink"/>
                <w:rtl w:val="true"/>
              </w:rPr>
              <w:t>الرؤية في كلمات أئمّة أهل البيت عليهم السلام</w:t>
            </w:r>
            <w:r>
              <w:rPr>
                <w:rStyle w:val="IndexLink"/>
                <w:rtl w:val="true"/>
              </w:rPr>
              <w:tab/>
            </w:r>
            <w:r>
              <w:rPr>
                <w:rStyle w:val="IndexLink"/>
              </w:rPr>
              <w:t>249</w:t>
            </w:r>
          </w:hyperlink>
        </w:p>
        <w:p>
          <w:pPr>
            <w:pStyle w:val="Contents3"/>
            <w:tabs>
              <w:tab w:val="clear" w:pos="8459"/>
              <w:tab w:val="right" w:pos="9026" w:leader="dot"/>
            </w:tabs>
            <w:rPr/>
          </w:pPr>
          <w:hyperlink w:anchor="__RefHeading___Toc1391309_1067777946">
            <w:r>
              <w:rPr>
                <w:webHidden/>
                <w:rStyle w:val="IndexLink"/>
              </w:rPr>
              <w:t>7</w:t>
            </w:r>
            <w:r>
              <w:rPr>
                <w:rStyle w:val="IndexLink"/>
                <w:rtl w:val="true"/>
              </w:rPr>
              <w:t xml:space="preserve">- </w:t>
            </w:r>
            <w:r>
              <w:rPr>
                <w:rStyle w:val="IndexLink"/>
                <w:rtl w:val="true"/>
              </w:rPr>
              <w:t>شبهات القائلين بالرؤية</w:t>
            </w:r>
            <w:r>
              <w:rPr>
                <w:rStyle w:val="IndexLink"/>
                <w:rtl w:val="true"/>
              </w:rPr>
              <w:tab/>
            </w:r>
            <w:r>
              <w:rPr>
                <w:rStyle w:val="IndexLink"/>
              </w:rPr>
              <w:t>252</w:t>
            </w:r>
          </w:hyperlink>
        </w:p>
        <w:p>
          <w:pPr>
            <w:pStyle w:val="Contents3"/>
            <w:tabs>
              <w:tab w:val="clear" w:pos="8459"/>
              <w:tab w:val="right" w:pos="9026" w:leader="dot"/>
            </w:tabs>
            <w:rPr/>
          </w:pPr>
          <w:hyperlink w:anchor="__RefHeading___Toc1391311_1067777946">
            <w:r>
              <w:rPr>
                <w:webHidden/>
                <w:rStyle w:val="IndexLink"/>
              </w:rPr>
              <w:t>8</w:t>
            </w:r>
            <w:r>
              <w:rPr>
                <w:rStyle w:val="IndexLink"/>
                <w:rtl w:val="true"/>
              </w:rPr>
              <w:t xml:space="preserve">- </w:t>
            </w:r>
            <w:r>
              <w:rPr>
                <w:rStyle w:val="IndexLink"/>
                <w:rtl w:val="true"/>
              </w:rPr>
              <w:t>رؤيته تعالى في الأحاديث النبوية</w:t>
            </w:r>
            <w:r>
              <w:rPr>
                <w:rStyle w:val="IndexLink"/>
                <w:rtl w:val="true"/>
              </w:rPr>
              <w:tab/>
            </w:r>
            <w:r>
              <w:rPr>
                <w:rStyle w:val="IndexLink"/>
              </w:rPr>
              <w:t>258</w:t>
            </w:r>
          </w:hyperlink>
        </w:p>
        <w:p>
          <w:pPr>
            <w:pStyle w:val="Contents4"/>
            <w:tabs>
              <w:tab w:val="clear" w:pos="8176"/>
              <w:tab w:val="right" w:pos="9026" w:leader="dot"/>
            </w:tabs>
            <w:rPr/>
          </w:pPr>
          <w:hyperlink w:anchor="__RefHeading___Toc1391313_1067777946">
            <w:r>
              <w:rPr>
                <w:webHidden/>
                <w:rStyle w:val="IndexLink"/>
                <w:rtl w:val="true"/>
              </w:rPr>
              <w:t>اشارة</w:t>
            </w:r>
            <w:r>
              <w:rPr>
                <w:rStyle w:val="IndexLink"/>
                <w:rtl w:val="true"/>
              </w:rPr>
              <w:tab/>
            </w:r>
            <w:r>
              <w:rPr>
                <w:rStyle w:val="IndexLink"/>
              </w:rPr>
              <w:t>258</w:t>
            </w:r>
          </w:hyperlink>
        </w:p>
        <w:p>
          <w:pPr>
            <w:pStyle w:val="Contents4"/>
            <w:tabs>
              <w:tab w:val="clear" w:pos="8176"/>
              <w:tab w:val="right" w:pos="9026" w:leader="dot"/>
            </w:tabs>
            <w:rPr/>
          </w:pPr>
          <w:hyperlink w:anchor="__RefHeading___Toc1391315_1067777946">
            <w:r>
              <w:rPr>
                <w:webHidden/>
                <w:rStyle w:val="IndexLink"/>
                <w:rtl w:val="true"/>
              </w:rPr>
              <w:t>تحليل الحديث</w:t>
            </w:r>
            <w:r>
              <w:rPr>
                <w:rStyle w:val="IndexLink"/>
                <w:rtl w:val="true"/>
              </w:rPr>
              <w:tab/>
            </w:r>
            <w:r>
              <w:rPr>
                <w:rStyle w:val="IndexLink"/>
              </w:rPr>
              <w:t>260</w:t>
            </w:r>
          </w:hyperlink>
        </w:p>
        <w:p>
          <w:pPr>
            <w:pStyle w:val="Contents2"/>
            <w:tabs>
              <w:tab w:val="clear" w:pos="8743"/>
              <w:tab w:val="right" w:pos="9026" w:leader="dot"/>
            </w:tabs>
            <w:rPr/>
          </w:pPr>
          <w:hyperlink w:anchor="__RefHeading___Toc1391317_1067777946">
            <w:r>
              <w:rPr>
                <w:webHidden/>
                <w:rStyle w:val="IndexLink"/>
                <w:rtl w:val="true"/>
              </w:rPr>
              <w:t>الفصل السادس</w:t>
            </w:r>
            <w:r>
              <w:rPr>
                <w:rStyle w:val="IndexLink"/>
                <w:rtl w:val="true"/>
              </w:rPr>
              <w:t xml:space="preserve">: </w:t>
            </w:r>
            <w:r>
              <w:rPr>
                <w:rStyle w:val="IndexLink"/>
                <w:rtl w:val="true"/>
              </w:rPr>
              <w:t>عصمة الأنبياء في القرآن الكريم</w:t>
            </w:r>
            <w:r>
              <w:rPr>
                <w:rStyle w:val="IndexLink"/>
                <w:rtl w:val="true"/>
              </w:rPr>
              <w:tab/>
            </w:r>
            <w:r>
              <w:rPr>
                <w:rStyle w:val="IndexLink"/>
              </w:rPr>
              <w:t>265</w:t>
            </w:r>
          </w:hyperlink>
        </w:p>
        <w:p>
          <w:pPr>
            <w:pStyle w:val="Contents3"/>
            <w:tabs>
              <w:tab w:val="clear" w:pos="8459"/>
              <w:tab w:val="right" w:pos="9026" w:leader="dot"/>
            </w:tabs>
            <w:rPr/>
          </w:pPr>
          <w:hyperlink w:anchor="__RefHeading___Toc1391319_1067777946">
            <w:r>
              <w:rPr>
                <w:webHidden/>
                <w:rStyle w:val="IndexLink"/>
                <w:rtl w:val="true"/>
              </w:rPr>
              <w:t>اشارة</w:t>
            </w:r>
            <w:r>
              <w:rPr>
                <w:rStyle w:val="IndexLink"/>
                <w:rtl w:val="true"/>
              </w:rPr>
              <w:tab/>
            </w:r>
            <w:r>
              <w:rPr>
                <w:rStyle w:val="IndexLink"/>
              </w:rPr>
              <w:t>265</w:t>
            </w:r>
          </w:hyperlink>
        </w:p>
        <w:p>
          <w:pPr>
            <w:pStyle w:val="Contents3"/>
            <w:tabs>
              <w:tab w:val="clear" w:pos="8459"/>
              <w:tab w:val="right" w:pos="9026" w:leader="dot"/>
            </w:tabs>
            <w:rPr/>
          </w:pPr>
          <w:hyperlink w:anchor="__RefHeading___Toc1391321_1067777946">
            <w:r>
              <w:rPr>
                <w:webHidden/>
                <w:rStyle w:val="IndexLink"/>
              </w:rPr>
              <w:t>1</w:t>
            </w:r>
            <w:r>
              <w:rPr>
                <w:rStyle w:val="IndexLink"/>
                <w:rtl w:val="true"/>
              </w:rPr>
              <w:t xml:space="preserve">- </w:t>
            </w:r>
            <w:r>
              <w:rPr>
                <w:rStyle w:val="IndexLink"/>
                <w:rtl w:val="true"/>
              </w:rPr>
              <w:t>العصمة في اللغة والاصطلاح</w:t>
            </w:r>
            <w:r>
              <w:rPr>
                <w:rStyle w:val="IndexLink"/>
                <w:rtl w:val="true"/>
              </w:rPr>
              <w:tab/>
            </w:r>
            <w:r>
              <w:rPr>
                <w:rStyle w:val="IndexLink"/>
              </w:rPr>
              <w:t>267</w:t>
            </w:r>
          </w:hyperlink>
        </w:p>
        <w:p>
          <w:pPr>
            <w:pStyle w:val="Contents4"/>
            <w:tabs>
              <w:tab w:val="clear" w:pos="8176"/>
              <w:tab w:val="right" w:pos="9026" w:leader="dot"/>
            </w:tabs>
            <w:rPr/>
          </w:pPr>
          <w:hyperlink w:anchor="__RefHeading___Toc1391323_1067777946">
            <w:r>
              <w:rPr>
                <w:webHidden/>
                <w:rStyle w:val="IndexLink"/>
                <w:rtl w:val="true"/>
              </w:rPr>
              <w:t>اشارة</w:t>
            </w:r>
            <w:r>
              <w:rPr>
                <w:rStyle w:val="IndexLink"/>
                <w:rtl w:val="true"/>
              </w:rPr>
              <w:tab/>
            </w:r>
            <w:r>
              <w:rPr>
                <w:rStyle w:val="IndexLink"/>
              </w:rPr>
              <w:t>267</w:t>
            </w:r>
          </w:hyperlink>
        </w:p>
        <w:p>
          <w:pPr>
            <w:pStyle w:val="Contents4"/>
            <w:tabs>
              <w:tab w:val="clear" w:pos="8176"/>
              <w:tab w:val="right" w:pos="9026" w:leader="dot"/>
            </w:tabs>
            <w:rPr/>
          </w:pPr>
          <w:hyperlink w:anchor="__RefHeading___Toc1391325_1067777946">
            <w:r>
              <w:rPr>
                <w:webHidden/>
                <w:rStyle w:val="IndexLink"/>
                <w:rtl w:val="true"/>
              </w:rPr>
              <w:t>مبدأ ظهور فكرة العصمة بين المسلمين</w:t>
            </w:r>
            <w:r>
              <w:rPr>
                <w:rStyle w:val="IndexLink"/>
                <w:rtl w:val="true"/>
              </w:rPr>
              <w:tab/>
            </w:r>
            <w:r>
              <w:rPr>
                <w:rStyle w:val="IndexLink"/>
              </w:rPr>
              <w:t>268</w:t>
            </w:r>
          </w:hyperlink>
        </w:p>
        <w:p>
          <w:pPr>
            <w:pStyle w:val="Contents3"/>
            <w:tabs>
              <w:tab w:val="clear" w:pos="8459"/>
              <w:tab w:val="right" w:pos="9026" w:leader="dot"/>
            </w:tabs>
            <w:rPr/>
          </w:pPr>
          <w:hyperlink w:anchor="__RefHeading___Toc1391327_1067777946">
            <w:r>
              <w:rPr>
                <w:webHidden/>
                <w:rStyle w:val="IndexLink"/>
              </w:rPr>
              <w:t>2</w:t>
            </w:r>
            <w:r>
              <w:rPr>
                <w:rStyle w:val="IndexLink"/>
                <w:rtl w:val="true"/>
              </w:rPr>
              <w:t xml:space="preserve">- </w:t>
            </w:r>
            <w:r>
              <w:rPr>
                <w:rStyle w:val="IndexLink"/>
                <w:rtl w:val="true"/>
              </w:rPr>
              <w:t>تعريف العصمة وحقيقتها</w:t>
            </w:r>
            <w:r>
              <w:rPr>
                <w:rStyle w:val="IndexLink"/>
                <w:rtl w:val="true"/>
              </w:rPr>
              <w:tab/>
            </w:r>
            <w:r>
              <w:rPr>
                <w:rStyle w:val="IndexLink"/>
              </w:rPr>
              <w:t>271</w:t>
            </w:r>
          </w:hyperlink>
        </w:p>
        <w:p>
          <w:pPr>
            <w:pStyle w:val="Contents4"/>
            <w:tabs>
              <w:tab w:val="clear" w:pos="8176"/>
              <w:tab w:val="right" w:pos="9026" w:leader="dot"/>
            </w:tabs>
            <w:rPr/>
          </w:pPr>
          <w:hyperlink w:anchor="__RefHeading___Toc1391329_1067777946">
            <w:r>
              <w:rPr>
                <w:webHidden/>
                <w:rStyle w:val="IndexLink"/>
                <w:rtl w:val="true"/>
              </w:rPr>
              <w:t>اشارة</w:t>
            </w:r>
            <w:r>
              <w:rPr>
                <w:rStyle w:val="IndexLink"/>
                <w:rtl w:val="true"/>
              </w:rPr>
              <w:tab/>
            </w:r>
            <w:r>
              <w:rPr>
                <w:rStyle w:val="IndexLink"/>
              </w:rPr>
              <w:t>271</w:t>
            </w:r>
          </w:hyperlink>
        </w:p>
        <w:p>
          <w:pPr>
            <w:pStyle w:val="Contents4"/>
            <w:tabs>
              <w:tab w:val="clear" w:pos="8176"/>
              <w:tab w:val="right" w:pos="9026" w:leader="dot"/>
            </w:tabs>
            <w:rPr/>
          </w:pPr>
          <w:hyperlink w:anchor="__RefHeading___Toc1391331_1067777946">
            <w:r>
              <w:rPr>
                <w:webHidden/>
                <w:rStyle w:val="IndexLink"/>
              </w:rPr>
              <w:t>1</w:t>
            </w:r>
            <w:r>
              <w:rPr>
                <w:rStyle w:val="IndexLink"/>
                <w:rtl w:val="true"/>
              </w:rPr>
              <w:t xml:space="preserve">. </w:t>
            </w:r>
            <w:r>
              <w:rPr>
                <w:rStyle w:val="IndexLink"/>
                <w:rtl w:val="true"/>
              </w:rPr>
              <w:t>العصمة ، الدرجة القصوى من التقوى</w:t>
            </w:r>
            <w:r>
              <w:rPr>
                <w:rStyle w:val="IndexLink"/>
                <w:rtl w:val="true"/>
              </w:rPr>
              <w:tab/>
            </w:r>
            <w:r>
              <w:rPr>
                <w:rStyle w:val="IndexLink"/>
              </w:rPr>
              <w:t>272</w:t>
            </w:r>
          </w:hyperlink>
        </w:p>
        <w:p>
          <w:pPr>
            <w:pStyle w:val="Contents4"/>
            <w:tabs>
              <w:tab w:val="clear" w:pos="8176"/>
              <w:tab w:val="right" w:pos="9026" w:leader="dot"/>
            </w:tabs>
            <w:rPr/>
          </w:pPr>
          <w:hyperlink w:anchor="__RefHeading___Toc1391333_1067777946">
            <w:r>
              <w:rPr>
                <w:webHidden/>
                <w:rStyle w:val="IndexLink"/>
              </w:rPr>
              <w:t>2</w:t>
            </w:r>
            <w:r>
              <w:rPr>
                <w:rStyle w:val="IndexLink"/>
                <w:rtl w:val="true"/>
              </w:rPr>
              <w:t xml:space="preserve">. </w:t>
            </w:r>
            <w:r>
              <w:rPr>
                <w:rStyle w:val="IndexLink"/>
                <w:rtl w:val="true"/>
              </w:rPr>
              <w:t xml:space="preserve">العصمة </w:t>
            </w:r>
            <w:r>
              <w:rPr>
                <w:rStyle w:val="IndexLink"/>
                <w:rtl w:val="true"/>
              </w:rPr>
              <w:t xml:space="preserve">: </w:t>
            </w:r>
            <w:r>
              <w:rPr>
                <w:rStyle w:val="IndexLink"/>
                <w:rtl w:val="true"/>
              </w:rPr>
              <w:t>نتيجة العلم القطعي بعواقب المعاصي</w:t>
            </w:r>
            <w:r>
              <w:rPr>
                <w:rStyle w:val="IndexLink"/>
                <w:rtl w:val="true"/>
              </w:rPr>
              <w:tab/>
            </w:r>
            <w:r>
              <w:rPr>
                <w:rStyle w:val="IndexLink"/>
              </w:rPr>
              <w:t>274</w:t>
            </w:r>
          </w:hyperlink>
        </w:p>
        <w:p>
          <w:pPr>
            <w:pStyle w:val="Contents4"/>
            <w:tabs>
              <w:tab w:val="clear" w:pos="8176"/>
              <w:tab w:val="right" w:pos="9026" w:leader="dot"/>
            </w:tabs>
            <w:rPr/>
          </w:pPr>
          <w:hyperlink w:anchor="__RefHeading___Toc1391335_1067777946">
            <w:r>
              <w:rPr>
                <w:webHidden/>
                <w:rStyle w:val="IndexLink"/>
              </w:rPr>
              <w:t>3</w:t>
            </w:r>
            <w:r>
              <w:rPr>
                <w:rStyle w:val="IndexLink"/>
                <w:rtl w:val="true"/>
              </w:rPr>
              <w:t xml:space="preserve">. </w:t>
            </w:r>
            <w:r>
              <w:rPr>
                <w:rStyle w:val="IndexLink"/>
                <w:rtl w:val="true"/>
              </w:rPr>
              <w:t>الاستشعار بعظمة الربّ وكماله وجماله</w:t>
            </w:r>
            <w:r>
              <w:rPr>
                <w:rStyle w:val="IndexLink"/>
                <w:rtl w:val="true"/>
              </w:rPr>
              <w:tab/>
            </w:r>
            <w:r>
              <w:rPr>
                <w:rStyle w:val="IndexLink"/>
              </w:rPr>
              <w:t>276</w:t>
            </w:r>
          </w:hyperlink>
        </w:p>
        <w:p>
          <w:pPr>
            <w:pStyle w:val="Contents3"/>
            <w:tabs>
              <w:tab w:val="clear" w:pos="8459"/>
              <w:tab w:val="right" w:pos="9026" w:leader="dot"/>
            </w:tabs>
            <w:rPr/>
          </w:pPr>
          <w:hyperlink w:anchor="__RefHeading___Toc1391337_1067777946">
            <w:r>
              <w:rPr>
                <w:webHidden/>
                <w:rStyle w:val="IndexLink"/>
              </w:rPr>
              <w:t>3</w:t>
            </w:r>
            <w:r>
              <w:rPr>
                <w:rStyle w:val="IndexLink"/>
                <w:rtl w:val="true"/>
              </w:rPr>
              <w:t xml:space="preserve">- </w:t>
            </w:r>
            <w:r>
              <w:rPr>
                <w:rStyle w:val="IndexLink"/>
                <w:rtl w:val="true"/>
              </w:rPr>
              <w:t>هل العصمة موهبة إلهية أو أمر اكتسابي</w:t>
            </w:r>
            <w:r>
              <w:rPr>
                <w:rStyle w:val="IndexLink"/>
                <w:rtl w:val="true"/>
              </w:rPr>
              <w:tab/>
            </w:r>
            <w:r>
              <w:rPr>
                <w:rStyle w:val="IndexLink"/>
              </w:rPr>
              <w:t>277</w:t>
            </w:r>
          </w:hyperlink>
        </w:p>
        <w:p>
          <w:pPr>
            <w:pStyle w:val="Contents4"/>
            <w:tabs>
              <w:tab w:val="clear" w:pos="8176"/>
              <w:tab w:val="right" w:pos="9026" w:leader="dot"/>
            </w:tabs>
            <w:rPr/>
          </w:pPr>
          <w:hyperlink w:anchor="__RefHeading___Toc1391339_1067777946">
            <w:r>
              <w:rPr>
                <w:webHidden/>
                <w:rStyle w:val="IndexLink"/>
                <w:rtl w:val="true"/>
              </w:rPr>
              <w:t>اشارة</w:t>
            </w:r>
            <w:r>
              <w:rPr>
                <w:rStyle w:val="IndexLink"/>
                <w:rtl w:val="true"/>
              </w:rPr>
              <w:tab/>
            </w:r>
            <w:r>
              <w:rPr>
                <w:rStyle w:val="IndexLink"/>
              </w:rPr>
              <w:t>277</w:t>
            </w:r>
          </w:hyperlink>
        </w:p>
        <w:p>
          <w:pPr>
            <w:pStyle w:val="Contents4"/>
            <w:tabs>
              <w:tab w:val="clear" w:pos="8176"/>
              <w:tab w:val="right" w:pos="9026" w:leader="dot"/>
            </w:tabs>
            <w:rPr/>
          </w:pPr>
          <w:hyperlink w:anchor="__RefHeading___Toc1391341_1067777946">
            <w:r>
              <w:rPr>
                <w:webHidden/>
                <w:rStyle w:val="IndexLink"/>
                <w:rtl w:val="true"/>
              </w:rPr>
              <w:t>إفاضة العصمة بعد توفر أرضية صالحة</w:t>
            </w:r>
            <w:r>
              <w:rPr>
                <w:rStyle w:val="IndexLink"/>
                <w:rtl w:val="true"/>
              </w:rPr>
              <w:tab/>
            </w:r>
            <w:r>
              <w:rPr>
                <w:rStyle w:val="IndexLink"/>
              </w:rPr>
              <w:t>278</w:t>
            </w:r>
          </w:hyperlink>
        </w:p>
        <w:p>
          <w:pPr>
            <w:pStyle w:val="Contents3"/>
            <w:tabs>
              <w:tab w:val="clear" w:pos="8459"/>
              <w:tab w:val="right" w:pos="9026" w:leader="dot"/>
            </w:tabs>
            <w:rPr/>
          </w:pPr>
          <w:hyperlink w:anchor="__RefHeading___Toc1391343_1067777946">
            <w:r>
              <w:rPr>
                <w:webHidden/>
                <w:rStyle w:val="IndexLink"/>
              </w:rPr>
              <w:t>4</w:t>
            </w:r>
            <w:r>
              <w:rPr>
                <w:rStyle w:val="IndexLink"/>
                <w:rtl w:val="true"/>
              </w:rPr>
              <w:t xml:space="preserve">- </w:t>
            </w:r>
            <w:r>
              <w:rPr>
                <w:rStyle w:val="IndexLink"/>
                <w:rtl w:val="true"/>
              </w:rPr>
              <w:t>العصمة وسلب الاختيار</w:t>
            </w:r>
            <w:r>
              <w:rPr>
                <w:rStyle w:val="IndexLink"/>
                <w:rtl w:val="true"/>
              </w:rPr>
              <w:tab/>
            </w:r>
            <w:r>
              <w:rPr>
                <w:rStyle w:val="IndexLink"/>
              </w:rPr>
              <w:t>282</w:t>
            </w:r>
          </w:hyperlink>
        </w:p>
        <w:p>
          <w:pPr>
            <w:pStyle w:val="Contents3"/>
            <w:tabs>
              <w:tab w:val="clear" w:pos="8459"/>
              <w:tab w:val="right" w:pos="9026" w:leader="dot"/>
            </w:tabs>
            <w:rPr/>
          </w:pPr>
          <w:hyperlink w:anchor="__RefHeading___Toc1391345_1067777946">
            <w:r>
              <w:rPr>
                <w:webHidden/>
                <w:rStyle w:val="IndexLink"/>
              </w:rPr>
              <w:t>5</w:t>
            </w:r>
            <w:r>
              <w:rPr>
                <w:rStyle w:val="IndexLink"/>
                <w:rtl w:val="true"/>
              </w:rPr>
              <w:t xml:space="preserve"> - </w:t>
            </w:r>
            <w:r>
              <w:rPr>
                <w:rStyle w:val="IndexLink"/>
                <w:rtl w:val="true"/>
              </w:rPr>
              <w:t>مراحل العصمة وأدلّتها</w:t>
            </w:r>
            <w:r>
              <w:rPr>
                <w:rStyle w:val="IndexLink"/>
                <w:rtl w:val="true"/>
              </w:rPr>
              <w:tab/>
            </w:r>
            <w:r>
              <w:rPr>
                <w:rStyle w:val="IndexLink"/>
              </w:rPr>
              <w:t>285</w:t>
            </w:r>
          </w:hyperlink>
        </w:p>
        <w:p>
          <w:pPr>
            <w:pStyle w:val="Contents4"/>
            <w:tabs>
              <w:tab w:val="clear" w:pos="8176"/>
              <w:tab w:val="right" w:pos="9026" w:leader="dot"/>
            </w:tabs>
            <w:rPr/>
          </w:pPr>
          <w:hyperlink w:anchor="__RefHeading___Toc1391347_1067777946">
            <w:r>
              <w:rPr>
                <w:webHidden/>
                <w:rStyle w:val="IndexLink"/>
                <w:rtl w:val="true"/>
              </w:rPr>
              <w:t>اشارة</w:t>
            </w:r>
            <w:r>
              <w:rPr>
                <w:rStyle w:val="IndexLink"/>
                <w:rtl w:val="true"/>
              </w:rPr>
              <w:tab/>
            </w:r>
            <w:r>
              <w:rPr>
                <w:rStyle w:val="IndexLink"/>
              </w:rPr>
              <w:t>285</w:t>
            </w:r>
          </w:hyperlink>
        </w:p>
        <w:p>
          <w:pPr>
            <w:pStyle w:val="Contents4"/>
            <w:tabs>
              <w:tab w:val="clear" w:pos="8176"/>
              <w:tab w:val="right" w:pos="9026" w:leader="dot"/>
            </w:tabs>
            <w:rPr/>
          </w:pPr>
          <w:hyperlink w:anchor="__RefHeading___Toc1391349_1067777946">
            <w:r>
              <w:rPr>
                <w:webHidden/>
                <w:rStyle w:val="IndexLink"/>
                <w:rtl w:val="true"/>
              </w:rPr>
              <w:t>المرحلة الأُولى</w:t>
            </w:r>
            <w:r>
              <w:rPr>
                <w:rStyle w:val="IndexLink"/>
                <w:rtl w:val="true"/>
              </w:rPr>
              <w:tab/>
            </w:r>
            <w:r>
              <w:rPr>
                <w:rStyle w:val="IndexLink"/>
              </w:rPr>
              <w:t>286</w:t>
            </w:r>
          </w:hyperlink>
        </w:p>
        <w:p>
          <w:pPr>
            <w:pStyle w:val="Contents3"/>
            <w:tabs>
              <w:tab w:val="clear" w:pos="8459"/>
              <w:tab w:val="right" w:pos="9026" w:leader="dot"/>
            </w:tabs>
            <w:rPr/>
          </w:pPr>
          <w:hyperlink w:anchor="__RefHeading___Toc1391351_1067777946">
            <w:r>
              <w:rPr>
                <w:webHidden/>
                <w:rStyle w:val="IndexLink"/>
              </w:rPr>
              <w:t>5</w:t>
            </w:r>
            <w:r>
              <w:rPr>
                <w:rStyle w:val="IndexLink"/>
                <w:rtl w:val="true"/>
              </w:rPr>
              <w:t xml:space="preserve">- </w:t>
            </w:r>
            <w:r>
              <w:rPr>
                <w:rStyle w:val="IndexLink"/>
                <w:rtl w:val="true"/>
              </w:rPr>
              <w:t>العصمة في تبليغ الرسالة</w:t>
            </w:r>
            <w:r>
              <w:rPr>
                <w:rStyle w:val="IndexLink"/>
                <w:rtl w:val="true"/>
              </w:rPr>
              <w:tab/>
            </w:r>
            <w:r>
              <w:rPr>
                <w:rStyle w:val="IndexLink"/>
              </w:rPr>
              <w:t>286</w:t>
            </w:r>
          </w:hyperlink>
        </w:p>
        <w:p>
          <w:pPr>
            <w:pStyle w:val="Contents4"/>
            <w:tabs>
              <w:tab w:val="clear" w:pos="8176"/>
              <w:tab w:val="right" w:pos="9026" w:leader="dot"/>
            </w:tabs>
            <w:rPr/>
          </w:pPr>
          <w:hyperlink w:anchor="__RefHeading___Toc1391353_1067777946">
            <w:r>
              <w:rPr>
                <w:webHidden/>
                <w:rStyle w:val="IndexLink"/>
                <w:rtl w:val="true"/>
              </w:rPr>
              <w:t>اشارة</w:t>
            </w:r>
            <w:r>
              <w:rPr>
                <w:rStyle w:val="IndexLink"/>
                <w:rtl w:val="true"/>
              </w:rPr>
              <w:tab/>
            </w:r>
            <w:r>
              <w:rPr>
                <w:rStyle w:val="IndexLink"/>
              </w:rPr>
              <w:t>286</w:t>
            </w:r>
          </w:hyperlink>
        </w:p>
        <w:p>
          <w:pPr>
            <w:pStyle w:val="Contents4"/>
            <w:tabs>
              <w:tab w:val="clear" w:pos="8176"/>
              <w:tab w:val="right" w:pos="9026" w:leader="dot"/>
            </w:tabs>
            <w:rPr/>
          </w:pPr>
          <w:hyperlink w:anchor="__RefHeading___Toc1391355_1067777946">
            <w:r>
              <w:rPr>
                <w:webHidden/>
                <w:rStyle w:val="IndexLink"/>
                <w:rtl w:val="true"/>
              </w:rPr>
              <w:t>الآية الأُولى</w:t>
            </w:r>
            <w:r>
              <w:rPr>
                <w:rStyle w:val="IndexLink"/>
                <w:rtl w:val="true"/>
              </w:rPr>
              <w:tab/>
            </w:r>
            <w:r>
              <w:rPr>
                <w:rStyle w:val="IndexLink"/>
              </w:rPr>
              <w:t>287</w:t>
            </w:r>
          </w:hyperlink>
        </w:p>
        <w:p>
          <w:pPr>
            <w:pStyle w:val="Contents4"/>
            <w:tabs>
              <w:tab w:val="clear" w:pos="8176"/>
              <w:tab w:val="right" w:pos="9026" w:leader="dot"/>
            </w:tabs>
            <w:rPr/>
          </w:pPr>
          <w:hyperlink w:anchor="__RefHeading___Toc1391357_1067777946">
            <w:r>
              <w:rPr>
                <w:webHidden/>
                <w:rStyle w:val="IndexLink"/>
                <w:rtl w:val="true"/>
              </w:rPr>
              <w:t>الآية الثانية</w:t>
            </w:r>
            <w:r>
              <w:rPr>
                <w:rStyle w:val="IndexLink"/>
                <w:rtl w:val="true"/>
              </w:rPr>
              <w:tab/>
            </w:r>
            <w:r>
              <w:rPr>
                <w:rStyle w:val="IndexLink"/>
              </w:rPr>
              <w:t>288</w:t>
            </w:r>
          </w:hyperlink>
        </w:p>
        <w:p>
          <w:pPr>
            <w:pStyle w:val="Contents4"/>
            <w:tabs>
              <w:tab w:val="clear" w:pos="8176"/>
              <w:tab w:val="right" w:pos="9026" w:leader="dot"/>
            </w:tabs>
            <w:rPr/>
          </w:pPr>
          <w:hyperlink w:anchor="__RefHeading___Toc1391359_1067777946">
            <w:r>
              <w:rPr>
                <w:webHidden/>
                <w:rStyle w:val="IndexLink"/>
                <w:rtl w:val="true"/>
              </w:rPr>
              <w:t>المرحلة الثانية</w:t>
            </w:r>
            <w:r>
              <w:rPr>
                <w:rStyle w:val="IndexLink"/>
                <w:rtl w:val="true"/>
              </w:rPr>
              <w:tab/>
            </w:r>
            <w:r>
              <w:rPr>
                <w:rStyle w:val="IndexLink"/>
              </w:rPr>
              <w:t>289</w:t>
            </w:r>
          </w:hyperlink>
        </w:p>
        <w:p>
          <w:pPr>
            <w:pStyle w:val="Contents3"/>
            <w:tabs>
              <w:tab w:val="clear" w:pos="8459"/>
              <w:tab w:val="right" w:pos="9026" w:leader="dot"/>
            </w:tabs>
            <w:rPr/>
          </w:pPr>
          <w:hyperlink w:anchor="__RefHeading___Toc1391361_1067777946">
            <w:r>
              <w:rPr>
                <w:webHidden/>
                <w:rStyle w:val="IndexLink"/>
              </w:rPr>
              <w:t>6</w:t>
            </w:r>
            <w:r>
              <w:rPr>
                <w:rStyle w:val="IndexLink"/>
                <w:rtl w:val="true"/>
              </w:rPr>
              <w:t xml:space="preserve">- </w:t>
            </w:r>
            <w:r>
              <w:rPr>
                <w:rStyle w:val="IndexLink"/>
                <w:rtl w:val="true"/>
              </w:rPr>
              <w:t>عصمة الأنبياء عن المعصية</w:t>
            </w:r>
            <w:r>
              <w:rPr>
                <w:rStyle w:val="IndexLink"/>
                <w:rtl w:val="true"/>
              </w:rPr>
              <w:tab/>
            </w:r>
            <w:r>
              <w:rPr>
                <w:rStyle w:val="IndexLink"/>
              </w:rPr>
              <w:t>289</w:t>
            </w:r>
          </w:hyperlink>
        </w:p>
        <w:p>
          <w:pPr>
            <w:pStyle w:val="Contents4"/>
            <w:tabs>
              <w:tab w:val="clear" w:pos="8176"/>
              <w:tab w:val="right" w:pos="9026" w:leader="dot"/>
            </w:tabs>
            <w:rPr/>
          </w:pPr>
          <w:hyperlink w:anchor="__RefHeading___Toc1391363_1067777946">
            <w:r>
              <w:rPr>
                <w:webHidden/>
                <w:rStyle w:val="IndexLink"/>
                <w:rtl w:val="true"/>
              </w:rPr>
              <w:t>اشارة</w:t>
            </w:r>
            <w:r>
              <w:rPr>
                <w:rStyle w:val="IndexLink"/>
                <w:rtl w:val="true"/>
              </w:rPr>
              <w:tab/>
            </w:r>
            <w:r>
              <w:rPr>
                <w:rStyle w:val="IndexLink"/>
              </w:rPr>
              <w:t>289</w:t>
            </w:r>
          </w:hyperlink>
        </w:p>
        <w:p>
          <w:pPr>
            <w:pStyle w:val="Contents4"/>
            <w:tabs>
              <w:tab w:val="clear" w:pos="8176"/>
              <w:tab w:val="right" w:pos="9026" w:leader="dot"/>
            </w:tabs>
            <w:rPr/>
          </w:pPr>
          <w:hyperlink w:anchor="__RefHeading___Toc1391365_1067777946">
            <w:r>
              <w:rPr>
                <w:webHidden/>
                <w:rStyle w:val="IndexLink"/>
                <w:rtl w:val="true"/>
              </w:rPr>
              <w:t>العقل وعصمة الأنبياء عن المعصية</w:t>
            </w:r>
            <w:r>
              <w:rPr>
                <w:rStyle w:val="IndexLink"/>
                <w:rtl w:val="true"/>
              </w:rPr>
              <w:tab/>
            </w:r>
            <w:r>
              <w:rPr>
                <w:rStyle w:val="IndexLink"/>
              </w:rPr>
              <w:t>289</w:t>
            </w:r>
          </w:hyperlink>
        </w:p>
        <w:p>
          <w:pPr>
            <w:pStyle w:val="Contents4"/>
            <w:tabs>
              <w:tab w:val="clear" w:pos="8176"/>
              <w:tab w:val="right" w:pos="9026" w:leader="dot"/>
            </w:tabs>
            <w:rPr/>
          </w:pPr>
          <w:hyperlink w:anchor="__RefHeading___Toc1391367_1067777946">
            <w:r>
              <w:rPr>
                <w:webHidden/>
                <w:rStyle w:val="IndexLink"/>
                <w:rtl w:val="true"/>
              </w:rPr>
              <w:t>سؤال وجواب</w:t>
            </w:r>
            <w:r>
              <w:rPr>
                <w:rStyle w:val="IndexLink"/>
                <w:rtl w:val="true"/>
              </w:rPr>
              <w:tab/>
            </w:r>
            <w:r>
              <w:rPr>
                <w:rStyle w:val="IndexLink"/>
              </w:rPr>
              <w:t>290</w:t>
            </w:r>
          </w:hyperlink>
        </w:p>
        <w:p>
          <w:pPr>
            <w:pStyle w:val="Contents4"/>
            <w:tabs>
              <w:tab w:val="clear" w:pos="8176"/>
              <w:tab w:val="right" w:pos="9026" w:leader="dot"/>
            </w:tabs>
            <w:rPr/>
          </w:pPr>
          <w:hyperlink w:anchor="__RefHeading___Toc1391369_1067777946">
            <w:r>
              <w:rPr>
                <w:webHidden/>
                <w:rStyle w:val="IndexLink"/>
                <w:rtl w:val="true"/>
              </w:rPr>
              <w:t>القرآن وعصمة الأنبياء من المعصية</w:t>
            </w:r>
            <w:r>
              <w:rPr>
                <w:rStyle w:val="IndexLink"/>
                <w:rtl w:val="true"/>
              </w:rPr>
              <w:tab/>
            </w:r>
            <w:r>
              <w:rPr>
                <w:rStyle w:val="IndexLink"/>
              </w:rPr>
              <w:t>292</w:t>
            </w:r>
          </w:hyperlink>
        </w:p>
        <w:p>
          <w:pPr>
            <w:pStyle w:val="Contents4"/>
            <w:tabs>
              <w:tab w:val="clear" w:pos="8176"/>
              <w:tab w:val="right" w:pos="9026" w:leader="dot"/>
            </w:tabs>
            <w:rPr/>
          </w:pPr>
          <w:hyperlink w:anchor="__RefHeading___Toc1391371_1067777946">
            <w:r>
              <w:rPr>
                <w:webHidden/>
                <w:rStyle w:val="IndexLink"/>
                <w:rtl w:val="true"/>
              </w:rPr>
              <w:t>الآية الأُولى</w:t>
            </w:r>
            <w:r>
              <w:rPr>
                <w:rStyle w:val="IndexLink"/>
                <w:rtl w:val="true"/>
              </w:rPr>
              <w:tab/>
            </w:r>
            <w:r>
              <w:rPr>
                <w:rStyle w:val="IndexLink"/>
              </w:rPr>
              <w:t>292</w:t>
            </w:r>
          </w:hyperlink>
        </w:p>
        <w:p>
          <w:pPr>
            <w:pStyle w:val="Contents4"/>
            <w:tabs>
              <w:tab w:val="clear" w:pos="8176"/>
              <w:tab w:val="right" w:pos="9026" w:leader="dot"/>
            </w:tabs>
            <w:rPr/>
          </w:pPr>
          <w:hyperlink w:anchor="__RefHeading___Toc1391373_1067777946">
            <w:r>
              <w:rPr>
                <w:webHidden/>
                <w:rStyle w:val="IndexLink"/>
                <w:rtl w:val="true"/>
              </w:rPr>
              <w:t>الآية الثانية</w:t>
            </w:r>
            <w:r>
              <w:rPr>
                <w:rStyle w:val="IndexLink"/>
                <w:rtl w:val="true"/>
              </w:rPr>
              <w:tab/>
            </w:r>
            <w:r>
              <w:rPr>
                <w:rStyle w:val="IndexLink"/>
              </w:rPr>
              <w:t>294</w:t>
            </w:r>
          </w:hyperlink>
        </w:p>
        <w:p>
          <w:pPr>
            <w:pStyle w:val="Contents4"/>
            <w:tabs>
              <w:tab w:val="clear" w:pos="8176"/>
              <w:tab w:val="right" w:pos="9026" w:leader="dot"/>
            </w:tabs>
            <w:rPr/>
          </w:pPr>
          <w:hyperlink w:anchor="__RefHeading___Toc1391375_1067777946">
            <w:r>
              <w:rPr>
                <w:webHidden/>
                <w:rStyle w:val="IndexLink"/>
                <w:rtl w:val="true"/>
              </w:rPr>
              <w:t>الآية الثالثة</w:t>
            </w:r>
            <w:r>
              <w:rPr>
                <w:rStyle w:val="IndexLink"/>
                <w:rtl w:val="true"/>
              </w:rPr>
              <w:tab/>
            </w:r>
            <w:r>
              <w:rPr>
                <w:rStyle w:val="IndexLink"/>
              </w:rPr>
              <w:t>295</w:t>
            </w:r>
          </w:hyperlink>
        </w:p>
        <w:p>
          <w:pPr>
            <w:pStyle w:val="Contents4"/>
            <w:tabs>
              <w:tab w:val="clear" w:pos="8176"/>
              <w:tab w:val="right" w:pos="9026" w:leader="dot"/>
            </w:tabs>
            <w:rPr/>
          </w:pPr>
          <w:hyperlink w:anchor="__RefHeading___Toc1391377_1067777946">
            <w:r>
              <w:rPr>
                <w:webHidden/>
                <w:rStyle w:val="IndexLink"/>
                <w:rtl w:val="true"/>
              </w:rPr>
              <w:t>الآية الرابعة</w:t>
            </w:r>
            <w:r>
              <w:rPr>
                <w:rStyle w:val="IndexLink"/>
                <w:rtl w:val="true"/>
              </w:rPr>
              <w:tab/>
            </w:r>
            <w:r>
              <w:rPr>
                <w:rStyle w:val="IndexLink"/>
              </w:rPr>
              <w:t>296</w:t>
            </w:r>
          </w:hyperlink>
        </w:p>
        <w:p>
          <w:pPr>
            <w:pStyle w:val="Contents4"/>
            <w:tabs>
              <w:tab w:val="clear" w:pos="8176"/>
              <w:tab w:val="right" w:pos="9026" w:leader="dot"/>
            </w:tabs>
            <w:rPr/>
          </w:pPr>
          <w:hyperlink w:anchor="__RefHeading___Toc1391379_1067777946">
            <w:r>
              <w:rPr>
                <w:webHidden/>
                <w:rStyle w:val="IndexLink"/>
                <w:rtl w:val="true"/>
              </w:rPr>
              <w:t>المرحلة الثالثة</w:t>
            </w:r>
            <w:r>
              <w:rPr>
                <w:rStyle w:val="IndexLink"/>
                <w:rtl w:val="true"/>
              </w:rPr>
              <w:tab/>
            </w:r>
            <w:r>
              <w:rPr>
                <w:rStyle w:val="IndexLink"/>
              </w:rPr>
              <w:t>300</w:t>
            </w:r>
          </w:hyperlink>
        </w:p>
        <w:p>
          <w:pPr>
            <w:pStyle w:val="Contents3"/>
            <w:tabs>
              <w:tab w:val="clear" w:pos="8459"/>
              <w:tab w:val="right" w:pos="9026" w:leader="dot"/>
            </w:tabs>
            <w:rPr/>
          </w:pPr>
          <w:hyperlink w:anchor="__RefHeading___Toc1391381_1067777946">
            <w:r>
              <w:rPr>
                <w:webHidden/>
                <w:rStyle w:val="IndexLink"/>
              </w:rPr>
              <w:t>7</w:t>
            </w:r>
            <w:r>
              <w:rPr>
                <w:rStyle w:val="IndexLink"/>
                <w:rtl w:val="true"/>
              </w:rPr>
              <w:t xml:space="preserve">- </w:t>
            </w:r>
            <w:r>
              <w:rPr>
                <w:rStyle w:val="IndexLink"/>
                <w:rtl w:val="true"/>
              </w:rPr>
              <w:t>عصمة النبي عن الخطأ</w:t>
            </w:r>
            <w:r>
              <w:rPr>
                <w:rStyle w:val="IndexLink"/>
                <w:rtl w:val="true"/>
              </w:rPr>
              <w:tab/>
            </w:r>
            <w:r>
              <w:rPr>
                <w:rStyle w:val="IndexLink"/>
              </w:rPr>
              <w:t>300</w:t>
            </w:r>
          </w:hyperlink>
        </w:p>
        <w:p>
          <w:pPr>
            <w:pStyle w:val="Contents4"/>
            <w:tabs>
              <w:tab w:val="clear" w:pos="8176"/>
              <w:tab w:val="right" w:pos="9026" w:leader="dot"/>
            </w:tabs>
            <w:rPr/>
          </w:pPr>
          <w:hyperlink w:anchor="__RefHeading___Toc1391383_1067777946">
            <w:r>
              <w:rPr>
                <w:webHidden/>
                <w:rStyle w:val="IndexLink"/>
                <w:rtl w:val="true"/>
              </w:rPr>
              <w:t>اشارة</w:t>
            </w:r>
            <w:r>
              <w:rPr>
                <w:rStyle w:val="IndexLink"/>
                <w:rtl w:val="true"/>
              </w:rPr>
              <w:tab/>
            </w:r>
            <w:r>
              <w:rPr>
                <w:rStyle w:val="IndexLink"/>
              </w:rPr>
              <w:t>300</w:t>
            </w:r>
          </w:hyperlink>
        </w:p>
        <w:p>
          <w:pPr>
            <w:pStyle w:val="Contents4"/>
            <w:tabs>
              <w:tab w:val="clear" w:pos="8176"/>
              <w:tab w:val="right" w:pos="9026" w:leader="dot"/>
            </w:tabs>
            <w:rPr/>
          </w:pPr>
          <w:hyperlink w:anchor="__RefHeading___Toc1391385_1067777946">
            <w:r>
              <w:rPr>
                <w:webHidden/>
                <w:rStyle w:val="IndexLink"/>
                <w:rtl w:val="true"/>
              </w:rPr>
              <w:t>منطق العقل في عصمة النبي عن الخطأ</w:t>
            </w:r>
            <w:r>
              <w:rPr>
                <w:rStyle w:val="IndexLink"/>
                <w:rtl w:val="true"/>
              </w:rPr>
              <w:tab/>
            </w:r>
            <w:r>
              <w:rPr>
                <w:rStyle w:val="IndexLink"/>
              </w:rPr>
              <w:t>300</w:t>
            </w:r>
          </w:hyperlink>
        </w:p>
        <w:p>
          <w:pPr>
            <w:pStyle w:val="Contents4"/>
            <w:tabs>
              <w:tab w:val="clear" w:pos="8176"/>
              <w:tab w:val="right" w:pos="9026" w:leader="dot"/>
            </w:tabs>
            <w:rPr/>
          </w:pPr>
          <w:hyperlink w:anchor="__RefHeading___Toc1391387_1067777946">
            <w:r>
              <w:rPr>
                <w:webHidden/>
                <w:rStyle w:val="IndexLink"/>
                <w:rtl w:val="true"/>
              </w:rPr>
              <w:t>منطق القرآن في عصمة النبي عن الخطأ</w:t>
            </w:r>
            <w:r>
              <w:rPr>
                <w:rStyle w:val="IndexLink"/>
                <w:rtl w:val="true"/>
              </w:rPr>
              <w:tab/>
            </w:r>
            <w:r>
              <w:rPr>
                <w:rStyle w:val="IndexLink"/>
              </w:rPr>
              <w:t>302</w:t>
            </w:r>
          </w:hyperlink>
        </w:p>
        <w:p>
          <w:pPr>
            <w:pStyle w:val="Contents3"/>
            <w:tabs>
              <w:tab w:val="clear" w:pos="8459"/>
              <w:tab w:val="right" w:pos="9026" w:leader="dot"/>
            </w:tabs>
            <w:rPr/>
          </w:pPr>
          <w:hyperlink w:anchor="__RefHeading___Toc1391389_1067777946">
            <w:r>
              <w:rPr>
                <w:webHidden/>
                <w:rStyle w:val="IndexLink"/>
              </w:rPr>
              <w:t>8</w:t>
            </w:r>
            <w:r>
              <w:rPr>
                <w:rStyle w:val="IndexLink"/>
                <w:rtl w:val="true"/>
              </w:rPr>
              <w:t xml:space="preserve">- </w:t>
            </w:r>
            <w:r>
              <w:rPr>
                <w:rStyle w:val="IndexLink"/>
                <w:rtl w:val="true"/>
              </w:rPr>
              <w:t>حجة المخالفين لعصمة الأنبياء</w:t>
            </w:r>
            <w:r>
              <w:rPr>
                <w:rStyle w:val="IndexLink"/>
                <w:rtl w:val="true"/>
              </w:rPr>
              <w:tab/>
            </w:r>
            <w:r>
              <w:rPr>
                <w:rStyle w:val="IndexLink"/>
              </w:rPr>
              <w:t>307</w:t>
            </w:r>
          </w:hyperlink>
        </w:p>
        <w:p>
          <w:pPr>
            <w:pStyle w:val="Contents4"/>
            <w:tabs>
              <w:tab w:val="clear" w:pos="8176"/>
              <w:tab w:val="right" w:pos="9026" w:leader="dot"/>
            </w:tabs>
            <w:rPr/>
          </w:pPr>
          <w:hyperlink w:anchor="__RefHeading___Toc1391391_1067777946">
            <w:r>
              <w:rPr>
                <w:webHidden/>
                <w:rStyle w:val="IndexLink"/>
                <w:rtl w:val="true"/>
              </w:rPr>
              <w:t>اشارة</w:t>
            </w:r>
            <w:r>
              <w:rPr>
                <w:rStyle w:val="IndexLink"/>
                <w:rtl w:val="true"/>
              </w:rPr>
              <w:tab/>
            </w:r>
            <w:r>
              <w:rPr>
                <w:rStyle w:val="IndexLink"/>
              </w:rPr>
              <w:t>307</w:t>
            </w:r>
          </w:hyperlink>
        </w:p>
        <w:p>
          <w:pPr>
            <w:pStyle w:val="Contents4"/>
            <w:tabs>
              <w:tab w:val="clear" w:pos="8176"/>
              <w:tab w:val="right" w:pos="9026" w:leader="dot"/>
            </w:tabs>
            <w:rPr/>
          </w:pPr>
          <w:hyperlink w:anchor="__RefHeading___Toc1391393_1067777946">
            <w:r>
              <w:rPr>
                <w:webHidden/>
                <w:rStyle w:val="IndexLink"/>
                <w:rtl w:val="true"/>
              </w:rPr>
              <w:t xml:space="preserve">الطائفة الأُولى </w:t>
            </w:r>
            <w:r>
              <w:rPr>
                <w:rStyle w:val="IndexLink"/>
                <w:rtl w:val="true"/>
              </w:rPr>
              <w:t xml:space="preserve">: </w:t>
            </w:r>
            <w:r>
              <w:rPr>
                <w:rStyle w:val="IndexLink"/>
                <w:rtl w:val="true"/>
              </w:rPr>
              <w:t>ما يمس ظاهرها عصمة جميع الأنبياء</w:t>
            </w:r>
            <w:r>
              <w:rPr>
                <w:rStyle w:val="IndexLink"/>
                <w:rtl w:val="true"/>
              </w:rPr>
              <w:tab/>
            </w:r>
            <w:r>
              <w:rPr>
                <w:rStyle w:val="IndexLink"/>
              </w:rPr>
              <w:t>308</w:t>
            </w:r>
          </w:hyperlink>
        </w:p>
        <w:p>
          <w:pPr>
            <w:pStyle w:val="Contents4"/>
            <w:tabs>
              <w:tab w:val="clear" w:pos="8176"/>
              <w:tab w:val="right" w:pos="9026" w:leader="dot"/>
            </w:tabs>
            <w:rPr/>
          </w:pPr>
          <w:hyperlink w:anchor="__RefHeading___Toc1391395_1067777946">
            <w:r>
              <w:rPr>
                <w:webHidden/>
                <w:rStyle w:val="IndexLink"/>
                <w:rtl w:val="true"/>
              </w:rPr>
              <w:t>الآية الأُولى</w:t>
            </w:r>
            <w:r>
              <w:rPr>
                <w:rStyle w:val="IndexLink"/>
                <w:rtl w:val="true"/>
              </w:rPr>
              <w:tab/>
            </w:r>
            <w:r>
              <w:rPr>
                <w:rStyle w:val="IndexLink"/>
              </w:rPr>
              <w:t>308</w:t>
            </w:r>
          </w:hyperlink>
        </w:p>
        <w:p>
          <w:pPr>
            <w:pStyle w:val="Contents5"/>
            <w:tabs>
              <w:tab w:val="clear" w:pos="7892"/>
              <w:tab w:val="right" w:pos="9026" w:leader="dot"/>
            </w:tabs>
            <w:rPr/>
          </w:pPr>
          <w:hyperlink w:anchor="__RefHeading___Toc1391397_1067777946">
            <w:r>
              <w:rPr>
                <w:webHidden/>
                <w:rStyle w:val="IndexLink"/>
                <w:rtl w:val="true"/>
              </w:rPr>
              <w:t>اشارة</w:t>
            </w:r>
            <w:r>
              <w:rPr>
                <w:rStyle w:val="IndexLink"/>
                <w:rtl w:val="true"/>
              </w:rPr>
              <w:tab/>
            </w:r>
            <w:r>
              <w:rPr>
                <w:rStyle w:val="IndexLink"/>
              </w:rPr>
              <w:t>308</w:t>
            </w:r>
          </w:hyperlink>
        </w:p>
        <w:p>
          <w:pPr>
            <w:pStyle w:val="Contents5"/>
            <w:tabs>
              <w:tab w:val="clear" w:pos="7892"/>
              <w:tab w:val="right" w:pos="9026" w:leader="dot"/>
            </w:tabs>
            <w:rPr/>
          </w:pPr>
          <w:hyperlink w:anchor="__RefHeading___Toc1391399_1067777946">
            <w:r>
              <w:rPr>
                <w:webHidden/>
                <w:rStyle w:val="IndexLink"/>
                <w:rtl w:val="true"/>
              </w:rPr>
              <w:t xml:space="preserve">وإليك الأجوبة المذكورة في التفاسير </w:t>
            </w:r>
            <w:r>
              <w:rPr>
                <w:rStyle w:val="IndexLink"/>
                <w:rtl w:val="true"/>
              </w:rPr>
              <w:t>:</w:t>
              <w:tab/>
            </w:r>
            <w:r>
              <w:rPr>
                <w:rStyle w:val="IndexLink"/>
              </w:rPr>
              <w:t>309</w:t>
            </w:r>
          </w:hyperlink>
        </w:p>
        <w:p>
          <w:pPr>
            <w:pStyle w:val="Contents5"/>
            <w:tabs>
              <w:tab w:val="clear" w:pos="7892"/>
              <w:tab w:val="right" w:pos="9026" w:leader="dot"/>
            </w:tabs>
            <w:rPr/>
          </w:pPr>
          <w:hyperlink w:anchor="__RefHeading___Toc1391401_1067777946">
            <w:r>
              <w:rPr>
                <w:webHidden/>
                <w:rStyle w:val="IndexLink"/>
                <w:rtl w:val="true"/>
              </w:rPr>
              <w:t xml:space="preserve">الرابع </w:t>
            </w:r>
            <w:r>
              <w:rPr>
                <w:rStyle w:val="IndexLink"/>
                <w:rtl w:val="true"/>
              </w:rPr>
              <w:t>(</w:t>
            </w:r>
            <w:r>
              <w:rPr>
                <w:rStyle w:val="IndexLink"/>
                <w:rtl w:val="true"/>
              </w:rPr>
              <w:t>وهو المختار</w:t>
            </w:r>
            <w:r>
              <w:rPr>
                <w:rStyle w:val="IndexLink"/>
                <w:rtl w:val="true"/>
              </w:rPr>
              <w:t>)</w:t>
              <w:tab/>
            </w:r>
            <w:r>
              <w:rPr>
                <w:rStyle w:val="IndexLink"/>
              </w:rPr>
              <w:t>312</w:t>
            </w:r>
          </w:hyperlink>
        </w:p>
        <w:p>
          <w:pPr>
            <w:pStyle w:val="Contents4"/>
            <w:tabs>
              <w:tab w:val="clear" w:pos="8176"/>
              <w:tab w:val="right" w:pos="9026" w:leader="dot"/>
            </w:tabs>
            <w:rPr/>
          </w:pPr>
          <w:hyperlink w:anchor="__RefHeading___Toc1391403_1067777946">
            <w:r>
              <w:rPr>
                <w:webHidden/>
                <w:rStyle w:val="IndexLink"/>
                <w:rtl w:val="true"/>
              </w:rPr>
              <w:t>الآية الثانية</w:t>
            </w:r>
            <w:r>
              <w:rPr>
                <w:rStyle w:val="IndexLink"/>
                <w:rtl w:val="true"/>
              </w:rPr>
              <w:tab/>
            </w:r>
            <w:r>
              <w:rPr>
                <w:rStyle w:val="IndexLink"/>
              </w:rPr>
              <w:t>315</w:t>
            </w:r>
          </w:hyperlink>
        </w:p>
        <w:p>
          <w:pPr>
            <w:pStyle w:val="Contents5"/>
            <w:tabs>
              <w:tab w:val="clear" w:pos="7892"/>
              <w:tab w:val="right" w:pos="9026" w:leader="dot"/>
            </w:tabs>
            <w:rPr/>
          </w:pPr>
          <w:hyperlink w:anchor="__RefHeading___Toc1391405_1067777946">
            <w:r>
              <w:rPr>
                <w:webHidden/>
                <w:rStyle w:val="IndexLink"/>
                <w:rtl w:val="true"/>
              </w:rPr>
              <w:t>اشارة</w:t>
            </w:r>
            <w:r>
              <w:rPr>
                <w:rStyle w:val="IndexLink"/>
                <w:rtl w:val="true"/>
              </w:rPr>
              <w:tab/>
            </w:r>
            <w:r>
              <w:rPr>
                <w:rStyle w:val="IndexLink"/>
              </w:rPr>
              <w:t>315</w:t>
            </w:r>
          </w:hyperlink>
        </w:p>
        <w:p>
          <w:pPr>
            <w:pStyle w:val="Contents5"/>
            <w:tabs>
              <w:tab w:val="clear" w:pos="7892"/>
              <w:tab w:val="right" w:pos="9026" w:leader="dot"/>
            </w:tabs>
            <w:rPr/>
          </w:pPr>
          <w:hyperlink w:anchor="__RefHeading___Toc1391407_1067777946">
            <w:r>
              <w:rPr>
                <w:webHidden/>
                <w:rStyle w:val="IndexLink"/>
                <w:rtl w:val="true"/>
              </w:rPr>
              <w:t>يجب توضيح نقاط في الآيات</w:t>
            </w:r>
            <w:r>
              <w:rPr>
                <w:rStyle w:val="IndexLink"/>
                <w:rtl w:val="true"/>
              </w:rPr>
              <w:t>.</w:t>
              <w:tab/>
            </w:r>
            <w:r>
              <w:rPr>
                <w:rStyle w:val="IndexLink"/>
              </w:rPr>
              <w:t>316</w:t>
            </w:r>
          </w:hyperlink>
        </w:p>
        <w:p>
          <w:pPr>
            <w:pStyle w:val="Contents5"/>
            <w:tabs>
              <w:tab w:val="clear" w:pos="7892"/>
              <w:tab w:val="right" w:pos="9026" w:leader="dot"/>
            </w:tabs>
            <w:rPr/>
          </w:pPr>
          <w:hyperlink w:anchor="__RefHeading___Toc1391409_1067777946">
            <w:r>
              <w:rPr>
                <w:webHidden/>
                <w:rStyle w:val="IndexLink"/>
              </w:rPr>
              <w:t>1</w:t>
            </w:r>
            <w:r>
              <w:rPr>
                <w:rStyle w:val="IndexLink"/>
                <w:rtl w:val="true"/>
              </w:rPr>
              <w:t xml:space="preserve">. </w:t>
            </w:r>
            <w:r>
              <w:rPr>
                <w:rStyle w:val="IndexLink"/>
                <w:rtl w:val="true"/>
              </w:rPr>
              <w:t>ما معنى أُمنية الرسول أو النبي؟</w:t>
            </w:r>
            <w:r>
              <w:rPr>
                <w:rStyle w:val="IndexLink"/>
                <w:rtl w:val="true"/>
              </w:rPr>
              <w:tab/>
            </w:r>
            <w:r>
              <w:rPr>
                <w:rStyle w:val="IndexLink"/>
              </w:rPr>
              <w:t>317</w:t>
            </w:r>
          </w:hyperlink>
        </w:p>
        <w:p>
          <w:pPr>
            <w:pStyle w:val="Contents5"/>
            <w:tabs>
              <w:tab w:val="clear" w:pos="7892"/>
              <w:tab w:val="right" w:pos="9026" w:leader="dot"/>
            </w:tabs>
            <w:rPr/>
          </w:pPr>
          <w:hyperlink w:anchor="__RefHeading___Toc1391411_1067777946">
            <w:r>
              <w:rPr>
                <w:webHidden/>
                <w:rStyle w:val="IndexLink"/>
              </w:rPr>
              <w:t>2</w:t>
            </w:r>
            <w:r>
              <w:rPr>
                <w:rStyle w:val="IndexLink"/>
                <w:rtl w:val="true"/>
              </w:rPr>
              <w:t xml:space="preserve">. </w:t>
            </w:r>
            <w:r>
              <w:rPr>
                <w:rStyle w:val="IndexLink"/>
                <w:rtl w:val="true"/>
              </w:rPr>
              <w:t>ما معنى إلقاء الشيطان في أُمنية الرسل؟</w:t>
            </w:r>
            <w:r>
              <w:rPr>
                <w:rStyle w:val="IndexLink"/>
                <w:rtl w:val="true"/>
              </w:rPr>
              <w:tab/>
            </w:r>
            <w:r>
              <w:rPr>
                <w:rStyle w:val="IndexLink"/>
              </w:rPr>
              <w:t>319</w:t>
            </w:r>
          </w:hyperlink>
        </w:p>
        <w:p>
          <w:pPr>
            <w:pStyle w:val="Contents5"/>
            <w:tabs>
              <w:tab w:val="clear" w:pos="7892"/>
              <w:tab w:val="right" w:pos="9026" w:leader="dot"/>
            </w:tabs>
            <w:rPr/>
          </w:pPr>
          <w:hyperlink w:anchor="__RefHeading___Toc1391413_1067777946">
            <w:r>
              <w:rPr>
                <w:webHidden/>
                <w:rStyle w:val="IndexLink"/>
              </w:rPr>
              <w:t>3</w:t>
            </w:r>
            <w:r>
              <w:rPr>
                <w:rStyle w:val="IndexLink"/>
                <w:rtl w:val="true"/>
              </w:rPr>
              <w:t xml:space="preserve">. </w:t>
            </w:r>
            <w:r>
              <w:rPr>
                <w:rStyle w:val="IndexLink"/>
                <w:rtl w:val="true"/>
              </w:rPr>
              <w:t>ما معنى نسخه سبحانه ما يلقيه الشيطان؟</w:t>
            </w:r>
            <w:r>
              <w:rPr>
                <w:rStyle w:val="IndexLink"/>
                <w:rtl w:val="true"/>
              </w:rPr>
              <w:tab/>
            </w:r>
            <w:r>
              <w:rPr>
                <w:rStyle w:val="IndexLink"/>
              </w:rPr>
              <w:t>321</w:t>
            </w:r>
          </w:hyperlink>
        </w:p>
        <w:p>
          <w:pPr>
            <w:pStyle w:val="Contents5"/>
            <w:tabs>
              <w:tab w:val="clear" w:pos="7892"/>
              <w:tab w:val="right" w:pos="9026" w:leader="dot"/>
            </w:tabs>
            <w:rPr/>
          </w:pPr>
          <w:hyperlink w:anchor="__RefHeading___Toc1391415_1067777946">
            <w:r>
              <w:rPr>
                <w:webHidden/>
                <w:rStyle w:val="IndexLink"/>
              </w:rPr>
              <w:t>4</w:t>
            </w:r>
            <w:r>
              <w:rPr>
                <w:rStyle w:val="IndexLink"/>
                <w:rtl w:val="true"/>
              </w:rPr>
              <w:t xml:space="preserve">. </w:t>
            </w:r>
            <w:r>
              <w:rPr>
                <w:rStyle w:val="IndexLink"/>
                <w:rtl w:val="true"/>
              </w:rPr>
              <w:t>ما معنى إحكامه سبحانه آياته؟</w:t>
            </w:r>
            <w:r>
              <w:rPr>
                <w:rStyle w:val="IndexLink"/>
                <w:rtl w:val="true"/>
              </w:rPr>
              <w:tab/>
            </w:r>
            <w:r>
              <w:rPr>
                <w:rStyle w:val="IndexLink"/>
              </w:rPr>
              <w:t>322</w:t>
            </w:r>
          </w:hyperlink>
        </w:p>
        <w:p>
          <w:pPr>
            <w:pStyle w:val="Contents5"/>
            <w:tabs>
              <w:tab w:val="clear" w:pos="7892"/>
              <w:tab w:val="right" w:pos="9026" w:leader="dot"/>
            </w:tabs>
            <w:rPr/>
          </w:pPr>
          <w:hyperlink w:anchor="__RefHeading___Toc1391417_1067777946">
            <w:r>
              <w:rPr>
                <w:webHidden/>
                <w:rStyle w:val="IndexLink"/>
              </w:rPr>
              <w:t>5</w:t>
            </w:r>
            <w:r>
              <w:rPr>
                <w:rStyle w:val="IndexLink"/>
                <w:rtl w:val="true"/>
              </w:rPr>
              <w:t xml:space="preserve">. </w:t>
            </w:r>
            <w:r>
              <w:rPr>
                <w:rStyle w:val="IndexLink"/>
                <w:rtl w:val="true"/>
              </w:rPr>
              <w:t>ما هي النتيجة من هذا الصراع؟</w:t>
            </w:r>
            <w:r>
              <w:rPr>
                <w:rStyle w:val="IndexLink"/>
                <w:rtl w:val="true"/>
              </w:rPr>
              <w:tab/>
            </w:r>
            <w:r>
              <w:rPr>
                <w:rStyle w:val="IndexLink"/>
              </w:rPr>
              <w:t>323</w:t>
            </w:r>
          </w:hyperlink>
        </w:p>
        <w:p>
          <w:pPr>
            <w:pStyle w:val="Contents6"/>
            <w:tabs>
              <w:tab w:val="clear" w:pos="7609"/>
              <w:tab w:val="right" w:pos="9026" w:leader="dot"/>
            </w:tabs>
            <w:rPr/>
          </w:pPr>
          <w:hyperlink w:anchor="__RefHeading___Toc1391419_1067777946">
            <w:r>
              <w:rPr>
                <w:webHidden/>
                <w:rStyle w:val="IndexLink"/>
                <w:rtl w:val="true"/>
              </w:rPr>
              <w:t>اشارة</w:t>
            </w:r>
            <w:r>
              <w:rPr>
                <w:rStyle w:val="IndexLink"/>
                <w:rtl w:val="true"/>
              </w:rPr>
              <w:tab/>
            </w:r>
            <w:r>
              <w:rPr>
                <w:rStyle w:val="IndexLink"/>
              </w:rPr>
              <w:t>323</w:t>
            </w:r>
          </w:hyperlink>
        </w:p>
        <w:p>
          <w:pPr>
            <w:pStyle w:val="Contents6"/>
            <w:tabs>
              <w:tab w:val="clear" w:pos="7609"/>
              <w:tab w:val="right" w:pos="9026" w:leader="dot"/>
            </w:tabs>
            <w:rPr/>
          </w:pPr>
          <w:hyperlink w:anchor="__RefHeading___Toc1391421_1067777946">
            <w:r>
              <w:rPr>
                <w:webHidden/>
                <w:rStyle w:val="IndexLink"/>
                <w:rtl w:val="true"/>
              </w:rPr>
              <w:t>التفسير الباطل للآية</w:t>
            </w:r>
            <w:r>
              <w:rPr>
                <w:rStyle w:val="IndexLink"/>
                <w:rtl w:val="true"/>
              </w:rPr>
              <w:tab/>
            </w:r>
            <w:r>
              <w:rPr>
                <w:rStyle w:val="IndexLink"/>
              </w:rPr>
              <w:t>325</w:t>
            </w:r>
          </w:hyperlink>
        </w:p>
        <w:p>
          <w:pPr>
            <w:pStyle w:val="Contents2"/>
            <w:tabs>
              <w:tab w:val="clear" w:pos="8743"/>
              <w:tab w:val="right" w:pos="9026" w:leader="dot"/>
            </w:tabs>
            <w:rPr/>
          </w:pPr>
          <w:hyperlink w:anchor="__RefHeading___Toc1391423_1067777946">
            <w:r>
              <w:rPr>
                <w:webHidden/>
                <w:rStyle w:val="IndexLink"/>
                <w:rtl w:val="true"/>
              </w:rPr>
              <w:t>الفصل السابع</w:t>
            </w:r>
            <w:r>
              <w:rPr>
                <w:rStyle w:val="IndexLink"/>
                <w:rtl w:val="true"/>
              </w:rPr>
              <w:t xml:space="preserve">: </w:t>
            </w:r>
            <w:r>
              <w:rPr>
                <w:rStyle w:val="IndexLink"/>
                <w:rtl w:val="true"/>
              </w:rPr>
              <w:t>المتكلّم والصفات الخبرية</w:t>
            </w:r>
            <w:r>
              <w:rPr>
                <w:rStyle w:val="IndexLink"/>
                <w:rtl w:val="true"/>
              </w:rPr>
              <w:tab/>
            </w:r>
            <w:r>
              <w:rPr>
                <w:rStyle w:val="IndexLink"/>
              </w:rPr>
              <w:t>331</w:t>
            </w:r>
          </w:hyperlink>
        </w:p>
        <w:p>
          <w:pPr>
            <w:pStyle w:val="Contents3"/>
            <w:tabs>
              <w:tab w:val="clear" w:pos="8459"/>
              <w:tab w:val="right" w:pos="9026" w:leader="dot"/>
            </w:tabs>
            <w:rPr/>
          </w:pPr>
          <w:hyperlink w:anchor="__RefHeading___Toc1391425_1067777946">
            <w:r>
              <w:rPr>
                <w:webHidden/>
                <w:rStyle w:val="IndexLink"/>
                <w:rtl w:val="true"/>
              </w:rPr>
              <w:t>اشارة</w:t>
            </w:r>
            <w:r>
              <w:rPr>
                <w:rStyle w:val="IndexLink"/>
                <w:rtl w:val="true"/>
              </w:rPr>
              <w:tab/>
            </w:r>
            <w:r>
              <w:rPr>
                <w:rStyle w:val="IndexLink"/>
              </w:rPr>
              <w:t>331</w:t>
            </w:r>
          </w:hyperlink>
        </w:p>
        <w:p>
          <w:pPr>
            <w:pStyle w:val="Contents3"/>
            <w:tabs>
              <w:tab w:val="clear" w:pos="8459"/>
              <w:tab w:val="right" w:pos="9026" w:leader="dot"/>
            </w:tabs>
            <w:rPr/>
          </w:pPr>
          <w:hyperlink w:anchor="__RefHeading___Toc1391427_1067777946">
            <w:r>
              <w:rPr>
                <w:webHidden/>
                <w:rStyle w:val="IndexLink"/>
                <w:rtl w:val="true"/>
              </w:rPr>
              <w:t>المتكلّم</w:t>
            </w:r>
            <w:r>
              <w:rPr>
                <w:rStyle w:val="IndexLink"/>
                <w:rtl w:val="true"/>
              </w:rPr>
              <w:tab/>
            </w:r>
            <w:r>
              <w:rPr>
                <w:rStyle w:val="IndexLink"/>
              </w:rPr>
              <w:t>333</w:t>
            </w:r>
          </w:hyperlink>
        </w:p>
        <w:p>
          <w:pPr>
            <w:pStyle w:val="Contents3"/>
            <w:tabs>
              <w:tab w:val="clear" w:pos="8459"/>
              <w:tab w:val="right" w:pos="9026" w:leader="dot"/>
            </w:tabs>
            <w:rPr/>
          </w:pPr>
          <w:hyperlink w:anchor="__RefHeading___Toc1391429_1067777946">
            <w:r>
              <w:rPr>
                <w:webHidden/>
                <w:rStyle w:val="IndexLink"/>
                <w:rtl w:val="true"/>
              </w:rPr>
              <w:t>معنى كونه سبحانه متكلّماً</w:t>
            </w:r>
            <w:r>
              <w:rPr>
                <w:rStyle w:val="IndexLink"/>
                <w:rtl w:val="true"/>
              </w:rPr>
              <w:tab/>
            </w:r>
            <w:r>
              <w:rPr>
                <w:rStyle w:val="IndexLink"/>
              </w:rPr>
              <w:t>333</w:t>
            </w:r>
          </w:hyperlink>
        </w:p>
        <w:p>
          <w:pPr>
            <w:pStyle w:val="Contents4"/>
            <w:tabs>
              <w:tab w:val="clear" w:pos="8176"/>
              <w:tab w:val="right" w:pos="9026" w:leader="dot"/>
            </w:tabs>
            <w:rPr/>
          </w:pPr>
          <w:hyperlink w:anchor="__RefHeading___Toc1391431_1067777946">
            <w:r>
              <w:rPr>
                <w:webHidden/>
                <w:rStyle w:val="IndexLink"/>
                <w:rtl w:val="true"/>
              </w:rPr>
              <w:t>اشارة</w:t>
            </w:r>
            <w:r>
              <w:rPr>
                <w:rStyle w:val="IndexLink"/>
                <w:rtl w:val="true"/>
              </w:rPr>
              <w:tab/>
            </w:r>
            <w:r>
              <w:rPr>
                <w:rStyle w:val="IndexLink"/>
              </w:rPr>
              <w:t>333</w:t>
            </w:r>
          </w:hyperlink>
        </w:p>
        <w:p>
          <w:pPr>
            <w:pStyle w:val="Contents4"/>
            <w:tabs>
              <w:tab w:val="clear" w:pos="8176"/>
              <w:tab w:val="right" w:pos="9026" w:leader="dot"/>
            </w:tabs>
            <w:rPr/>
          </w:pPr>
          <w:hyperlink w:anchor="__RefHeading___Toc1391433_1067777946">
            <w:r>
              <w:rPr>
                <w:webHidden/>
                <w:rStyle w:val="IndexLink"/>
              </w:rPr>
              <w:t>1</w:t>
            </w:r>
            <w:r>
              <w:rPr>
                <w:rStyle w:val="IndexLink"/>
                <w:rtl w:val="true"/>
              </w:rPr>
              <w:t xml:space="preserve">- </w:t>
            </w:r>
            <w:r>
              <w:rPr>
                <w:rStyle w:val="IndexLink"/>
                <w:rtl w:val="true"/>
              </w:rPr>
              <w:t>نظرية المعتزلة</w:t>
            </w:r>
            <w:r>
              <w:rPr>
                <w:rStyle w:val="IndexLink"/>
                <w:rtl w:val="true"/>
              </w:rPr>
              <w:tab/>
            </w:r>
            <w:r>
              <w:rPr>
                <w:rStyle w:val="IndexLink"/>
              </w:rPr>
              <w:t>336</w:t>
            </w:r>
          </w:hyperlink>
        </w:p>
        <w:p>
          <w:pPr>
            <w:pStyle w:val="Contents4"/>
            <w:tabs>
              <w:tab w:val="clear" w:pos="8176"/>
              <w:tab w:val="right" w:pos="9026" w:leader="dot"/>
            </w:tabs>
            <w:rPr/>
          </w:pPr>
          <w:hyperlink w:anchor="__RefHeading___Toc1391435_1067777946">
            <w:r>
              <w:rPr>
                <w:webHidden/>
                <w:rStyle w:val="IndexLink"/>
              </w:rPr>
              <w:t>2</w:t>
            </w:r>
            <w:r>
              <w:rPr>
                <w:rStyle w:val="IndexLink"/>
                <w:rtl w:val="true"/>
              </w:rPr>
              <w:t xml:space="preserve">- </w:t>
            </w:r>
            <w:r>
              <w:rPr>
                <w:rStyle w:val="IndexLink"/>
                <w:rtl w:val="true"/>
              </w:rPr>
              <w:t>نظرية الحكماء</w:t>
            </w:r>
            <w:r>
              <w:rPr>
                <w:rStyle w:val="IndexLink"/>
                <w:rtl w:val="true"/>
              </w:rPr>
              <w:tab/>
            </w:r>
            <w:r>
              <w:rPr>
                <w:rStyle w:val="IndexLink"/>
              </w:rPr>
              <w:t>337</w:t>
            </w:r>
          </w:hyperlink>
        </w:p>
        <w:p>
          <w:pPr>
            <w:pStyle w:val="Contents4"/>
            <w:tabs>
              <w:tab w:val="clear" w:pos="8176"/>
              <w:tab w:val="right" w:pos="9026" w:leader="dot"/>
            </w:tabs>
            <w:rPr/>
          </w:pPr>
          <w:hyperlink w:anchor="__RefHeading___Toc1391437_1067777946">
            <w:r>
              <w:rPr>
                <w:webHidden/>
                <w:rStyle w:val="IndexLink"/>
              </w:rPr>
              <w:t>3</w:t>
            </w:r>
            <w:r>
              <w:rPr>
                <w:rStyle w:val="IndexLink"/>
                <w:rtl w:val="true"/>
              </w:rPr>
              <w:t xml:space="preserve">- </w:t>
            </w:r>
            <w:r>
              <w:rPr>
                <w:rStyle w:val="IndexLink"/>
                <w:rtl w:val="true"/>
              </w:rPr>
              <w:t>نظرية الأشاعرة</w:t>
            </w:r>
            <w:r>
              <w:rPr>
                <w:rStyle w:val="IndexLink"/>
                <w:rtl w:val="true"/>
              </w:rPr>
              <w:tab/>
            </w:r>
            <w:r>
              <w:rPr>
                <w:rStyle w:val="IndexLink"/>
              </w:rPr>
              <w:t>340</w:t>
            </w:r>
          </w:hyperlink>
        </w:p>
        <w:p>
          <w:pPr>
            <w:pStyle w:val="Contents4"/>
            <w:tabs>
              <w:tab w:val="clear" w:pos="8176"/>
              <w:tab w:val="right" w:pos="9026" w:leader="dot"/>
            </w:tabs>
            <w:rPr/>
          </w:pPr>
          <w:hyperlink w:anchor="__RefHeading___Toc1391439_1067777946">
            <w:r>
              <w:rPr>
                <w:webHidden/>
                <w:rStyle w:val="IndexLink"/>
                <w:rtl w:val="true"/>
              </w:rPr>
              <w:t>أدلّة الأشاعرة على الكلام النفسي</w:t>
            </w:r>
            <w:r>
              <w:rPr>
                <w:rStyle w:val="IndexLink"/>
                <w:rtl w:val="true"/>
              </w:rPr>
              <w:tab/>
            </w:r>
            <w:r>
              <w:rPr>
                <w:rStyle w:val="IndexLink"/>
              </w:rPr>
              <w:t>343</w:t>
            </w:r>
          </w:hyperlink>
        </w:p>
        <w:p>
          <w:pPr>
            <w:pStyle w:val="Contents4"/>
            <w:tabs>
              <w:tab w:val="clear" w:pos="8176"/>
              <w:tab w:val="right" w:pos="9026" w:leader="dot"/>
            </w:tabs>
            <w:rPr/>
          </w:pPr>
          <w:hyperlink w:anchor="__RefHeading___Toc1391441_1067777946">
            <w:r>
              <w:rPr>
                <w:webHidden/>
                <w:rStyle w:val="IndexLink"/>
              </w:rPr>
              <w:t>2</w:t>
            </w:r>
            <w:r>
              <w:rPr>
                <w:rStyle w:val="IndexLink"/>
                <w:rtl w:val="true"/>
              </w:rPr>
              <w:t xml:space="preserve">- </w:t>
            </w:r>
            <w:r>
              <w:rPr>
                <w:rStyle w:val="IndexLink"/>
                <w:rtl w:val="true"/>
              </w:rPr>
              <w:t>في حدوث كلامه سبحانه أو قدمه</w:t>
            </w:r>
            <w:r>
              <w:rPr>
                <w:rStyle w:val="IndexLink"/>
                <w:rtl w:val="true"/>
              </w:rPr>
              <w:tab/>
            </w:r>
            <w:r>
              <w:rPr>
                <w:rStyle w:val="IndexLink"/>
              </w:rPr>
              <w:t>346</w:t>
            </w:r>
          </w:hyperlink>
        </w:p>
        <w:p>
          <w:pPr>
            <w:pStyle w:val="Contents5"/>
            <w:tabs>
              <w:tab w:val="clear" w:pos="7892"/>
              <w:tab w:val="right" w:pos="9026" w:leader="dot"/>
            </w:tabs>
            <w:rPr/>
          </w:pPr>
          <w:hyperlink w:anchor="__RefHeading___Toc1391443_1067777946">
            <w:r>
              <w:rPr>
                <w:webHidden/>
                <w:rStyle w:val="IndexLink"/>
                <w:rtl w:val="true"/>
              </w:rPr>
              <w:t>اشارة</w:t>
            </w:r>
            <w:r>
              <w:rPr>
                <w:rStyle w:val="IndexLink"/>
                <w:rtl w:val="true"/>
              </w:rPr>
              <w:tab/>
            </w:r>
            <w:r>
              <w:rPr>
                <w:rStyle w:val="IndexLink"/>
              </w:rPr>
              <w:t>346</w:t>
            </w:r>
          </w:hyperlink>
        </w:p>
        <w:p>
          <w:pPr>
            <w:pStyle w:val="Contents5"/>
            <w:tabs>
              <w:tab w:val="clear" w:pos="7892"/>
              <w:tab w:val="right" w:pos="9026" w:leader="dot"/>
            </w:tabs>
            <w:rPr/>
          </w:pPr>
          <w:hyperlink w:anchor="__RefHeading___Toc1391445_1067777946">
            <w:r>
              <w:rPr>
                <w:webHidden/>
                <w:rStyle w:val="IndexLink"/>
              </w:rPr>
              <w:t>1</w:t>
            </w:r>
            <w:r>
              <w:rPr>
                <w:rStyle w:val="IndexLink"/>
                <w:rtl w:val="true"/>
              </w:rPr>
              <w:t xml:space="preserve">. </w:t>
            </w:r>
            <w:r>
              <w:rPr>
                <w:rStyle w:val="IndexLink"/>
                <w:rtl w:val="true"/>
              </w:rPr>
              <w:t>مبدأ فكرة قدم القرآن</w:t>
            </w:r>
            <w:r>
              <w:rPr>
                <w:rStyle w:val="IndexLink"/>
                <w:rtl w:val="true"/>
              </w:rPr>
              <w:tab/>
            </w:r>
            <w:r>
              <w:rPr>
                <w:rStyle w:val="IndexLink"/>
              </w:rPr>
              <w:t>346</w:t>
            </w:r>
          </w:hyperlink>
        </w:p>
        <w:p>
          <w:pPr>
            <w:pStyle w:val="Contents5"/>
            <w:tabs>
              <w:tab w:val="clear" w:pos="7892"/>
              <w:tab w:val="right" w:pos="9026" w:leader="dot"/>
            </w:tabs>
            <w:rPr/>
          </w:pPr>
          <w:hyperlink w:anchor="__RefHeading___Toc1391447_1067777946">
            <w:r>
              <w:rPr>
                <w:webHidden/>
                <w:rStyle w:val="IndexLink"/>
              </w:rPr>
              <w:t>2</w:t>
            </w:r>
            <w:r>
              <w:rPr>
                <w:rStyle w:val="IndexLink"/>
                <w:rtl w:val="true"/>
              </w:rPr>
              <w:t xml:space="preserve">. </w:t>
            </w:r>
            <w:r>
              <w:rPr>
                <w:rStyle w:val="IndexLink"/>
                <w:rtl w:val="true"/>
              </w:rPr>
              <w:t>واجب أهل الحديث ، السكوت في هذه المسائل</w:t>
            </w:r>
            <w:r>
              <w:rPr>
                <w:rStyle w:val="IndexLink"/>
                <w:rtl w:val="true"/>
              </w:rPr>
              <w:tab/>
            </w:r>
            <w:r>
              <w:rPr>
                <w:rStyle w:val="IndexLink"/>
              </w:rPr>
              <w:t>348</w:t>
            </w:r>
          </w:hyperlink>
        </w:p>
        <w:p>
          <w:pPr>
            <w:pStyle w:val="Contents5"/>
            <w:tabs>
              <w:tab w:val="clear" w:pos="7892"/>
              <w:tab w:val="right" w:pos="9026" w:leader="dot"/>
            </w:tabs>
            <w:rPr/>
          </w:pPr>
          <w:hyperlink w:anchor="__RefHeading___Toc1391449_1067777946">
            <w:r>
              <w:rPr>
                <w:webHidden/>
                <w:rStyle w:val="IndexLink"/>
              </w:rPr>
              <w:t>3</w:t>
            </w:r>
            <w:r>
              <w:rPr>
                <w:rStyle w:val="IndexLink"/>
                <w:rtl w:val="true"/>
              </w:rPr>
              <w:t xml:space="preserve">. </w:t>
            </w:r>
            <w:r>
              <w:rPr>
                <w:rStyle w:val="IndexLink"/>
                <w:rtl w:val="true"/>
              </w:rPr>
              <w:t>طرح المسألة في ظروف عصيبة</w:t>
            </w:r>
            <w:r>
              <w:rPr>
                <w:rStyle w:val="IndexLink"/>
                <w:rtl w:val="true"/>
              </w:rPr>
              <w:tab/>
            </w:r>
            <w:r>
              <w:rPr>
                <w:rStyle w:val="IndexLink"/>
              </w:rPr>
              <w:t>349</w:t>
            </w:r>
          </w:hyperlink>
        </w:p>
        <w:p>
          <w:pPr>
            <w:pStyle w:val="Contents3"/>
            <w:tabs>
              <w:tab w:val="clear" w:pos="8459"/>
              <w:tab w:val="right" w:pos="9026" w:leader="dot"/>
            </w:tabs>
            <w:rPr/>
          </w:pPr>
          <w:hyperlink w:anchor="__RefHeading___Toc1391451_1067777946">
            <w:r>
              <w:rPr>
                <w:webHidden/>
                <w:rStyle w:val="IndexLink"/>
                <w:rtl w:val="true"/>
              </w:rPr>
              <w:t>تحليل مسألة القول بقدم القرآن</w:t>
            </w:r>
            <w:r>
              <w:rPr>
                <w:rStyle w:val="IndexLink"/>
                <w:rtl w:val="true"/>
              </w:rPr>
              <w:tab/>
            </w:r>
            <w:r>
              <w:rPr>
                <w:rStyle w:val="IndexLink"/>
              </w:rPr>
              <w:t>349</w:t>
            </w:r>
          </w:hyperlink>
        </w:p>
        <w:p>
          <w:pPr>
            <w:pStyle w:val="Contents3"/>
            <w:tabs>
              <w:tab w:val="clear" w:pos="8459"/>
              <w:tab w:val="right" w:pos="9026" w:leader="dot"/>
            </w:tabs>
            <w:rPr/>
          </w:pPr>
          <w:hyperlink w:anchor="__RefHeading___Toc1391453_1067777946">
            <w:r>
              <w:rPr>
                <w:webHidden/>
                <w:rStyle w:val="IndexLink"/>
                <w:rtl w:val="true"/>
              </w:rPr>
              <w:t xml:space="preserve">موقف أهل البيت </w:t>
            </w:r>
            <w:r>
              <w:rPr>
                <w:rStyle w:val="IndexLink"/>
                <w:rtl w:val="true"/>
              </w:rPr>
              <w:t xml:space="preserve">- </w:t>
            </w:r>
            <w:r>
              <w:rPr>
                <w:rStyle w:val="IndexLink"/>
                <w:rtl w:val="true"/>
              </w:rPr>
              <w:t xml:space="preserve">عليهم السلام </w:t>
            </w:r>
            <w:r>
              <w:rPr>
                <w:rStyle w:val="IndexLink"/>
                <w:rtl w:val="true"/>
              </w:rPr>
              <w:t xml:space="preserve">- </w:t>
            </w:r>
            <w:r>
              <w:rPr>
                <w:rStyle w:val="IndexLink"/>
                <w:rtl w:val="true"/>
              </w:rPr>
              <w:t>في هذه المسألة</w:t>
            </w:r>
            <w:r>
              <w:rPr>
                <w:rStyle w:val="IndexLink"/>
                <w:rtl w:val="true"/>
              </w:rPr>
              <w:tab/>
            </w:r>
            <w:r>
              <w:rPr>
                <w:rStyle w:val="IndexLink"/>
              </w:rPr>
              <w:t>352</w:t>
            </w:r>
          </w:hyperlink>
        </w:p>
        <w:p>
          <w:pPr>
            <w:pStyle w:val="Contents3"/>
            <w:tabs>
              <w:tab w:val="clear" w:pos="8459"/>
              <w:tab w:val="right" w:pos="9026" w:leader="dot"/>
            </w:tabs>
            <w:rPr/>
          </w:pPr>
          <w:hyperlink w:anchor="__RefHeading___Toc1391455_1067777946">
            <w:r>
              <w:rPr>
                <w:webHidden/>
                <w:rStyle w:val="IndexLink"/>
                <w:rtl w:val="true"/>
              </w:rPr>
              <w:t>الصفات الخبرية</w:t>
            </w:r>
            <w:r>
              <w:rPr>
                <w:rStyle w:val="IndexLink"/>
                <w:rtl w:val="true"/>
              </w:rPr>
              <w:tab/>
            </w:r>
            <w:r>
              <w:rPr>
                <w:rStyle w:val="IndexLink"/>
              </w:rPr>
              <w:t>355</w:t>
            </w:r>
          </w:hyperlink>
        </w:p>
        <w:p>
          <w:pPr>
            <w:pStyle w:val="Contents4"/>
            <w:tabs>
              <w:tab w:val="clear" w:pos="8176"/>
              <w:tab w:val="right" w:pos="9026" w:leader="dot"/>
            </w:tabs>
            <w:rPr/>
          </w:pPr>
          <w:hyperlink w:anchor="__RefHeading___Toc1391457_1067777946">
            <w:r>
              <w:rPr>
                <w:webHidden/>
                <w:rStyle w:val="IndexLink"/>
                <w:rtl w:val="true"/>
              </w:rPr>
              <w:t>اشارة</w:t>
            </w:r>
            <w:r>
              <w:rPr>
                <w:rStyle w:val="IndexLink"/>
                <w:rtl w:val="true"/>
              </w:rPr>
              <w:tab/>
            </w:r>
            <w:r>
              <w:rPr>
                <w:rStyle w:val="IndexLink"/>
              </w:rPr>
              <w:t>355</w:t>
            </w:r>
          </w:hyperlink>
        </w:p>
        <w:p>
          <w:pPr>
            <w:pStyle w:val="Contents4"/>
            <w:tabs>
              <w:tab w:val="clear" w:pos="8176"/>
              <w:tab w:val="right" w:pos="9026" w:leader="dot"/>
            </w:tabs>
            <w:rPr/>
          </w:pPr>
          <w:hyperlink w:anchor="__RefHeading___Toc1391459_1067777946">
            <w:r>
              <w:rPr>
                <w:webHidden/>
                <w:rStyle w:val="IndexLink"/>
              </w:rPr>
              <w:t>1</w:t>
            </w:r>
            <w:r>
              <w:rPr>
                <w:rStyle w:val="IndexLink"/>
                <w:rtl w:val="true"/>
              </w:rPr>
              <w:t xml:space="preserve">. </w:t>
            </w:r>
            <w:r>
              <w:rPr>
                <w:rStyle w:val="IndexLink"/>
                <w:rtl w:val="true"/>
              </w:rPr>
              <w:t>مبتدعة السلفية</w:t>
            </w:r>
            <w:r>
              <w:rPr>
                <w:rStyle w:val="IndexLink"/>
                <w:rtl w:val="true"/>
              </w:rPr>
              <w:tab/>
            </w:r>
            <w:r>
              <w:rPr>
                <w:rStyle w:val="IndexLink"/>
              </w:rPr>
              <w:t>356</w:t>
            </w:r>
          </w:hyperlink>
        </w:p>
        <w:p>
          <w:pPr>
            <w:pStyle w:val="Contents4"/>
            <w:tabs>
              <w:tab w:val="clear" w:pos="8176"/>
              <w:tab w:val="right" w:pos="9026" w:leader="dot"/>
            </w:tabs>
            <w:rPr/>
          </w:pPr>
          <w:hyperlink w:anchor="__RefHeading___Toc1391461_1067777946">
            <w:r>
              <w:rPr>
                <w:webHidden/>
                <w:rStyle w:val="IndexLink"/>
              </w:rPr>
              <w:t>2</w:t>
            </w:r>
            <w:r>
              <w:rPr>
                <w:rStyle w:val="IndexLink"/>
                <w:rtl w:val="true"/>
              </w:rPr>
              <w:t xml:space="preserve">. </w:t>
            </w:r>
            <w:r>
              <w:rPr>
                <w:rStyle w:val="IndexLink"/>
                <w:rtl w:val="true"/>
              </w:rPr>
              <w:t>معطلة السلفية</w:t>
            </w:r>
            <w:r>
              <w:rPr>
                <w:rStyle w:val="IndexLink"/>
                <w:rtl w:val="true"/>
              </w:rPr>
              <w:tab/>
            </w:r>
            <w:r>
              <w:rPr>
                <w:rStyle w:val="IndexLink"/>
              </w:rPr>
              <w:t>359</w:t>
            </w:r>
          </w:hyperlink>
        </w:p>
        <w:p>
          <w:pPr>
            <w:pStyle w:val="Contents5"/>
            <w:tabs>
              <w:tab w:val="clear" w:pos="7892"/>
              <w:tab w:val="right" w:pos="9026" w:leader="dot"/>
            </w:tabs>
            <w:rPr/>
          </w:pPr>
          <w:hyperlink w:anchor="__RefHeading___Toc1391463_1067777946">
            <w:r>
              <w:rPr>
                <w:webHidden/>
                <w:rStyle w:val="IndexLink"/>
                <w:rtl w:val="true"/>
              </w:rPr>
              <w:t>اشارة</w:t>
            </w:r>
            <w:r>
              <w:rPr>
                <w:rStyle w:val="IndexLink"/>
                <w:rtl w:val="true"/>
              </w:rPr>
              <w:tab/>
            </w:r>
            <w:r>
              <w:rPr>
                <w:rStyle w:val="IndexLink"/>
              </w:rPr>
              <w:t>359</w:t>
            </w:r>
          </w:hyperlink>
        </w:p>
        <w:p>
          <w:pPr>
            <w:pStyle w:val="Contents5"/>
            <w:tabs>
              <w:tab w:val="clear" w:pos="7892"/>
              <w:tab w:val="right" w:pos="9026" w:leader="dot"/>
            </w:tabs>
            <w:rPr/>
          </w:pPr>
          <w:hyperlink w:anchor="__RefHeading___Toc1391465_1067777946">
            <w:r>
              <w:rPr>
                <w:webHidden/>
                <w:rStyle w:val="IndexLink"/>
                <w:rtl w:val="true"/>
              </w:rPr>
              <w:t>إثبات الأشعري بين التشبيه والتعقيد</w:t>
            </w:r>
            <w:r>
              <w:rPr>
                <w:rStyle w:val="IndexLink"/>
                <w:rtl w:val="true"/>
              </w:rPr>
              <w:tab/>
            </w:r>
            <w:r>
              <w:rPr>
                <w:rStyle w:val="IndexLink"/>
              </w:rPr>
              <w:t>360</w:t>
            </w:r>
          </w:hyperlink>
        </w:p>
        <w:p>
          <w:pPr>
            <w:pStyle w:val="Contents5"/>
            <w:tabs>
              <w:tab w:val="clear" w:pos="7892"/>
              <w:tab w:val="right" w:pos="9026" w:leader="dot"/>
            </w:tabs>
            <w:rPr/>
          </w:pPr>
          <w:hyperlink w:anchor="__RefHeading___Toc1391467_1067777946">
            <w:r>
              <w:rPr>
                <w:webHidden/>
                <w:rStyle w:val="IndexLink"/>
                <w:rtl w:val="true"/>
              </w:rPr>
              <w:t>بين التعطيل والتأويل</w:t>
            </w:r>
            <w:r>
              <w:rPr>
                <w:rStyle w:val="IndexLink"/>
                <w:rtl w:val="true"/>
              </w:rPr>
              <w:tab/>
            </w:r>
            <w:r>
              <w:rPr>
                <w:rStyle w:val="IndexLink"/>
              </w:rPr>
              <w:t>364</w:t>
            </w:r>
          </w:hyperlink>
        </w:p>
        <w:p>
          <w:pPr>
            <w:pStyle w:val="Contents5"/>
            <w:tabs>
              <w:tab w:val="clear" w:pos="7892"/>
              <w:tab w:val="right" w:pos="9026" w:leader="dot"/>
            </w:tabs>
            <w:rPr/>
          </w:pPr>
          <w:hyperlink w:anchor="__RefHeading___Toc1391469_1067777946">
            <w:r>
              <w:rPr>
                <w:webHidden/>
                <w:rStyle w:val="IndexLink"/>
                <w:rtl w:val="true"/>
              </w:rPr>
              <w:t>الظاهر الإفرادي غير الظاهر الجملي أو التصديقي</w:t>
            </w:r>
            <w:r>
              <w:rPr>
                <w:rStyle w:val="IndexLink"/>
                <w:rtl w:val="true"/>
              </w:rPr>
              <w:tab/>
            </w:r>
            <w:r>
              <w:rPr>
                <w:rStyle w:val="IndexLink"/>
              </w:rPr>
              <w:t>364</w:t>
            </w:r>
          </w:hyperlink>
        </w:p>
        <w:p>
          <w:pPr>
            <w:pStyle w:val="Contents5"/>
            <w:tabs>
              <w:tab w:val="clear" w:pos="7892"/>
              <w:tab w:val="right" w:pos="9026" w:leader="dot"/>
            </w:tabs>
            <w:rPr/>
          </w:pPr>
          <w:hyperlink w:anchor="__RefHeading___Toc1391471_1067777946">
            <w:r>
              <w:rPr>
                <w:webHidden/>
                <w:rStyle w:val="IndexLink"/>
                <w:rtl w:val="true"/>
              </w:rPr>
              <w:t>تفسير نماذج من الصفات الخبرية</w:t>
            </w:r>
            <w:r>
              <w:rPr>
                <w:rStyle w:val="IndexLink"/>
                <w:rtl w:val="true"/>
              </w:rPr>
              <w:tab/>
            </w:r>
            <w:r>
              <w:rPr>
                <w:rStyle w:val="IndexLink"/>
              </w:rPr>
              <w:t>365</w:t>
            </w:r>
          </w:hyperlink>
        </w:p>
        <w:p>
          <w:pPr>
            <w:pStyle w:val="Contents5"/>
            <w:tabs>
              <w:tab w:val="clear" w:pos="7892"/>
              <w:tab w:val="right" w:pos="9026" w:leader="dot"/>
            </w:tabs>
            <w:rPr/>
          </w:pPr>
          <w:hyperlink w:anchor="__RefHeading___Toc1391473_1067777946">
            <w:r>
              <w:rPr>
                <w:webHidden/>
                <w:rStyle w:val="IndexLink"/>
                <w:rtl w:val="true"/>
              </w:rPr>
              <w:t>كلمة شيخ الأزهر الشيخ سليم البشري حول الصفات الخبريّة</w:t>
            </w:r>
            <w:r>
              <w:rPr>
                <w:rStyle w:val="IndexLink"/>
                <w:rtl w:val="true"/>
              </w:rPr>
              <w:tab/>
            </w:r>
            <w:r>
              <w:rPr>
                <w:rStyle w:val="IndexLink"/>
              </w:rPr>
              <w:t>372</w:t>
            </w:r>
          </w:hyperlink>
        </w:p>
        <w:p>
          <w:pPr>
            <w:pStyle w:val="Contents5"/>
            <w:tabs>
              <w:tab w:val="clear" w:pos="7892"/>
              <w:tab w:val="right" w:pos="9026" w:leader="dot"/>
            </w:tabs>
            <w:rPr/>
          </w:pPr>
          <w:hyperlink w:anchor="__RefHeading___Toc1391475_1067777946">
            <w:r>
              <w:rPr>
                <w:webHidden/>
                <w:rStyle w:val="IndexLink"/>
                <w:rtl w:val="true"/>
              </w:rPr>
              <w:t>نصّ الجواب</w:t>
            </w:r>
            <w:r>
              <w:rPr>
                <w:rStyle w:val="IndexLink"/>
                <w:rtl w:val="true"/>
              </w:rPr>
              <w:tab/>
            </w:r>
            <w:r>
              <w:rPr>
                <w:rStyle w:val="IndexLink"/>
              </w:rPr>
              <w:t>373</w:t>
            </w:r>
          </w:hyperlink>
        </w:p>
        <w:p>
          <w:pPr>
            <w:pStyle w:val="Contents5"/>
            <w:tabs>
              <w:tab w:val="clear" w:pos="7892"/>
              <w:tab w:val="right" w:pos="9026" w:leader="dot"/>
            </w:tabs>
            <w:rPr/>
          </w:pPr>
          <w:hyperlink w:anchor="__RefHeading___Toc1391477_1067777946">
            <w:r>
              <w:rPr>
                <w:webHidden/>
                <w:rStyle w:val="IndexLink"/>
                <w:rtl w:val="true"/>
              </w:rPr>
              <w:t>اقتراح</w:t>
            </w:r>
            <w:r>
              <w:rPr>
                <w:rStyle w:val="IndexLink"/>
                <w:rtl w:val="true"/>
              </w:rPr>
              <w:tab/>
            </w:r>
            <w:r>
              <w:rPr>
                <w:rStyle w:val="IndexLink"/>
              </w:rPr>
              <w:t>377</w:t>
            </w:r>
          </w:hyperlink>
        </w:p>
        <w:p>
          <w:pPr>
            <w:pStyle w:val="Contents2"/>
            <w:tabs>
              <w:tab w:val="clear" w:pos="8743"/>
              <w:tab w:val="right" w:pos="9026" w:leader="dot"/>
            </w:tabs>
            <w:rPr/>
          </w:pPr>
          <w:hyperlink w:anchor="__RefHeading___Toc1391479_1067777946">
            <w:r>
              <w:rPr>
                <w:webHidden/>
                <w:rStyle w:val="IndexLink"/>
                <w:rtl w:val="true"/>
              </w:rPr>
              <w:t>الفصل الثامن</w:t>
            </w:r>
            <w:r>
              <w:rPr>
                <w:rStyle w:val="IndexLink"/>
                <w:rtl w:val="true"/>
              </w:rPr>
              <w:t xml:space="preserve">: </w:t>
            </w:r>
            <w:r>
              <w:rPr>
                <w:rStyle w:val="IndexLink"/>
                <w:rtl w:val="true"/>
              </w:rPr>
              <w:t>البداء في الكتاب والسنّة</w:t>
            </w:r>
            <w:r>
              <w:rPr>
                <w:rStyle w:val="IndexLink"/>
                <w:rtl w:val="true"/>
              </w:rPr>
              <w:tab/>
            </w:r>
            <w:r>
              <w:rPr>
                <w:rStyle w:val="IndexLink"/>
              </w:rPr>
              <w:t>379</w:t>
            </w:r>
          </w:hyperlink>
        </w:p>
        <w:p>
          <w:pPr>
            <w:pStyle w:val="Contents3"/>
            <w:tabs>
              <w:tab w:val="clear" w:pos="8459"/>
              <w:tab w:val="right" w:pos="9026" w:leader="dot"/>
            </w:tabs>
            <w:rPr/>
          </w:pPr>
          <w:hyperlink w:anchor="__RefHeading___Toc1391481_1067777946">
            <w:r>
              <w:rPr>
                <w:webHidden/>
                <w:rStyle w:val="IndexLink"/>
                <w:rtl w:val="true"/>
              </w:rPr>
              <w:t>اشارة</w:t>
            </w:r>
            <w:r>
              <w:rPr>
                <w:rStyle w:val="IndexLink"/>
                <w:rtl w:val="true"/>
              </w:rPr>
              <w:tab/>
            </w:r>
            <w:r>
              <w:rPr>
                <w:rStyle w:val="IndexLink"/>
              </w:rPr>
              <w:t>379</w:t>
            </w:r>
          </w:hyperlink>
        </w:p>
        <w:p>
          <w:pPr>
            <w:pStyle w:val="Contents3"/>
            <w:tabs>
              <w:tab w:val="clear" w:pos="8459"/>
              <w:tab w:val="right" w:pos="9026" w:leader="dot"/>
            </w:tabs>
            <w:rPr/>
          </w:pPr>
          <w:hyperlink w:anchor="__RefHeading___Toc1391483_1067777946">
            <w:r>
              <w:rPr>
                <w:webHidden/>
                <w:rStyle w:val="IndexLink"/>
                <w:rtl w:val="true"/>
              </w:rPr>
              <w:t xml:space="preserve">البداء في حديث الرسول </w:t>
            </w:r>
            <w:r>
              <w:rPr>
                <w:rStyle w:val="IndexLink"/>
                <w:rtl w:val="true"/>
              </w:rPr>
              <w:t xml:space="preserve">- </w:t>
            </w:r>
            <w:r>
              <w:rPr>
                <w:rStyle w:val="IndexLink"/>
                <w:rtl w:val="true"/>
              </w:rPr>
              <w:t>صلى الله عليه وآله وسلم</w:t>
            </w:r>
            <w:r>
              <w:rPr>
                <w:rStyle w:val="IndexLink"/>
                <w:rtl w:val="true"/>
              </w:rPr>
              <w:tab/>
            </w:r>
            <w:r>
              <w:rPr>
                <w:rStyle w:val="IndexLink"/>
              </w:rPr>
              <w:t>381</w:t>
            </w:r>
          </w:hyperlink>
        </w:p>
        <w:p>
          <w:pPr>
            <w:pStyle w:val="Contents3"/>
            <w:tabs>
              <w:tab w:val="clear" w:pos="8459"/>
              <w:tab w:val="right" w:pos="9026" w:leader="dot"/>
            </w:tabs>
            <w:rPr/>
          </w:pPr>
          <w:hyperlink w:anchor="__RefHeading___Toc1391485_1067777946">
            <w:r>
              <w:rPr>
                <w:webHidden/>
                <w:rStyle w:val="IndexLink"/>
                <w:rtl w:val="true"/>
              </w:rPr>
              <w:t>تمهيد</w:t>
            </w:r>
            <w:r>
              <w:rPr>
                <w:rStyle w:val="IndexLink"/>
                <w:rtl w:val="true"/>
              </w:rPr>
              <w:tab/>
            </w:r>
            <w:r>
              <w:rPr>
                <w:rStyle w:val="IndexLink"/>
              </w:rPr>
              <w:t>381</w:t>
            </w:r>
          </w:hyperlink>
        </w:p>
        <w:p>
          <w:pPr>
            <w:pStyle w:val="Contents3"/>
            <w:tabs>
              <w:tab w:val="clear" w:pos="8459"/>
              <w:tab w:val="right" w:pos="9026" w:leader="dot"/>
            </w:tabs>
            <w:rPr/>
          </w:pPr>
          <w:hyperlink w:anchor="__RefHeading___Toc1391487_1067777946">
            <w:r>
              <w:rPr>
                <w:webHidden/>
                <w:rStyle w:val="IndexLink"/>
              </w:rPr>
              <w:t>1</w:t>
            </w:r>
            <w:r>
              <w:rPr>
                <w:rStyle w:val="IndexLink"/>
                <w:rtl w:val="true"/>
              </w:rPr>
              <w:t xml:space="preserve">- </w:t>
            </w:r>
            <w:r>
              <w:rPr>
                <w:rStyle w:val="IndexLink"/>
                <w:rtl w:val="true"/>
              </w:rPr>
              <w:t>تغيير المصير بالأعمال الصالحة والطالحة</w:t>
            </w:r>
            <w:r>
              <w:rPr>
                <w:rStyle w:val="IndexLink"/>
                <w:rtl w:val="true"/>
              </w:rPr>
              <w:tab/>
            </w:r>
            <w:r>
              <w:rPr>
                <w:rStyle w:val="IndexLink"/>
              </w:rPr>
              <w:t>385</w:t>
            </w:r>
          </w:hyperlink>
        </w:p>
        <w:p>
          <w:pPr>
            <w:pStyle w:val="Contents4"/>
            <w:tabs>
              <w:tab w:val="clear" w:pos="8176"/>
              <w:tab w:val="right" w:pos="9026" w:leader="dot"/>
            </w:tabs>
            <w:rPr/>
          </w:pPr>
          <w:hyperlink w:anchor="__RefHeading___Toc1391489_1067777946">
            <w:r>
              <w:rPr>
                <w:webHidden/>
                <w:rStyle w:val="IndexLink"/>
                <w:rtl w:val="true"/>
              </w:rPr>
              <w:t>اشارة</w:t>
            </w:r>
            <w:r>
              <w:rPr>
                <w:rStyle w:val="IndexLink"/>
                <w:rtl w:val="true"/>
              </w:rPr>
              <w:tab/>
            </w:r>
            <w:r>
              <w:rPr>
                <w:rStyle w:val="IndexLink"/>
              </w:rPr>
              <w:t>385</w:t>
            </w:r>
          </w:hyperlink>
        </w:p>
        <w:p>
          <w:pPr>
            <w:pStyle w:val="Contents4"/>
            <w:tabs>
              <w:tab w:val="clear" w:pos="8176"/>
              <w:tab w:val="right" w:pos="9026" w:leader="dot"/>
            </w:tabs>
            <w:rPr/>
          </w:pPr>
          <w:hyperlink w:anchor="__RefHeading___Toc1391491_1067777946">
            <w:r>
              <w:rPr>
                <w:webHidden/>
                <w:rStyle w:val="IndexLink"/>
                <w:rtl w:val="true"/>
              </w:rPr>
              <w:t>تغيير المصير بالأعمال في الروايات</w:t>
            </w:r>
            <w:r>
              <w:rPr>
                <w:rStyle w:val="IndexLink"/>
                <w:rtl w:val="true"/>
              </w:rPr>
              <w:tab/>
            </w:r>
            <w:r>
              <w:rPr>
                <w:rStyle w:val="IndexLink"/>
              </w:rPr>
              <w:t>388</w:t>
            </w:r>
          </w:hyperlink>
        </w:p>
        <w:p>
          <w:pPr>
            <w:pStyle w:val="Contents4"/>
            <w:tabs>
              <w:tab w:val="clear" w:pos="8176"/>
              <w:tab w:val="right" w:pos="9026" w:leader="dot"/>
            </w:tabs>
            <w:rPr/>
          </w:pPr>
          <w:hyperlink w:anchor="__RefHeading___Toc1391493_1067777946">
            <w:r>
              <w:rPr>
                <w:webHidden/>
                <w:rStyle w:val="IndexLink"/>
                <w:rtl w:val="true"/>
              </w:rPr>
              <w:t>سنّة الله الحكيمة في عباده</w:t>
            </w:r>
            <w:r>
              <w:rPr>
                <w:rStyle w:val="IndexLink"/>
                <w:rtl w:val="true"/>
              </w:rPr>
              <w:tab/>
            </w:r>
            <w:r>
              <w:rPr>
                <w:rStyle w:val="IndexLink"/>
              </w:rPr>
              <w:t>388</w:t>
            </w:r>
          </w:hyperlink>
        </w:p>
        <w:p>
          <w:pPr>
            <w:pStyle w:val="Contents4"/>
            <w:tabs>
              <w:tab w:val="clear" w:pos="8176"/>
              <w:tab w:val="right" w:pos="9026" w:leader="dot"/>
            </w:tabs>
            <w:rPr/>
          </w:pPr>
          <w:hyperlink w:anchor="__RefHeading___Toc1391495_1067777946">
            <w:r>
              <w:rPr>
                <w:webHidden/>
                <w:rStyle w:val="IndexLink"/>
                <w:rtl w:val="true"/>
              </w:rPr>
              <w:t>أثر الدعاء في تغيير المصير</w:t>
            </w:r>
            <w:r>
              <w:rPr>
                <w:rStyle w:val="IndexLink"/>
                <w:rtl w:val="true"/>
              </w:rPr>
              <w:tab/>
            </w:r>
            <w:r>
              <w:rPr>
                <w:rStyle w:val="IndexLink"/>
              </w:rPr>
              <w:t>389</w:t>
            </w:r>
          </w:hyperlink>
        </w:p>
        <w:p>
          <w:pPr>
            <w:pStyle w:val="Contents4"/>
            <w:tabs>
              <w:tab w:val="clear" w:pos="8176"/>
              <w:tab w:val="right" w:pos="9026" w:leader="dot"/>
            </w:tabs>
            <w:rPr/>
          </w:pPr>
          <w:hyperlink w:anchor="__RefHeading___Toc1391497_1067777946">
            <w:r>
              <w:rPr>
                <w:webHidden/>
                <w:rStyle w:val="IndexLink"/>
                <w:rtl w:val="true"/>
              </w:rPr>
              <w:t>أثر الصدقة في تغيير المصير</w:t>
            </w:r>
            <w:r>
              <w:rPr>
                <w:rStyle w:val="IndexLink"/>
                <w:rtl w:val="true"/>
              </w:rPr>
              <w:tab/>
            </w:r>
            <w:r>
              <w:rPr>
                <w:rStyle w:val="IndexLink"/>
              </w:rPr>
              <w:t>390</w:t>
            </w:r>
          </w:hyperlink>
        </w:p>
        <w:p>
          <w:pPr>
            <w:pStyle w:val="Contents3"/>
            <w:tabs>
              <w:tab w:val="clear" w:pos="8459"/>
              <w:tab w:val="right" w:pos="9026" w:leader="dot"/>
            </w:tabs>
            <w:rPr/>
          </w:pPr>
          <w:hyperlink w:anchor="__RefHeading___Toc1391499_1067777946">
            <w:r>
              <w:rPr>
                <w:webHidden/>
                <w:rStyle w:val="IndexLink"/>
              </w:rPr>
              <w:t>2</w:t>
            </w:r>
            <w:r>
              <w:rPr>
                <w:rStyle w:val="IndexLink"/>
                <w:rtl w:val="true"/>
              </w:rPr>
              <w:t xml:space="preserve">- </w:t>
            </w:r>
            <w:r>
              <w:rPr>
                <w:rStyle w:val="IndexLink"/>
                <w:rtl w:val="true"/>
              </w:rPr>
              <w:t>البداء في الكتاب العزيز</w:t>
            </w:r>
            <w:r>
              <w:rPr>
                <w:rStyle w:val="IndexLink"/>
                <w:rtl w:val="true"/>
              </w:rPr>
              <w:tab/>
            </w:r>
            <w:r>
              <w:rPr>
                <w:rStyle w:val="IndexLink"/>
              </w:rPr>
              <w:t>392</w:t>
            </w:r>
          </w:hyperlink>
        </w:p>
        <w:p>
          <w:pPr>
            <w:pStyle w:val="Contents3"/>
            <w:tabs>
              <w:tab w:val="clear" w:pos="8459"/>
              <w:tab w:val="right" w:pos="9026" w:leader="dot"/>
            </w:tabs>
            <w:rPr/>
          </w:pPr>
          <w:hyperlink w:anchor="__RefHeading___Toc1391501_1067777946">
            <w:r>
              <w:rPr>
                <w:webHidden/>
                <w:rStyle w:val="IndexLink"/>
              </w:rPr>
              <w:t>3</w:t>
            </w:r>
            <w:r>
              <w:rPr>
                <w:rStyle w:val="IndexLink"/>
                <w:rtl w:val="true"/>
              </w:rPr>
              <w:t xml:space="preserve">- </w:t>
            </w:r>
            <w:r>
              <w:rPr>
                <w:rStyle w:val="IndexLink"/>
                <w:rtl w:val="true"/>
              </w:rPr>
              <w:t>النزاع في البداء لفظي</w:t>
            </w:r>
            <w:r>
              <w:rPr>
                <w:rStyle w:val="IndexLink"/>
                <w:rtl w:val="true"/>
              </w:rPr>
              <w:tab/>
            </w:r>
            <w:r>
              <w:rPr>
                <w:rStyle w:val="IndexLink"/>
              </w:rPr>
              <w:t>398</w:t>
            </w:r>
          </w:hyperlink>
        </w:p>
        <w:p>
          <w:pPr>
            <w:pStyle w:val="Contents4"/>
            <w:tabs>
              <w:tab w:val="clear" w:pos="8176"/>
              <w:tab w:val="right" w:pos="9026" w:leader="dot"/>
            </w:tabs>
            <w:rPr/>
          </w:pPr>
          <w:hyperlink w:anchor="__RefHeading___Toc1391503_1067777946">
            <w:r>
              <w:rPr>
                <w:webHidden/>
                <w:rStyle w:val="IndexLink"/>
                <w:rtl w:val="true"/>
              </w:rPr>
              <w:t>اشارة</w:t>
            </w:r>
            <w:r>
              <w:rPr>
                <w:rStyle w:val="IndexLink"/>
                <w:rtl w:val="true"/>
              </w:rPr>
              <w:tab/>
            </w:r>
            <w:r>
              <w:rPr>
                <w:rStyle w:val="IndexLink"/>
              </w:rPr>
              <w:t>398</w:t>
            </w:r>
          </w:hyperlink>
        </w:p>
        <w:p>
          <w:pPr>
            <w:pStyle w:val="Contents4"/>
            <w:tabs>
              <w:tab w:val="clear" w:pos="8176"/>
              <w:tab w:val="right" w:pos="9026" w:leader="dot"/>
            </w:tabs>
            <w:rPr/>
          </w:pPr>
          <w:hyperlink w:anchor="__RefHeading___Toc1391505_1067777946">
            <w:r>
              <w:rPr>
                <w:webHidden/>
                <w:rStyle w:val="IndexLink"/>
                <w:rtl w:val="true"/>
              </w:rPr>
              <w:t>نصوص علماء الإمامية في البداء</w:t>
            </w:r>
            <w:r>
              <w:rPr>
                <w:rStyle w:val="IndexLink"/>
                <w:rtl w:val="true"/>
              </w:rPr>
              <w:tab/>
            </w:r>
            <w:r>
              <w:rPr>
                <w:rStyle w:val="IndexLink"/>
              </w:rPr>
              <w:t>399</w:t>
            </w:r>
          </w:hyperlink>
        </w:p>
        <w:p>
          <w:pPr>
            <w:pStyle w:val="Contents4"/>
            <w:tabs>
              <w:tab w:val="clear" w:pos="8176"/>
              <w:tab w:val="right" w:pos="9026" w:leader="dot"/>
            </w:tabs>
            <w:rPr/>
          </w:pPr>
          <w:hyperlink w:anchor="__RefHeading___Toc1391507_1067777946">
            <w:r>
              <w:rPr>
                <w:webHidden/>
                <w:rStyle w:val="IndexLink"/>
                <w:rtl w:val="true"/>
              </w:rPr>
              <w:t>كلام الإمام شرف الدين في البداء</w:t>
            </w:r>
            <w:r>
              <w:rPr>
                <w:rStyle w:val="IndexLink"/>
                <w:rtl w:val="true"/>
              </w:rPr>
              <w:tab/>
            </w:r>
            <w:r>
              <w:rPr>
                <w:rStyle w:val="IndexLink"/>
              </w:rPr>
              <w:t>403</w:t>
            </w:r>
          </w:hyperlink>
        </w:p>
        <w:p>
          <w:pPr>
            <w:pStyle w:val="Contents4"/>
            <w:tabs>
              <w:tab w:val="clear" w:pos="8176"/>
              <w:tab w:val="right" w:pos="9026" w:leader="dot"/>
            </w:tabs>
            <w:rPr/>
          </w:pPr>
          <w:hyperlink w:anchor="__RefHeading___Toc1391509_1067777946">
            <w:r>
              <w:rPr>
                <w:webHidden/>
                <w:rStyle w:val="IndexLink"/>
                <w:rtl w:val="true"/>
              </w:rPr>
              <w:t>كلام المصلح الكبير كاشف الغطاء في البداء</w:t>
            </w:r>
            <w:r>
              <w:rPr>
                <w:rStyle w:val="IndexLink"/>
                <w:rtl w:val="true"/>
              </w:rPr>
              <w:tab/>
            </w:r>
            <w:r>
              <w:rPr>
                <w:rStyle w:val="IndexLink"/>
              </w:rPr>
              <w:t>405</w:t>
            </w:r>
          </w:hyperlink>
        </w:p>
        <w:p>
          <w:pPr>
            <w:pStyle w:val="Contents4"/>
            <w:tabs>
              <w:tab w:val="clear" w:pos="8176"/>
              <w:tab w:val="right" w:pos="9026" w:leader="dot"/>
            </w:tabs>
            <w:rPr/>
          </w:pPr>
          <w:hyperlink w:anchor="__RefHeading___Toc1391511_1067777946">
            <w:r>
              <w:rPr>
                <w:webHidden/>
                <w:rStyle w:val="IndexLink"/>
                <w:rtl w:val="true"/>
              </w:rPr>
              <w:t>فذلكة البحث</w:t>
            </w:r>
            <w:r>
              <w:rPr>
                <w:rStyle w:val="IndexLink"/>
                <w:rtl w:val="true"/>
              </w:rPr>
              <w:tab/>
            </w:r>
            <w:r>
              <w:rPr>
                <w:rStyle w:val="IndexLink"/>
              </w:rPr>
              <w:t>406</w:t>
            </w:r>
          </w:hyperlink>
        </w:p>
        <w:p>
          <w:pPr>
            <w:pStyle w:val="Contents3"/>
            <w:tabs>
              <w:tab w:val="clear" w:pos="8459"/>
              <w:tab w:val="right" w:pos="9026" w:leader="dot"/>
            </w:tabs>
            <w:rPr/>
          </w:pPr>
          <w:hyperlink w:anchor="__RefHeading___Toc1391513_1067777946">
            <w:r>
              <w:rPr>
                <w:webHidden/>
                <w:rStyle w:val="IndexLink"/>
              </w:rPr>
              <w:t>4</w:t>
            </w:r>
            <w:r>
              <w:rPr>
                <w:rStyle w:val="IndexLink"/>
                <w:rtl w:val="true"/>
              </w:rPr>
              <w:t xml:space="preserve">- </w:t>
            </w:r>
            <w:r>
              <w:rPr>
                <w:rStyle w:val="IndexLink"/>
                <w:rtl w:val="true"/>
              </w:rPr>
              <w:t>التفسير الخاطئ للبداء عند مشايخ السنّة</w:t>
            </w:r>
            <w:r>
              <w:rPr>
                <w:rStyle w:val="IndexLink"/>
                <w:rtl w:val="true"/>
              </w:rPr>
              <w:tab/>
            </w:r>
            <w:r>
              <w:rPr>
                <w:rStyle w:val="IndexLink"/>
              </w:rPr>
              <w:t>407</w:t>
            </w:r>
          </w:hyperlink>
        </w:p>
        <w:p>
          <w:pPr>
            <w:pStyle w:val="Contents4"/>
            <w:tabs>
              <w:tab w:val="clear" w:pos="8176"/>
              <w:tab w:val="right" w:pos="9026" w:leader="dot"/>
            </w:tabs>
            <w:rPr/>
          </w:pPr>
          <w:hyperlink w:anchor="__RefHeading___Toc1391515_1067777946">
            <w:r>
              <w:rPr>
                <w:webHidden/>
                <w:rStyle w:val="IndexLink"/>
                <w:rtl w:val="true"/>
              </w:rPr>
              <w:t>اشارة</w:t>
            </w:r>
            <w:r>
              <w:rPr>
                <w:rStyle w:val="IndexLink"/>
                <w:rtl w:val="true"/>
              </w:rPr>
              <w:tab/>
            </w:r>
            <w:r>
              <w:rPr>
                <w:rStyle w:val="IndexLink"/>
              </w:rPr>
              <w:t>407</w:t>
            </w:r>
          </w:hyperlink>
        </w:p>
        <w:p>
          <w:pPr>
            <w:pStyle w:val="Contents4"/>
            <w:tabs>
              <w:tab w:val="clear" w:pos="8176"/>
              <w:tab w:val="right" w:pos="9026" w:leader="dot"/>
            </w:tabs>
            <w:rPr/>
          </w:pPr>
          <w:hyperlink w:anchor="__RefHeading___Toc1391517_1067777946">
            <w:r>
              <w:rPr>
                <w:webHidden/>
                <w:rStyle w:val="IndexLink"/>
              </w:rPr>
              <w:t>1</w:t>
            </w:r>
            <w:r>
              <w:rPr>
                <w:rStyle w:val="IndexLink"/>
                <w:rtl w:val="true"/>
              </w:rPr>
              <w:t xml:space="preserve">. </w:t>
            </w:r>
            <w:r>
              <w:rPr>
                <w:rStyle w:val="IndexLink"/>
                <w:rtl w:val="true"/>
              </w:rPr>
              <w:t xml:space="preserve">البلخي </w:t>
            </w:r>
            <w:r>
              <w:rPr>
                <w:rStyle w:val="IndexLink"/>
                <w:rtl w:val="true"/>
              </w:rPr>
              <w:t>(</w:t>
            </w:r>
            <w:r>
              <w:rPr>
                <w:rStyle w:val="IndexLink"/>
                <w:rtl w:val="true"/>
              </w:rPr>
              <w:t xml:space="preserve">المتوفّى </w:t>
            </w:r>
            <w:r>
              <w:rPr>
                <w:rStyle w:val="IndexLink"/>
              </w:rPr>
              <w:t>317</w:t>
            </w:r>
            <w:r>
              <w:rPr>
                <w:rStyle w:val="IndexLink"/>
                <w:rtl w:val="true"/>
              </w:rPr>
              <w:t xml:space="preserve"> </w:t>
            </w:r>
            <w:r>
              <w:rPr>
                <w:rStyle w:val="IndexLink"/>
                <w:rtl w:val="true"/>
              </w:rPr>
              <w:t>ه</w:t>
            </w:r>
            <w:r>
              <w:rPr>
                <w:rStyle w:val="IndexLink"/>
                <w:rtl w:val="true"/>
              </w:rPr>
              <w:t>)</w:t>
              <w:tab/>
            </w:r>
            <w:r>
              <w:rPr>
                <w:rStyle w:val="IndexLink"/>
              </w:rPr>
              <w:t>407</w:t>
            </w:r>
          </w:hyperlink>
        </w:p>
        <w:p>
          <w:pPr>
            <w:pStyle w:val="Contents4"/>
            <w:tabs>
              <w:tab w:val="clear" w:pos="8176"/>
              <w:tab w:val="right" w:pos="9026" w:leader="dot"/>
            </w:tabs>
            <w:rPr/>
          </w:pPr>
          <w:hyperlink w:anchor="__RefHeading___Toc1391519_1067777946">
            <w:r>
              <w:rPr>
                <w:webHidden/>
                <w:rStyle w:val="IndexLink"/>
              </w:rPr>
              <w:t>2</w:t>
            </w:r>
            <w:r>
              <w:rPr>
                <w:rStyle w:val="IndexLink"/>
                <w:rtl w:val="true"/>
              </w:rPr>
              <w:t xml:space="preserve">. </w:t>
            </w:r>
            <w:r>
              <w:rPr>
                <w:rStyle w:val="IndexLink"/>
                <w:rtl w:val="true"/>
              </w:rPr>
              <w:t xml:space="preserve">أبو الحسن الأشعري </w:t>
            </w:r>
            <w:r>
              <w:rPr>
                <w:rStyle w:val="IndexLink"/>
                <w:rtl w:val="true"/>
              </w:rPr>
              <w:t>(</w:t>
            </w:r>
            <w:r>
              <w:rPr>
                <w:rStyle w:val="IndexLink"/>
              </w:rPr>
              <w:t>260</w:t>
            </w:r>
            <w:r>
              <w:rPr>
                <w:rStyle w:val="IndexLink"/>
                <w:rtl w:val="true"/>
              </w:rPr>
              <w:t xml:space="preserve"> - </w:t>
            </w:r>
            <w:r>
              <w:rPr>
                <w:rStyle w:val="IndexLink"/>
              </w:rPr>
              <w:t>324</w:t>
            </w:r>
            <w:r>
              <w:rPr>
                <w:rStyle w:val="IndexLink"/>
                <w:rtl w:val="true"/>
              </w:rPr>
              <w:t xml:space="preserve"> </w:t>
            </w:r>
            <w:r>
              <w:rPr>
                <w:rStyle w:val="IndexLink"/>
                <w:rtl w:val="true"/>
              </w:rPr>
              <w:t>ه</w:t>
            </w:r>
            <w:r>
              <w:rPr>
                <w:rStyle w:val="IndexLink"/>
                <w:rtl w:val="true"/>
              </w:rPr>
              <w:t>)</w:t>
              <w:tab/>
            </w:r>
            <w:r>
              <w:rPr>
                <w:rStyle w:val="IndexLink"/>
              </w:rPr>
              <w:t>408</w:t>
            </w:r>
          </w:hyperlink>
        </w:p>
        <w:p>
          <w:pPr>
            <w:pStyle w:val="Contents4"/>
            <w:tabs>
              <w:tab w:val="clear" w:pos="8176"/>
              <w:tab w:val="right" w:pos="9026" w:leader="dot"/>
            </w:tabs>
            <w:rPr/>
          </w:pPr>
          <w:hyperlink w:anchor="__RefHeading___Toc1391521_1067777946">
            <w:r>
              <w:rPr>
                <w:webHidden/>
                <w:rStyle w:val="IndexLink"/>
              </w:rPr>
              <w:t>3</w:t>
            </w:r>
            <w:r>
              <w:rPr>
                <w:rStyle w:val="IndexLink"/>
                <w:rtl w:val="true"/>
              </w:rPr>
              <w:t xml:space="preserve">. </w:t>
            </w:r>
            <w:r>
              <w:rPr>
                <w:rStyle w:val="IndexLink"/>
                <w:rtl w:val="true"/>
              </w:rPr>
              <w:t xml:space="preserve">فخر الدين الرازي </w:t>
            </w:r>
            <w:r>
              <w:rPr>
                <w:rStyle w:val="IndexLink"/>
                <w:rtl w:val="true"/>
              </w:rPr>
              <w:t>(</w:t>
            </w:r>
            <w:r>
              <w:rPr>
                <w:rStyle w:val="IndexLink"/>
                <w:rtl w:val="true"/>
              </w:rPr>
              <w:t xml:space="preserve">المتوفّى </w:t>
            </w:r>
            <w:r>
              <w:rPr>
                <w:rStyle w:val="IndexLink"/>
              </w:rPr>
              <w:t>606</w:t>
            </w:r>
            <w:r>
              <w:rPr>
                <w:rStyle w:val="IndexLink"/>
                <w:rtl w:val="true"/>
              </w:rPr>
              <w:t xml:space="preserve"> </w:t>
            </w:r>
            <w:r>
              <w:rPr>
                <w:rStyle w:val="IndexLink"/>
                <w:rtl w:val="true"/>
              </w:rPr>
              <w:t>ه</w:t>
            </w:r>
            <w:r>
              <w:rPr>
                <w:rStyle w:val="IndexLink"/>
                <w:rtl w:val="true"/>
              </w:rPr>
              <w:t>)</w:t>
              <w:tab/>
            </w:r>
            <w:r>
              <w:rPr>
                <w:rStyle w:val="IndexLink"/>
              </w:rPr>
              <w:t>410</w:t>
            </w:r>
          </w:hyperlink>
        </w:p>
        <w:p>
          <w:pPr>
            <w:pStyle w:val="Contents4"/>
            <w:tabs>
              <w:tab w:val="clear" w:pos="8176"/>
              <w:tab w:val="right" w:pos="9026" w:leader="dot"/>
            </w:tabs>
            <w:rPr/>
          </w:pPr>
          <w:hyperlink w:anchor="__RefHeading___Toc1391523_1067777946">
            <w:r>
              <w:rPr>
                <w:webHidden/>
                <w:rStyle w:val="IndexLink"/>
              </w:rPr>
              <w:t>4</w:t>
            </w:r>
            <w:r>
              <w:rPr>
                <w:rStyle w:val="IndexLink"/>
                <w:rtl w:val="true"/>
              </w:rPr>
              <w:t xml:space="preserve">. </w:t>
            </w:r>
            <w:r>
              <w:rPr>
                <w:rStyle w:val="IndexLink"/>
                <w:rtl w:val="true"/>
              </w:rPr>
              <w:t>أبو زهرة وهفوته في تفسير البداء</w:t>
            </w:r>
            <w:r>
              <w:rPr>
                <w:rStyle w:val="IndexLink"/>
                <w:rtl w:val="true"/>
              </w:rPr>
              <w:tab/>
            </w:r>
            <w:r>
              <w:rPr>
                <w:rStyle w:val="IndexLink"/>
              </w:rPr>
              <w:t>411</w:t>
            </w:r>
          </w:hyperlink>
        </w:p>
        <w:p>
          <w:pPr>
            <w:pStyle w:val="Contents5"/>
            <w:tabs>
              <w:tab w:val="clear" w:pos="7892"/>
              <w:tab w:val="right" w:pos="9026" w:leader="dot"/>
            </w:tabs>
            <w:rPr/>
          </w:pPr>
          <w:hyperlink w:anchor="__RefHeading___Toc1391525_1067777946">
            <w:r>
              <w:rPr>
                <w:webHidden/>
                <w:rStyle w:val="IndexLink"/>
                <w:rtl w:val="true"/>
              </w:rPr>
              <w:t>اشارة</w:t>
            </w:r>
            <w:r>
              <w:rPr>
                <w:rStyle w:val="IndexLink"/>
                <w:rtl w:val="true"/>
              </w:rPr>
              <w:tab/>
            </w:r>
            <w:r>
              <w:rPr>
                <w:rStyle w:val="IndexLink"/>
              </w:rPr>
              <w:t>411</w:t>
            </w:r>
          </w:hyperlink>
        </w:p>
        <w:p>
          <w:pPr>
            <w:pStyle w:val="Contents5"/>
            <w:tabs>
              <w:tab w:val="clear" w:pos="7892"/>
              <w:tab w:val="right" w:pos="9026" w:leader="dot"/>
            </w:tabs>
            <w:rPr/>
          </w:pPr>
          <w:hyperlink w:anchor="__RefHeading___Toc1391527_1067777946">
            <w:r>
              <w:rPr>
                <w:webHidden/>
                <w:rStyle w:val="IndexLink"/>
                <w:rtl w:val="true"/>
              </w:rPr>
              <w:t>لا تخصيص في القاعدة العقلية</w:t>
            </w:r>
            <w:r>
              <w:rPr>
                <w:rStyle w:val="IndexLink"/>
                <w:rtl w:val="true"/>
              </w:rPr>
              <w:tab/>
            </w:r>
            <w:r>
              <w:rPr>
                <w:rStyle w:val="IndexLink"/>
              </w:rPr>
              <w:t>414</w:t>
            </w:r>
          </w:hyperlink>
        </w:p>
        <w:p>
          <w:pPr>
            <w:pStyle w:val="Contents5"/>
            <w:tabs>
              <w:tab w:val="clear" w:pos="7892"/>
              <w:tab w:val="right" w:pos="9026" w:leader="dot"/>
            </w:tabs>
            <w:rPr/>
          </w:pPr>
          <w:hyperlink w:anchor="__RefHeading___Toc1391529_1067777946">
            <w:r>
              <w:rPr>
                <w:webHidden/>
                <w:rStyle w:val="IndexLink"/>
                <w:rtl w:val="true"/>
              </w:rPr>
              <w:t>وزان التقديرين وزان الأجلين</w:t>
            </w:r>
            <w:r>
              <w:rPr>
                <w:rStyle w:val="IndexLink"/>
                <w:rtl w:val="true"/>
              </w:rPr>
              <w:tab/>
            </w:r>
            <w:r>
              <w:rPr>
                <w:rStyle w:val="IndexLink"/>
              </w:rPr>
              <w:t>414</w:t>
            </w:r>
          </w:hyperlink>
        </w:p>
        <w:p>
          <w:pPr>
            <w:pStyle w:val="Contents5"/>
            <w:tabs>
              <w:tab w:val="clear" w:pos="7892"/>
              <w:tab w:val="right" w:pos="9026" w:leader="dot"/>
            </w:tabs>
            <w:rPr/>
          </w:pPr>
          <w:hyperlink w:anchor="__RefHeading___Toc1391531_1067777946">
            <w:r>
              <w:rPr>
                <w:webHidden/>
                <w:rStyle w:val="IndexLink"/>
                <w:rtl w:val="true"/>
              </w:rPr>
              <w:t>أحد أعلام السنّة يصحر بالحقيقة</w:t>
            </w:r>
            <w:r>
              <w:rPr>
                <w:rStyle w:val="IndexLink"/>
                <w:rtl w:val="true"/>
              </w:rPr>
              <w:tab/>
            </w:r>
            <w:r>
              <w:rPr>
                <w:rStyle w:val="IndexLink"/>
              </w:rPr>
              <w:t>416</w:t>
            </w:r>
          </w:hyperlink>
        </w:p>
        <w:p>
          <w:pPr>
            <w:pStyle w:val="Contents3"/>
            <w:tabs>
              <w:tab w:val="clear" w:pos="8459"/>
              <w:tab w:val="right" w:pos="9026" w:leader="dot"/>
            </w:tabs>
            <w:rPr/>
          </w:pPr>
          <w:hyperlink w:anchor="__RefHeading___Toc1391533_1067777946">
            <w:r>
              <w:rPr>
                <w:webHidden/>
                <w:rStyle w:val="IndexLink"/>
              </w:rPr>
              <w:t>5</w:t>
            </w:r>
            <w:r>
              <w:rPr>
                <w:rStyle w:val="IndexLink"/>
                <w:rtl w:val="true"/>
              </w:rPr>
              <w:t xml:space="preserve">- </w:t>
            </w:r>
            <w:r>
              <w:rPr>
                <w:rStyle w:val="IndexLink"/>
                <w:rtl w:val="true"/>
              </w:rPr>
              <w:t>الأثر التربوي للإيمان بالبداء</w:t>
            </w:r>
            <w:r>
              <w:rPr>
                <w:rStyle w:val="IndexLink"/>
                <w:rtl w:val="true"/>
              </w:rPr>
              <w:tab/>
            </w:r>
            <w:r>
              <w:rPr>
                <w:rStyle w:val="IndexLink"/>
              </w:rPr>
              <w:t>417</w:t>
            </w:r>
          </w:hyperlink>
        </w:p>
        <w:p>
          <w:pPr>
            <w:pStyle w:val="Contents3"/>
            <w:tabs>
              <w:tab w:val="clear" w:pos="8459"/>
              <w:tab w:val="right" w:pos="9026" w:leader="dot"/>
            </w:tabs>
            <w:rPr/>
          </w:pPr>
          <w:hyperlink w:anchor="__RefHeading___Toc1391535_1067777946">
            <w:r>
              <w:rPr>
                <w:webHidden/>
                <w:rStyle w:val="IndexLink"/>
              </w:rPr>
              <w:t>6</w:t>
            </w:r>
            <w:r>
              <w:rPr>
                <w:rStyle w:val="IndexLink"/>
                <w:rtl w:val="true"/>
              </w:rPr>
              <w:t xml:space="preserve">- </w:t>
            </w:r>
            <w:r>
              <w:rPr>
                <w:rStyle w:val="IndexLink"/>
                <w:rtl w:val="true"/>
              </w:rPr>
              <w:t>الحوادث التي بدا لله تبارك وتعالى فيها</w:t>
            </w:r>
            <w:r>
              <w:rPr>
                <w:rStyle w:val="IndexLink"/>
                <w:rtl w:val="true"/>
              </w:rPr>
              <w:tab/>
            </w:r>
            <w:r>
              <w:rPr>
                <w:rStyle w:val="IndexLink"/>
              </w:rPr>
              <w:t>420</w:t>
            </w:r>
          </w:hyperlink>
        </w:p>
        <w:p>
          <w:pPr>
            <w:pStyle w:val="Contents4"/>
            <w:tabs>
              <w:tab w:val="clear" w:pos="8176"/>
              <w:tab w:val="right" w:pos="9026" w:leader="dot"/>
            </w:tabs>
            <w:rPr/>
          </w:pPr>
          <w:hyperlink w:anchor="__RefHeading___Toc1391537_1067777946">
            <w:r>
              <w:rPr>
                <w:webHidden/>
                <w:rStyle w:val="IndexLink"/>
                <w:rtl w:val="true"/>
              </w:rPr>
              <w:t>اشارة</w:t>
            </w:r>
            <w:r>
              <w:rPr>
                <w:rStyle w:val="IndexLink"/>
                <w:rtl w:val="true"/>
              </w:rPr>
              <w:tab/>
            </w:r>
            <w:r>
              <w:rPr>
                <w:rStyle w:val="IndexLink"/>
              </w:rPr>
              <w:t>420</w:t>
            </w:r>
          </w:hyperlink>
        </w:p>
        <w:p>
          <w:pPr>
            <w:pStyle w:val="Contents4"/>
            <w:tabs>
              <w:tab w:val="clear" w:pos="8176"/>
              <w:tab w:val="right" w:pos="9026" w:leader="dot"/>
            </w:tabs>
            <w:rPr/>
          </w:pPr>
          <w:hyperlink w:anchor="__RefHeading___Toc1391539_1067777946">
            <w:r>
              <w:rPr>
                <w:webHidden/>
                <w:rStyle w:val="IndexLink"/>
              </w:rPr>
              <w:t>1</w:t>
            </w:r>
            <w:r>
              <w:rPr>
                <w:rStyle w:val="IndexLink"/>
                <w:rtl w:val="true"/>
              </w:rPr>
              <w:t xml:space="preserve">. </w:t>
            </w:r>
            <w:r>
              <w:rPr>
                <w:rStyle w:val="IndexLink"/>
                <w:rtl w:val="true"/>
              </w:rPr>
              <w:t>حادثة رفع العذاب عن قوم يونس</w:t>
            </w:r>
            <w:r>
              <w:rPr>
                <w:rStyle w:val="IndexLink"/>
                <w:rtl w:val="true"/>
              </w:rPr>
              <w:tab/>
            </w:r>
            <w:r>
              <w:rPr>
                <w:rStyle w:val="IndexLink"/>
              </w:rPr>
              <w:t>421</w:t>
            </w:r>
          </w:hyperlink>
        </w:p>
        <w:p>
          <w:pPr>
            <w:pStyle w:val="Contents4"/>
            <w:tabs>
              <w:tab w:val="clear" w:pos="8176"/>
              <w:tab w:val="right" w:pos="9026" w:leader="dot"/>
            </w:tabs>
            <w:rPr/>
          </w:pPr>
          <w:hyperlink w:anchor="__RefHeading___Toc1391541_1067777946">
            <w:r>
              <w:rPr>
                <w:webHidden/>
                <w:rStyle w:val="IndexLink"/>
              </w:rPr>
              <w:t>2</w:t>
            </w:r>
            <w:r>
              <w:rPr>
                <w:rStyle w:val="IndexLink"/>
                <w:rtl w:val="true"/>
              </w:rPr>
              <w:t xml:space="preserve">. </w:t>
            </w:r>
            <w:r>
              <w:rPr>
                <w:rStyle w:val="IndexLink"/>
                <w:rtl w:val="true"/>
              </w:rPr>
              <w:t>حادثة الإعراض عن ذبح إسماعيل</w:t>
            </w:r>
            <w:r>
              <w:rPr>
                <w:rStyle w:val="IndexLink"/>
                <w:rtl w:val="true"/>
              </w:rPr>
              <w:tab/>
            </w:r>
            <w:r>
              <w:rPr>
                <w:rStyle w:val="IndexLink"/>
              </w:rPr>
              <w:t>422</w:t>
            </w:r>
          </w:hyperlink>
        </w:p>
        <w:p>
          <w:pPr>
            <w:pStyle w:val="Contents4"/>
            <w:tabs>
              <w:tab w:val="clear" w:pos="8176"/>
              <w:tab w:val="right" w:pos="9026" w:leader="dot"/>
            </w:tabs>
            <w:rPr/>
          </w:pPr>
          <w:hyperlink w:anchor="__RefHeading___Toc1391543_1067777946">
            <w:r>
              <w:rPr>
                <w:webHidden/>
                <w:rStyle w:val="IndexLink"/>
              </w:rPr>
              <w:t>3</w:t>
            </w:r>
            <w:r>
              <w:rPr>
                <w:rStyle w:val="IndexLink"/>
                <w:rtl w:val="true"/>
              </w:rPr>
              <w:t xml:space="preserve">. </w:t>
            </w:r>
            <w:r>
              <w:rPr>
                <w:rStyle w:val="IndexLink"/>
                <w:rtl w:val="true"/>
              </w:rPr>
              <w:t xml:space="preserve">حادثة إكمال ميقات موسى </w:t>
            </w:r>
            <w:r>
              <w:rPr>
                <w:rStyle w:val="IndexLink"/>
                <w:rtl w:val="true"/>
              </w:rPr>
              <w:t xml:space="preserve">- </w:t>
            </w:r>
            <w:r>
              <w:rPr>
                <w:rStyle w:val="IndexLink"/>
                <w:rtl w:val="true"/>
              </w:rPr>
              <w:t xml:space="preserve">عليه السلام </w:t>
            </w:r>
            <w:r>
              <w:rPr>
                <w:rStyle w:val="IndexLink"/>
                <w:rtl w:val="true"/>
              </w:rPr>
              <w:t>-</w:t>
              <w:tab/>
            </w:r>
            <w:r>
              <w:rPr>
                <w:rStyle w:val="IndexLink"/>
              </w:rPr>
              <w:t>423</w:t>
            </w:r>
          </w:hyperlink>
        </w:p>
        <w:p>
          <w:pPr>
            <w:pStyle w:val="Contents5"/>
            <w:tabs>
              <w:tab w:val="clear" w:pos="7892"/>
              <w:tab w:val="right" w:pos="9026" w:leader="dot"/>
            </w:tabs>
            <w:rPr/>
          </w:pPr>
          <w:hyperlink w:anchor="__RefHeading___Toc1391545_1067777946">
            <w:r>
              <w:rPr>
                <w:webHidden/>
                <w:rStyle w:val="IndexLink"/>
                <w:rtl w:val="true"/>
              </w:rPr>
              <w:t>اشارة</w:t>
            </w:r>
            <w:r>
              <w:rPr>
                <w:rStyle w:val="IndexLink"/>
                <w:rtl w:val="true"/>
              </w:rPr>
              <w:tab/>
            </w:r>
            <w:r>
              <w:rPr>
                <w:rStyle w:val="IndexLink"/>
              </w:rPr>
              <w:t>423</w:t>
            </w:r>
          </w:hyperlink>
        </w:p>
        <w:p>
          <w:pPr>
            <w:pStyle w:val="Contents5"/>
            <w:tabs>
              <w:tab w:val="clear" w:pos="7892"/>
              <w:tab w:val="right" w:pos="9026" w:leader="dot"/>
            </w:tabs>
            <w:rPr/>
          </w:pPr>
          <w:hyperlink w:anchor="__RefHeading___Toc1391547_1067777946">
            <w:r>
              <w:rPr>
                <w:webHidden/>
                <w:rStyle w:val="IndexLink"/>
                <w:rtl w:val="true"/>
              </w:rPr>
              <w:t>حوادث بدا لله تعالى فيها في الأحاديث</w:t>
            </w:r>
            <w:r>
              <w:rPr>
                <w:rStyle w:val="IndexLink"/>
                <w:rtl w:val="true"/>
              </w:rPr>
              <w:tab/>
            </w:r>
            <w:r>
              <w:rPr>
                <w:rStyle w:val="IndexLink"/>
              </w:rPr>
              <w:t>425</w:t>
            </w:r>
          </w:hyperlink>
        </w:p>
        <w:p>
          <w:pPr>
            <w:pStyle w:val="Contents3"/>
            <w:tabs>
              <w:tab w:val="clear" w:pos="8459"/>
              <w:tab w:val="right" w:pos="9026" w:leader="dot"/>
            </w:tabs>
            <w:rPr/>
          </w:pPr>
          <w:hyperlink w:anchor="__RefHeading___Toc1391549_1067777946">
            <w:r>
              <w:rPr>
                <w:webHidden/>
                <w:rStyle w:val="IndexLink"/>
              </w:rPr>
              <w:t>7</w:t>
            </w:r>
            <w:r>
              <w:rPr>
                <w:rStyle w:val="IndexLink"/>
                <w:rtl w:val="true"/>
              </w:rPr>
              <w:t xml:space="preserve">- </w:t>
            </w:r>
            <w:r>
              <w:rPr>
                <w:rStyle w:val="IndexLink"/>
                <w:rtl w:val="true"/>
              </w:rPr>
              <w:t>شبهات وحلول</w:t>
            </w:r>
            <w:r>
              <w:rPr>
                <w:rStyle w:val="IndexLink"/>
                <w:rtl w:val="true"/>
              </w:rPr>
              <w:tab/>
            </w:r>
            <w:r>
              <w:rPr>
                <w:rStyle w:val="IndexLink"/>
              </w:rPr>
              <w:t>427</w:t>
            </w:r>
          </w:hyperlink>
        </w:p>
        <w:p>
          <w:pPr>
            <w:pStyle w:val="Contents4"/>
            <w:tabs>
              <w:tab w:val="clear" w:pos="8176"/>
              <w:tab w:val="right" w:pos="9026" w:leader="dot"/>
            </w:tabs>
            <w:rPr/>
          </w:pPr>
          <w:hyperlink w:anchor="__RefHeading___Toc1391551_1067777946">
            <w:r>
              <w:rPr>
                <w:webHidden/>
                <w:rStyle w:val="IndexLink"/>
                <w:rtl w:val="true"/>
              </w:rPr>
              <w:t>اشارة</w:t>
            </w:r>
            <w:r>
              <w:rPr>
                <w:rStyle w:val="IndexLink"/>
                <w:rtl w:val="true"/>
              </w:rPr>
              <w:tab/>
            </w:r>
            <w:r>
              <w:rPr>
                <w:rStyle w:val="IndexLink"/>
              </w:rPr>
              <w:t>427</w:t>
            </w:r>
          </w:hyperlink>
        </w:p>
        <w:p>
          <w:pPr>
            <w:pStyle w:val="Contents4"/>
            <w:tabs>
              <w:tab w:val="clear" w:pos="8176"/>
              <w:tab w:val="right" w:pos="9026" w:leader="dot"/>
            </w:tabs>
            <w:rPr/>
          </w:pPr>
          <w:hyperlink w:anchor="__RefHeading___Toc1391553_1067777946">
            <w:r>
              <w:rPr>
                <w:webHidden/>
                <w:rStyle w:val="IndexLink"/>
                <w:rtl w:val="true"/>
              </w:rPr>
              <w:t xml:space="preserve">الأُولى </w:t>
            </w:r>
            <w:r>
              <w:rPr>
                <w:rStyle w:val="IndexLink"/>
                <w:rtl w:val="true"/>
              </w:rPr>
              <w:t xml:space="preserve">: </w:t>
            </w:r>
            <w:r>
              <w:rPr>
                <w:rStyle w:val="IndexLink"/>
                <w:rtl w:val="true"/>
              </w:rPr>
              <w:t>استحالة إطلاق البداء على الله سبحانه</w:t>
            </w:r>
            <w:r>
              <w:rPr>
                <w:rStyle w:val="IndexLink"/>
                <w:rtl w:val="true"/>
              </w:rPr>
              <w:tab/>
            </w:r>
            <w:r>
              <w:rPr>
                <w:rStyle w:val="IndexLink"/>
              </w:rPr>
              <w:t>427</w:t>
            </w:r>
          </w:hyperlink>
        </w:p>
        <w:p>
          <w:pPr>
            <w:pStyle w:val="Contents4"/>
            <w:tabs>
              <w:tab w:val="clear" w:pos="8176"/>
              <w:tab w:val="right" w:pos="9026" w:leader="dot"/>
            </w:tabs>
            <w:rPr/>
          </w:pPr>
          <w:hyperlink w:anchor="__RefHeading___Toc1391555_1067777946">
            <w:r>
              <w:rPr>
                <w:webHidden/>
                <w:rStyle w:val="IndexLink"/>
                <w:rtl w:val="true"/>
              </w:rPr>
              <w:t xml:space="preserve">الثانية </w:t>
            </w:r>
            <w:r>
              <w:rPr>
                <w:rStyle w:val="IndexLink"/>
                <w:rtl w:val="true"/>
              </w:rPr>
              <w:t xml:space="preserve">: </w:t>
            </w:r>
            <w:r>
              <w:rPr>
                <w:rStyle w:val="IndexLink"/>
                <w:rtl w:val="true"/>
              </w:rPr>
              <w:t>استلزام البداء في مقام الإثبات الكذب</w:t>
            </w:r>
            <w:r>
              <w:rPr>
                <w:rStyle w:val="IndexLink"/>
                <w:rtl w:val="true"/>
              </w:rPr>
              <w:tab/>
            </w:r>
            <w:r>
              <w:rPr>
                <w:rStyle w:val="IndexLink"/>
              </w:rPr>
              <w:t>429</w:t>
            </w:r>
          </w:hyperlink>
        </w:p>
        <w:p>
          <w:pPr>
            <w:pStyle w:val="Contents4"/>
            <w:tabs>
              <w:tab w:val="clear" w:pos="8176"/>
              <w:tab w:val="right" w:pos="9026" w:leader="dot"/>
            </w:tabs>
            <w:rPr/>
          </w:pPr>
          <w:hyperlink w:anchor="__RefHeading___Toc1391557_1067777946">
            <w:r>
              <w:rPr>
                <w:webHidden/>
                <w:rStyle w:val="IndexLink"/>
                <w:rtl w:val="true"/>
              </w:rPr>
              <w:t xml:space="preserve">الثالثة </w:t>
            </w:r>
            <w:r>
              <w:rPr>
                <w:rStyle w:val="IndexLink"/>
                <w:rtl w:val="true"/>
              </w:rPr>
              <w:t xml:space="preserve">: </w:t>
            </w:r>
            <w:r>
              <w:rPr>
                <w:rStyle w:val="IndexLink"/>
                <w:rtl w:val="true"/>
              </w:rPr>
              <w:t>استلزام البداء للتشكيك في مطلق ما أخبر</w:t>
            </w:r>
            <w:r>
              <w:rPr>
                <w:rStyle w:val="IndexLink"/>
                <w:rtl w:val="true"/>
              </w:rPr>
              <w:tab/>
            </w:r>
            <w:r>
              <w:rPr>
                <w:rStyle w:val="IndexLink"/>
              </w:rPr>
              <w:t>431</w:t>
            </w:r>
          </w:hyperlink>
        </w:p>
        <w:p>
          <w:pPr>
            <w:pStyle w:val="Contents5"/>
            <w:tabs>
              <w:tab w:val="clear" w:pos="7892"/>
              <w:tab w:val="right" w:pos="9026" w:leader="dot"/>
            </w:tabs>
            <w:rPr/>
          </w:pPr>
          <w:hyperlink w:anchor="__RefHeading___Toc1391559_1067777946">
            <w:r>
              <w:rPr>
                <w:webHidden/>
                <w:rStyle w:val="IndexLink"/>
                <w:rtl w:val="true"/>
              </w:rPr>
              <w:t>اشارة</w:t>
            </w:r>
            <w:r>
              <w:rPr>
                <w:rStyle w:val="IndexLink"/>
                <w:rtl w:val="true"/>
              </w:rPr>
              <w:tab/>
            </w:r>
            <w:r>
              <w:rPr>
                <w:rStyle w:val="IndexLink"/>
              </w:rPr>
              <w:t>431</w:t>
            </w:r>
          </w:hyperlink>
        </w:p>
        <w:p>
          <w:pPr>
            <w:pStyle w:val="Contents5"/>
            <w:tabs>
              <w:tab w:val="clear" w:pos="7892"/>
              <w:tab w:val="right" w:pos="9026" w:leader="dot"/>
            </w:tabs>
            <w:rPr/>
          </w:pPr>
          <w:hyperlink w:anchor="__RefHeading___Toc1391561_1067777946">
            <w:r>
              <w:rPr>
                <w:webHidden/>
                <w:rStyle w:val="IndexLink"/>
              </w:rPr>
              <w:t>1</w:t>
            </w:r>
            <w:r>
              <w:rPr>
                <w:rStyle w:val="IndexLink"/>
                <w:rtl w:val="true"/>
              </w:rPr>
              <w:t xml:space="preserve">. </w:t>
            </w:r>
            <w:r>
              <w:rPr>
                <w:rStyle w:val="IndexLink"/>
                <w:rtl w:val="true"/>
              </w:rPr>
              <w:t>السنن الكونية لا تخضع للبداء</w:t>
            </w:r>
            <w:r>
              <w:rPr>
                <w:rStyle w:val="IndexLink"/>
                <w:rtl w:val="true"/>
              </w:rPr>
              <w:tab/>
            </w:r>
            <w:r>
              <w:rPr>
                <w:rStyle w:val="IndexLink"/>
              </w:rPr>
              <w:t>431</w:t>
            </w:r>
          </w:hyperlink>
        </w:p>
        <w:p>
          <w:pPr>
            <w:pStyle w:val="Contents5"/>
            <w:tabs>
              <w:tab w:val="clear" w:pos="7892"/>
              <w:tab w:val="right" w:pos="9026" w:leader="dot"/>
            </w:tabs>
            <w:rPr/>
          </w:pPr>
          <w:hyperlink w:anchor="__RefHeading___Toc1391563_1067777946">
            <w:r>
              <w:rPr>
                <w:webHidden/>
                <w:rStyle w:val="IndexLink"/>
              </w:rPr>
              <w:t>2</w:t>
            </w:r>
            <w:r>
              <w:rPr>
                <w:rStyle w:val="IndexLink"/>
                <w:rtl w:val="true"/>
              </w:rPr>
              <w:t xml:space="preserve">. </w:t>
            </w:r>
            <w:r>
              <w:rPr>
                <w:rStyle w:val="IndexLink"/>
                <w:rtl w:val="true"/>
              </w:rPr>
              <w:t>التنبّؤ بالنبوّة والإمامة لا يخضع للبداء</w:t>
            </w:r>
            <w:r>
              <w:rPr>
                <w:rStyle w:val="IndexLink"/>
                <w:rtl w:val="true"/>
              </w:rPr>
              <w:tab/>
            </w:r>
            <w:r>
              <w:rPr>
                <w:rStyle w:val="IndexLink"/>
              </w:rPr>
              <w:t>432</w:t>
            </w:r>
          </w:hyperlink>
        </w:p>
        <w:p>
          <w:pPr>
            <w:pStyle w:val="Contents4"/>
            <w:tabs>
              <w:tab w:val="clear" w:pos="8176"/>
              <w:tab w:val="right" w:pos="9026" w:leader="dot"/>
            </w:tabs>
            <w:rPr/>
          </w:pPr>
          <w:hyperlink w:anchor="__RefHeading___Toc1391565_1067777946">
            <w:r>
              <w:rPr>
                <w:webHidden/>
                <w:rStyle w:val="IndexLink"/>
                <w:rtl w:val="true"/>
              </w:rPr>
              <w:t xml:space="preserve">الرابعة </w:t>
            </w:r>
            <w:r>
              <w:rPr>
                <w:rStyle w:val="IndexLink"/>
                <w:rtl w:val="true"/>
              </w:rPr>
              <w:t xml:space="preserve">: </w:t>
            </w:r>
            <w:r>
              <w:rPr>
                <w:rStyle w:val="IndexLink"/>
                <w:rtl w:val="true"/>
              </w:rPr>
              <w:t>البداء ومسألة جفّ القلم</w:t>
            </w:r>
            <w:r>
              <w:rPr>
                <w:rStyle w:val="IndexLink"/>
                <w:rtl w:val="true"/>
              </w:rPr>
              <w:tab/>
            </w:r>
            <w:r>
              <w:rPr>
                <w:rStyle w:val="IndexLink"/>
              </w:rPr>
              <w:t>433</w:t>
            </w:r>
          </w:hyperlink>
        </w:p>
        <w:p>
          <w:pPr>
            <w:pStyle w:val="Contents2"/>
            <w:tabs>
              <w:tab w:val="clear" w:pos="8743"/>
              <w:tab w:val="right" w:pos="9026" w:leader="dot"/>
            </w:tabs>
            <w:rPr/>
          </w:pPr>
          <w:hyperlink w:anchor="__RefHeading___Toc1391567_1067777946">
            <w:r>
              <w:rPr>
                <w:webHidden/>
                <w:rStyle w:val="IndexLink"/>
                <w:rtl w:val="true"/>
              </w:rPr>
              <w:t>الفصل التاسع</w:t>
            </w:r>
            <w:r>
              <w:rPr>
                <w:rStyle w:val="IndexLink"/>
                <w:rtl w:val="true"/>
              </w:rPr>
              <w:t xml:space="preserve">: </w:t>
            </w:r>
            <w:r>
              <w:rPr>
                <w:rStyle w:val="IndexLink"/>
                <w:rtl w:val="true"/>
              </w:rPr>
              <w:t>نظام الحكم في الإسلام بعد رحلة الرسول صلى الله عليه وآله وسلم</w:t>
            </w:r>
            <w:r>
              <w:rPr>
                <w:rStyle w:val="IndexLink"/>
                <w:rtl w:val="true"/>
              </w:rPr>
              <w:tab/>
            </w:r>
            <w:r>
              <w:rPr>
                <w:rStyle w:val="IndexLink"/>
              </w:rPr>
              <w:t>439</w:t>
            </w:r>
          </w:hyperlink>
        </w:p>
        <w:p>
          <w:pPr>
            <w:pStyle w:val="Contents3"/>
            <w:tabs>
              <w:tab w:val="clear" w:pos="8459"/>
              <w:tab w:val="right" w:pos="9026" w:leader="dot"/>
            </w:tabs>
            <w:rPr/>
          </w:pPr>
          <w:hyperlink w:anchor="__RefHeading___Toc1391569_1067777946">
            <w:r>
              <w:rPr>
                <w:webHidden/>
                <w:rStyle w:val="IndexLink"/>
                <w:rtl w:val="true"/>
              </w:rPr>
              <w:t>اشارة</w:t>
            </w:r>
            <w:r>
              <w:rPr>
                <w:rStyle w:val="IndexLink"/>
                <w:rtl w:val="true"/>
              </w:rPr>
              <w:tab/>
            </w:r>
            <w:r>
              <w:rPr>
                <w:rStyle w:val="IndexLink"/>
              </w:rPr>
              <w:t>439</w:t>
            </w:r>
          </w:hyperlink>
        </w:p>
        <w:p>
          <w:pPr>
            <w:pStyle w:val="Contents3"/>
            <w:tabs>
              <w:tab w:val="clear" w:pos="8459"/>
              <w:tab w:val="right" w:pos="9026" w:leader="dot"/>
            </w:tabs>
            <w:rPr/>
          </w:pPr>
          <w:hyperlink w:anchor="__RefHeading___Toc1391571_1067777946">
            <w:r>
              <w:rPr>
                <w:webHidden/>
                <w:rStyle w:val="IndexLink"/>
                <w:rtl w:val="true"/>
              </w:rPr>
              <w:t>الأمر الأوّل</w:t>
            </w:r>
            <w:r>
              <w:rPr>
                <w:rStyle w:val="IndexLink"/>
                <w:rtl w:val="true"/>
              </w:rPr>
              <w:t xml:space="preserve">: </w:t>
            </w:r>
            <w:r>
              <w:rPr>
                <w:rStyle w:val="IndexLink"/>
                <w:rtl w:val="true"/>
              </w:rPr>
              <w:t>الحكومة حاجة ملحَّة</w:t>
            </w:r>
            <w:r>
              <w:rPr>
                <w:rStyle w:val="IndexLink"/>
                <w:rtl w:val="true"/>
              </w:rPr>
              <w:tab/>
            </w:r>
            <w:r>
              <w:rPr>
                <w:rStyle w:val="IndexLink"/>
              </w:rPr>
              <w:t>441</w:t>
            </w:r>
          </w:hyperlink>
        </w:p>
        <w:p>
          <w:pPr>
            <w:pStyle w:val="Contents4"/>
            <w:tabs>
              <w:tab w:val="clear" w:pos="8176"/>
              <w:tab w:val="right" w:pos="9026" w:leader="dot"/>
            </w:tabs>
            <w:rPr/>
          </w:pPr>
          <w:hyperlink w:anchor="__RefHeading___Toc1391573_1067777946">
            <w:r>
              <w:rPr>
                <w:webHidden/>
                <w:rStyle w:val="IndexLink"/>
                <w:rtl w:val="true"/>
              </w:rPr>
              <w:t>اشارة</w:t>
            </w:r>
            <w:r>
              <w:rPr>
                <w:rStyle w:val="IndexLink"/>
                <w:rtl w:val="true"/>
              </w:rPr>
              <w:tab/>
            </w:r>
            <w:r>
              <w:rPr>
                <w:rStyle w:val="IndexLink"/>
              </w:rPr>
              <w:t>441</w:t>
            </w:r>
          </w:hyperlink>
        </w:p>
        <w:p>
          <w:pPr>
            <w:pStyle w:val="Contents4"/>
            <w:tabs>
              <w:tab w:val="clear" w:pos="8176"/>
              <w:tab w:val="right" w:pos="9026" w:leader="dot"/>
            </w:tabs>
            <w:rPr/>
          </w:pPr>
          <w:hyperlink w:anchor="__RefHeading___Toc1391575_1067777946">
            <w:r>
              <w:rPr>
                <w:webHidden/>
                <w:rStyle w:val="IndexLink"/>
                <w:rtl w:val="true"/>
              </w:rPr>
              <w:t>نظام الإمامة والخلافة في الإسلام</w:t>
            </w:r>
            <w:r>
              <w:rPr>
                <w:rStyle w:val="IndexLink"/>
                <w:rtl w:val="true"/>
              </w:rPr>
              <w:tab/>
            </w:r>
            <w:r>
              <w:rPr>
                <w:rStyle w:val="IndexLink"/>
              </w:rPr>
              <w:t>444</w:t>
            </w:r>
          </w:hyperlink>
        </w:p>
        <w:p>
          <w:pPr>
            <w:pStyle w:val="Contents3"/>
            <w:tabs>
              <w:tab w:val="clear" w:pos="8459"/>
              <w:tab w:val="right" w:pos="9026" w:leader="dot"/>
            </w:tabs>
            <w:rPr/>
          </w:pPr>
          <w:hyperlink w:anchor="__RefHeading___Toc1391577_1067777946">
            <w:r>
              <w:rPr>
                <w:webHidden/>
                <w:rStyle w:val="IndexLink"/>
                <w:rtl w:val="true"/>
              </w:rPr>
              <w:t>الأمر الثاني</w:t>
            </w:r>
            <w:r>
              <w:rPr>
                <w:rStyle w:val="IndexLink"/>
                <w:rtl w:val="true"/>
              </w:rPr>
              <w:t xml:space="preserve">: </w:t>
            </w:r>
            <w:r>
              <w:rPr>
                <w:rStyle w:val="IndexLink"/>
                <w:rtl w:val="true"/>
              </w:rPr>
              <w:t>ملامح الحكومة الإسلامية في الكتاب والسنّة</w:t>
            </w:r>
            <w:r>
              <w:rPr>
                <w:rStyle w:val="IndexLink"/>
                <w:rtl w:val="true"/>
              </w:rPr>
              <w:tab/>
            </w:r>
            <w:r>
              <w:rPr>
                <w:rStyle w:val="IndexLink"/>
              </w:rPr>
              <w:t>447</w:t>
            </w:r>
          </w:hyperlink>
        </w:p>
        <w:p>
          <w:pPr>
            <w:pStyle w:val="Contents4"/>
            <w:tabs>
              <w:tab w:val="clear" w:pos="8176"/>
              <w:tab w:val="right" w:pos="9026" w:leader="dot"/>
            </w:tabs>
            <w:rPr/>
          </w:pPr>
          <w:hyperlink w:anchor="__RefHeading___Toc1391579_1067777946">
            <w:r>
              <w:rPr>
                <w:webHidden/>
                <w:rStyle w:val="IndexLink"/>
                <w:rtl w:val="true"/>
              </w:rPr>
              <w:t>اشارة</w:t>
            </w:r>
            <w:r>
              <w:rPr>
                <w:rStyle w:val="IndexLink"/>
                <w:rtl w:val="true"/>
              </w:rPr>
              <w:tab/>
            </w:r>
            <w:r>
              <w:rPr>
                <w:rStyle w:val="IndexLink"/>
              </w:rPr>
              <w:t>447</w:t>
            </w:r>
          </w:hyperlink>
        </w:p>
        <w:p>
          <w:pPr>
            <w:pStyle w:val="Contents4"/>
            <w:tabs>
              <w:tab w:val="clear" w:pos="8176"/>
              <w:tab w:val="right" w:pos="9026" w:leader="dot"/>
            </w:tabs>
            <w:rPr/>
          </w:pPr>
          <w:hyperlink w:anchor="__RefHeading___Toc1391581_1067777946">
            <w:r>
              <w:rPr>
                <w:webHidden/>
                <w:rStyle w:val="IndexLink"/>
                <w:rtl w:val="true"/>
              </w:rPr>
              <w:t>مسئولية الحاكم في النصوص الشرعية</w:t>
            </w:r>
            <w:r>
              <w:rPr>
                <w:rStyle w:val="IndexLink"/>
                <w:rtl w:val="true"/>
              </w:rPr>
              <w:tab/>
            </w:r>
            <w:r>
              <w:rPr>
                <w:rStyle w:val="IndexLink"/>
              </w:rPr>
              <w:t>448</w:t>
            </w:r>
          </w:hyperlink>
        </w:p>
        <w:p>
          <w:pPr>
            <w:pStyle w:val="Contents3"/>
            <w:tabs>
              <w:tab w:val="clear" w:pos="8459"/>
              <w:tab w:val="right" w:pos="9026" w:leader="dot"/>
            </w:tabs>
            <w:rPr/>
          </w:pPr>
          <w:hyperlink w:anchor="__RefHeading___Toc1391583_1067777946">
            <w:r>
              <w:rPr>
                <w:webHidden/>
                <w:rStyle w:val="IndexLink"/>
                <w:rtl w:val="true"/>
              </w:rPr>
              <w:t>الأمر الثالث</w:t>
            </w:r>
            <w:r>
              <w:rPr>
                <w:rStyle w:val="IndexLink"/>
                <w:rtl w:val="true"/>
              </w:rPr>
              <w:t xml:space="preserve">: </w:t>
            </w:r>
            <w:r>
              <w:rPr>
                <w:rStyle w:val="IndexLink"/>
                <w:rtl w:val="true"/>
              </w:rPr>
              <w:t>أنظمة الحكم في المجتمعات البشريّة</w:t>
            </w:r>
            <w:r>
              <w:rPr>
                <w:rStyle w:val="IndexLink"/>
                <w:rtl w:val="true"/>
              </w:rPr>
              <w:tab/>
            </w:r>
            <w:r>
              <w:rPr>
                <w:rStyle w:val="IndexLink"/>
              </w:rPr>
              <w:t>453</w:t>
            </w:r>
          </w:hyperlink>
        </w:p>
        <w:p>
          <w:pPr>
            <w:pStyle w:val="Contents3"/>
            <w:tabs>
              <w:tab w:val="clear" w:pos="8459"/>
              <w:tab w:val="right" w:pos="9026" w:leader="dot"/>
            </w:tabs>
            <w:rPr/>
          </w:pPr>
          <w:hyperlink w:anchor="__RefHeading___Toc1391585_1067777946">
            <w:r>
              <w:rPr>
                <w:webHidden/>
                <w:rStyle w:val="IndexLink"/>
                <w:rtl w:val="true"/>
              </w:rPr>
              <w:t>الأمر الرابع</w:t>
            </w:r>
            <w:r>
              <w:rPr>
                <w:rStyle w:val="IndexLink"/>
                <w:rtl w:val="true"/>
              </w:rPr>
              <w:t xml:space="preserve">: </w:t>
            </w:r>
            <w:r>
              <w:rPr>
                <w:rStyle w:val="IndexLink"/>
                <w:rtl w:val="true"/>
              </w:rPr>
              <w:t>التنصيص الإلهي على الحاكم باسمه وشخصه</w:t>
            </w:r>
            <w:r>
              <w:rPr>
                <w:rStyle w:val="IndexLink"/>
                <w:rtl w:val="true"/>
              </w:rPr>
              <w:tab/>
            </w:r>
            <w:r>
              <w:rPr>
                <w:rStyle w:val="IndexLink"/>
              </w:rPr>
              <w:t>456</w:t>
            </w:r>
          </w:hyperlink>
        </w:p>
        <w:p>
          <w:pPr>
            <w:pStyle w:val="Contents4"/>
            <w:tabs>
              <w:tab w:val="clear" w:pos="8176"/>
              <w:tab w:val="right" w:pos="9026" w:leader="dot"/>
            </w:tabs>
            <w:rPr/>
          </w:pPr>
          <w:hyperlink w:anchor="__RefHeading___Toc1391587_1067777946">
            <w:r>
              <w:rPr>
                <w:webHidden/>
                <w:rStyle w:val="IndexLink"/>
                <w:rtl w:val="true"/>
              </w:rPr>
              <w:t>اشارة</w:t>
            </w:r>
            <w:r>
              <w:rPr>
                <w:rStyle w:val="IndexLink"/>
                <w:rtl w:val="true"/>
              </w:rPr>
              <w:tab/>
            </w:r>
            <w:r>
              <w:rPr>
                <w:rStyle w:val="IndexLink"/>
              </w:rPr>
              <w:t>456</w:t>
            </w:r>
          </w:hyperlink>
        </w:p>
        <w:p>
          <w:pPr>
            <w:pStyle w:val="Contents4"/>
            <w:tabs>
              <w:tab w:val="clear" w:pos="8176"/>
              <w:tab w:val="right" w:pos="9026" w:leader="dot"/>
            </w:tabs>
            <w:rPr/>
          </w:pPr>
          <w:hyperlink w:anchor="__RefHeading___Toc1391589_1067777946">
            <w:r>
              <w:rPr>
                <w:webHidden/>
                <w:rStyle w:val="IndexLink"/>
              </w:rPr>
              <w:t>1</w:t>
            </w:r>
            <w:r>
              <w:rPr>
                <w:rStyle w:val="IndexLink"/>
                <w:rtl w:val="true"/>
              </w:rPr>
              <w:t xml:space="preserve">- </w:t>
            </w:r>
            <w:r>
              <w:rPr>
                <w:rStyle w:val="IndexLink"/>
                <w:rtl w:val="true"/>
              </w:rPr>
              <w:t>المصالح العالية تقتضي التنصيص على الاسم</w:t>
            </w:r>
            <w:r>
              <w:rPr>
                <w:rStyle w:val="IndexLink"/>
                <w:rtl w:val="true"/>
              </w:rPr>
              <w:tab/>
            </w:r>
            <w:r>
              <w:rPr>
                <w:rStyle w:val="IndexLink"/>
              </w:rPr>
              <w:t>458</w:t>
            </w:r>
          </w:hyperlink>
        </w:p>
        <w:p>
          <w:pPr>
            <w:pStyle w:val="Contents5"/>
            <w:tabs>
              <w:tab w:val="clear" w:pos="7892"/>
              <w:tab w:val="right" w:pos="9026" w:leader="dot"/>
            </w:tabs>
            <w:rPr/>
          </w:pPr>
          <w:hyperlink w:anchor="__RefHeading___Toc1391591_1067777946">
            <w:r>
              <w:rPr>
                <w:webHidden/>
                <w:rStyle w:val="IndexLink"/>
                <w:rtl w:val="true"/>
              </w:rPr>
              <w:t>اشارة</w:t>
            </w:r>
            <w:r>
              <w:rPr>
                <w:rStyle w:val="IndexLink"/>
                <w:rtl w:val="true"/>
              </w:rPr>
              <w:tab/>
            </w:r>
            <w:r>
              <w:rPr>
                <w:rStyle w:val="IndexLink"/>
              </w:rPr>
              <w:t>458</w:t>
            </w:r>
          </w:hyperlink>
        </w:p>
        <w:p>
          <w:pPr>
            <w:pStyle w:val="Contents5"/>
            <w:tabs>
              <w:tab w:val="clear" w:pos="7892"/>
              <w:tab w:val="right" w:pos="9026" w:leader="dot"/>
            </w:tabs>
            <w:rPr/>
          </w:pPr>
          <w:hyperlink w:anchor="__RefHeading___Toc1391593_1067777946">
            <w:r>
              <w:rPr>
                <w:webHidden/>
                <w:rStyle w:val="IndexLink"/>
                <w:rtl w:val="true"/>
              </w:rPr>
              <w:t>أ</w:t>
            </w:r>
            <w:r>
              <w:rPr>
                <w:rStyle w:val="IndexLink"/>
                <w:rtl w:val="true"/>
              </w:rPr>
              <w:t xml:space="preserve">: </w:t>
            </w:r>
            <w:r>
              <w:rPr>
                <w:rStyle w:val="IndexLink"/>
                <w:rtl w:val="true"/>
              </w:rPr>
              <w:t>الأُمّة الإسلامية والخطر الثلاثي</w:t>
            </w:r>
            <w:r>
              <w:rPr>
                <w:rStyle w:val="IndexLink"/>
                <w:rtl w:val="true"/>
              </w:rPr>
              <w:tab/>
            </w:r>
            <w:r>
              <w:rPr>
                <w:rStyle w:val="IndexLink"/>
              </w:rPr>
              <w:t>458</w:t>
            </w:r>
          </w:hyperlink>
        </w:p>
        <w:p>
          <w:pPr>
            <w:pStyle w:val="Contents5"/>
            <w:tabs>
              <w:tab w:val="clear" w:pos="7892"/>
              <w:tab w:val="right" w:pos="9026" w:leader="dot"/>
            </w:tabs>
            <w:rPr/>
          </w:pPr>
          <w:hyperlink w:anchor="__RefHeading___Toc1391595_1067777946">
            <w:r>
              <w:rPr>
                <w:webHidden/>
                <w:rStyle w:val="IndexLink"/>
                <w:rtl w:val="true"/>
              </w:rPr>
              <w:t xml:space="preserve">ب </w:t>
            </w:r>
            <w:r>
              <w:rPr>
                <w:rStyle w:val="IndexLink"/>
                <w:rtl w:val="true"/>
              </w:rPr>
              <w:t xml:space="preserve">: </w:t>
            </w:r>
            <w:r>
              <w:rPr>
                <w:rStyle w:val="IndexLink"/>
                <w:rtl w:val="true"/>
              </w:rPr>
              <w:t>النظام القبلي يمنع من الاتفاق على قائد</w:t>
            </w:r>
            <w:r>
              <w:rPr>
                <w:rStyle w:val="IndexLink"/>
                <w:rtl w:val="true"/>
              </w:rPr>
              <w:tab/>
            </w:r>
            <w:r>
              <w:rPr>
                <w:rStyle w:val="IndexLink"/>
              </w:rPr>
              <w:t>460</w:t>
            </w:r>
          </w:hyperlink>
        </w:p>
        <w:p>
          <w:pPr>
            <w:pStyle w:val="Contents4"/>
            <w:tabs>
              <w:tab w:val="clear" w:pos="8176"/>
              <w:tab w:val="right" w:pos="9026" w:leader="dot"/>
            </w:tabs>
            <w:rPr/>
          </w:pPr>
          <w:hyperlink w:anchor="__RefHeading___Toc1391597_1067777946">
            <w:r>
              <w:rPr>
                <w:webHidden/>
                <w:rStyle w:val="IndexLink"/>
              </w:rPr>
              <w:t>2</w:t>
            </w:r>
            <w:r>
              <w:rPr>
                <w:rStyle w:val="IndexLink"/>
                <w:rtl w:val="true"/>
              </w:rPr>
              <w:t xml:space="preserve">- </w:t>
            </w:r>
            <w:r>
              <w:rPr>
                <w:rStyle w:val="IndexLink"/>
                <w:rtl w:val="true"/>
              </w:rPr>
              <w:t>الفراغات الهائلة لا تسدّ إلاّ بالتنصيص</w:t>
            </w:r>
            <w:r>
              <w:rPr>
                <w:rStyle w:val="IndexLink"/>
                <w:rtl w:val="true"/>
              </w:rPr>
              <w:tab/>
            </w:r>
            <w:r>
              <w:rPr>
                <w:rStyle w:val="IndexLink"/>
              </w:rPr>
              <w:t>463</w:t>
            </w:r>
          </w:hyperlink>
        </w:p>
        <w:p>
          <w:pPr>
            <w:pStyle w:val="Contents5"/>
            <w:tabs>
              <w:tab w:val="clear" w:pos="7892"/>
              <w:tab w:val="right" w:pos="9026" w:leader="dot"/>
            </w:tabs>
            <w:rPr/>
          </w:pPr>
          <w:hyperlink w:anchor="__RefHeading___Toc1391599_1067777946">
            <w:r>
              <w:rPr>
                <w:webHidden/>
                <w:rStyle w:val="IndexLink"/>
                <w:rtl w:val="true"/>
              </w:rPr>
              <w:t>اشارة</w:t>
            </w:r>
            <w:r>
              <w:rPr>
                <w:rStyle w:val="IndexLink"/>
                <w:rtl w:val="true"/>
              </w:rPr>
              <w:tab/>
            </w:r>
            <w:r>
              <w:rPr>
                <w:rStyle w:val="IndexLink"/>
              </w:rPr>
              <w:t>463</w:t>
            </w:r>
          </w:hyperlink>
        </w:p>
        <w:p>
          <w:pPr>
            <w:pStyle w:val="Contents5"/>
            <w:tabs>
              <w:tab w:val="clear" w:pos="7892"/>
              <w:tab w:val="right" w:pos="9026" w:leader="dot"/>
            </w:tabs>
            <w:rPr/>
          </w:pPr>
          <w:hyperlink w:anchor="__RefHeading___Toc1391601_1067777946">
            <w:r>
              <w:rPr>
                <w:webHidden/>
                <w:rStyle w:val="IndexLink"/>
                <w:rtl w:val="true"/>
              </w:rPr>
              <w:t>دراسة الاحتمال الثاني</w:t>
            </w:r>
            <w:r>
              <w:rPr>
                <w:rStyle w:val="IndexLink"/>
                <w:rtl w:val="true"/>
              </w:rPr>
              <w:tab/>
            </w:r>
            <w:r>
              <w:rPr>
                <w:rStyle w:val="IndexLink"/>
              </w:rPr>
              <w:t>466</w:t>
            </w:r>
          </w:hyperlink>
        </w:p>
        <w:p>
          <w:pPr>
            <w:pStyle w:val="Contents5"/>
            <w:tabs>
              <w:tab w:val="clear" w:pos="7892"/>
              <w:tab w:val="right" w:pos="9026" w:leader="dot"/>
            </w:tabs>
            <w:rPr/>
          </w:pPr>
          <w:hyperlink w:anchor="__RefHeading___Toc1391603_1067777946">
            <w:r>
              <w:rPr>
                <w:webHidden/>
                <w:rStyle w:val="IndexLink"/>
                <w:rtl w:val="true"/>
              </w:rPr>
              <w:t>دراسة الاحتمال الثالث</w:t>
            </w:r>
            <w:r>
              <w:rPr>
                <w:rStyle w:val="IndexLink"/>
                <w:rtl w:val="true"/>
              </w:rPr>
              <w:tab/>
            </w:r>
            <w:r>
              <w:rPr>
                <w:rStyle w:val="IndexLink"/>
              </w:rPr>
              <w:t>468</w:t>
            </w:r>
          </w:hyperlink>
        </w:p>
        <w:p>
          <w:pPr>
            <w:pStyle w:val="Contents4"/>
            <w:tabs>
              <w:tab w:val="clear" w:pos="8176"/>
              <w:tab w:val="right" w:pos="9026" w:leader="dot"/>
            </w:tabs>
            <w:rPr/>
          </w:pPr>
          <w:hyperlink w:anchor="__RefHeading___Toc1391605_1067777946">
            <w:r>
              <w:rPr>
                <w:webHidden/>
                <w:rStyle w:val="IndexLink"/>
              </w:rPr>
              <w:t>3</w:t>
            </w:r>
            <w:r>
              <w:rPr>
                <w:rStyle w:val="IndexLink"/>
                <w:rtl w:val="true"/>
              </w:rPr>
              <w:t xml:space="preserve">- </w:t>
            </w:r>
            <w:r>
              <w:rPr>
                <w:rStyle w:val="IndexLink"/>
                <w:rtl w:val="true"/>
              </w:rPr>
              <w:t>ما هو مرتكز الصحابة في صيغة الحكومة؟</w:t>
            </w:r>
            <w:r>
              <w:rPr>
                <w:rStyle w:val="IndexLink"/>
                <w:rtl w:val="true"/>
              </w:rPr>
              <w:tab/>
            </w:r>
            <w:r>
              <w:rPr>
                <w:rStyle w:val="IndexLink"/>
              </w:rPr>
              <w:t>470</w:t>
            </w:r>
          </w:hyperlink>
        </w:p>
        <w:p>
          <w:pPr>
            <w:pStyle w:val="Contents5"/>
            <w:tabs>
              <w:tab w:val="clear" w:pos="7892"/>
              <w:tab w:val="right" w:pos="9026" w:leader="dot"/>
            </w:tabs>
            <w:rPr/>
          </w:pPr>
          <w:hyperlink w:anchor="__RefHeading___Toc1391607_1067777946">
            <w:r>
              <w:rPr>
                <w:webHidden/>
                <w:rStyle w:val="IndexLink"/>
                <w:rtl w:val="true"/>
              </w:rPr>
              <w:t>اشارة</w:t>
            </w:r>
            <w:r>
              <w:rPr>
                <w:rStyle w:val="IndexLink"/>
                <w:rtl w:val="true"/>
              </w:rPr>
              <w:tab/>
            </w:r>
            <w:r>
              <w:rPr>
                <w:rStyle w:val="IndexLink"/>
              </w:rPr>
              <w:t>470</w:t>
            </w:r>
          </w:hyperlink>
        </w:p>
        <w:p>
          <w:pPr>
            <w:pStyle w:val="Contents5"/>
            <w:tabs>
              <w:tab w:val="clear" w:pos="7892"/>
              <w:tab w:val="right" w:pos="9026" w:leader="dot"/>
            </w:tabs>
            <w:rPr/>
          </w:pPr>
          <w:hyperlink w:anchor="__RefHeading___Toc1391609_1067777946">
            <w:r>
              <w:rPr>
                <w:webHidden/>
                <w:rStyle w:val="IndexLink"/>
                <w:rtl w:val="true"/>
              </w:rPr>
              <w:t>ما هو المرتكز في أذهان الصحابة؟</w:t>
            </w:r>
            <w:r>
              <w:rPr>
                <w:rStyle w:val="IndexLink"/>
                <w:rtl w:val="true"/>
              </w:rPr>
              <w:tab/>
            </w:r>
            <w:r>
              <w:rPr>
                <w:rStyle w:val="IndexLink"/>
              </w:rPr>
              <w:t>471</w:t>
            </w:r>
          </w:hyperlink>
        </w:p>
        <w:p>
          <w:pPr>
            <w:pStyle w:val="Contents5"/>
            <w:tabs>
              <w:tab w:val="clear" w:pos="7892"/>
              <w:tab w:val="right" w:pos="9026" w:leader="dot"/>
            </w:tabs>
            <w:rPr/>
          </w:pPr>
          <w:hyperlink w:anchor="__RefHeading___Toc1391611_1067777946">
            <w:r>
              <w:rPr>
                <w:webHidden/>
                <w:rStyle w:val="IndexLink"/>
                <w:rtl w:val="true"/>
              </w:rPr>
              <w:t>الآن حصحص الحق</w:t>
            </w:r>
            <w:r>
              <w:rPr>
                <w:rStyle w:val="IndexLink"/>
                <w:rtl w:val="true"/>
              </w:rPr>
              <w:tab/>
            </w:r>
            <w:r>
              <w:rPr>
                <w:rStyle w:val="IndexLink"/>
              </w:rPr>
              <w:t>475</w:t>
            </w:r>
          </w:hyperlink>
        </w:p>
        <w:p>
          <w:pPr>
            <w:pStyle w:val="Contents3"/>
            <w:tabs>
              <w:tab w:val="clear" w:pos="8459"/>
              <w:tab w:val="right" w:pos="9026" w:leader="dot"/>
            </w:tabs>
            <w:rPr/>
          </w:pPr>
          <w:hyperlink w:anchor="__RefHeading___Toc1391613_1067777946">
            <w:r>
              <w:rPr>
                <w:webHidden/>
                <w:rStyle w:val="IndexLink"/>
                <w:rtl w:val="true"/>
              </w:rPr>
              <w:t>الأمر الخامس</w:t>
            </w:r>
            <w:r>
              <w:rPr>
                <w:rStyle w:val="IndexLink"/>
                <w:rtl w:val="true"/>
              </w:rPr>
              <w:t xml:space="preserve">: </w:t>
            </w:r>
            <w:r>
              <w:rPr>
                <w:rStyle w:val="IndexLink"/>
                <w:rtl w:val="true"/>
              </w:rPr>
              <w:t>هل الشورى أساس الحكم والخلافة؟</w:t>
            </w:r>
            <w:r>
              <w:rPr>
                <w:rStyle w:val="IndexLink"/>
                <w:rtl w:val="true"/>
              </w:rPr>
              <w:tab/>
            </w:r>
            <w:r>
              <w:rPr>
                <w:rStyle w:val="IndexLink"/>
              </w:rPr>
              <w:t>477</w:t>
            </w:r>
          </w:hyperlink>
        </w:p>
        <w:p>
          <w:pPr>
            <w:pStyle w:val="Contents4"/>
            <w:tabs>
              <w:tab w:val="clear" w:pos="8176"/>
              <w:tab w:val="right" w:pos="9026" w:leader="dot"/>
            </w:tabs>
            <w:rPr/>
          </w:pPr>
          <w:hyperlink w:anchor="__RefHeading___Toc1391615_1067777946">
            <w:r>
              <w:rPr>
                <w:webHidden/>
                <w:rStyle w:val="IndexLink"/>
                <w:rtl w:val="true"/>
              </w:rPr>
              <w:t>اشارة</w:t>
            </w:r>
            <w:r>
              <w:rPr>
                <w:rStyle w:val="IndexLink"/>
                <w:rtl w:val="true"/>
              </w:rPr>
              <w:tab/>
            </w:r>
            <w:r>
              <w:rPr>
                <w:rStyle w:val="IndexLink"/>
              </w:rPr>
              <w:t>477</w:t>
            </w:r>
          </w:hyperlink>
        </w:p>
        <w:p>
          <w:pPr>
            <w:pStyle w:val="Contents4"/>
            <w:tabs>
              <w:tab w:val="clear" w:pos="8176"/>
              <w:tab w:val="right" w:pos="9026" w:leader="dot"/>
            </w:tabs>
            <w:rPr/>
          </w:pPr>
          <w:hyperlink w:anchor="__RefHeading___Toc1391617_1067777946">
            <w:r>
              <w:rPr>
                <w:webHidden/>
                <w:rStyle w:val="IndexLink"/>
                <w:rtl w:val="true"/>
              </w:rPr>
              <w:t>نقد كون الشورى مبدأ الحكم</w:t>
            </w:r>
            <w:r>
              <w:rPr>
                <w:rStyle w:val="IndexLink"/>
                <w:rtl w:val="true"/>
              </w:rPr>
              <w:tab/>
            </w:r>
            <w:r>
              <w:rPr>
                <w:rStyle w:val="IndexLink"/>
              </w:rPr>
              <w:t>478</w:t>
            </w:r>
          </w:hyperlink>
        </w:p>
        <w:p>
          <w:pPr>
            <w:pStyle w:val="Contents3"/>
            <w:tabs>
              <w:tab w:val="clear" w:pos="8459"/>
              <w:tab w:val="right" w:pos="9026" w:leader="dot"/>
            </w:tabs>
            <w:rPr/>
          </w:pPr>
          <w:hyperlink w:anchor="__RefHeading___Toc1391619_1067777946">
            <w:r>
              <w:rPr>
                <w:webHidden/>
                <w:rStyle w:val="IndexLink"/>
                <w:rtl w:val="true"/>
              </w:rPr>
              <w:t>الأمر السادس</w:t>
            </w:r>
            <w:r>
              <w:rPr>
                <w:rStyle w:val="IndexLink"/>
                <w:rtl w:val="true"/>
              </w:rPr>
              <w:t xml:space="preserve">: </w:t>
            </w:r>
            <w:r>
              <w:rPr>
                <w:rStyle w:val="IndexLink"/>
                <w:rtl w:val="true"/>
              </w:rPr>
              <w:t xml:space="preserve">النصوص الدينية وتنصيب عليّ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للإمامة</w:t>
            </w:r>
            <w:r>
              <w:rPr>
                <w:rStyle w:val="IndexLink"/>
                <w:rtl w:val="true"/>
              </w:rPr>
              <w:tab/>
            </w:r>
            <w:r>
              <w:rPr>
                <w:rStyle w:val="IndexLink"/>
              </w:rPr>
              <w:t>482</w:t>
            </w:r>
          </w:hyperlink>
        </w:p>
        <w:p>
          <w:pPr>
            <w:pStyle w:val="Contents4"/>
            <w:tabs>
              <w:tab w:val="clear" w:pos="8176"/>
              <w:tab w:val="right" w:pos="9026" w:leader="dot"/>
            </w:tabs>
            <w:rPr/>
          </w:pPr>
          <w:hyperlink w:anchor="__RefHeading___Toc1391621_1067777946">
            <w:r>
              <w:rPr>
                <w:webHidden/>
                <w:rStyle w:val="IndexLink"/>
                <w:rtl w:val="true"/>
              </w:rPr>
              <w:t>اشارة</w:t>
            </w:r>
            <w:r>
              <w:rPr>
                <w:rStyle w:val="IndexLink"/>
                <w:rtl w:val="true"/>
              </w:rPr>
              <w:tab/>
            </w:r>
            <w:r>
              <w:rPr>
                <w:rStyle w:val="IndexLink"/>
              </w:rPr>
              <w:t>482</w:t>
            </w:r>
          </w:hyperlink>
        </w:p>
        <w:p>
          <w:pPr>
            <w:pStyle w:val="Contents4"/>
            <w:tabs>
              <w:tab w:val="clear" w:pos="8176"/>
              <w:tab w:val="right" w:pos="9026" w:leader="dot"/>
            </w:tabs>
            <w:rPr/>
          </w:pPr>
          <w:hyperlink w:anchor="__RefHeading___Toc1391623_1067777946">
            <w:r>
              <w:rPr>
                <w:webHidden/>
                <w:rStyle w:val="IndexLink"/>
              </w:rPr>
              <w:t>1</w:t>
            </w:r>
            <w:r>
              <w:rPr>
                <w:rStyle w:val="IndexLink"/>
                <w:rtl w:val="true"/>
              </w:rPr>
              <w:t xml:space="preserve">. </w:t>
            </w:r>
            <w:r>
              <w:rPr>
                <w:rStyle w:val="IndexLink"/>
                <w:rtl w:val="true"/>
              </w:rPr>
              <w:t>آية الولاية</w:t>
            </w:r>
            <w:r>
              <w:rPr>
                <w:rStyle w:val="IndexLink"/>
                <w:rtl w:val="true"/>
              </w:rPr>
              <w:tab/>
            </w:r>
            <w:r>
              <w:rPr>
                <w:rStyle w:val="IndexLink"/>
              </w:rPr>
              <w:t>482</w:t>
            </w:r>
          </w:hyperlink>
        </w:p>
        <w:p>
          <w:pPr>
            <w:pStyle w:val="Contents4"/>
            <w:tabs>
              <w:tab w:val="clear" w:pos="8176"/>
              <w:tab w:val="right" w:pos="9026" w:leader="dot"/>
            </w:tabs>
            <w:rPr/>
          </w:pPr>
          <w:hyperlink w:anchor="__RefHeading___Toc1391625_1067777946">
            <w:r>
              <w:rPr>
                <w:webHidden/>
                <w:rStyle w:val="IndexLink"/>
              </w:rPr>
              <w:t>2</w:t>
            </w:r>
            <w:r>
              <w:rPr>
                <w:rStyle w:val="IndexLink"/>
                <w:rtl w:val="true"/>
              </w:rPr>
              <w:t xml:space="preserve">. </w:t>
            </w:r>
            <w:r>
              <w:rPr>
                <w:rStyle w:val="IndexLink"/>
                <w:rtl w:val="true"/>
              </w:rPr>
              <w:t xml:space="preserve">حديث </w:t>
            </w:r>
            <w:r>
              <w:rPr>
                <w:rStyle w:val="IndexLink"/>
                <w:rtl w:val="true"/>
              </w:rPr>
              <w:t>«</w:t>
            </w:r>
            <w:r>
              <w:rPr>
                <w:rStyle w:val="IndexLink"/>
                <w:rtl w:val="true"/>
              </w:rPr>
              <w:t>المنزلة</w:t>
            </w:r>
            <w:r>
              <w:rPr>
                <w:rStyle w:val="IndexLink"/>
                <w:rtl w:val="true"/>
              </w:rPr>
              <w:t>»</w:t>
              <w:tab/>
            </w:r>
            <w:r>
              <w:rPr>
                <w:rStyle w:val="IndexLink"/>
              </w:rPr>
              <w:t>485</w:t>
            </w:r>
          </w:hyperlink>
        </w:p>
        <w:p>
          <w:pPr>
            <w:pStyle w:val="Contents4"/>
            <w:tabs>
              <w:tab w:val="clear" w:pos="8176"/>
              <w:tab w:val="right" w:pos="9026" w:leader="dot"/>
            </w:tabs>
            <w:rPr/>
          </w:pPr>
          <w:hyperlink w:anchor="__RefHeading___Toc1391627_1067777946">
            <w:r>
              <w:rPr>
                <w:webHidden/>
                <w:rStyle w:val="IndexLink"/>
              </w:rPr>
              <w:t>3</w:t>
            </w:r>
            <w:r>
              <w:rPr>
                <w:rStyle w:val="IndexLink"/>
                <w:rtl w:val="true"/>
              </w:rPr>
              <w:t xml:space="preserve">. </w:t>
            </w:r>
            <w:r>
              <w:rPr>
                <w:rStyle w:val="IndexLink"/>
                <w:rtl w:val="true"/>
              </w:rPr>
              <w:t xml:space="preserve">حديث </w:t>
            </w:r>
            <w:r>
              <w:rPr>
                <w:rStyle w:val="IndexLink"/>
                <w:rtl w:val="true"/>
              </w:rPr>
              <w:t>«</w:t>
            </w:r>
            <w:r>
              <w:rPr>
                <w:rStyle w:val="IndexLink"/>
                <w:rtl w:val="true"/>
              </w:rPr>
              <w:t>الغدير</w:t>
            </w:r>
            <w:r>
              <w:rPr>
                <w:rStyle w:val="IndexLink"/>
                <w:rtl w:val="true"/>
              </w:rPr>
              <w:t>»</w:t>
              <w:tab/>
            </w:r>
            <w:r>
              <w:rPr>
                <w:rStyle w:val="IndexLink"/>
              </w:rPr>
              <w:t>487</w:t>
            </w:r>
          </w:hyperlink>
        </w:p>
        <w:p>
          <w:pPr>
            <w:pStyle w:val="Contents4"/>
            <w:tabs>
              <w:tab w:val="clear" w:pos="8176"/>
              <w:tab w:val="right" w:pos="9026" w:leader="dot"/>
            </w:tabs>
            <w:rPr/>
          </w:pPr>
          <w:hyperlink w:anchor="__RefHeading___Toc1391629_1067777946">
            <w:r>
              <w:rPr>
                <w:webHidden/>
                <w:rStyle w:val="IndexLink"/>
                <w:rtl w:val="true"/>
              </w:rPr>
              <w:t>دلالة الحديث</w:t>
            </w:r>
            <w:r>
              <w:rPr>
                <w:rStyle w:val="IndexLink"/>
                <w:rtl w:val="true"/>
              </w:rPr>
              <w:tab/>
            </w:r>
            <w:r>
              <w:rPr>
                <w:rStyle w:val="IndexLink"/>
              </w:rPr>
              <w:t>491</w:t>
            </w:r>
          </w:hyperlink>
        </w:p>
        <w:p>
          <w:pPr>
            <w:pStyle w:val="Contents5"/>
            <w:tabs>
              <w:tab w:val="clear" w:pos="7892"/>
              <w:tab w:val="right" w:pos="9026" w:leader="dot"/>
            </w:tabs>
            <w:rPr/>
          </w:pPr>
          <w:hyperlink w:anchor="__RefHeading___Toc1391631_1067777946">
            <w:r>
              <w:rPr>
                <w:webHidden/>
                <w:rStyle w:val="IndexLink"/>
                <w:rtl w:val="true"/>
              </w:rPr>
              <w:t>اشارة</w:t>
            </w:r>
            <w:r>
              <w:rPr>
                <w:rStyle w:val="IndexLink"/>
                <w:rtl w:val="true"/>
              </w:rPr>
              <w:tab/>
            </w:r>
            <w:r>
              <w:rPr>
                <w:rStyle w:val="IndexLink"/>
              </w:rPr>
              <w:t>491</w:t>
            </w:r>
          </w:hyperlink>
        </w:p>
        <w:p>
          <w:pPr>
            <w:pStyle w:val="Contents5"/>
            <w:tabs>
              <w:tab w:val="clear" w:pos="7892"/>
              <w:tab w:val="right" w:pos="9026" w:leader="dot"/>
            </w:tabs>
            <w:rPr/>
          </w:pPr>
          <w:hyperlink w:anchor="__RefHeading___Toc1391633_1067777946">
            <w:r>
              <w:rPr>
                <w:webHidden/>
                <w:rStyle w:val="IndexLink"/>
              </w:rPr>
              <w:t>1</w:t>
            </w:r>
            <w:r>
              <w:rPr>
                <w:rStyle w:val="IndexLink"/>
                <w:rtl w:val="true"/>
              </w:rPr>
              <w:t xml:space="preserve">. </w:t>
            </w:r>
            <w:r>
              <w:rPr>
                <w:rStyle w:val="IndexLink"/>
                <w:rtl w:val="true"/>
              </w:rPr>
              <w:t>آية البلاغ</w:t>
            </w:r>
            <w:r>
              <w:rPr>
                <w:rStyle w:val="IndexLink"/>
                <w:rtl w:val="true"/>
              </w:rPr>
              <w:tab/>
            </w:r>
            <w:r>
              <w:rPr>
                <w:rStyle w:val="IndexLink"/>
              </w:rPr>
              <w:t>494</w:t>
            </w:r>
          </w:hyperlink>
        </w:p>
        <w:p>
          <w:pPr>
            <w:pStyle w:val="Contents5"/>
            <w:tabs>
              <w:tab w:val="clear" w:pos="7892"/>
              <w:tab w:val="right" w:pos="9026" w:leader="dot"/>
            </w:tabs>
            <w:rPr/>
          </w:pPr>
          <w:hyperlink w:anchor="__RefHeading___Toc1391635_1067777946">
            <w:r>
              <w:rPr>
                <w:webHidden/>
                <w:rStyle w:val="IndexLink"/>
              </w:rPr>
              <w:t>2</w:t>
            </w:r>
            <w:r>
              <w:rPr>
                <w:rStyle w:val="IndexLink"/>
                <w:rtl w:val="true"/>
              </w:rPr>
              <w:t xml:space="preserve">. </w:t>
            </w:r>
            <w:r>
              <w:rPr>
                <w:rStyle w:val="IndexLink"/>
                <w:rtl w:val="true"/>
              </w:rPr>
              <w:t>آية إكمال الدين</w:t>
            </w:r>
            <w:r>
              <w:rPr>
                <w:rStyle w:val="IndexLink"/>
                <w:rtl w:val="true"/>
              </w:rPr>
              <w:tab/>
            </w:r>
            <w:r>
              <w:rPr>
                <w:rStyle w:val="IndexLink"/>
              </w:rPr>
              <w:t>496</w:t>
            </w:r>
          </w:hyperlink>
        </w:p>
        <w:p>
          <w:pPr>
            <w:pStyle w:val="Contents4"/>
            <w:tabs>
              <w:tab w:val="clear" w:pos="8176"/>
              <w:tab w:val="right" w:pos="9026" w:leader="dot"/>
            </w:tabs>
            <w:rPr/>
          </w:pPr>
          <w:hyperlink w:anchor="__RefHeading___Toc1391637_1067777946">
            <w:r>
              <w:rPr>
                <w:webHidden/>
                <w:rStyle w:val="IndexLink"/>
                <w:rtl w:val="true"/>
              </w:rPr>
              <w:t>لما ذا أعرض الصحابة عن مدلول حديث الغدير؟</w:t>
            </w:r>
            <w:r>
              <w:rPr>
                <w:rStyle w:val="IndexLink"/>
                <w:rtl w:val="true"/>
              </w:rPr>
              <w:tab/>
            </w:r>
            <w:r>
              <w:rPr>
                <w:rStyle w:val="IndexLink"/>
              </w:rPr>
              <w:t>499</w:t>
            </w:r>
          </w:hyperlink>
        </w:p>
        <w:p>
          <w:pPr>
            <w:pStyle w:val="Contents3"/>
            <w:tabs>
              <w:tab w:val="clear" w:pos="8459"/>
              <w:tab w:val="right" w:pos="9026" w:leader="dot"/>
            </w:tabs>
            <w:rPr/>
          </w:pPr>
          <w:hyperlink w:anchor="__RefHeading___Toc1391639_1067777946">
            <w:r>
              <w:rPr>
                <w:webHidden/>
                <w:rStyle w:val="IndexLink"/>
                <w:rtl w:val="true"/>
              </w:rPr>
              <w:t>الأمر السابع</w:t>
            </w:r>
            <w:r>
              <w:rPr>
                <w:rStyle w:val="IndexLink"/>
                <w:rtl w:val="true"/>
              </w:rPr>
              <w:t xml:space="preserve">: </w:t>
            </w:r>
            <w:r>
              <w:rPr>
                <w:rStyle w:val="IndexLink"/>
                <w:rtl w:val="true"/>
              </w:rPr>
              <w:t>السنّة النبويّة والأئمّة الاثنا عشر</w:t>
            </w:r>
            <w:r>
              <w:rPr>
                <w:rStyle w:val="IndexLink"/>
                <w:rtl w:val="true"/>
              </w:rPr>
              <w:tab/>
            </w:r>
            <w:r>
              <w:rPr>
                <w:rStyle w:val="IndexLink"/>
              </w:rPr>
              <w:t>500</w:t>
            </w:r>
          </w:hyperlink>
        </w:p>
        <w:p>
          <w:pPr>
            <w:pStyle w:val="Contents2"/>
            <w:tabs>
              <w:tab w:val="clear" w:pos="8743"/>
              <w:tab w:val="right" w:pos="9026" w:leader="dot"/>
            </w:tabs>
            <w:rPr/>
          </w:pPr>
          <w:hyperlink w:anchor="__RefHeading___Toc1391641_1067777946">
            <w:r>
              <w:rPr>
                <w:webHidden/>
                <w:rStyle w:val="IndexLink"/>
                <w:rtl w:val="true"/>
              </w:rPr>
              <w:t>الفصل العاشر</w:t>
            </w:r>
            <w:r>
              <w:rPr>
                <w:rStyle w:val="IndexLink"/>
                <w:rtl w:val="true"/>
              </w:rPr>
              <w:t xml:space="preserve">: </w:t>
            </w:r>
            <w:r>
              <w:rPr>
                <w:rStyle w:val="IndexLink"/>
                <w:rtl w:val="true"/>
              </w:rPr>
              <w:t>عدالة الصحابة بين العاطفة والبرهان</w:t>
            </w:r>
            <w:r>
              <w:rPr>
                <w:rStyle w:val="IndexLink"/>
                <w:rtl w:val="true"/>
              </w:rPr>
              <w:tab/>
            </w:r>
            <w:r>
              <w:rPr>
                <w:rStyle w:val="IndexLink"/>
              </w:rPr>
              <w:t>503</w:t>
            </w:r>
          </w:hyperlink>
        </w:p>
        <w:p>
          <w:pPr>
            <w:pStyle w:val="Contents3"/>
            <w:tabs>
              <w:tab w:val="clear" w:pos="8459"/>
              <w:tab w:val="right" w:pos="9026" w:leader="dot"/>
            </w:tabs>
            <w:rPr/>
          </w:pPr>
          <w:hyperlink w:anchor="__RefHeading___Toc1391643_1067777946">
            <w:r>
              <w:rPr>
                <w:webHidden/>
                <w:rStyle w:val="IndexLink"/>
                <w:rtl w:val="true"/>
              </w:rPr>
              <w:t>اشارة</w:t>
            </w:r>
            <w:r>
              <w:rPr>
                <w:rStyle w:val="IndexLink"/>
                <w:rtl w:val="true"/>
              </w:rPr>
              <w:tab/>
            </w:r>
            <w:r>
              <w:rPr>
                <w:rStyle w:val="IndexLink"/>
              </w:rPr>
              <w:t>503</w:t>
            </w:r>
          </w:hyperlink>
        </w:p>
        <w:p>
          <w:pPr>
            <w:pStyle w:val="Contents3"/>
            <w:tabs>
              <w:tab w:val="clear" w:pos="8459"/>
              <w:tab w:val="right" w:pos="9026" w:leader="dot"/>
            </w:tabs>
            <w:rPr/>
          </w:pPr>
          <w:hyperlink w:anchor="__RefHeading___Toc1391645_1067777946">
            <w:r>
              <w:rPr>
                <w:webHidden/>
                <w:rStyle w:val="IndexLink"/>
                <w:rtl w:val="true"/>
              </w:rPr>
              <w:t>اتجاهان حول الصحبة والصحابة</w:t>
            </w:r>
            <w:r>
              <w:rPr>
                <w:rStyle w:val="IndexLink"/>
                <w:rtl w:val="true"/>
              </w:rPr>
              <w:tab/>
            </w:r>
            <w:r>
              <w:rPr>
                <w:rStyle w:val="IndexLink"/>
              </w:rPr>
              <w:t>505</w:t>
            </w:r>
          </w:hyperlink>
        </w:p>
        <w:p>
          <w:pPr>
            <w:pStyle w:val="Contents3"/>
            <w:tabs>
              <w:tab w:val="clear" w:pos="8459"/>
              <w:tab w:val="right" w:pos="9026" w:leader="dot"/>
            </w:tabs>
            <w:rPr/>
          </w:pPr>
          <w:hyperlink w:anchor="__RefHeading___Toc1391647_1067777946">
            <w:r>
              <w:rPr>
                <w:webHidden/>
                <w:rStyle w:val="IndexLink"/>
              </w:rPr>
              <w:t>1</w:t>
            </w:r>
            <w:r>
              <w:rPr>
                <w:rStyle w:val="IndexLink"/>
                <w:rtl w:val="true"/>
              </w:rPr>
              <w:t xml:space="preserve">- </w:t>
            </w:r>
            <w:r>
              <w:rPr>
                <w:rStyle w:val="IndexLink"/>
                <w:rtl w:val="true"/>
              </w:rPr>
              <w:t>من هو الصحابي</w:t>
            </w:r>
            <w:r>
              <w:rPr>
                <w:rStyle w:val="IndexLink"/>
                <w:rtl w:val="true"/>
              </w:rPr>
              <w:tab/>
            </w:r>
            <w:r>
              <w:rPr>
                <w:rStyle w:val="IndexLink"/>
              </w:rPr>
              <w:t>507</w:t>
            </w:r>
          </w:hyperlink>
        </w:p>
        <w:p>
          <w:pPr>
            <w:pStyle w:val="Contents3"/>
            <w:tabs>
              <w:tab w:val="clear" w:pos="8459"/>
              <w:tab w:val="right" w:pos="9026" w:leader="dot"/>
            </w:tabs>
            <w:rPr/>
          </w:pPr>
          <w:hyperlink w:anchor="__RefHeading___Toc1391649_1067777946">
            <w:r>
              <w:rPr>
                <w:webHidden/>
                <w:rStyle w:val="IndexLink"/>
              </w:rPr>
              <w:t>2</w:t>
            </w:r>
            <w:r>
              <w:rPr>
                <w:rStyle w:val="IndexLink"/>
                <w:rtl w:val="true"/>
              </w:rPr>
              <w:t xml:space="preserve">- </w:t>
            </w:r>
            <w:r>
              <w:rPr>
                <w:rStyle w:val="IndexLink"/>
                <w:rtl w:val="true"/>
              </w:rPr>
              <w:t>الصحبة وملاكات الاختلاف</w:t>
            </w:r>
            <w:r>
              <w:rPr>
                <w:rStyle w:val="IndexLink"/>
                <w:rtl w:val="true"/>
              </w:rPr>
              <w:tab/>
            </w:r>
            <w:r>
              <w:rPr>
                <w:rStyle w:val="IndexLink"/>
              </w:rPr>
              <w:t>509</w:t>
            </w:r>
          </w:hyperlink>
        </w:p>
        <w:p>
          <w:pPr>
            <w:pStyle w:val="Contents3"/>
            <w:tabs>
              <w:tab w:val="clear" w:pos="8459"/>
              <w:tab w:val="right" w:pos="9026" w:leader="dot"/>
            </w:tabs>
            <w:rPr/>
          </w:pPr>
          <w:hyperlink w:anchor="__RefHeading___Toc1391651_1067777946">
            <w:r>
              <w:rPr>
                <w:webHidden/>
                <w:rStyle w:val="IndexLink"/>
              </w:rPr>
              <w:t>3</w:t>
            </w:r>
            <w:r>
              <w:rPr>
                <w:rStyle w:val="IndexLink"/>
                <w:rtl w:val="true"/>
              </w:rPr>
              <w:t xml:space="preserve">- </w:t>
            </w:r>
            <w:r>
              <w:rPr>
                <w:rStyle w:val="IndexLink"/>
                <w:rtl w:val="true"/>
              </w:rPr>
              <w:t>الصحبة ونفي البعد الإعجازي لها</w:t>
            </w:r>
            <w:r>
              <w:rPr>
                <w:rStyle w:val="IndexLink"/>
                <w:rtl w:val="true"/>
              </w:rPr>
              <w:tab/>
            </w:r>
            <w:r>
              <w:rPr>
                <w:rStyle w:val="IndexLink"/>
              </w:rPr>
              <w:t>513</w:t>
            </w:r>
          </w:hyperlink>
        </w:p>
        <w:p>
          <w:pPr>
            <w:pStyle w:val="Contents3"/>
            <w:tabs>
              <w:tab w:val="clear" w:pos="8459"/>
              <w:tab w:val="right" w:pos="9026" w:leader="dot"/>
            </w:tabs>
            <w:rPr/>
          </w:pPr>
          <w:hyperlink w:anchor="__RefHeading___Toc1391653_1067777946">
            <w:r>
              <w:rPr>
                <w:webHidden/>
                <w:rStyle w:val="IndexLink"/>
              </w:rPr>
              <w:t>4</w:t>
            </w:r>
            <w:r>
              <w:rPr>
                <w:rStyle w:val="IndexLink"/>
                <w:rtl w:val="true"/>
              </w:rPr>
              <w:t xml:space="preserve">- </w:t>
            </w:r>
            <w:r>
              <w:rPr>
                <w:rStyle w:val="IndexLink"/>
                <w:rtl w:val="true"/>
              </w:rPr>
              <w:t>الصحابة أبصر بحالهم من غيرهم</w:t>
            </w:r>
            <w:r>
              <w:rPr>
                <w:rStyle w:val="IndexLink"/>
                <w:rtl w:val="true"/>
              </w:rPr>
              <w:tab/>
            </w:r>
            <w:r>
              <w:rPr>
                <w:rStyle w:val="IndexLink"/>
              </w:rPr>
              <w:t>515</w:t>
            </w:r>
          </w:hyperlink>
        </w:p>
        <w:p>
          <w:pPr>
            <w:pStyle w:val="Contents3"/>
            <w:tabs>
              <w:tab w:val="clear" w:pos="8459"/>
              <w:tab w:val="right" w:pos="9026" w:leader="dot"/>
            </w:tabs>
            <w:rPr/>
          </w:pPr>
          <w:hyperlink w:anchor="__RefHeading___Toc1391655_1067777946">
            <w:r>
              <w:rPr>
                <w:webHidden/>
                <w:rStyle w:val="IndexLink"/>
              </w:rPr>
              <w:t>5</w:t>
            </w:r>
            <w:r>
              <w:rPr>
                <w:rStyle w:val="IndexLink"/>
                <w:rtl w:val="true"/>
              </w:rPr>
              <w:t xml:space="preserve">- </w:t>
            </w:r>
            <w:r>
              <w:rPr>
                <w:rStyle w:val="IndexLink"/>
                <w:rtl w:val="true"/>
              </w:rPr>
              <w:t>ما هي الغاية من نقد آراء الصحابة وأفعالهم؟</w:t>
            </w:r>
            <w:r>
              <w:rPr>
                <w:rStyle w:val="IndexLink"/>
                <w:rtl w:val="true"/>
              </w:rPr>
              <w:tab/>
            </w:r>
            <w:r>
              <w:rPr>
                <w:rStyle w:val="IndexLink"/>
              </w:rPr>
              <w:t>517</w:t>
            </w:r>
          </w:hyperlink>
        </w:p>
        <w:p>
          <w:pPr>
            <w:pStyle w:val="Contents3"/>
            <w:tabs>
              <w:tab w:val="clear" w:pos="8459"/>
              <w:tab w:val="right" w:pos="9026" w:leader="dot"/>
            </w:tabs>
            <w:rPr/>
          </w:pPr>
          <w:hyperlink w:anchor="__RefHeading___Toc1391657_1067777946">
            <w:r>
              <w:rPr>
                <w:webHidden/>
                <w:rStyle w:val="IndexLink"/>
              </w:rPr>
              <w:t>6</w:t>
            </w:r>
            <w:r>
              <w:rPr>
                <w:rStyle w:val="IndexLink"/>
                <w:rtl w:val="true"/>
              </w:rPr>
              <w:t xml:space="preserve">- </w:t>
            </w:r>
            <w:r>
              <w:rPr>
                <w:rStyle w:val="IndexLink"/>
                <w:rtl w:val="true"/>
              </w:rPr>
              <w:t>هل الصحابة الكرام فوق الأنبياء؟</w:t>
            </w:r>
            <w:r>
              <w:rPr>
                <w:rStyle w:val="IndexLink"/>
                <w:rtl w:val="true"/>
              </w:rPr>
              <w:tab/>
            </w:r>
            <w:r>
              <w:rPr>
                <w:rStyle w:val="IndexLink"/>
              </w:rPr>
              <w:t>520</w:t>
            </w:r>
          </w:hyperlink>
        </w:p>
        <w:p>
          <w:pPr>
            <w:pStyle w:val="Contents3"/>
            <w:tabs>
              <w:tab w:val="clear" w:pos="8459"/>
              <w:tab w:val="right" w:pos="9026" w:leader="dot"/>
            </w:tabs>
            <w:rPr/>
          </w:pPr>
          <w:hyperlink w:anchor="__RefHeading___Toc1391659_1067777946">
            <w:r>
              <w:rPr>
                <w:webHidden/>
                <w:rStyle w:val="IndexLink"/>
              </w:rPr>
              <w:t>1</w:t>
            </w:r>
            <w:r>
              <w:rPr>
                <w:rStyle w:val="IndexLink"/>
                <w:rtl w:val="true"/>
              </w:rPr>
              <w:t xml:space="preserve">. </w:t>
            </w:r>
            <w:r>
              <w:rPr>
                <w:rStyle w:val="IndexLink"/>
                <w:rtl w:val="true"/>
              </w:rPr>
              <w:t>أُكذوبة الغرانيق</w:t>
            </w:r>
            <w:r>
              <w:rPr>
                <w:rStyle w:val="IndexLink"/>
                <w:rtl w:val="true"/>
              </w:rPr>
              <w:tab/>
            </w:r>
            <w:r>
              <w:rPr>
                <w:rStyle w:val="IndexLink"/>
              </w:rPr>
              <w:t>520</w:t>
            </w:r>
          </w:hyperlink>
        </w:p>
        <w:p>
          <w:pPr>
            <w:pStyle w:val="Contents3"/>
            <w:tabs>
              <w:tab w:val="clear" w:pos="8459"/>
              <w:tab w:val="right" w:pos="9026" w:leader="dot"/>
            </w:tabs>
            <w:rPr/>
          </w:pPr>
          <w:hyperlink w:anchor="__RefHeading___Toc1391661_1067777946">
            <w:r>
              <w:rPr>
                <w:webHidden/>
                <w:rStyle w:val="IndexLink"/>
              </w:rPr>
              <w:t>2</w:t>
            </w:r>
            <w:r>
              <w:rPr>
                <w:rStyle w:val="IndexLink"/>
                <w:rtl w:val="true"/>
              </w:rPr>
              <w:t xml:space="preserve">. </w:t>
            </w:r>
            <w:r>
              <w:rPr>
                <w:rStyle w:val="IndexLink"/>
                <w:rtl w:val="true"/>
              </w:rPr>
              <w:t xml:space="preserve">اتّهام داود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بقتل زوج أوريا وتزوّجها</w:t>
            </w:r>
            <w:r>
              <w:rPr>
                <w:rStyle w:val="IndexLink"/>
                <w:rtl w:val="true"/>
              </w:rPr>
              <w:tab/>
            </w:r>
            <w:r>
              <w:rPr>
                <w:rStyle w:val="IndexLink"/>
              </w:rPr>
              <w:t>522</w:t>
            </w:r>
          </w:hyperlink>
        </w:p>
        <w:p>
          <w:pPr>
            <w:pStyle w:val="Contents3"/>
            <w:tabs>
              <w:tab w:val="clear" w:pos="8459"/>
              <w:tab w:val="right" w:pos="9026" w:leader="dot"/>
            </w:tabs>
            <w:rPr/>
          </w:pPr>
          <w:hyperlink w:anchor="__RefHeading___Toc1391663_1067777946">
            <w:r>
              <w:rPr>
                <w:webHidden/>
                <w:rStyle w:val="IndexLink"/>
              </w:rPr>
              <w:t>7</w:t>
            </w:r>
            <w:r>
              <w:rPr>
                <w:rStyle w:val="IndexLink"/>
                <w:rtl w:val="true"/>
              </w:rPr>
              <w:t xml:space="preserve">- </w:t>
            </w:r>
            <w:r>
              <w:rPr>
                <w:rStyle w:val="IndexLink"/>
                <w:rtl w:val="true"/>
              </w:rPr>
              <w:t>مظاهر الغلو في الصحابة</w:t>
            </w:r>
            <w:r>
              <w:rPr>
                <w:rStyle w:val="IndexLink"/>
                <w:rtl w:val="true"/>
              </w:rPr>
              <w:tab/>
            </w:r>
            <w:r>
              <w:rPr>
                <w:rStyle w:val="IndexLink"/>
              </w:rPr>
              <w:t>525</w:t>
            </w:r>
          </w:hyperlink>
        </w:p>
        <w:p>
          <w:pPr>
            <w:pStyle w:val="Contents4"/>
            <w:tabs>
              <w:tab w:val="clear" w:pos="8176"/>
              <w:tab w:val="right" w:pos="9026" w:leader="dot"/>
            </w:tabs>
            <w:rPr/>
          </w:pPr>
          <w:hyperlink w:anchor="__RefHeading___Toc1391665_1067777946">
            <w:r>
              <w:rPr>
                <w:webHidden/>
                <w:rStyle w:val="IndexLink"/>
                <w:rtl w:val="true"/>
              </w:rPr>
              <w:t>اشارة</w:t>
            </w:r>
            <w:r>
              <w:rPr>
                <w:rStyle w:val="IndexLink"/>
                <w:rtl w:val="true"/>
              </w:rPr>
              <w:tab/>
            </w:r>
            <w:r>
              <w:rPr>
                <w:rStyle w:val="IndexLink"/>
              </w:rPr>
              <w:t>525</w:t>
            </w:r>
          </w:hyperlink>
        </w:p>
        <w:p>
          <w:pPr>
            <w:pStyle w:val="Contents4"/>
            <w:tabs>
              <w:tab w:val="clear" w:pos="8176"/>
              <w:tab w:val="right" w:pos="9026" w:leader="dot"/>
            </w:tabs>
            <w:rPr/>
          </w:pPr>
          <w:hyperlink w:anchor="__RefHeading___Toc1391667_1067777946">
            <w:r>
              <w:rPr>
                <w:webHidden/>
                <w:rStyle w:val="IndexLink"/>
                <w:rtl w:val="true"/>
              </w:rPr>
              <w:t>مظاهر الغلو</w:t>
            </w:r>
            <w:r>
              <w:rPr>
                <w:rStyle w:val="IndexLink"/>
                <w:rtl w:val="true"/>
              </w:rPr>
              <w:tab/>
            </w:r>
            <w:r>
              <w:rPr>
                <w:rStyle w:val="IndexLink"/>
              </w:rPr>
              <w:t>526</w:t>
            </w:r>
          </w:hyperlink>
        </w:p>
        <w:p>
          <w:pPr>
            <w:pStyle w:val="Contents5"/>
            <w:tabs>
              <w:tab w:val="clear" w:pos="7892"/>
              <w:tab w:val="right" w:pos="9026" w:leader="dot"/>
            </w:tabs>
            <w:rPr/>
          </w:pPr>
          <w:hyperlink w:anchor="__RefHeading___Toc1391669_1067777946">
            <w:r>
              <w:rPr>
                <w:webHidden/>
                <w:rStyle w:val="IndexLink"/>
                <w:rtl w:val="true"/>
              </w:rPr>
              <w:t>اشارة</w:t>
            </w:r>
            <w:r>
              <w:rPr>
                <w:rStyle w:val="IndexLink"/>
                <w:rtl w:val="true"/>
              </w:rPr>
              <w:tab/>
            </w:r>
            <w:r>
              <w:rPr>
                <w:rStyle w:val="IndexLink"/>
              </w:rPr>
              <w:t>526</w:t>
            </w:r>
          </w:hyperlink>
        </w:p>
        <w:p>
          <w:pPr>
            <w:pStyle w:val="Contents5"/>
            <w:tabs>
              <w:tab w:val="clear" w:pos="7892"/>
              <w:tab w:val="right" w:pos="9026" w:leader="dot"/>
            </w:tabs>
            <w:rPr/>
          </w:pPr>
          <w:hyperlink w:anchor="__RefHeading___Toc1391671_1067777946">
            <w:r>
              <w:rPr>
                <w:webHidden/>
                <w:rStyle w:val="IndexLink"/>
              </w:rPr>
              <w:t>1</w:t>
            </w:r>
            <w:r>
              <w:rPr>
                <w:rStyle w:val="IndexLink"/>
                <w:rtl w:val="true"/>
              </w:rPr>
              <w:t xml:space="preserve">. </w:t>
            </w:r>
            <w:r>
              <w:rPr>
                <w:rStyle w:val="IndexLink"/>
                <w:rtl w:val="true"/>
              </w:rPr>
              <w:t>سنّة الصحابة</w:t>
            </w:r>
            <w:r>
              <w:rPr>
                <w:rStyle w:val="IndexLink"/>
                <w:rtl w:val="true"/>
              </w:rPr>
              <w:tab/>
            </w:r>
            <w:r>
              <w:rPr>
                <w:rStyle w:val="IndexLink"/>
              </w:rPr>
              <w:t>527</w:t>
            </w:r>
          </w:hyperlink>
        </w:p>
        <w:p>
          <w:pPr>
            <w:pStyle w:val="Contents5"/>
            <w:tabs>
              <w:tab w:val="clear" w:pos="7892"/>
              <w:tab w:val="right" w:pos="9026" w:leader="dot"/>
            </w:tabs>
            <w:rPr/>
          </w:pPr>
          <w:hyperlink w:anchor="__RefHeading___Toc1391673_1067777946">
            <w:r>
              <w:rPr>
                <w:webHidden/>
                <w:rStyle w:val="IndexLink"/>
              </w:rPr>
              <w:t>2</w:t>
            </w:r>
            <w:r>
              <w:rPr>
                <w:rStyle w:val="IndexLink"/>
                <w:rtl w:val="true"/>
              </w:rPr>
              <w:t xml:space="preserve">. </w:t>
            </w:r>
            <w:r>
              <w:rPr>
                <w:rStyle w:val="IndexLink"/>
                <w:rtl w:val="true"/>
              </w:rPr>
              <w:t>العزوف عن نقد الصحابة</w:t>
            </w:r>
            <w:r>
              <w:rPr>
                <w:rStyle w:val="IndexLink"/>
                <w:rtl w:val="true"/>
              </w:rPr>
              <w:tab/>
            </w:r>
            <w:r>
              <w:rPr>
                <w:rStyle w:val="IndexLink"/>
              </w:rPr>
              <w:t>530</w:t>
            </w:r>
          </w:hyperlink>
        </w:p>
        <w:p>
          <w:pPr>
            <w:pStyle w:val="Contents5"/>
            <w:tabs>
              <w:tab w:val="clear" w:pos="7892"/>
              <w:tab w:val="right" w:pos="9026" w:leader="dot"/>
            </w:tabs>
            <w:rPr/>
          </w:pPr>
          <w:hyperlink w:anchor="__RefHeading___Toc1391675_1067777946">
            <w:r>
              <w:rPr>
                <w:webHidden/>
                <w:rStyle w:val="IndexLink"/>
              </w:rPr>
              <w:t>3</w:t>
            </w:r>
            <w:r>
              <w:rPr>
                <w:rStyle w:val="IndexLink"/>
                <w:rtl w:val="true"/>
              </w:rPr>
              <w:t xml:space="preserve">. </w:t>
            </w:r>
            <w:r>
              <w:rPr>
                <w:rStyle w:val="IndexLink"/>
                <w:rtl w:val="true"/>
              </w:rPr>
              <w:t>السنّة قاضية على القرآن</w:t>
            </w:r>
            <w:r>
              <w:rPr>
                <w:rStyle w:val="IndexLink"/>
                <w:rtl w:val="true"/>
              </w:rPr>
              <w:tab/>
            </w:r>
            <w:r>
              <w:rPr>
                <w:rStyle w:val="IndexLink"/>
              </w:rPr>
              <w:t>533</w:t>
            </w:r>
          </w:hyperlink>
        </w:p>
        <w:p>
          <w:pPr>
            <w:pStyle w:val="Contents5"/>
            <w:tabs>
              <w:tab w:val="clear" w:pos="7892"/>
              <w:tab w:val="right" w:pos="9026" w:leader="dot"/>
            </w:tabs>
            <w:rPr/>
          </w:pPr>
          <w:hyperlink w:anchor="__RefHeading___Toc1391677_1067777946">
            <w:r>
              <w:rPr>
                <w:webHidden/>
                <w:rStyle w:val="IndexLink"/>
              </w:rPr>
              <w:t>4</w:t>
            </w:r>
            <w:r>
              <w:rPr>
                <w:rStyle w:val="IndexLink"/>
                <w:rtl w:val="true"/>
              </w:rPr>
              <w:t xml:space="preserve">. </w:t>
            </w:r>
            <w:r>
              <w:rPr>
                <w:rStyle w:val="IndexLink"/>
                <w:rtl w:val="true"/>
              </w:rPr>
              <w:t>حجّية رواياتهم بلا استثناء</w:t>
            </w:r>
            <w:r>
              <w:rPr>
                <w:rStyle w:val="IndexLink"/>
                <w:rtl w:val="true"/>
              </w:rPr>
              <w:tab/>
            </w:r>
            <w:r>
              <w:rPr>
                <w:rStyle w:val="IndexLink"/>
              </w:rPr>
              <w:t>535</w:t>
            </w:r>
          </w:hyperlink>
        </w:p>
        <w:p>
          <w:pPr>
            <w:pStyle w:val="Contents5"/>
            <w:tabs>
              <w:tab w:val="clear" w:pos="7892"/>
              <w:tab w:val="right" w:pos="9026" w:leader="dot"/>
            </w:tabs>
            <w:rPr/>
          </w:pPr>
          <w:hyperlink w:anchor="__RefHeading___Toc1391679_1067777946">
            <w:r>
              <w:rPr>
                <w:webHidden/>
                <w:rStyle w:val="IndexLink"/>
              </w:rPr>
              <w:t>5</w:t>
            </w:r>
            <w:r>
              <w:rPr>
                <w:rStyle w:val="IndexLink"/>
                <w:rtl w:val="true"/>
              </w:rPr>
              <w:t xml:space="preserve">. </w:t>
            </w:r>
            <w:r>
              <w:rPr>
                <w:rStyle w:val="IndexLink"/>
                <w:rtl w:val="true"/>
              </w:rPr>
              <w:t>القول بعدالتهم جميعاً</w:t>
            </w:r>
            <w:r>
              <w:rPr>
                <w:rStyle w:val="IndexLink"/>
                <w:rtl w:val="true"/>
              </w:rPr>
              <w:tab/>
            </w:r>
            <w:r>
              <w:rPr>
                <w:rStyle w:val="IndexLink"/>
              </w:rPr>
              <w:t>537</w:t>
            </w:r>
          </w:hyperlink>
        </w:p>
        <w:p>
          <w:pPr>
            <w:pStyle w:val="Contents3"/>
            <w:tabs>
              <w:tab w:val="clear" w:pos="8459"/>
              <w:tab w:val="right" w:pos="9026" w:leader="dot"/>
            </w:tabs>
            <w:rPr/>
          </w:pPr>
          <w:hyperlink w:anchor="__RefHeading___Toc1391681_1067777946">
            <w:r>
              <w:rPr>
                <w:webHidden/>
                <w:rStyle w:val="IndexLink"/>
              </w:rPr>
              <w:t>8</w:t>
            </w:r>
            <w:r>
              <w:rPr>
                <w:rStyle w:val="IndexLink"/>
                <w:rtl w:val="true"/>
              </w:rPr>
              <w:t xml:space="preserve">- </w:t>
            </w:r>
            <w:r>
              <w:rPr>
                <w:rStyle w:val="IndexLink"/>
                <w:rtl w:val="true"/>
              </w:rPr>
              <w:t>الاعتقاد بعدالة الصحابة كخلافة الخلفاء ليس من صميم الدين</w:t>
            </w:r>
            <w:r>
              <w:rPr>
                <w:rStyle w:val="IndexLink"/>
                <w:rtl w:val="true"/>
              </w:rPr>
              <w:tab/>
            </w:r>
            <w:r>
              <w:rPr>
                <w:rStyle w:val="IndexLink"/>
              </w:rPr>
              <w:t>541</w:t>
            </w:r>
          </w:hyperlink>
        </w:p>
        <w:p>
          <w:pPr>
            <w:pStyle w:val="Contents4"/>
            <w:tabs>
              <w:tab w:val="clear" w:pos="8176"/>
              <w:tab w:val="right" w:pos="9026" w:leader="dot"/>
            </w:tabs>
            <w:rPr/>
          </w:pPr>
          <w:hyperlink w:anchor="__RefHeading___Toc1391683_1067777946">
            <w:r>
              <w:rPr>
                <w:webHidden/>
                <w:rStyle w:val="IndexLink"/>
                <w:rtl w:val="true"/>
              </w:rPr>
              <w:t>اشارة</w:t>
            </w:r>
            <w:r>
              <w:rPr>
                <w:rStyle w:val="IndexLink"/>
                <w:rtl w:val="true"/>
              </w:rPr>
              <w:tab/>
            </w:r>
            <w:r>
              <w:rPr>
                <w:rStyle w:val="IndexLink"/>
              </w:rPr>
              <w:t>541</w:t>
            </w:r>
          </w:hyperlink>
        </w:p>
        <w:p>
          <w:pPr>
            <w:pStyle w:val="Contents4"/>
            <w:tabs>
              <w:tab w:val="clear" w:pos="8176"/>
              <w:tab w:val="right" w:pos="9026" w:leader="dot"/>
            </w:tabs>
            <w:rPr/>
          </w:pPr>
          <w:hyperlink w:anchor="__RefHeading___Toc1391685_1067777946">
            <w:r>
              <w:rPr>
                <w:webHidden/>
                <w:rStyle w:val="IndexLink"/>
                <w:rtl w:val="true"/>
              </w:rPr>
              <w:t>الاعتقاد بخلافة الخلفاء ليس من صميم الدين</w:t>
            </w:r>
            <w:r>
              <w:rPr>
                <w:rStyle w:val="IndexLink"/>
                <w:rtl w:val="true"/>
              </w:rPr>
              <w:tab/>
            </w:r>
            <w:r>
              <w:rPr>
                <w:rStyle w:val="IndexLink"/>
              </w:rPr>
              <w:t>542</w:t>
            </w:r>
          </w:hyperlink>
        </w:p>
        <w:p>
          <w:pPr>
            <w:pStyle w:val="Contents4"/>
            <w:tabs>
              <w:tab w:val="clear" w:pos="8176"/>
              <w:tab w:val="right" w:pos="9026" w:leader="dot"/>
            </w:tabs>
            <w:rPr/>
          </w:pPr>
          <w:hyperlink w:anchor="__RefHeading___Toc1391687_1067777946">
            <w:r>
              <w:rPr>
                <w:webHidden/>
                <w:rStyle w:val="IndexLink"/>
                <w:rtl w:val="true"/>
              </w:rPr>
              <w:t>الاعتقاد بعدالة الصحابة ليس من صميم الدين</w:t>
            </w:r>
            <w:r>
              <w:rPr>
                <w:rStyle w:val="IndexLink"/>
                <w:rtl w:val="true"/>
              </w:rPr>
              <w:tab/>
            </w:r>
            <w:r>
              <w:rPr>
                <w:rStyle w:val="IndexLink"/>
              </w:rPr>
              <w:t>546</w:t>
            </w:r>
          </w:hyperlink>
        </w:p>
        <w:p>
          <w:pPr>
            <w:pStyle w:val="Contents3"/>
            <w:tabs>
              <w:tab w:val="clear" w:pos="8459"/>
              <w:tab w:val="right" w:pos="9026" w:leader="dot"/>
            </w:tabs>
            <w:rPr/>
          </w:pPr>
          <w:hyperlink w:anchor="__RefHeading___Toc1391689_1067777946">
            <w:r>
              <w:rPr>
                <w:webHidden/>
                <w:rStyle w:val="IndexLink"/>
              </w:rPr>
              <w:t>9</w:t>
            </w:r>
            <w:r>
              <w:rPr>
                <w:rStyle w:val="IndexLink"/>
                <w:rtl w:val="true"/>
              </w:rPr>
              <w:t xml:space="preserve">- </w:t>
            </w:r>
            <w:r>
              <w:rPr>
                <w:rStyle w:val="IndexLink"/>
                <w:rtl w:val="true"/>
              </w:rPr>
              <w:t>القرآن الكريم وعدالة الصحابة</w:t>
            </w:r>
            <w:r>
              <w:rPr>
                <w:rStyle w:val="IndexLink"/>
                <w:rtl w:val="true"/>
              </w:rPr>
              <w:tab/>
            </w:r>
            <w:r>
              <w:rPr>
                <w:rStyle w:val="IndexLink"/>
              </w:rPr>
              <w:t>548</w:t>
            </w:r>
          </w:hyperlink>
        </w:p>
        <w:p>
          <w:pPr>
            <w:pStyle w:val="Contents4"/>
            <w:tabs>
              <w:tab w:val="clear" w:pos="8176"/>
              <w:tab w:val="right" w:pos="9026" w:leader="dot"/>
            </w:tabs>
            <w:rPr/>
          </w:pPr>
          <w:hyperlink w:anchor="__RefHeading___Toc1391691_1067777946">
            <w:r>
              <w:rPr>
                <w:webHidden/>
                <w:rStyle w:val="IndexLink"/>
                <w:rtl w:val="true"/>
              </w:rPr>
              <w:t>اشارة</w:t>
            </w:r>
            <w:r>
              <w:rPr>
                <w:rStyle w:val="IndexLink"/>
                <w:rtl w:val="true"/>
              </w:rPr>
              <w:tab/>
            </w:r>
            <w:r>
              <w:rPr>
                <w:rStyle w:val="IndexLink"/>
              </w:rPr>
              <w:t>548</w:t>
            </w:r>
          </w:hyperlink>
        </w:p>
        <w:p>
          <w:pPr>
            <w:pStyle w:val="Contents4"/>
            <w:tabs>
              <w:tab w:val="clear" w:pos="8176"/>
              <w:tab w:val="right" w:pos="9026" w:leader="dot"/>
            </w:tabs>
            <w:rPr/>
          </w:pPr>
          <w:hyperlink w:anchor="__RefHeading___Toc1391693_1067777946">
            <w:r>
              <w:rPr>
                <w:webHidden/>
                <w:rStyle w:val="IndexLink"/>
              </w:rPr>
              <w:t>1</w:t>
            </w:r>
            <w:r>
              <w:rPr>
                <w:rStyle w:val="IndexLink"/>
                <w:rtl w:val="true"/>
              </w:rPr>
              <w:t xml:space="preserve">. </w:t>
            </w:r>
            <w:r>
              <w:rPr>
                <w:rStyle w:val="IndexLink"/>
                <w:rtl w:val="true"/>
              </w:rPr>
              <w:t>تنبّؤ القرآن بارتداد لفيف من الصحابة</w:t>
            </w:r>
            <w:r>
              <w:rPr>
                <w:rStyle w:val="IndexLink"/>
                <w:rtl w:val="true"/>
              </w:rPr>
              <w:tab/>
            </w:r>
            <w:r>
              <w:rPr>
                <w:rStyle w:val="IndexLink"/>
              </w:rPr>
              <w:t>548</w:t>
            </w:r>
          </w:hyperlink>
        </w:p>
        <w:p>
          <w:pPr>
            <w:pStyle w:val="Contents4"/>
            <w:tabs>
              <w:tab w:val="clear" w:pos="8176"/>
              <w:tab w:val="right" w:pos="9026" w:leader="dot"/>
            </w:tabs>
            <w:rPr/>
          </w:pPr>
          <w:hyperlink w:anchor="__RefHeading___Toc1391695_1067777946">
            <w:r>
              <w:rPr>
                <w:webHidden/>
                <w:rStyle w:val="IndexLink"/>
              </w:rPr>
              <w:t>2</w:t>
            </w:r>
            <w:r>
              <w:rPr>
                <w:rStyle w:val="IndexLink"/>
                <w:rtl w:val="true"/>
              </w:rPr>
              <w:t xml:space="preserve">. </w:t>
            </w:r>
            <w:r>
              <w:rPr>
                <w:rStyle w:val="IndexLink"/>
                <w:rtl w:val="true"/>
              </w:rPr>
              <w:t>ترك الرسول قائماً وهو يخطب</w:t>
            </w:r>
            <w:r>
              <w:rPr>
                <w:rStyle w:val="IndexLink"/>
                <w:rtl w:val="true"/>
              </w:rPr>
              <w:tab/>
            </w:r>
            <w:r>
              <w:rPr>
                <w:rStyle w:val="IndexLink"/>
              </w:rPr>
              <w:t>549</w:t>
            </w:r>
          </w:hyperlink>
        </w:p>
        <w:p>
          <w:pPr>
            <w:pStyle w:val="Contents4"/>
            <w:tabs>
              <w:tab w:val="clear" w:pos="8176"/>
              <w:tab w:val="right" w:pos="9026" w:leader="dot"/>
            </w:tabs>
            <w:rPr/>
          </w:pPr>
          <w:hyperlink w:anchor="__RefHeading___Toc1391697_1067777946">
            <w:r>
              <w:rPr>
                <w:webHidden/>
                <w:rStyle w:val="IndexLink"/>
              </w:rPr>
              <w:t>3</w:t>
            </w:r>
            <w:r>
              <w:rPr>
                <w:rStyle w:val="IndexLink"/>
                <w:rtl w:val="true"/>
              </w:rPr>
              <w:t xml:space="preserve">. </w:t>
            </w:r>
            <w:r>
              <w:rPr>
                <w:rStyle w:val="IndexLink"/>
                <w:rtl w:val="true"/>
              </w:rPr>
              <w:t>الخيانة بالنكاح سرّاً</w:t>
            </w:r>
            <w:r>
              <w:rPr>
                <w:rStyle w:val="IndexLink"/>
                <w:rtl w:val="true"/>
              </w:rPr>
              <w:tab/>
            </w:r>
            <w:r>
              <w:rPr>
                <w:rStyle w:val="IndexLink"/>
              </w:rPr>
              <w:t>550</w:t>
            </w:r>
          </w:hyperlink>
        </w:p>
        <w:p>
          <w:pPr>
            <w:pStyle w:val="Contents4"/>
            <w:tabs>
              <w:tab w:val="clear" w:pos="8176"/>
              <w:tab w:val="right" w:pos="9026" w:leader="dot"/>
            </w:tabs>
            <w:rPr/>
          </w:pPr>
          <w:hyperlink w:anchor="__RefHeading___Toc1391699_1067777946">
            <w:r>
              <w:rPr>
                <w:webHidden/>
                <w:rStyle w:val="IndexLink"/>
              </w:rPr>
              <w:t>4</w:t>
            </w:r>
            <w:r>
              <w:rPr>
                <w:rStyle w:val="IndexLink"/>
                <w:rtl w:val="true"/>
              </w:rPr>
              <w:t xml:space="preserve">. </w:t>
            </w:r>
            <w:r>
              <w:rPr>
                <w:rStyle w:val="IndexLink"/>
                <w:rtl w:val="true"/>
              </w:rPr>
              <w:t>خيانة بعض البدريّين</w:t>
            </w:r>
            <w:r>
              <w:rPr>
                <w:rStyle w:val="IndexLink"/>
                <w:rtl w:val="true"/>
              </w:rPr>
              <w:tab/>
            </w:r>
            <w:r>
              <w:rPr>
                <w:rStyle w:val="IndexLink"/>
              </w:rPr>
              <w:t>551</w:t>
            </w:r>
          </w:hyperlink>
        </w:p>
        <w:p>
          <w:pPr>
            <w:pStyle w:val="Contents4"/>
            <w:tabs>
              <w:tab w:val="clear" w:pos="8176"/>
              <w:tab w:val="right" w:pos="9026" w:leader="dot"/>
            </w:tabs>
            <w:rPr/>
          </w:pPr>
          <w:hyperlink w:anchor="__RefHeading___Toc1391701_1067777946">
            <w:r>
              <w:rPr>
                <w:webHidden/>
                <w:rStyle w:val="IndexLink"/>
              </w:rPr>
              <w:t>5</w:t>
            </w:r>
            <w:r>
              <w:rPr>
                <w:rStyle w:val="IndexLink"/>
                <w:rtl w:val="true"/>
              </w:rPr>
              <w:t xml:space="preserve">. </w:t>
            </w:r>
            <w:r>
              <w:rPr>
                <w:rStyle w:val="IndexLink"/>
                <w:rtl w:val="true"/>
              </w:rPr>
              <w:t>فاسق يغرّ النبيّ وأصحابه</w:t>
            </w:r>
            <w:r>
              <w:rPr>
                <w:rStyle w:val="IndexLink"/>
                <w:rtl w:val="true"/>
              </w:rPr>
              <w:tab/>
            </w:r>
            <w:r>
              <w:rPr>
                <w:rStyle w:val="IndexLink"/>
              </w:rPr>
              <w:t>552</w:t>
            </w:r>
          </w:hyperlink>
        </w:p>
        <w:p>
          <w:pPr>
            <w:pStyle w:val="Contents4"/>
            <w:tabs>
              <w:tab w:val="clear" w:pos="8176"/>
              <w:tab w:val="right" w:pos="9026" w:leader="dot"/>
            </w:tabs>
            <w:rPr/>
          </w:pPr>
          <w:hyperlink w:anchor="__RefHeading___Toc1391703_1067777946">
            <w:r>
              <w:rPr>
                <w:webHidden/>
                <w:rStyle w:val="IndexLink"/>
              </w:rPr>
              <w:t>6</w:t>
            </w:r>
            <w:r>
              <w:rPr>
                <w:rStyle w:val="IndexLink"/>
                <w:rtl w:val="true"/>
              </w:rPr>
              <w:t xml:space="preserve">. </w:t>
            </w:r>
            <w:r>
              <w:rPr>
                <w:rStyle w:val="IndexLink"/>
                <w:rtl w:val="true"/>
              </w:rPr>
              <w:t>تنازعهم في الغنائم إلى حدّ التخاصم</w:t>
            </w:r>
            <w:r>
              <w:rPr>
                <w:rStyle w:val="IndexLink"/>
                <w:rtl w:val="true"/>
              </w:rPr>
              <w:tab/>
            </w:r>
            <w:r>
              <w:rPr>
                <w:rStyle w:val="IndexLink"/>
              </w:rPr>
              <w:t>553</w:t>
            </w:r>
          </w:hyperlink>
        </w:p>
        <w:p>
          <w:pPr>
            <w:pStyle w:val="Contents4"/>
            <w:tabs>
              <w:tab w:val="clear" w:pos="8176"/>
              <w:tab w:val="right" w:pos="9026" w:leader="dot"/>
            </w:tabs>
            <w:rPr/>
          </w:pPr>
          <w:hyperlink w:anchor="__RefHeading___Toc1391705_1067777946">
            <w:r>
              <w:rPr>
                <w:webHidden/>
                <w:rStyle w:val="IndexLink"/>
              </w:rPr>
              <w:t>7</w:t>
            </w:r>
            <w:r>
              <w:rPr>
                <w:rStyle w:val="IndexLink"/>
                <w:rtl w:val="true"/>
              </w:rPr>
              <w:t xml:space="preserve">. </w:t>
            </w:r>
            <w:r>
              <w:rPr>
                <w:rStyle w:val="IndexLink"/>
                <w:rtl w:val="true"/>
              </w:rPr>
              <w:t>استحقاقهم مسَّ عذاب عظيم</w:t>
            </w:r>
            <w:r>
              <w:rPr>
                <w:rStyle w:val="IndexLink"/>
                <w:rtl w:val="true"/>
              </w:rPr>
              <w:tab/>
            </w:r>
            <w:r>
              <w:rPr>
                <w:rStyle w:val="IndexLink"/>
              </w:rPr>
              <w:t>554</w:t>
            </w:r>
          </w:hyperlink>
        </w:p>
        <w:p>
          <w:pPr>
            <w:pStyle w:val="Contents4"/>
            <w:tabs>
              <w:tab w:val="clear" w:pos="8176"/>
              <w:tab w:val="right" w:pos="9026" w:leader="dot"/>
            </w:tabs>
            <w:rPr/>
          </w:pPr>
          <w:hyperlink w:anchor="__RefHeading___Toc1391707_1067777946">
            <w:r>
              <w:rPr>
                <w:webHidden/>
                <w:rStyle w:val="IndexLink"/>
              </w:rPr>
              <w:t>8</w:t>
            </w:r>
            <w:r>
              <w:rPr>
                <w:rStyle w:val="IndexLink"/>
                <w:rtl w:val="true"/>
              </w:rPr>
              <w:t xml:space="preserve">. </w:t>
            </w:r>
            <w:r>
              <w:rPr>
                <w:rStyle w:val="IndexLink"/>
                <w:rtl w:val="true"/>
              </w:rPr>
              <w:t>الفرار من الزحف</w:t>
            </w:r>
            <w:r>
              <w:rPr>
                <w:rStyle w:val="IndexLink"/>
                <w:rtl w:val="true"/>
              </w:rPr>
              <w:tab/>
            </w:r>
            <w:r>
              <w:rPr>
                <w:rStyle w:val="IndexLink"/>
              </w:rPr>
              <w:t>556</w:t>
            </w:r>
          </w:hyperlink>
        </w:p>
        <w:p>
          <w:pPr>
            <w:pStyle w:val="Contents4"/>
            <w:tabs>
              <w:tab w:val="clear" w:pos="8176"/>
              <w:tab w:val="right" w:pos="9026" w:leader="dot"/>
            </w:tabs>
            <w:rPr/>
          </w:pPr>
          <w:hyperlink w:anchor="__RefHeading___Toc1391709_1067777946">
            <w:r>
              <w:rPr>
                <w:webHidden/>
                <w:rStyle w:val="IndexLink"/>
              </w:rPr>
              <w:t>9</w:t>
            </w:r>
            <w:r>
              <w:rPr>
                <w:rStyle w:val="IndexLink"/>
                <w:rtl w:val="true"/>
              </w:rPr>
              <w:t xml:space="preserve">. </w:t>
            </w:r>
            <w:r>
              <w:rPr>
                <w:rStyle w:val="IndexLink"/>
                <w:rtl w:val="true"/>
              </w:rPr>
              <w:t>نسبة الغرور إلى الله ورسوله</w:t>
            </w:r>
            <w:r>
              <w:rPr>
                <w:rStyle w:val="IndexLink"/>
                <w:rtl w:val="true"/>
              </w:rPr>
              <w:tab/>
            </w:r>
            <w:r>
              <w:rPr>
                <w:rStyle w:val="IndexLink"/>
              </w:rPr>
              <w:t>557</w:t>
            </w:r>
          </w:hyperlink>
        </w:p>
        <w:p>
          <w:pPr>
            <w:pStyle w:val="Contents4"/>
            <w:tabs>
              <w:tab w:val="clear" w:pos="8176"/>
              <w:tab w:val="right" w:pos="9026" w:leader="dot"/>
            </w:tabs>
            <w:rPr/>
          </w:pPr>
          <w:hyperlink w:anchor="__RefHeading___Toc1391711_1067777946">
            <w:r>
              <w:rPr>
                <w:webHidden/>
                <w:rStyle w:val="IndexLink"/>
              </w:rPr>
              <w:t>10</w:t>
            </w:r>
            <w:r>
              <w:rPr>
                <w:rStyle w:val="IndexLink"/>
                <w:rtl w:val="true"/>
              </w:rPr>
              <w:t xml:space="preserve">. </w:t>
            </w:r>
            <w:r>
              <w:rPr>
                <w:rStyle w:val="IndexLink"/>
                <w:rtl w:val="true"/>
              </w:rPr>
              <w:t>المنافقون المندسّون بين الصحابة</w:t>
            </w:r>
            <w:r>
              <w:rPr>
                <w:rStyle w:val="IndexLink"/>
                <w:rtl w:val="true"/>
              </w:rPr>
              <w:tab/>
            </w:r>
            <w:r>
              <w:rPr>
                <w:rStyle w:val="IndexLink"/>
              </w:rPr>
              <w:t>558</w:t>
            </w:r>
          </w:hyperlink>
        </w:p>
        <w:p>
          <w:pPr>
            <w:pStyle w:val="Contents3"/>
            <w:tabs>
              <w:tab w:val="clear" w:pos="8459"/>
              <w:tab w:val="right" w:pos="9026" w:leader="dot"/>
            </w:tabs>
            <w:rPr/>
          </w:pPr>
          <w:hyperlink w:anchor="__RefHeading___Toc1391713_1067777946">
            <w:r>
              <w:rPr>
                <w:webHidden/>
                <w:rStyle w:val="IndexLink"/>
              </w:rPr>
              <w:t>10</w:t>
            </w:r>
            <w:r>
              <w:rPr>
                <w:rStyle w:val="IndexLink"/>
                <w:rtl w:val="true"/>
              </w:rPr>
              <w:t xml:space="preserve">- </w:t>
            </w:r>
            <w:r>
              <w:rPr>
                <w:rStyle w:val="IndexLink"/>
                <w:rtl w:val="true"/>
              </w:rPr>
              <w:t>السنّة النبوية وعدالة الصحابة</w:t>
            </w:r>
            <w:r>
              <w:rPr>
                <w:rStyle w:val="IndexLink"/>
                <w:rtl w:val="true"/>
              </w:rPr>
              <w:tab/>
            </w:r>
            <w:r>
              <w:rPr>
                <w:rStyle w:val="IndexLink"/>
              </w:rPr>
              <w:t>560</w:t>
            </w:r>
          </w:hyperlink>
        </w:p>
        <w:p>
          <w:pPr>
            <w:pStyle w:val="Contents4"/>
            <w:tabs>
              <w:tab w:val="clear" w:pos="8176"/>
              <w:tab w:val="right" w:pos="9026" w:leader="dot"/>
            </w:tabs>
            <w:rPr/>
          </w:pPr>
          <w:hyperlink w:anchor="__RefHeading___Toc1391715_1067777946">
            <w:r>
              <w:rPr>
                <w:webHidden/>
                <w:rStyle w:val="IndexLink"/>
                <w:rtl w:val="true"/>
              </w:rPr>
              <w:t>اشارة</w:t>
            </w:r>
            <w:r>
              <w:rPr>
                <w:rStyle w:val="IndexLink"/>
                <w:rtl w:val="true"/>
              </w:rPr>
              <w:tab/>
            </w:r>
            <w:r>
              <w:rPr>
                <w:rStyle w:val="IndexLink"/>
              </w:rPr>
              <w:t>560</w:t>
            </w:r>
          </w:hyperlink>
        </w:p>
        <w:p>
          <w:pPr>
            <w:pStyle w:val="Contents4"/>
            <w:tabs>
              <w:tab w:val="clear" w:pos="8176"/>
              <w:tab w:val="right" w:pos="9026" w:leader="dot"/>
            </w:tabs>
            <w:rPr/>
          </w:pPr>
          <w:hyperlink w:anchor="__RefHeading___Toc1391717_1067777946">
            <w:r>
              <w:rPr>
                <w:webHidden/>
                <w:rStyle w:val="IndexLink"/>
              </w:rPr>
              <w:t>1</w:t>
            </w:r>
            <w:r>
              <w:rPr>
                <w:rStyle w:val="IndexLink"/>
                <w:rtl w:val="true"/>
              </w:rPr>
              <w:t xml:space="preserve">. </w:t>
            </w:r>
            <w:r>
              <w:rPr>
                <w:rStyle w:val="IndexLink"/>
                <w:rtl w:val="true"/>
              </w:rPr>
              <w:t>زعيم الفئة الباغية</w:t>
            </w:r>
            <w:r>
              <w:rPr>
                <w:rStyle w:val="IndexLink"/>
                <w:rtl w:val="true"/>
              </w:rPr>
              <w:tab/>
            </w:r>
            <w:r>
              <w:rPr>
                <w:rStyle w:val="IndexLink"/>
              </w:rPr>
              <w:t>560</w:t>
            </w:r>
          </w:hyperlink>
        </w:p>
        <w:p>
          <w:pPr>
            <w:pStyle w:val="Contents4"/>
            <w:tabs>
              <w:tab w:val="clear" w:pos="8176"/>
              <w:tab w:val="right" w:pos="9026" w:leader="dot"/>
            </w:tabs>
            <w:rPr/>
          </w:pPr>
          <w:hyperlink w:anchor="__RefHeading___Toc1391719_1067777946">
            <w:r>
              <w:rPr>
                <w:webHidden/>
                <w:rStyle w:val="IndexLink"/>
              </w:rPr>
              <w:t>2</w:t>
            </w:r>
            <w:r>
              <w:rPr>
                <w:rStyle w:val="IndexLink"/>
                <w:rtl w:val="true"/>
              </w:rPr>
              <w:t xml:space="preserve">. </w:t>
            </w:r>
            <w:r>
              <w:rPr>
                <w:rStyle w:val="IndexLink"/>
                <w:rtl w:val="true"/>
              </w:rPr>
              <w:t xml:space="preserve">عصيان أمر النبي </w:t>
            </w:r>
            <w:r>
              <w:rPr>
                <w:rStyle w:val="IndexLink"/>
                <w:rtl w:val="true"/>
              </w:rPr>
              <w:t xml:space="preserve">- </w:t>
            </w:r>
            <w:r>
              <w:rPr>
                <w:rStyle w:val="IndexLink"/>
                <w:rtl w:val="true"/>
              </w:rPr>
              <w:t xml:space="preserve">صلى الله عليه وآله وسلم </w:t>
            </w:r>
            <w:r>
              <w:rPr>
                <w:rStyle w:val="IndexLink"/>
                <w:rtl w:val="true"/>
              </w:rPr>
              <w:t xml:space="preserve">- </w:t>
            </w:r>
            <w:r>
              <w:rPr>
                <w:rStyle w:val="IndexLink"/>
                <w:rtl w:val="true"/>
              </w:rPr>
              <w:t>بإحضار القلم والدواة</w:t>
            </w:r>
            <w:r>
              <w:rPr>
                <w:rStyle w:val="IndexLink"/>
                <w:rtl w:val="true"/>
              </w:rPr>
              <w:tab/>
            </w:r>
            <w:r>
              <w:rPr>
                <w:rStyle w:val="IndexLink"/>
              </w:rPr>
              <w:t>561</w:t>
            </w:r>
          </w:hyperlink>
        </w:p>
        <w:p>
          <w:pPr>
            <w:pStyle w:val="Contents4"/>
            <w:tabs>
              <w:tab w:val="clear" w:pos="8176"/>
              <w:tab w:val="right" w:pos="9026" w:leader="dot"/>
            </w:tabs>
            <w:rPr/>
          </w:pPr>
          <w:hyperlink w:anchor="__RefHeading___Toc1391721_1067777946">
            <w:r>
              <w:rPr>
                <w:webHidden/>
                <w:rStyle w:val="IndexLink"/>
              </w:rPr>
              <w:t>3</w:t>
            </w:r>
            <w:r>
              <w:rPr>
                <w:rStyle w:val="IndexLink"/>
                <w:rtl w:val="true"/>
              </w:rPr>
              <w:t xml:space="preserve">. </w:t>
            </w:r>
            <w:r>
              <w:rPr>
                <w:rStyle w:val="IndexLink"/>
                <w:rtl w:val="true"/>
              </w:rPr>
              <w:t xml:space="preserve">الانقلاب على الأعقاب بعد رحيل النبي </w:t>
            </w:r>
            <w:r>
              <w:rPr>
                <w:rStyle w:val="IndexLink"/>
                <w:rtl w:val="true"/>
              </w:rPr>
              <w:t xml:space="preserve">- </w:t>
            </w:r>
            <w:r>
              <w:rPr>
                <w:rStyle w:val="IndexLink"/>
                <w:rtl w:val="true"/>
              </w:rPr>
              <w:t xml:space="preserve">صلى الله عليه وآله وسلم </w:t>
            </w:r>
            <w:r>
              <w:rPr>
                <w:rStyle w:val="IndexLink"/>
                <w:rtl w:val="true"/>
              </w:rPr>
              <w:t>-</w:t>
              <w:tab/>
            </w:r>
            <w:r>
              <w:rPr>
                <w:rStyle w:val="IndexLink"/>
              </w:rPr>
              <w:t>563</w:t>
            </w:r>
          </w:hyperlink>
        </w:p>
        <w:p>
          <w:pPr>
            <w:pStyle w:val="Contents5"/>
            <w:tabs>
              <w:tab w:val="clear" w:pos="7892"/>
              <w:tab w:val="right" w:pos="9026" w:leader="dot"/>
            </w:tabs>
            <w:rPr/>
          </w:pPr>
          <w:hyperlink w:anchor="__RefHeading___Toc1391723_1067777946">
            <w:r>
              <w:rPr>
                <w:webHidden/>
                <w:rStyle w:val="IndexLink"/>
                <w:rtl w:val="true"/>
              </w:rPr>
              <w:t>اشارة</w:t>
            </w:r>
            <w:r>
              <w:rPr>
                <w:rStyle w:val="IndexLink"/>
                <w:rtl w:val="true"/>
              </w:rPr>
              <w:tab/>
            </w:r>
            <w:r>
              <w:rPr>
                <w:rStyle w:val="IndexLink"/>
              </w:rPr>
              <w:t>563</w:t>
            </w:r>
          </w:hyperlink>
        </w:p>
        <w:p>
          <w:pPr>
            <w:pStyle w:val="Contents5"/>
            <w:tabs>
              <w:tab w:val="clear" w:pos="7892"/>
              <w:tab w:val="right" w:pos="9026" w:leader="dot"/>
            </w:tabs>
            <w:rPr/>
          </w:pPr>
          <w:hyperlink w:anchor="__RefHeading___Toc1391725_1067777946">
            <w:r>
              <w:rPr>
                <w:webHidden/>
                <w:rStyle w:val="IndexLink"/>
                <w:rtl w:val="true"/>
              </w:rPr>
              <w:t>موقف النبي ممّن لم تحسن صحبته</w:t>
            </w:r>
            <w:r>
              <w:rPr>
                <w:rStyle w:val="IndexLink"/>
                <w:rtl w:val="true"/>
              </w:rPr>
              <w:tab/>
            </w:r>
            <w:r>
              <w:rPr>
                <w:rStyle w:val="IndexLink"/>
              </w:rPr>
              <w:t>568</w:t>
            </w:r>
          </w:hyperlink>
        </w:p>
        <w:p>
          <w:pPr>
            <w:pStyle w:val="Contents6"/>
            <w:tabs>
              <w:tab w:val="clear" w:pos="7609"/>
              <w:tab w:val="right" w:pos="9026" w:leader="dot"/>
            </w:tabs>
            <w:rPr/>
          </w:pPr>
          <w:hyperlink w:anchor="__RefHeading___Toc1391727_1067777946">
            <w:r>
              <w:rPr>
                <w:webHidden/>
                <w:rStyle w:val="IndexLink"/>
                <w:rtl w:val="true"/>
              </w:rPr>
              <w:t>اشارة</w:t>
            </w:r>
            <w:r>
              <w:rPr>
                <w:rStyle w:val="IndexLink"/>
                <w:rtl w:val="true"/>
              </w:rPr>
              <w:tab/>
            </w:r>
            <w:r>
              <w:rPr>
                <w:rStyle w:val="IndexLink"/>
              </w:rPr>
              <w:t>568</w:t>
            </w:r>
          </w:hyperlink>
        </w:p>
        <w:p>
          <w:pPr>
            <w:pStyle w:val="Contents6"/>
            <w:tabs>
              <w:tab w:val="clear" w:pos="7609"/>
              <w:tab w:val="right" w:pos="9026" w:leader="dot"/>
            </w:tabs>
            <w:rPr/>
          </w:pPr>
          <w:hyperlink w:anchor="__RefHeading___Toc1391729_1067777946">
            <w:r>
              <w:rPr>
                <w:webHidden/>
                <w:rStyle w:val="IndexLink"/>
              </w:rPr>
              <w:t>1</w:t>
            </w:r>
            <w:r>
              <w:rPr>
                <w:rStyle w:val="IndexLink"/>
                <w:rtl w:val="true"/>
              </w:rPr>
              <w:t xml:space="preserve">. </w:t>
            </w:r>
            <w:r>
              <w:rPr>
                <w:rStyle w:val="IndexLink"/>
                <w:rtl w:val="true"/>
              </w:rPr>
              <w:t>كلّهم مغفور له إلاّ</w:t>
            </w:r>
            <w:r>
              <w:rPr>
                <w:rStyle w:val="IndexLink"/>
                <w:rtl w:val="true"/>
              </w:rPr>
              <w:tab/>
            </w:r>
            <w:r>
              <w:rPr>
                <w:rStyle w:val="IndexLink"/>
              </w:rPr>
              <w:t>569</w:t>
            </w:r>
          </w:hyperlink>
        </w:p>
        <w:p>
          <w:pPr>
            <w:pStyle w:val="Contents6"/>
            <w:tabs>
              <w:tab w:val="clear" w:pos="7609"/>
              <w:tab w:val="right" w:pos="9026" w:leader="dot"/>
            </w:tabs>
            <w:rPr/>
          </w:pPr>
          <w:hyperlink w:anchor="__RefHeading___Toc1391731_1067777946">
            <w:r>
              <w:rPr>
                <w:webHidden/>
                <w:rStyle w:val="IndexLink"/>
              </w:rPr>
              <w:t>2</w:t>
            </w:r>
            <w:r>
              <w:rPr>
                <w:rStyle w:val="IndexLink"/>
                <w:rtl w:val="true"/>
              </w:rPr>
              <w:t xml:space="preserve">. </w:t>
            </w:r>
            <w:r>
              <w:rPr>
                <w:rStyle w:val="IndexLink"/>
                <w:rtl w:val="true"/>
              </w:rPr>
              <w:t>اللهم إنّي أبرأ إليك ممّا صنع خالد</w:t>
            </w:r>
            <w:r>
              <w:rPr>
                <w:rStyle w:val="IndexLink"/>
                <w:rtl w:val="true"/>
              </w:rPr>
              <w:tab/>
            </w:r>
            <w:r>
              <w:rPr>
                <w:rStyle w:val="IndexLink"/>
              </w:rPr>
              <w:t>569</w:t>
            </w:r>
          </w:hyperlink>
        </w:p>
        <w:p>
          <w:pPr>
            <w:pStyle w:val="Contents6"/>
            <w:tabs>
              <w:tab w:val="clear" w:pos="7609"/>
              <w:tab w:val="right" w:pos="9026" w:leader="dot"/>
            </w:tabs>
            <w:rPr/>
          </w:pPr>
          <w:hyperlink w:anchor="__RefHeading___Toc1391733_1067777946">
            <w:r>
              <w:rPr>
                <w:webHidden/>
                <w:rStyle w:val="IndexLink"/>
              </w:rPr>
              <w:t>3</w:t>
            </w:r>
            <w:r>
              <w:rPr>
                <w:rStyle w:val="IndexLink"/>
                <w:rtl w:val="true"/>
              </w:rPr>
              <w:t xml:space="preserve">. </w:t>
            </w:r>
            <w:r>
              <w:rPr>
                <w:rStyle w:val="IndexLink"/>
                <w:rtl w:val="true"/>
              </w:rPr>
              <w:t>تنبّؤه بمصير ذي الخويصرة</w:t>
            </w:r>
            <w:r>
              <w:rPr>
                <w:rStyle w:val="IndexLink"/>
                <w:rtl w:val="true"/>
              </w:rPr>
              <w:tab/>
            </w:r>
            <w:r>
              <w:rPr>
                <w:rStyle w:val="IndexLink"/>
              </w:rPr>
              <w:t>570</w:t>
            </w:r>
          </w:hyperlink>
        </w:p>
        <w:p>
          <w:pPr>
            <w:pStyle w:val="Contents6"/>
            <w:tabs>
              <w:tab w:val="clear" w:pos="7609"/>
              <w:tab w:val="right" w:pos="9026" w:leader="dot"/>
            </w:tabs>
            <w:rPr/>
          </w:pPr>
          <w:hyperlink w:anchor="__RefHeading___Toc1391735_1067777946">
            <w:r>
              <w:rPr>
                <w:webHidden/>
                <w:rStyle w:val="IndexLink"/>
              </w:rPr>
              <w:t>4</w:t>
            </w:r>
            <w:r>
              <w:rPr>
                <w:rStyle w:val="IndexLink"/>
                <w:rtl w:val="true"/>
              </w:rPr>
              <w:t xml:space="preserve">. </w:t>
            </w:r>
            <w:r>
              <w:rPr>
                <w:rStyle w:val="IndexLink"/>
                <w:rtl w:val="true"/>
              </w:rPr>
              <w:t>انّ فيك شعبة من الكفر</w:t>
            </w:r>
            <w:r>
              <w:rPr>
                <w:rStyle w:val="IndexLink"/>
                <w:rtl w:val="true"/>
              </w:rPr>
              <w:tab/>
            </w:r>
            <w:r>
              <w:rPr>
                <w:rStyle w:val="IndexLink"/>
              </w:rPr>
              <w:t>570</w:t>
            </w:r>
          </w:hyperlink>
        </w:p>
        <w:p>
          <w:pPr>
            <w:pStyle w:val="Contents6"/>
            <w:tabs>
              <w:tab w:val="clear" w:pos="7609"/>
              <w:tab w:val="right" w:pos="9026" w:leader="dot"/>
            </w:tabs>
            <w:rPr/>
          </w:pPr>
          <w:hyperlink w:anchor="__RefHeading___Toc1391737_1067777946">
            <w:r>
              <w:rPr>
                <w:webHidden/>
                <w:rStyle w:val="IndexLink"/>
              </w:rPr>
              <w:t>5</w:t>
            </w:r>
            <w:r>
              <w:rPr>
                <w:rStyle w:val="IndexLink"/>
                <w:rtl w:val="true"/>
              </w:rPr>
              <w:t xml:space="preserve">. </w:t>
            </w:r>
            <w:r>
              <w:rPr>
                <w:rStyle w:val="IndexLink"/>
                <w:rtl w:val="true"/>
              </w:rPr>
              <w:t>امتناع الرسول من الصلاة على أحد أصحابه</w:t>
            </w:r>
            <w:r>
              <w:rPr>
                <w:rStyle w:val="IndexLink"/>
                <w:rtl w:val="true"/>
              </w:rPr>
              <w:tab/>
            </w:r>
            <w:r>
              <w:rPr>
                <w:rStyle w:val="IndexLink"/>
              </w:rPr>
              <w:t>571</w:t>
            </w:r>
          </w:hyperlink>
        </w:p>
        <w:p>
          <w:pPr>
            <w:pStyle w:val="Contents6"/>
            <w:tabs>
              <w:tab w:val="clear" w:pos="7609"/>
              <w:tab w:val="right" w:pos="9026" w:leader="dot"/>
            </w:tabs>
            <w:rPr/>
          </w:pPr>
          <w:hyperlink w:anchor="__RefHeading___Toc1391739_1067777946">
            <w:r>
              <w:rPr>
                <w:webHidden/>
                <w:rStyle w:val="IndexLink"/>
              </w:rPr>
              <w:t>6</w:t>
            </w:r>
            <w:r>
              <w:rPr>
                <w:rStyle w:val="IndexLink"/>
                <w:rtl w:val="true"/>
              </w:rPr>
              <w:t xml:space="preserve">. </w:t>
            </w:r>
            <w:r>
              <w:rPr>
                <w:rStyle w:val="IndexLink"/>
                <w:rtl w:val="true"/>
              </w:rPr>
              <w:t xml:space="preserve">تنبّؤ النبي </w:t>
            </w:r>
            <w:r>
              <w:rPr>
                <w:rStyle w:val="IndexLink"/>
                <w:rtl w:val="true"/>
              </w:rPr>
              <w:t xml:space="preserve">- </w:t>
            </w:r>
            <w:r>
              <w:rPr>
                <w:rStyle w:val="IndexLink"/>
                <w:rtl w:val="true"/>
              </w:rPr>
              <w:t xml:space="preserve">صلى الله عليه وآله وسلم </w:t>
            </w:r>
            <w:r>
              <w:rPr>
                <w:rStyle w:val="IndexLink"/>
                <w:rtl w:val="true"/>
              </w:rPr>
              <w:t xml:space="preserve">- </w:t>
            </w:r>
            <w:r>
              <w:rPr>
                <w:rStyle w:val="IndexLink"/>
                <w:rtl w:val="true"/>
              </w:rPr>
              <w:t>بالمصير الأسود لبعض أصحابه</w:t>
            </w:r>
            <w:r>
              <w:rPr>
                <w:rStyle w:val="IndexLink"/>
                <w:rtl w:val="true"/>
              </w:rPr>
              <w:tab/>
            </w:r>
            <w:r>
              <w:rPr>
                <w:rStyle w:val="IndexLink"/>
              </w:rPr>
              <w:t>571</w:t>
            </w:r>
          </w:hyperlink>
        </w:p>
        <w:p>
          <w:pPr>
            <w:pStyle w:val="Contents6"/>
            <w:tabs>
              <w:tab w:val="clear" w:pos="7609"/>
              <w:tab w:val="right" w:pos="9026" w:leader="dot"/>
            </w:tabs>
            <w:rPr/>
          </w:pPr>
          <w:hyperlink w:anchor="__RefHeading___Toc1391741_1067777946">
            <w:r>
              <w:rPr>
                <w:webHidden/>
                <w:rStyle w:val="IndexLink"/>
              </w:rPr>
              <w:t>7</w:t>
            </w:r>
            <w:r>
              <w:rPr>
                <w:rStyle w:val="IndexLink"/>
                <w:rtl w:val="true"/>
              </w:rPr>
              <w:t xml:space="preserve">. </w:t>
            </w:r>
            <w:r>
              <w:rPr>
                <w:rStyle w:val="IndexLink"/>
                <w:rtl w:val="true"/>
              </w:rPr>
              <w:t>صحابي يخلو بامرأة</w:t>
            </w:r>
            <w:r>
              <w:rPr>
                <w:rStyle w:val="IndexLink"/>
                <w:rtl w:val="true"/>
              </w:rPr>
              <w:tab/>
            </w:r>
            <w:r>
              <w:rPr>
                <w:rStyle w:val="IndexLink"/>
              </w:rPr>
              <w:t>571</w:t>
            </w:r>
          </w:hyperlink>
        </w:p>
        <w:p>
          <w:pPr>
            <w:pStyle w:val="Contents6"/>
            <w:tabs>
              <w:tab w:val="clear" w:pos="7609"/>
              <w:tab w:val="right" w:pos="9026" w:leader="dot"/>
            </w:tabs>
            <w:rPr/>
          </w:pPr>
          <w:hyperlink w:anchor="__RefHeading___Toc1391743_1067777946">
            <w:r>
              <w:rPr>
                <w:webHidden/>
                <w:rStyle w:val="IndexLink"/>
              </w:rPr>
              <w:t>8</w:t>
            </w:r>
            <w:r>
              <w:rPr>
                <w:rStyle w:val="IndexLink"/>
                <w:rtl w:val="true"/>
              </w:rPr>
              <w:t xml:space="preserve">. </w:t>
            </w:r>
            <w:r>
              <w:rPr>
                <w:rStyle w:val="IndexLink"/>
                <w:rtl w:val="true"/>
              </w:rPr>
              <w:t>صحابي يجلس بين رجلي امرأة</w:t>
            </w:r>
            <w:r>
              <w:rPr>
                <w:rStyle w:val="IndexLink"/>
                <w:rtl w:val="true"/>
              </w:rPr>
              <w:tab/>
            </w:r>
            <w:r>
              <w:rPr>
                <w:rStyle w:val="IndexLink"/>
              </w:rPr>
              <w:t>572</w:t>
            </w:r>
          </w:hyperlink>
        </w:p>
        <w:p>
          <w:pPr>
            <w:pStyle w:val="Contents6"/>
            <w:tabs>
              <w:tab w:val="clear" w:pos="7609"/>
              <w:tab w:val="right" w:pos="9026" w:leader="dot"/>
            </w:tabs>
            <w:rPr/>
          </w:pPr>
          <w:hyperlink w:anchor="__RefHeading___Toc1391745_1067777946">
            <w:r>
              <w:rPr>
                <w:webHidden/>
                <w:rStyle w:val="IndexLink"/>
              </w:rPr>
              <w:t>9</w:t>
            </w:r>
            <w:r>
              <w:rPr>
                <w:rStyle w:val="IndexLink"/>
                <w:rtl w:val="true"/>
              </w:rPr>
              <w:t xml:space="preserve">. </w:t>
            </w:r>
            <w:r>
              <w:rPr>
                <w:rStyle w:val="IndexLink"/>
                <w:rtl w:val="true"/>
              </w:rPr>
              <w:t>صحابي يُقتص منه</w:t>
            </w:r>
            <w:r>
              <w:rPr>
                <w:rStyle w:val="IndexLink"/>
                <w:rtl w:val="true"/>
              </w:rPr>
              <w:tab/>
            </w:r>
            <w:r>
              <w:rPr>
                <w:rStyle w:val="IndexLink"/>
              </w:rPr>
              <w:t>573</w:t>
            </w:r>
          </w:hyperlink>
        </w:p>
        <w:p>
          <w:pPr>
            <w:pStyle w:val="Contents6"/>
            <w:tabs>
              <w:tab w:val="clear" w:pos="7609"/>
              <w:tab w:val="right" w:pos="9026" w:leader="dot"/>
            </w:tabs>
            <w:rPr/>
          </w:pPr>
          <w:hyperlink w:anchor="__RefHeading___Toc1391747_1067777946">
            <w:r>
              <w:rPr>
                <w:webHidden/>
                <w:rStyle w:val="IndexLink"/>
              </w:rPr>
              <w:t>10</w:t>
            </w:r>
            <w:r>
              <w:rPr>
                <w:rStyle w:val="IndexLink"/>
                <w:rtl w:val="true"/>
              </w:rPr>
              <w:t xml:space="preserve">. </w:t>
            </w:r>
            <w:r>
              <w:rPr>
                <w:rStyle w:val="IndexLink"/>
                <w:rtl w:val="true"/>
              </w:rPr>
              <w:t>دعاء النبي على مُحلم بن جثامة</w:t>
            </w:r>
            <w:r>
              <w:rPr>
                <w:rStyle w:val="IndexLink"/>
                <w:rtl w:val="true"/>
              </w:rPr>
              <w:tab/>
            </w:r>
            <w:r>
              <w:rPr>
                <w:rStyle w:val="IndexLink"/>
              </w:rPr>
              <w:t>573</w:t>
            </w:r>
          </w:hyperlink>
        </w:p>
        <w:p>
          <w:pPr>
            <w:pStyle w:val="Contents3"/>
            <w:tabs>
              <w:tab w:val="clear" w:pos="8459"/>
              <w:tab w:val="right" w:pos="9026" w:leader="dot"/>
            </w:tabs>
            <w:rPr/>
          </w:pPr>
          <w:hyperlink w:anchor="__RefHeading___Toc1391749_1067777946">
            <w:r>
              <w:rPr>
                <w:webHidden/>
                <w:rStyle w:val="IndexLink"/>
              </w:rPr>
              <w:t>11</w:t>
            </w:r>
            <w:r>
              <w:rPr>
                <w:rStyle w:val="IndexLink"/>
                <w:rtl w:val="true"/>
              </w:rPr>
              <w:t xml:space="preserve">- </w:t>
            </w:r>
            <w:r>
              <w:rPr>
                <w:rStyle w:val="IndexLink"/>
                <w:rtl w:val="true"/>
              </w:rPr>
              <w:t>عدالة الصحابة والتاريخ الصحيح</w:t>
            </w:r>
            <w:r>
              <w:rPr>
                <w:rStyle w:val="IndexLink"/>
                <w:rtl w:val="true"/>
              </w:rPr>
              <w:tab/>
            </w:r>
            <w:r>
              <w:rPr>
                <w:rStyle w:val="IndexLink"/>
              </w:rPr>
              <w:t>574</w:t>
            </w:r>
          </w:hyperlink>
        </w:p>
        <w:p>
          <w:pPr>
            <w:pStyle w:val="Contents4"/>
            <w:tabs>
              <w:tab w:val="clear" w:pos="8176"/>
              <w:tab w:val="right" w:pos="9026" w:leader="dot"/>
            </w:tabs>
            <w:rPr/>
          </w:pPr>
          <w:hyperlink w:anchor="__RefHeading___Toc1391751_1067777946">
            <w:r>
              <w:rPr>
                <w:webHidden/>
                <w:rStyle w:val="IndexLink"/>
                <w:rtl w:val="true"/>
              </w:rPr>
              <w:t>اشارة</w:t>
            </w:r>
            <w:r>
              <w:rPr>
                <w:rStyle w:val="IndexLink"/>
                <w:rtl w:val="true"/>
              </w:rPr>
              <w:tab/>
            </w:r>
            <w:r>
              <w:rPr>
                <w:rStyle w:val="IndexLink"/>
              </w:rPr>
              <w:t>574</w:t>
            </w:r>
          </w:hyperlink>
        </w:p>
        <w:p>
          <w:pPr>
            <w:pStyle w:val="Contents4"/>
            <w:tabs>
              <w:tab w:val="clear" w:pos="8176"/>
              <w:tab w:val="right" w:pos="9026" w:leader="dot"/>
            </w:tabs>
            <w:rPr/>
          </w:pPr>
          <w:hyperlink w:anchor="__RefHeading___Toc1391753_1067777946">
            <w:r>
              <w:rPr>
                <w:webHidden/>
                <w:rStyle w:val="IndexLink"/>
              </w:rPr>
              <w:t>1</w:t>
            </w:r>
            <w:r>
              <w:rPr>
                <w:rStyle w:val="IndexLink"/>
                <w:rtl w:val="true"/>
              </w:rPr>
              <w:t xml:space="preserve">. </w:t>
            </w:r>
            <w:r>
              <w:rPr>
                <w:rStyle w:val="IndexLink"/>
                <w:rtl w:val="true"/>
              </w:rPr>
              <w:t>صحابيّ يقتل صحابيّاً ويزني بزوجته</w:t>
            </w:r>
            <w:r>
              <w:rPr>
                <w:rStyle w:val="IndexLink"/>
                <w:rtl w:val="true"/>
              </w:rPr>
              <w:tab/>
            </w:r>
            <w:r>
              <w:rPr>
                <w:rStyle w:val="IndexLink"/>
              </w:rPr>
              <w:t>575</w:t>
            </w:r>
          </w:hyperlink>
        </w:p>
        <w:p>
          <w:pPr>
            <w:pStyle w:val="Contents4"/>
            <w:tabs>
              <w:tab w:val="clear" w:pos="8176"/>
              <w:tab w:val="right" w:pos="9026" w:leader="dot"/>
            </w:tabs>
            <w:rPr/>
          </w:pPr>
          <w:hyperlink w:anchor="__RefHeading___Toc1391755_1067777946">
            <w:r>
              <w:rPr>
                <w:webHidden/>
                <w:rStyle w:val="IndexLink"/>
              </w:rPr>
              <w:t>2</w:t>
            </w:r>
            <w:r>
              <w:rPr>
                <w:rStyle w:val="IndexLink"/>
                <w:rtl w:val="true"/>
              </w:rPr>
              <w:t xml:space="preserve">. </w:t>
            </w:r>
            <w:r>
              <w:rPr>
                <w:rStyle w:val="IndexLink"/>
                <w:rtl w:val="true"/>
              </w:rPr>
              <w:t>سمرة بن جندب يبيع الخمر</w:t>
            </w:r>
            <w:r>
              <w:rPr>
                <w:rStyle w:val="IndexLink"/>
                <w:rtl w:val="true"/>
              </w:rPr>
              <w:tab/>
            </w:r>
            <w:r>
              <w:rPr>
                <w:rStyle w:val="IndexLink"/>
              </w:rPr>
              <w:t>576</w:t>
            </w:r>
          </w:hyperlink>
        </w:p>
        <w:p>
          <w:pPr>
            <w:pStyle w:val="Contents4"/>
            <w:tabs>
              <w:tab w:val="clear" w:pos="8176"/>
              <w:tab w:val="right" w:pos="9026" w:leader="dot"/>
            </w:tabs>
            <w:rPr/>
          </w:pPr>
          <w:hyperlink w:anchor="__RefHeading___Toc1391757_1067777946">
            <w:r>
              <w:rPr>
                <w:webHidden/>
                <w:rStyle w:val="IndexLink"/>
              </w:rPr>
              <w:t>3</w:t>
            </w:r>
            <w:r>
              <w:rPr>
                <w:rStyle w:val="IndexLink"/>
                <w:rtl w:val="true"/>
              </w:rPr>
              <w:t xml:space="preserve">. </w:t>
            </w:r>
            <w:r>
              <w:rPr>
                <w:rStyle w:val="IndexLink"/>
                <w:rtl w:val="true"/>
              </w:rPr>
              <w:t>قدامة بن مظعون بدري يشرب الخمر</w:t>
            </w:r>
            <w:r>
              <w:rPr>
                <w:rStyle w:val="IndexLink"/>
                <w:rtl w:val="true"/>
              </w:rPr>
              <w:tab/>
            </w:r>
            <w:r>
              <w:rPr>
                <w:rStyle w:val="IndexLink"/>
              </w:rPr>
              <w:t>576</w:t>
            </w:r>
          </w:hyperlink>
        </w:p>
        <w:p>
          <w:pPr>
            <w:pStyle w:val="Contents4"/>
            <w:tabs>
              <w:tab w:val="clear" w:pos="8176"/>
              <w:tab w:val="right" w:pos="9026" w:leader="dot"/>
            </w:tabs>
            <w:rPr/>
          </w:pPr>
          <w:hyperlink w:anchor="__RefHeading___Toc1391759_1067777946">
            <w:r>
              <w:rPr>
                <w:webHidden/>
                <w:rStyle w:val="IndexLink"/>
              </w:rPr>
              <w:t>4</w:t>
            </w:r>
            <w:r>
              <w:rPr>
                <w:rStyle w:val="IndexLink"/>
                <w:rtl w:val="true"/>
              </w:rPr>
              <w:t xml:space="preserve">. </w:t>
            </w:r>
            <w:r>
              <w:rPr>
                <w:rStyle w:val="IndexLink"/>
                <w:rtl w:val="true"/>
              </w:rPr>
              <w:t>أبو جندل يُحدّ حدّ الخمر</w:t>
            </w:r>
            <w:r>
              <w:rPr>
                <w:rStyle w:val="IndexLink"/>
                <w:rtl w:val="true"/>
              </w:rPr>
              <w:tab/>
            </w:r>
            <w:r>
              <w:rPr>
                <w:rStyle w:val="IndexLink"/>
              </w:rPr>
              <w:t>577</w:t>
            </w:r>
          </w:hyperlink>
        </w:p>
        <w:p>
          <w:pPr>
            <w:pStyle w:val="Contents4"/>
            <w:tabs>
              <w:tab w:val="clear" w:pos="8176"/>
              <w:tab w:val="right" w:pos="9026" w:leader="dot"/>
            </w:tabs>
            <w:rPr/>
          </w:pPr>
          <w:hyperlink w:anchor="__RefHeading___Toc1391761_1067777946">
            <w:r>
              <w:rPr>
                <w:webHidden/>
                <w:rStyle w:val="IndexLink"/>
              </w:rPr>
              <w:t>5</w:t>
            </w:r>
            <w:r>
              <w:rPr>
                <w:rStyle w:val="IndexLink"/>
                <w:rtl w:val="true"/>
              </w:rPr>
              <w:t xml:space="preserve">. </w:t>
            </w:r>
            <w:r>
              <w:rPr>
                <w:rStyle w:val="IndexLink"/>
                <w:rtl w:val="true"/>
              </w:rPr>
              <w:t>أبو محجن الثقفي يُحد ثمانِ مرات</w:t>
            </w:r>
            <w:r>
              <w:rPr>
                <w:rStyle w:val="IndexLink"/>
                <w:rtl w:val="true"/>
              </w:rPr>
              <w:tab/>
            </w:r>
            <w:r>
              <w:rPr>
                <w:rStyle w:val="IndexLink"/>
              </w:rPr>
              <w:t>578</w:t>
            </w:r>
          </w:hyperlink>
        </w:p>
        <w:p>
          <w:pPr>
            <w:pStyle w:val="Contents4"/>
            <w:tabs>
              <w:tab w:val="clear" w:pos="8176"/>
              <w:tab w:val="right" w:pos="9026" w:leader="dot"/>
            </w:tabs>
            <w:rPr/>
          </w:pPr>
          <w:hyperlink w:anchor="__RefHeading___Toc1391763_1067777946">
            <w:r>
              <w:rPr>
                <w:webHidden/>
                <w:rStyle w:val="IndexLink"/>
              </w:rPr>
              <w:t>6</w:t>
            </w:r>
            <w:r>
              <w:rPr>
                <w:rStyle w:val="IndexLink"/>
                <w:rtl w:val="true"/>
              </w:rPr>
              <w:t xml:space="preserve">. </w:t>
            </w:r>
            <w:r>
              <w:rPr>
                <w:rStyle w:val="IndexLink"/>
                <w:rtl w:val="true"/>
              </w:rPr>
              <w:t>مسلم بن عقبة يشن الغارة على أهل المدينة</w:t>
            </w:r>
            <w:r>
              <w:rPr>
                <w:rStyle w:val="IndexLink"/>
                <w:rtl w:val="true"/>
              </w:rPr>
              <w:tab/>
            </w:r>
            <w:r>
              <w:rPr>
                <w:rStyle w:val="IndexLink"/>
              </w:rPr>
              <w:t>579</w:t>
            </w:r>
          </w:hyperlink>
        </w:p>
        <w:p>
          <w:pPr>
            <w:pStyle w:val="Contents4"/>
            <w:tabs>
              <w:tab w:val="clear" w:pos="8176"/>
              <w:tab w:val="right" w:pos="9026" w:leader="dot"/>
            </w:tabs>
            <w:rPr/>
          </w:pPr>
          <w:hyperlink w:anchor="__RefHeading___Toc1391765_1067777946">
            <w:r>
              <w:rPr>
                <w:webHidden/>
                <w:rStyle w:val="IndexLink"/>
              </w:rPr>
              <w:t>7</w:t>
            </w:r>
            <w:r>
              <w:rPr>
                <w:rStyle w:val="IndexLink"/>
                <w:rtl w:val="true"/>
              </w:rPr>
              <w:t xml:space="preserve">. </w:t>
            </w:r>
            <w:r>
              <w:rPr>
                <w:rStyle w:val="IndexLink"/>
                <w:rtl w:val="true"/>
              </w:rPr>
              <w:t>بسر بن أرطاة يذبح ولدي عبيد الله بن العباس</w:t>
            </w:r>
            <w:r>
              <w:rPr>
                <w:rStyle w:val="IndexLink"/>
                <w:rtl w:val="true"/>
              </w:rPr>
              <w:tab/>
            </w:r>
            <w:r>
              <w:rPr>
                <w:rStyle w:val="IndexLink"/>
              </w:rPr>
              <w:t>579</w:t>
            </w:r>
          </w:hyperlink>
        </w:p>
        <w:p>
          <w:pPr>
            <w:pStyle w:val="Contents4"/>
            <w:tabs>
              <w:tab w:val="clear" w:pos="8176"/>
              <w:tab w:val="right" w:pos="9026" w:leader="dot"/>
            </w:tabs>
            <w:rPr/>
          </w:pPr>
          <w:hyperlink w:anchor="__RefHeading___Toc1391767_1067777946">
            <w:r>
              <w:rPr>
                <w:webHidden/>
                <w:rStyle w:val="IndexLink"/>
              </w:rPr>
              <w:t>8</w:t>
            </w:r>
            <w:r>
              <w:rPr>
                <w:rStyle w:val="IndexLink"/>
                <w:rtl w:val="true"/>
              </w:rPr>
              <w:t xml:space="preserve">. </w:t>
            </w:r>
            <w:r>
              <w:rPr>
                <w:rStyle w:val="IndexLink"/>
                <w:rtl w:val="true"/>
              </w:rPr>
              <w:t>أُمّ المؤمنين وتزعّمها لجيش جرار</w:t>
            </w:r>
            <w:r>
              <w:rPr>
                <w:rStyle w:val="IndexLink"/>
                <w:rtl w:val="true"/>
              </w:rPr>
              <w:tab/>
            </w:r>
            <w:r>
              <w:rPr>
                <w:rStyle w:val="IndexLink"/>
              </w:rPr>
              <w:t>580</w:t>
            </w:r>
          </w:hyperlink>
        </w:p>
        <w:p>
          <w:pPr>
            <w:pStyle w:val="Contents5"/>
            <w:tabs>
              <w:tab w:val="clear" w:pos="7892"/>
              <w:tab w:val="right" w:pos="9026" w:leader="dot"/>
            </w:tabs>
            <w:rPr/>
          </w:pPr>
          <w:hyperlink w:anchor="__RefHeading___Toc1391769_1067777946">
            <w:r>
              <w:rPr>
                <w:webHidden/>
                <w:rStyle w:val="IndexLink"/>
                <w:rtl w:val="true"/>
              </w:rPr>
              <w:t>اشارة</w:t>
            </w:r>
            <w:r>
              <w:rPr>
                <w:rStyle w:val="IndexLink"/>
                <w:rtl w:val="true"/>
              </w:rPr>
              <w:tab/>
            </w:r>
            <w:r>
              <w:rPr>
                <w:rStyle w:val="IndexLink"/>
              </w:rPr>
              <w:t>580</w:t>
            </w:r>
          </w:hyperlink>
        </w:p>
        <w:p>
          <w:pPr>
            <w:pStyle w:val="Contents5"/>
            <w:tabs>
              <w:tab w:val="clear" w:pos="7892"/>
              <w:tab w:val="right" w:pos="9026" w:leader="dot"/>
            </w:tabs>
            <w:rPr/>
          </w:pPr>
          <w:hyperlink w:anchor="__RefHeading___Toc1391771_1067777946">
            <w:r>
              <w:rPr>
                <w:webHidden/>
                <w:rStyle w:val="IndexLink"/>
                <w:rtl w:val="true"/>
              </w:rPr>
              <w:t>ادّعاء العدالة لعامة الصحابة تنكّر للطبيعة البشرية</w:t>
            </w:r>
            <w:r>
              <w:rPr>
                <w:rStyle w:val="IndexLink"/>
                <w:rtl w:val="true"/>
              </w:rPr>
              <w:tab/>
            </w:r>
            <w:r>
              <w:rPr>
                <w:rStyle w:val="IndexLink"/>
              </w:rPr>
              <w:t>581</w:t>
            </w:r>
          </w:hyperlink>
        </w:p>
        <w:p>
          <w:pPr>
            <w:pStyle w:val="Contents3"/>
            <w:tabs>
              <w:tab w:val="clear" w:pos="8459"/>
              <w:tab w:val="right" w:pos="9026" w:leader="dot"/>
            </w:tabs>
            <w:rPr/>
          </w:pPr>
          <w:hyperlink w:anchor="__RefHeading___Toc1391773_1067777946">
            <w:r>
              <w:rPr>
                <w:webHidden/>
                <w:rStyle w:val="IndexLink"/>
              </w:rPr>
              <w:t>12</w:t>
            </w:r>
            <w:r>
              <w:rPr>
                <w:rStyle w:val="IndexLink"/>
                <w:rtl w:val="true"/>
              </w:rPr>
              <w:t xml:space="preserve">. </w:t>
            </w:r>
            <w:r>
              <w:rPr>
                <w:rStyle w:val="IndexLink"/>
                <w:rtl w:val="true"/>
              </w:rPr>
              <w:t>أدلّة القائلين بعدالة الصحابة</w:t>
            </w:r>
            <w:r>
              <w:rPr>
                <w:rStyle w:val="IndexLink"/>
                <w:rtl w:val="true"/>
              </w:rPr>
              <w:tab/>
            </w:r>
            <w:r>
              <w:rPr>
                <w:rStyle w:val="IndexLink"/>
              </w:rPr>
              <w:t>583</w:t>
            </w:r>
          </w:hyperlink>
        </w:p>
        <w:p>
          <w:pPr>
            <w:pStyle w:val="Contents4"/>
            <w:tabs>
              <w:tab w:val="clear" w:pos="8176"/>
              <w:tab w:val="right" w:pos="9026" w:leader="dot"/>
            </w:tabs>
            <w:rPr/>
          </w:pPr>
          <w:hyperlink w:anchor="__RefHeading___Toc1391775_1067777946">
            <w:r>
              <w:rPr>
                <w:webHidden/>
                <w:rStyle w:val="IndexLink"/>
              </w:rPr>
              <w:t>1</w:t>
            </w:r>
            <w:r>
              <w:rPr>
                <w:rStyle w:val="IndexLink"/>
                <w:rtl w:val="true"/>
              </w:rPr>
              <w:t xml:space="preserve">- </w:t>
            </w:r>
            <w:r>
              <w:rPr>
                <w:rStyle w:val="IndexLink"/>
                <w:rtl w:val="true"/>
              </w:rPr>
              <w:t>الإجماع على عدالة الصحابة</w:t>
            </w:r>
            <w:r>
              <w:rPr>
                <w:rStyle w:val="IndexLink"/>
                <w:rtl w:val="true"/>
              </w:rPr>
              <w:tab/>
            </w:r>
            <w:r>
              <w:rPr>
                <w:rStyle w:val="IndexLink"/>
              </w:rPr>
              <w:t>583</w:t>
            </w:r>
          </w:hyperlink>
        </w:p>
        <w:p>
          <w:pPr>
            <w:pStyle w:val="Contents5"/>
            <w:tabs>
              <w:tab w:val="clear" w:pos="7892"/>
              <w:tab w:val="right" w:pos="9026" w:leader="dot"/>
            </w:tabs>
            <w:rPr/>
          </w:pPr>
          <w:hyperlink w:anchor="__RefHeading___Toc1391777_1067777946">
            <w:r>
              <w:rPr>
                <w:webHidden/>
                <w:rStyle w:val="IndexLink"/>
                <w:rtl w:val="true"/>
              </w:rPr>
              <w:t>اشارة</w:t>
            </w:r>
            <w:r>
              <w:rPr>
                <w:rStyle w:val="IndexLink"/>
                <w:rtl w:val="true"/>
              </w:rPr>
              <w:tab/>
            </w:r>
            <w:r>
              <w:rPr>
                <w:rStyle w:val="IndexLink"/>
              </w:rPr>
              <w:t>583</w:t>
            </w:r>
          </w:hyperlink>
        </w:p>
        <w:p>
          <w:pPr>
            <w:pStyle w:val="Contents5"/>
            <w:tabs>
              <w:tab w:val="clear" w:pos="7892"/>
              <w:tab w:val="right" w:pos="9026" w:leader="dot"/>
            </w:tabs>
            <w:rPr/>
          </w:pPr>
          <w:hyperlink w:anchor="__RefHeading___Toc1391779_1067777946">
            <w:r>
              <w:rPr>
                <w:webHidden/>
                <w:rStyle w:val="IndexLink"/>
                <w:rtl w:val="true"/>
              </w:rPr>
              <w:t>كلام التفتازاني في حقّ الصحابة</w:t>
            </w:r>
            <w:r>
              <w:rPr>
                <w:rStyle w:val="IndexLink"/>
                <w:rtl w:val="true"/>
              </w:rPr>
              <w:tab/>
            </w:r>
            <w:r>
              <w:rPr>
                <w:rStyle w:val="IndexLink"/>
              </w:rPr>
              <w:t>584</w:t>
            </w:r>
          </w:hyperlink>
        </w:p>
        <w:p>
          <w:pPr>
            <w:pStyle w:val="Contents4"/>
            <w:tabs>
              <w:tab w:val="clear" w:pos="8176"/>
              <w:tab w:val="right" w:pos="9026" w:leader="dot"/>
            </w:tabs>
            <w:rPr/>
          </w:pPr>
          <w:hyperlink w:anchor="__RefHeading___Toc1391781_1067777946">
            <w:r>
              <w:rPr>
                <w:webHidden/>
                <w:rStyle w:val="IndexLink"/>
              </w:rPr>
              <w:t>2</w:t>
            </w:r>
            <w:r>
              <w:rPr>
                <w:rStyle w:val="IndexLink"/>
                <w:rtl w:val="true"/>
              </w:rPr>
              <w:t xml:space="preserve">- </w:t>
            </w:r>
            <w:r>
              <w:rPr>
                <w:rStyle w:val="IndexLink"/>
                <w:rtl w:val="true"/>
              </w:rPr>
              <w:t>ثناء القرآن على الصحابة</w:t>
            </w:r>
            <w:r>
              <w:rPr>
                <w:rStyle w:val="IndexLink"/>
                <w:rtl w:val="true"/>
              </w:rPr>
              <w:tab/>
            </w:r>
            <w:r>
              <w:rPr>
                <w:rStyle w:val="IndexLink"/>
              </w:rPr>
              <w:t>586</w:t>
            </w:r>
          </w:hyperlink>
        </w:p>
        <w:p>
          <w:pPr>
            <w:pStyle w:val="Contents5"/>
            <w:tabs>
              <w:tab w:val="clear" w:pos="7892"/>
              <w:tab w:val="right" w:pos="9026" w:leader="dot"/>
            </w:tabs>
            <w:rPr/>
          </w:pPr>
          <w:hyperlink w:anchor="__RefHeading___Toc1391783_1067777946">
            <w:r>
              <w:rPr>
                <w:webHidden/>
                <w:rStyle w:val="IndexLink"/>
                <w:rtl w:val="true"/>
              </w:rPr>
              <w:t>اشارة</w:t>
            </w:r>
            <w:r>
              <w:rPr>
                <w:rStyle w:val="IndexLink"/>
                <w:rtl w:val="true"/>
              </w:rPr>
              <w:tab/>
            </w:r>
            <w:r>
              <w:rPr>
                <w:rStyle w:val="IndexLink"/>
              </w:rPr>
              <w:t>586</w:t>
            </w:r>
          </w:hyperlink>
        </w:p>
        <w:p>
          <w:pPr>
            <w:pStyle w:val="Contents5"/>
            <w:tabs>
              <w:tab w:val="clear" w:pos="7892"/>
              <w:tab w:val="right" w:pos="9026" w:leader="dot"/>
            </w:tabs>
            <w:rPr/>
          </w:pPr>
          <w:hyperlink w:anchor="__RefHeading___Toc1391785_1067777946">
            <w:r>
              <w:rPr>
                <w:webHidden/>
                <w:rStyle w:val="IndexLink"/>
                <w:rtl w:val="true"/>
              </w:rPr>
              <w:t>الآية الأُولى</w:t>
            </w:r>
            <w:r>
              <w:rPr>
                <w:rStyle w:val="IndexLink"/>
                <w:rtl w:val="true"/>
              </w:rPr>
              <w:tab/>
            </w:r>
            <w:r>
              <w:rPr>
                <w:rStyle w:val="IndexLink"/>
              </w:rPr>
              <w:t>586</w:t>
            </w:r>
          </w:hyperlink>
        </w:p>
        <w:p>
          <w:pPr>
            <w:pStyle w:val="Contents6"/>
            <w:tabs>
              <w:tab w:val="clear" w:pos="7609"/>
              <w:tab w:val="right" w:pos="9026" w:leader="dot"/>
            </w:tabs>
            <w:rPr/>
          </w:pPr>
          <w:hyperlink w:anchor="__RefHeading___Toc1391787_1067777946">
            <w:r>
              <w:rPr>
                <w:webHidden/>
                <w:rStyle w:val="IndexLink"/>
                <w:rtl w:val="true"/>
              </w:rPr>
              <w:t>اشارة</w:t>
            </w:r>
            <w:r>
              <w:rPr>
                <w:rStyle w:val="IndexLink"/>
                <w:rtl w:val="true"/>
              </w:rPr>
              <w:tab/>
            </w:r>
            <w:r>
              <w:rPr>
                <w:rStyle w:val="IndexLink"/>
              </w:rPr>
              <w:t>586</w:t>
            </w:r>
          </w:hyperlink>
        </w:p>
        <w:p>
          <w:pPr>
            <w:pStyle w:val="Contents6"/>
            <w:tabs>
              <w:tab w:val="clear" w:pos="7609"/>
              <w:tab w:val="right" w:pos="9026" w:leader="dot"/>
            </w:tabs>
            <w:rPr/>
          </w:pPr>
          <w:hyperlink w:anchor="__RefHeading___Toc1391789_1067777946">
            <w:r>
              <w:rPr>
                <w:webHidden/>
                <w:rStyle w:val="IndexLink"/>
              </w:rPr>
              <w:t>1</w:t>
            </w:r>
            <w:r>
              <w:rPr>
                <w:rStyle w:val="IndexLink"/>
                <w:rtl w:val="true"/>
              </w:rPr>
              <w:t xml:space="preserve">. </w:t>
            </w:r>
            <w:r>
              <w:rPr>
                <w:rStyle w:val="IndexLink"/>
                <w:rtl w:val="true"/>
              </w:rPr>
              <w:t>السابقون الأوّلون من المهاجرين</w:t>
            </w:r>
            <w:r>
              <w:rPr>
                <w:rStyle w:val="IndexLink"/>
                <w:rtl w:val="true"/>
              </w:rPr>
              <w:tab/>
            </w:r>
            <w:r>
              <w:rPr>
                <w:rStyle w:val="IndexLink"/>
              </w:rPr>
              <w:t>587</w:t>
            </w:r>
          </w:hyperlink>
        </w:p>
        <w:p>
          <w:pPr>
            <w:pStyle w:val="Contents6"/>
            <w:tabs>
              <w:tab w:val="clear" w:pos="7609"/>
              <w:tab w:val="right" w:pos="9026" w:leader="dot"/>
            </w:tabs>
            <w:rPr/>
          </w:pPr>
          <w:hyperlink w:anchor="__RefHeading___Toc1391791_1067777946">
            <w:r>
              <w:rPr>
                <w:webHidden/>
                <w:rStyle w:val="IndexLink"/>
              </w:rPr>
              <w:t>2</w:t>
            </w:r>
            <w:r>
              <w:rPr>
                <w:rStyle w:val="IndexLink"/>
                <w:rtl w:val="true"/>
              </w:rPr>
              <w:t xml:space="preserve">. </w:t>
            </w:r>
            <w:r>
              <w:rPr>
                <w:rStyle w:val="IndexLink"/>
                <w:rtl w:val="true"/>
              </w:rPr>
              <w:t>السابقون الأوّلون من الأنصار</w:t>
            </w:r>
            <w:r>
              <w:rPr>
                <w:rStyle w:val="IndexLink"/>
                <w:rtl w:val="true"/>
              </w:rPr>
              <w:tab/>
            </w:r>
            <w:r>
              <w:rPr>
                <w:rStyle w:val="IndexLink"/>
              </w:rPr>
              <w:t>587</w:t>
            </w:r>
          </w:hyperlink>
        </w:p>
        <w:p>
          <w:pPr>
            <w:pStyle w:val="Contents6"/>
            <w:tabs>
              <w:tab w:val="clear" w:pos="7609"/>
              <w:tab w:val="right" w:pos="9026" w:leader="dot"/>
            </w:tabs>
            <w:rPr/>
          </w:pPr>
          <w:hyperlink w:anchor="__RefHeading___Toc1391793_1067777946">
            <w:r>
              <w:rPr>
                <w:webHidden/>
                <w:rStyle w:val="IndexLink"/>
                <w:rtl w:val="true"/>
              </w:rPr>
              <w:t>اشارة</w:t>
            </w:r>
            <w:r>
              <w:rPr>
                <w:rStyle w:val="IndexLink"/>
                <w:rtl w:val="true"/>
              </w:rPr>
              <w:tab/>
            </w:r>
            <w:r>
              <w:rPr>
                <w:rStyle w:val="IndexLink"/>
              </w:rPr>
              <w:t>587</w:t>
            </w:r>
          </w:hyperlink>
        </w:p>
        <w:p>
          <w:pPr>
            <w:pStyle w:val="Contents6"/>
            <w:tabs>
              <w:tab w:val="clear" w:pos="7609"/>
              <w:tab w:val="right" w:pos="9026" w:leader="dot"/>
            </w:tabs>
            <w:rPr/>
          </w:pPr>
          <w:hyperlink w:anchor="__RefHeading___Toc1391795_1067777946">
            <w:r>
              <w:rPr>
                <w:webHidden/>
                <w:rStyle w:val="IndexLink"/>
                <w:rtl w:val="true"/>
              </w:rPr>
              <w:t>دفع وهم</w:t>
            </w:r>
            <w:r>
              <w:rPr>
                <w:rStyle w:val="IndexLink"/>
                <w:rtl w:val="true"/>
              </w:rPr>
              <w:tab/>
            </w:r>
            <w:r>
              <w:rPr>
                <w:rStyle w:val="IndexLink"/>
              </w:rPr>
              <w:t>588</w:t>
            </w:r>
          </w:hyperlink>
        </w:p>
        <w:p>
          <w:pPr>
            <w:pStyle w:val="Contents6"/>
            <w:tabs>
              <w:tab w:val="clear" w:pos="7609"/>
              <w:tab w:val="right" w:pos="9026" w:leader="dot"/>
            </w:tabs>
            <w:rPr/>
          </w:pPr>
          <w:hyperlink w:anchor="__RefHeading___Toc1391797_1067777946">
            <w:r>
              <w:rPr>
                <w:webHidden/>
                <w:rStyle w:val="IndexLink"/>
              </w:rPr>
              <w:t>3</w:t>
            </w:r>
            <w:r>
              <w:rPr>
                <w:rStyle w:val="IndexLink"/>
                <w:rtl w:val="true"/>
              </w:rPr>
              <w:t xml:space="preserve">. </w:t>
            </w:r>
            <w:r>
              <w:rPr>
                <w:rStyle w:val="IndexLink"/>
                <w:rtl w:val="true"/>
              </w:rPr>
              <w:t>والذين اتّبعُوهم بإحسان</w:t>
            </w:r>
            <w:r>
              <w:rPr>
                <w:rStyle w:val="IndexLink"/>
                <w:rtl w:val="true"/>
              </w:rPr>
              <w:tab/>
            </w:r>
            <w:r>
              <w:rPr>
                <w:rStyle w:val="IndexLink"/>
              </w:rPr>
              <w:t>589</w:t>
            </w:r>
          </w:hyperlink>
        </w:p>
        <w:p>
          <w:pPr>
            <w:pStyle w:val="Contents5"/>
            <w:tabs>
              <w:tab w:val="clear" w:pos="7892"/>
              <w:tab w:val="right" w:pos="9026" w:leader="dot"/>
            </w:tabs>
            <w:rPr/>
          </w:pPr>
          <w:hyperlink w:anchor="__RefHeading___Toc1391799_1067777946">
            <w:r>
              <w:rPr>
                <w:webHidden/>
                <w:rStyle w:val="IndexLink"/>
                <w:rtl w:val="true"/>
              </w:rPr>
              <w:t>الآية الثانية</w:t>
            </w:r>
            <w:r>
              <w:rPr>
                <w:rStyle w:val="IndexLink"/>
                <w:rtl w:val="true"/>
              </w:rPr>
              <w:tab/>
            </w:r>
            <w:r>
              <w:rPr>
                <w:rStyle w:val="IndexLink"/>
              </w:rPr>
              <w:t>590</w:t>
            </w:r>
          </w:hyperlink>
        </w:p>
        <w:p>
          <w:pPr>
            <w:pStyle w:val="Contents5"/>
            <w:tabs>
              <w:tab w:val="clear" w:pos="7892"/>
              <w:tab w:val="right" w:pos="9026" w:leader="dot"/>
            </w:tabs>
            <w:rPr/>
          </w:pPr>
          <w:hyperlink w:anchor="__RefHeading___Toc1391801_1067777946">
            <w:r>
              <w:rPr>
                <w:webHidden/>
                <w:rStyle w:val="IndexLink"/>
                <w:rtl w:val="true"/>
              </w:rPr>
              <w:t>الآية الثالثة</w:t>
            </w:r>
            <w:r>
              <w:rPr>
                <w:rStyle w:val="IndexLink"/>
                <w:rtl w:val="true"/>
              </w:rPr>
              <w:tab/>
            </w:r>
            <w:r>
              <w:rPr>
                <w:rStyle w:val="IndexLink"/>
              </w:rPr>
              <w:t>593</w:t>
            </w:r>
          </w:hyperlink>
        </w:p>
        <w:p>
          <w:pPr>
            <w:pStyle w:val="Contents5"/>
            <w:tabs>
              <w:tab w:val="clear" w:pos="7892"/>
              <w:tab w:val="right" w:pos="9026" w:leader="dot"/>
            </w:tabs>
            <w:rPr/>
          </w:pPr>
          <w:hyperlink w:anchor="__RefHeading___Toc1391803_1067777946">
            <w:r>
              <w:rPr>
                <w:webHidden/>
                <w:rStyle w:val="IndexLink"/>
                <w:rtl w:val="true"/>
              </w:rPr>
              <w:t>الآية الرابعة</w:t>
            </w:r>
            <w:r>
              <w:rPr>
                <w:rStyle w:val="IndexLink"/>
                <w:rtl w:val="true"/>
              </w:rPr>
              <w:tab/>
            </w:r>
            <w:r>
              <w:rPr>
                <w:rStyle w:val="IndexLink"/>
              </w:rPr>
              <w:t>594</w:t>
            </w:r>
          </w:hyperlink>
        </w:p>
        <w:p>
          <w:pPr>
            <w:pStyle w:val="Contents6"/>
            <w:tabs>
              <w:tab w:val="clear" w:pos="7609"/>
              <w:tab w:val="right" w:pos="9026" w:leader="dot"/>
            </w:tabs>
            <w:rPr/>
          </w:pPr>
          <w:hyperlink w:anchor="__RefHeading___Toc1391805_1067777946">
            <w:r>
              <w:rPr>
                <w:webHidden/>
                <w:rStyle w:val="IndexLink"/>
                <w:rtl w:val="true"/>
              </w:rPr>
              <w:t>اشارة</w:t>
            </w:r>
            <w:r>
              <w:rPr>
                <w:rStyle w:val="IndexLink"/>
                <w:rtl w:val="true"/>
              </w:rPr>
              <w:tab/>
            </w:r>
            <w:r>
              <w:rPr>
                <w:rStyle w:val="IndexLink"/>
              </w:rPr>
              <w:t>594</w:t>
            </w:r>
          </w:hyperlink>
        </w:p>
        <w:p>
          <w:pPr>
            <w:pStyle w:val="Contents6"/>
            <w:tabs>
              <w:tab w:val="clear" w:pos="7609"/>
              <w:tab w:val="right" w:pos="9026" w:leader="dot"/>
            </w:tabs>
            <w:rPr/>
          </w:pPr>
          <w:hyperlink w:anchor="__RefHeading___Toc1391807_1067777946">
            <w:r>
              <w:rPr>
                <w:webHidden/>
                <w:rStyle w:val="IndexLink"/>
                <w:rtl w:val="true"/>
              </w:rPr>
              <w:t>إنّما الأعمال بالخواتيم</w:t>
            </w:r>
            <w:r>
              <w:rPr>
                <w:rStyle w:val="IndexLink"/>
                <w:rtl w:val="true"/>
              </w:rPr>
              <w:tab/>
            </w:r>
            <w:r>
              <w:rPr>
                <w:rStyle w:val="IndexLink"/>
              </w:rPr>
              <w:t>597</w:t>
            </w:r>
          </w:hyperlink>
        </w:p>
        <w:p>
          <w:pPr>
            <w:pStyle w:val="Contents4"/>
            <w:tabs>
              <w:tab w:val="clear" w:pos="8176"/>
              <w:tab w:val="right" w:pos="9026" w:leader="dot"/>
            </w:tabs>
            <w:rPr/>
          </w:pPr>
          <w:hyperlink w:anchor="__RefHeading___Toc1391809_1067777946">
            <w:r>
              <w:rPr>
                <w:webHidden/>
                <w:rStyle w:val="IndexLink"/>
              </w:rPr>
              <w:t>3</w:t>
            </w:r>
            <w:r>
              <w:rPr>
                <w:rStyle w:val="IndexLink"/>
                <w:rtl w:val="true"/>
              </w:rPr>
              <w:t xml:space="preserve">- </w:t>
            </w:r>
            <w:r>
              <w:rPr>
                <w:rStyle w:val="IndexLink"/>
                <w:rtl w:val="true"/>
              </w:rPr>
              <w:t xml:space="preserve">ثناء النبي </w:t>
            </w:r>
            <w:r>
              <w:rPr>
                <w:rStyle w:val="IndexLink"/>
                <w:rtl w:val="true"/>
              </w:rPr>
              <w:t xml:space="preserve">- </w:t>
            </w:r>
            <w:r>
              <w:rPr>
                <w:rStyle w:val="IndexLink"/>
                <w:rtl w:val="true"/>
              </w:rPr>
              <w:t xml:space="preserve">صلى الله عليه وآله وسلم </w:t>
            </w:r>
            <w:r>
              <w:rPr>
                <w:rStyle w:val="IndexLink"/>
                <w:rtl w:val="true"/>
              </w:rPr>
              <w:t xml:space="preserve">- </w:t>
            </w:r>
            <w:r>
              <w:rPr>
                <w:rStyle w:val="IndexLink"/>
                <w:rtl w:val="true"/>
              </w:rPr>
              <w:t>على الصحابة</w:t>
            </w:r>
            <w:r>
              <w:rPr>
                <w:rStyle w:val="IndexLink"/>
                <w:rtl w:val="true"/>
              </w:rPr>
              <w:tab/>
            </w:r>
            <w:r>
              <w:rPr>
                <w:rStyle w:val="IndexLink"/>
              </w:rPr>
              <w:t>599</w:t>
            </w:r>
          </w:hyperlink>
        </w:p>
        <w:p>
          <w:pPr>
            <w:pStyle w:val="Contents5"/>
            <w:tabs>
              <w:tab w:val="clear" w:pos="7892"/>
              <w:tab w:val="right" w:pos="9026" w:leader="dot"/>
            </w:tabs>
            <w:rPr/>
          </w:pPr>
          <w:hyperlink w:anchor="__RefHeading___Toc1391811_1067777946">
            <w:r>
              <w:rPr>
                <w:webHidden/>
                <w:rStyle w:val="IndexLink"/>
                <w:rtl w:val="true"/>
              </w:rPr>
              <w:t>اشارة</w:t>
            </w:r>
            <w:r>
              <w:rPr>
                <w:rStyle w:val="IndexLink"/>
                <w:rtl w:val="true"/>
              </w:rPr>
              <w:tab/>
            </w:r>
            <w:r>
              <w:rPr>
                <w:rStyle w:val="IndexLink"/>
              </w:rPr>
              <w:t>599</w:t>
            </w:r>
          </w:hyperlink>
        </w:p>
        <w:p>
          <w:pPr>
            <w:pStyle w:val="Contents5"/>
            <w:tabs>
              <w:tab w:val="clear" w:pos="7892"/>
              <w:tab w:val="right" w:pos="9026" w:leader="dot"/>
            </w:tabs>
            <w:rPr/>
          </w:pPr>
          <w:hyperlink w:anchor="__RefHeading___Toc1391813_1067777946">
            <w:r>
              <w:rPr>
                <w:webHidden/>
                <w:rStyle w:val="IndexLink"/>
              </w:rPr>
              <w:t>1</w:t>
            </w:r>
            <w:r>
              <w:rPr>
                <w:rStyle w:val="IndexLink"/>
                <w:rtl w:val="true"/>
              </w:rPr>
              <w:t xml:space="preserve">. </w:t>
            </w:r>
            <w:r>
              <w:rPr>
                <w:rStyle w:val="IndexLink"/>
                <w:rtl w:val="true"/>
              </w:rPr>
              <w:t xml:space="preserve">حديث انّ الله اطّلع على أهل بدر </w:t>
            </w:r>
            <w:r>
              <w:rPr>
                <w:rStyle w:val="IndexLink"/>
                <w:rtl w:val="true"/>
              </w:rPr>
              <w:t>...</w:t>
              <w:tab/>
            </w:r>
            <w:r>
              <w:rPr>
                <w:rStyle w:val="IndexLink"/>
              </w:rPr>
              <w:t>599</w:t>
            </w:r>
          </w:hyperlink>
        </w:p>
        <w:p>
          <w:pPr>
            <w:pStyle w:val="Contents5"/>
            <w:tabs>
              <w:tab w:val="clear" w:pos="7892"/>
              <w:tab w:val="right" w:pos="9026" w:leader="dot"/>
            </w:tabs>
            <w:rPr/>
          </w:pPr>
          <w:hyperlink w:anchor="__RefHeading___Toc1391815_1067777946">
            <w:r>
              <w:rPr>
                <w:webHidden/>
                <w:rStyle w:val="IndexLink"/>
              </w:rPr>
              <w:t>2</w:t>
            </w:r>
            <w:r>
              <w:rPr>
                <w:rStyle w:val="IndexLink"/>
                <w:rtl w:val="true"/>
              </w:rPr>
              <w:t xml:space="preserve">. </w:t>
            </w:r>
            <w:r>
              <w:rPr>
                <w:rStyle w:val="IndexLink"/>
                <w:rtl w:val="true"/>
              </w:rPr>
              <w:t xml:space="preserve">حديث </w:t>
            </w:r>
            <w:r>
              <w:rPr>
                <w:rStyle w:val="IndexLink"/>
                <w:rtl w:val="true"/>
              </w:rPr>
              <w:t>«</w:t>
            </w:r>
            <w:r>
              <w:rPr>
                <w:rStyle w:val="IndexLink"/>
                <w:rtl w:val="true"/>
              </w:rPr>
              <w:t>مثل أصحابي كالنجوم</w:t>
            </w:r>
            <w:r>
              <w:rPr>
                <w:rStyle w:val="IndexLink"/>
                <w:rtl w:val="true"/>
              </w:rPr>
              <w:t>»</w:t>
              <w:tab/>
            </w:r>
            <w:r>
              <w:rPr>
                <w:rStyle w:val="IndexLink"/>
              </w:rPr>
              <w:t>601</w:t>
            </w:r>
          </w:hyperlink>
        </w:p>
        <w:p>
          <w:pPr>
            <w:pStyle w:val="Contents6"/>
            <w:tabs>
              <w:tab w:val="clear" w:pos="7609"/>
              <w:tab w:val="right" w:pos="9026" w:leader="dot"/>
            </w:tabs>
            <w:rPr/>
          </w:pPr>
          <w:hyperlink w:anchor="__RefHeading___Toc1391817_1067777946">
            <w:r>
              <w:rPr>
                <w:webHidden/>
                <w:rStyle w:val="IndexLink"/>
                <w:rtl w:val="true"/>
              </w:rPr>
              <w:t>اشارة</w:t>
            </w:r>
            <w:r>
              <w:rPr>
                <w:rStyle w:val="IndexLink"/>
                <w:rtl w:val="true"/>
              </w:rPr>
              <w:tab/>
            </w:r>
            <w:r>
              <w:rPr>
                <w:rStyle w:val="IndexLink"/>
              </w:rPr>
              <w:t>601</w:t>
            </w:r>
          </w:hyperlink>
        </w:p>
        <w:p>
          <w:pPr>
            <w:pStyle w:val="Contents6"/>
            <w:tabs>
              <w:tab w:val="clear" w:pos="7609"/>
              <w:tab w:val="right" w:pos="9026" w:leader="dot"/>
            </w:tabs>
            <w:rPr/>
          </w:pPr>
          <w:hyperlink w:anchor="__RefHeading___Toc1391819_1067777946">
            <w:r>
              <w:rPr>
                <w:webHidden/>
                <w:rStyle w:val="IndexLink"/>
                <w:rtl w:val="true"/>
              </w:rPr>
              <w:t>أ</w:t>
            </w:r>
            <w:r>
              <w:rPr>
                <w:rStyle w:val="IndexLink"/>
                <w:rtl w:val="true"/>
              </w:rPr>
              <w:t xml:space="preserve">. </w:t>
            </w:r>
            <w:r>
              <w:rPr>
                <w:rStyle w:val="IndexLink"/>
                <w:rtl w:val="true"/>
              </w:rPr>
              <w:t>أصحابي كالنجوم بأيّهم اقتديتم اهتديتم</w:t>
            </w:r>
            <w:r>
              <w:rPr>
                <w:rStyle w:val="IndexLink"/>
                <w:rtl w:val="true"/>
              </w:rPr>
              <w:tab/>
            </w:r>
            <w:r>
              <w:rPr>
                <w:rStyle w:val="IndexLink"/>
              </w:rPr>
              <w:t>603</w:t>
            </w:r>
          </w:hyperlink>
        </w:p>
        <w:p>
          <w:pPr>
            <w:pStyle w:val="Contents5"/>
            <w:tabs>
              <w:tab w:val="clear" w:pos="7892"/>
              <w:tab w:val="right" w:pos="9026" w:leader="dot"/>
            </w:tabs>
            <w:rPr/>
          </w:pPr>
          <w:hyperlink w:anchor="__RefHeading___Toc1391821_1067777946">
            <w:r>
              <w:rPr>
                <w:webHidden/>
                <w:rStyle w:val="IndexLink"/>
              </w:rPr>
              <w:t>3</w:t>
            </w:r>
            <w:r>
              <w:rPr>
                <w:rStyle w:val="IndexLink"/>
                <w:rtl w:val="true"/>
              </w:rPr>
              <w:t xml:space="preserve">. </w:t>
            </w:r>
            <w:r>
              <w:rPr>
                <w:rStyle w:val="IndexLink"/>
                <w:rtl w:val="true"/>
              </w:rPr>
              <w:t>خير القرون قرني</w:t>
            </w:r>
            <w:r>
              <w:rPr>
                <w:rStyle w:val="IndexLink"/>
                <w:rtl w:val="true"/>
              </w:rPr>
              <w:tab/>
            </w:r>
            <w:r>
              <w:rPr>
                <w:rStyle w:val="IndexLink"/>
              </w:rPr>
              <w:t>605</w:t>
            </w:r>
          </w:hyperlink>
        </w:p>
        <w:p>
          <w:pPr>
            <w:pStyle w:val="Contents3"/>
            <w:tabs>
              <w:tab w:val="clear" w:pos="8459"/>
              <w:tab w:val="right" w:pos="9026" w:leader="dot"/>
            </w:tabs>
            <w:rPr/>
          </w:pPr>
          <w:hyperlink w:anchor="__RefHeading___Toc1391823_1067777946">
            <w:r>
              <w:rPr>
                <w:webHidden/>
                <w:rStyle w:val="IndexLink"/>
              </w:rPr>
              <w:t>13</w:t>
            </w:r>
            <w:r>
              <w:rPr>
                <w:rStyle w:val="IndexLink"/>
                <w:rtl w:val="true"/>
              </w:rPr>
              <w:t xml:space="preserve">- </w:t>
            </w:r>
            <w:r>
              <w:rPr>
                <w:rStyle w:val="IndexLink"/>
                <w:rtl w:val="true"/>
              </w:rPr>
              <w:t>موعظة شافية</w:t>
            </w:r>
            <w:r>
              <w:rPr>
                <w:rStyle w:val="IndexLink"/>
                <w:rtl w:val="true"/>
              </w:rPr>
              <w:tab/>
            </w:r>
            <w:r>
              <w:rPr>
                <w:rStyle w:val="IndexLink"/>
              </w:rPr>
              <w:t>608</w:t>
            </w:r>
          </w:hyperlink>
        </w:p>
        <w:p>
          <w:pPr>
            <w:pStyle w:val="Contents4"/>
            <w:tabs>
              <w:tab w:val="clear" w:pos="8176"/>
              <w:tab w:val="right" w:pos="9026" w:leader="dot"/>
            </w:tabs>
            <w:rPr/>
          </w:pPr>
          <w:hyperlink w:anchor="__RefHeading___Toc1391825_1067777946">
            <w:r>
              <w:rPr>
                <w:webHidden/>
                <w:rStyle w:val="IndexLink"/>
                <w:rtl w:val="true"/>
              </w:rPr>
              <w:t>اشارة</w:t>
            </w:r>
            <w:r>
              <w:rPr>
                <w:rStyle w:val="IndexLink"/>
                <w:rtl w:val="true"/>
              </w:rPr>
              <w:tab/>
            </w:r>
            <w:r>
              <w:rPr>
                <w:rStyle w:val="IndexLink"/>
              </w:rPr>
              <w:t>608</w:t>
            </w:r>
          </w:hyperlink>
        </w:p>
        <w:p>
          <w:pPr>
            <w:pStyle w:val="Contents4"/>
            <w:tabs>
              <w:tab w:val="clear" w:pos="8176"/>
              <w:tab w:val="right" w:pos="9026" w:leader="dot"/>
            </w:tabs>
            <w:rPr/>
          </w:pPr>
          <w:hyperlink w:anchor="__RefHeading___Toc1391827_1067777946">
            <w:r>
              <w:rPr>
                <w:webHidden/>
                <w:rStyle w:val="IndexLink"/>
              </w:rPr>
              <w:t>6</w:t>
            </w:r>
            <w:r>
              <w:rPr>
                <w:rStyle w:val="IndexLink"/>
                <w:rtl w:val="true"/>
              </w:rPr>
              <w:t xml:space="preserve">. </w:t>
            </w:r>
            <w:r>
              <w:rPr>
                <w:rStyle w:val="IndexLink"/>
                <w:rtl w:val="true"/>
              </w:rPr>
              <w:t>روّاد التشيّع من الصحابة</w:t>
            </w:r>
            <w:r>
              <w:rPr>
                <w:rStyle w:val="IndexLink"/>
                <w:rtl w:val="true"/>
              </w:rPr>
              <w:tab/>
            </w:r>
            <w:r>
              <w:rPr>
                <w:rStyle w:val="IndexLink"/>
              </w:rPr>
              <w:t>615</w:t>
            </w:r>
          </w:hyperlink>
        </w:p>
        <w:p>
          <w:pPr>
            <w:pStyle w:val="Contents4"/>
            <w:tabs>
              <w:tab w:val="clear" w:pos="8176"/>
              <w:tab w:val="right" w:pos="9026" w:leader="dot"/>
            </w:tabs>
            <w:rPr/>
          </w:pPr>
          <w:hyperlink w:anchor="__RefHeading___Toc1391829_1067777946">
            <w:r>
              <w:rPr>
                <w:webHidden/>
                <w:rStyle w:val="IndexLink"/>
                <w:rtl w:val="true"/>
              </w:rPr>
              <w:t>خاتمة المطاف</w:t>
            </w:r>
            <w:r>
              <w:rPr>
                <w:rStyle w:val="IndexLink"/>
                <w:rtl w:val="true"/>
              </w:rPr>
              <w:tab/>
            </w:r>
            <w:r>
              <w:rPr>
                <w:rStyle w:val="IndexLink"/>
              </w:rPr>
              <w:t>621</w:t>
            </w:r>
          </w:hyperlink>
        </w:p>
        <w:p>
          <w:pPr>
            <w:pStyle w:val="Contents3"/>
            <w:tabs>
              <w:tab w:val="clear" w:pos="8459"/>
              <w:tab w:val="right" w:pos="9026" w:leader="dot"/>
            </w:tabs>
            <w:rPr/>
          </w:pPr>
          <w:hyperlink w:anchor="__RefHeading___Toc1391831_1067777946">
            <w:r>
              <w:rPr>
                <w:webHidden/>
                <w:rStyle w:val="IndexLink"/>
              </w:rPr>
              <w:t>14</w:t>
            </w:r>
            <w:r>
              <w:rPr>
                <w:rStyle w:val="IndexLink"/>
                <w:rtl w:val="true"/>
              </w:rPr>
              <w:t xml:space="preserve">- </w:t>
            </w:r>
            <w:r>
              <w:rPr>
                <w:rStyle w:val="IndexLink"/>
                <w:rtl w:val="true"/>
              </w:rPr>
              <w:t>مناظرة بين الحسن البصري وعالم زيدي</w:t>
            </w:r>
            <w:r>
              <w:rPr>
                <w:rStyle w:val="IndexLink"/>
                <w:rtl w:val="true"/>
              </w:rPr>
              <w:tab/>
            </w:r>
            <w:r>
              <w:rPr>
                <w:rStyle w:val="IndexLink"/>
              </w:rPr>
              <w:t>621</w:t>
            </w:r>
          </w:hyperlink>
        </w:p>
        <w:p>
          <w:pPr>
            <w:pStyle w:val="Contents4"/>
            <w:tabs>
              <w:tab w:val="clear" w:pos="8176"/>
              <w:tab w:val="right" w:pos="9026" w:leader="dot"/>
            </w:tabs>
            <w:rPr/>
          </w:pPr>
          <w:hyperlink w:anchor="__RefHeading___Toc1391833_1067777946">
            <w:r>
              <w:rPr>
                <w:webHidden/>
                <w:rStyle w:val="IndexLink"/>
                <w:rtl w:val="true"/>
              </w:rPr>
              <w:t>اشارة</w:t>
            </w:r>
            <w:r>
              <w:rPr>
                <w:rStyle w:val="IndexLink"/>
                <w:rtl w:val="true"/>
              </w:rPr>
              <w:tab/>
            </w:r>
            <w:r>
              <w:rPr>
                <w:rStyle w:val="IndexLink"/>
              </w:rPr>
              <w:t>621</w:t>
            </w:r>
          </w:hyperlink>
        </w:p>
        <w:p>
          <w:pPr>
            <w:pStyle w:val="Contents4"/>
            <w:tabs>
              <w:tab w:val="clear" w:pos="8176"/>
              <w:tab w:val="right" w:pos="9026" w:leader="dot"/>
            </w:tabs>
            <w:rPr/>
          </w:pPr>
          <w:hyperlink w:anchor="__RefHeading___Toc1391835_1067777946">
            <w:r>
              <w:rPr>
                <w:webHidden/>
                <w:rStyle w:val="IndexLink"/>
                <w:rtl w:val="true"/>
              </w:rPr>
              <w:t xml:space="preserve">نظرية الحسن البصري في صحابة الرسول </w:t>
            </w:r>
            <w:r>
              <w:rPr>
                <w:rStyle w:val="IndexLink"/>
                <w:rtl w:val="true"/>
              </w:rPr>
              <w:t xml:space="preserve">- </w:t>
            </w:r>
            <w:r>
              <w:rPr>
                <w:rStyle w:val="IndexLink"/>
                <w:rtl w:val="true"/>
              </w:rPr>
              <w:t xml:space="preserve">صلى الله عليه وآله وسلم </w:t>
            </w:r>
            <w:r>
              <w:rPr>
                <w:rStyle w:val="IndexLink"/>
                <w:rtl w:val="true"/>
              </w:rPr>
              <w:t>-</w:t>
              <w:tab/>
            </w:r>
            <w:r>
              <w:rPr>
                <w:rStyle w:val="IndexLink"/>
              </w:rPr>
              <w:t>621</w:t>
            </w:r>
          </w:hyperlink>
        </w:p>
        <w:p>
          <w:pPr>
            <w:pStyle w:val="Contents4"/>
            <w:tabs>
              <w:tab w:val="clear" w:pos="8176"/>
              <w:tab w:val="right" w:pos="9026" w:leader="dot"/>
            </w:tabs>
            <w:rPr/>
          </w:pPr>
          <w:hyperlink w:anchor="__RefHeading___Toc1391837_1067777946">
            <w:r>
              <w:rPr>
                <w:webHidden/>
                <w:rStyle w:val="IndexLink"/>
                <w:rtl w:val="true"/>
              </w:rPr>
              <w:t>نقد العالم الزيدي رأي الحسن</w:t>
            </w:r>
            <w:r>
              <w:rPr>
                <w:rStyle w:val="IndexLink"/>
                <w:rtl w:val="true"/>
              </w:rPr>
              <w:tab/>
            </w:r>
            <w:r>
              <w:rPr>
                <w:rStyle w:val="IndexLink"/>
              </w:rPr>
              <w:t>623</w:t>
            </w:r>
          </w:hyperlink>
        </w:p>
        <w:p>
          <w:pPr>
            <w:pStyle w:val="Contents4"/>
            <w:tabs>
              <w:tab w:val="clear" w:pos="8176"/>
              <w:tab w:val="right" w:pos="9026" w:leader="dot"/>
            </w:tabs>
            <w:rPr/>
          </w:pPr>
          <w:hyperlink w:anchor="__RefHeading___Toc1391839_1067777946">
            <w:r>
              <w:rPr>
                <w:webHidden/>
                <w:rStyle w:val="IndexLink"/>
                <w:rtl w:val="true"/>
              </w:rPr>
              <w:t>لعن بعضهم بعضاً</w:t>
            </w:r>
            <w:r>
              <w:rPr>
                <w:rStyle w:val="IndexLink"/>
                <w:rtl w:val="true"/>
              </w:rPr>
              <w:tab/>
            </w:r>
            <w:r>
              <w:rPr>
                <w:rStyle w:val="IndexLink"/>
              </w:rPr>
              <w:t>625</w:t>
            </w:r>
          </w:hyperlink>
        </w:p>
        <w:p>
          <w:pPr>
            <w:pStyle w:val="Contents4"/>
            <w:tabs>
              <w:tab w:val="clear" w:pos="8176"/>
              <w:tab w:val="right" w:pos="9026" w:leader="dot"/>
            </w:tabs>
            <w:rPr/>
          </w:pPr>
          <w:hyperlink w:anchor="__RefHeading___Toc1391841_1067777946">
            <w:r>
              <w:rPr>
                <w:webHidden/>
                <w:rStyle w:val="IndexLink"/>
                <w:rtl w:val="true"/>
              </w:rPr>
              <w:t>سيرة رسول الله في الأعداء والأولياء</w:t>
            </w:r>
            <w:r>
              <w:rPr>
                <w:rStyle w:val="IndexLink"/>
                <w:rtl w:val="true"/>
              </w:rPr>
              <w:tab/>
            </w:r>
            <w:r>
              <w:rPr>
                <w:rStyle w:val="IndexLink"/>
              </w:rPr>
              <w:t>626</w:t>
            </w:r>
          </w:hyperlink>
        </w:p>
        <w:p>
          <w:pPr>
            <w:pStyle w:val="Contents4"/>
            <w:tabs>
              <w:tab w:val="clear" w:pos="8176"/>
              <w:tab w:val="right" w:pos="9026" w:leader="dot"/>
            </w:tabs>
            <w:rPr/>
          </w:pPr>
          <w:hyperlink w:anchor="__RefHeading___Toc1391843_1067777946">
            <w:r>
              <w:rPr>
                <w:webHidden/>
                <w:rStyle w:val="IndexLink"/>
                <w:rtl w:val="true"/>
              </w:rPr>
              <w:t>الصحابة كسائر الناس</w:t>
            </w:r>
            <w:r>
              <w:rPr>
                <w:rStyle w:val="IndexLink"/>
                <w:rtl w:val="true"/>
              </w:rPr>
              <w:tab/>
            </w:r>
            <w:r>
              <w:rPr>
                <w:rStyle w:val="IndexLink"/>
              </w:rPr>
              <w:t>628</w:t>
            </w:r>
          </w:hyperlink>
        </w:p>
        <w:p>
          <w:pPr>
            <w:pStyle w:val="Contents4"/>
            <w:tabs>
              <w:tab w:val="clear" w:pos="8176"/>
              <w:tab w:val="right" w:pos="9026" w:leader="dot"/>
            </w:tabs>
            <w:rPr/>
          </w:pPr>
          <w:hyperlink w:anchor="__RefHeading___Toc1391845_1067777946">
            <w:r>
              <w:rPr>
                <w:webHidden/>
                <w:rStyle w:val="IndexLink"/>
                <w:rtl w:val="true"/>
              </w:rPr>
              <w:t>من أُنكِرَ عليهم من الصحابة</w:t>
            </w:r>
            <w:r>
              <w:rPr>
                <w:rStyle w:val="IndexLink"/>
                <w:rtl w:val="true"/>
              </w:rPr>
              <w:tab/>
            </w:r>
            <w:r>
              <w:rPr>
                <w:rStyle w:val="IndexLink"/>
              </w:rPr>
              <w:t>630</w:t>
            </w:r>
          </w:hyperlink>
        </w:p>
        <w:p>
          <w:pPr>
            <w:pStyle w:val="Contents4"/>
            <w:tabs>
              <w:tab w:val="clear" w:pos="8176"/>
              <w:tab w:val="right" w:pos="9026" w:leader="dot"/>
            </w:tabs>
            <w:rPr/>
          </w:pPr>
          <w:hyperlink w:anchor="__RefHeading___Toc1391847_1067777946">
            <w:r>
              <w:rPr>
                <w:webHidden/>
                <w:rStyle w:val="IndexLink"/>
                <w:rtl w:val="true"/>
              </w:rPr>
              <w:t>حديث أصحابي كالنجوم وضعه الأمويّون</w:t>
            </w:r>
            <w:r>
              <w:rPr>
                <w:rStyle w:val="IndexLink"/>
                <w:rtl w:val="true"/>
              </w:rPr>
              <w:tab/>
            </w:r>
            <w:r>
              <w:rPr>
                <w:rStyle w:val="IndexLink"/>
              </w:rPr>
              <w:t>631</w:t>
            </w:r>
          </w:hyperlink>
        </w:p>
        <w:p>
          <w:pPr>
            <w:pStyle w:val="Contents2"/>
            <w:tabs>
              <w:tab w:val="clear" w:pos="8743"/>
              <w:tab w:val="right" w:pos="9026" w:leader="dot"/>
            </w:tabs>
            <w:rPr/>
          </w:pPr>
          <w:hyperlink w:anchor="__RefHeading___Toc1391849_1067777946">
            <w:r>
              <w:rPr>
                <w:webHidden/>
                <w:rStyle w:val="IndexLink"/>
                <w:rtl w:val="true"/>
              </w:rPr>
              <w:t>فهرس محتويات الكتاب</w:t>
            </w:r>
            <w:r>
              <w:rPr>
                <w:rStyle w:val="IndexLink"/>
                <w:rtl w:val="true"/>
              </w:rPr>
              <w:tab/>
            </w:r>
            <w:r>
              <w:rPr>
                <w:rStyle w:val="IndexLink"/>
              </w:rPr>
              <w:t>635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047_102507"/>
      <w:bookmarkStart w:id="1" w:name="pg11047_102507"/>
      <w:bookmarkEnd w:id="1"/>
    </w:p>
    <w:p>
      <w:pPr>
        <w:pStyle w:val="Heading2"/>
        <w:numPr>
          <w:ilvl w:val="1"/>
          <w:numId w:val="1"/>
        </w:numPr>
        <w:rPr/>
      </w:pPr>
      <w:bookmarkStart w:id="2" w:name="pg11047_102507"/>
      <w:bookmarkStart w:id="3" w:name="__RefHeading___Toc1390903_1067777946"/>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السبحاني التبريزي جعفر،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1308</w:t>
      </w:r>
    </w:p>
    <w:p>
      <w:pPr>
        <w:pStyle w:val="BookText"/>
        <w:rPr/>
      </w:pPr>
      <w:r>
        <w:rPr>
          <w:rFonts w:ascii="Amiri" w:hAnsi="Amiri" w:eastAsia="Amiri" w:cs="Amiri"/>
          <w:color w:val="111111"/>
          <w:sz w:val="28"/>
          <w:sz w:val="28"/>
          <w:szCs w:val="28"/>
          <w:rtl w:val="true"/>
          <w:lang w:bidi="ar-SA"/>
        </w:rPr>
        <w:t>عنوان المؤلف واسمه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الانصاف في مسائل دام فيها الخلاف</w:t>
      </w:r>
    </w:p>
    <w:p>
      <w:pPr>
        <w:pStyle w:val="BookText"/>
        <w:rPr/>
      </w:pPr>
      <w:r>
        <w:rPr>
          <w:rFonts w:ascii="Amiri" w:hAnsi="Amiri" w:eastAsia="Amiri" w:cs="Amiri"/>
          <w:color w:val="111111"/>
          <w:sz w:val="28"/>
          <w:sz w:val="28"/>
          <w:szCs w:val="28"/>
          <w:rtl w:val="true"/>
          <w:lang w:bidi="ar-SA"/>
        </w:rPr>
        <w:t>تاليف جعفر السبحاني</w:t>
      </w:r>
    </w:p>
    <w:p>
      <w:pPr>
        <w:pStyle w:val="BookText"/>
        <w:rPr/>
      </w:pPr>
      <w:r>
        <w:rPr>
          <w:rFonts w:ascii="Amiri" w:hAnsi="Amiri" w:eastAsia="Amiri" w:cs="Amiri"/>
          <w:color w:val="111111"/>
          <w:sz w:val="28"/>
          <w:sz w:val="28"/>
          <w:szCs w:val="28"/>
          <w:rtl w:val="true"/>
          <w:lang w:bidi="ar-SA"/>
        </w:rPr>
        <w:t>تفاصيل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موسسة الامام الصادق ع ،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Amiri" w:hAnsi="Amiri" w:eastAsia="Amiri" w:cs="Amiri"/>
          <w:color w:val="111111"/>
          <w:sz w:val="28"/>
          <w:sz w:val="28"/>
          <w:szCs w:val="28"/>
          <w:rtl w:val="true"/>
          <w:lang w:bidi="ar-SA"/>
        </w:rPr>
        <w:t xml:space="preserve">ملحوظة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1382</w:t>
      </w:r>
    </w:p>
    <w:p>
      <w:pPr>
        <w:pStyle w:val="BookText"/>
        <w:rPr/>
      </w:pPr>
      <w:r>
        <w:rPr>
          <w:rFonts w:ascii="Amiri" w:hAnsi="Amiri" w:eastAsia="Amiri" w:cs="Amiri"/>
          <w:color w:val="111111"/>
          <w:sz w:val="28"/>
          <w:sz w:val="28"/>
          <w:szCs w:val="28"/>
          <w:rtl w:val="true"/>
          <w:lang w:bidi="ar-SA"/>
        </w:rPr>
        <w:t xml:space="preserve">ملحوظة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تطبيقي</w:t>
      </w:r>
    </w:p>
    <w:p>
      <w:pPr>
        <w:pStyle w:val="BookText"/>
        <w:rPr/>
      </w:pPr>
      <w:r>
        <w:rPr>
          <w:rFonts w:ascii="Amiri" w:hAnsi="Amiri" w:eastAsia="Amiri" w:cs="Amiri"/>
          <w:color w:val="111111"/>
          <w:sz w:val="28"/>
          <w:sz w:val="28"/>
          <w:szCs w:val="28"/>
          <w:rtl w:val="true"/>
          <w:lang w:bidi="ar-SA"/>
        </w:rPr>
        <w:t>معرف المضافة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موسسة الامام الصادق ع</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BP169/7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8 1381</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297/324</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19943</w:t>
      </w:r>
    </w:p>
    <w:p>
      <w:p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الحیدري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90905_1067777946"/>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الانصاف</w:t>
      </w:r>
    </w:p>
    <w:p>
      <w:pPr>
        <w:pStyle w:val="BookText"/>
        <w:rPr/>
      </w:pPr>
      <w:r>
        <w:rPr>
          <w:rFonts w:ascii="Amiri" w:hAnsi="Amiri" w:eastAsia="Amiri" w:cs="Amiri"/>
          <w:color w:val="111111"/>
          <w:sz w:val="28"/>
          <w:sz w:val="28"/>
          <w:szCs w:val="28"/>
          <w:rtl w:val="true"/>
          <w:lang w:bidi="ar-SA"/>
        </w:rPr>
        <w:t>في مسائل دام فيها</w:t>
      </w:r>
    </w:p>
    <w:p>
      <w:pPr>
        <w:pStyle w:val="BookText"/>
        <w:rPr/>
      </w:pPr>
      <w:r>
        <w:rPr>
          <w:rFonts w:ascii="IRNazanin" w:hAnsi="IRNazanin" w:eastAsia="IRNazanin"/>
          <w:color w:val="111111"/>
          <w:sz w:val="28"/>
          <w:sz w:val="28"/>
          <w:szCs w:val="28"/>
          <w:rtl w:val="true"/>
          <w:lang w:bidi="fa-IR"/>
        </w:rPr>
        <w:t>الخلاف</w:t>
      </w:r>
    </w:p>
    <w:p>
      <w:pPr>
        <w:pStyle w:val="BookText"/>
        <w:rPr/>
      </w:pPr>
      <w:r>
        <w:rPr>
          <w:rFonts w:ascii="IRNazanin" w:hAnsi="IRNazanin" w:eastAsia="IRNazanin"/>
          <w:color w:val="111111"/>
          <w:sz w:val="28"/>
          <w:sz w:val="28"/>
          <w:szCs w:val="28"/>
          <w:rtl w:val="true"/>
          <w:lang w:bidi="fa-IR"/>
        </w:rPr>
        <w:t>دراسات فقهیة موجزة في مسائل احتدم</w:t>
      </w:r>
    </w:p>
    <w:p>
      <w:pPr>
        <w:pStyle w:val="BookText"/>
        <w:rPr/>
      </w:pPr>
      <w:r>
        <w:rPr>
          <w:rFonts w:ascii="IRNazanin" w:hAnsi="IRNazanin" w:eastAsia="IRNazanin"/>
          <w:color w:val="111111"/>
          <w:sz w:val="28"/>
          <w:sz w:val="28"/>
          <w:szCs w:val="28"/>
          <w:rtl w:val="true"/>
          <w:lang w:bidi="fa-IR"/>
        </w:rPr>
        <w:t>فیها النقاش عبر القرون</w:t>
      </w:r>
    </w:p>
    <w:p>
      <w:pPr>
        <w:pStyle w:val="BookText"/>
        <w:rPr/>
      </w:pPr>
      <w:r>
        <w:rPr>
          <w:rFonts w:ascii="IRNazanin" w:hAnsi="IRNazanin" w:eastAsia="IRNazanin"/>
          <w:color w:val="111111"/>
          <w:sz w:val="28"/>
          <w:sz w:val="28"/>
          <w:szCs w:val="28"/>
          <w:rtl w:val="true"/>
          <w:lang w:bidi="fa-IR"/>
        </w:rPr>
        <w:t>الجزء الثالث</w:t>
      </w:r>
    </w:p>
    <w:p>
      <w:pPr>
        <w:pStyle w:val="BookText"/>
        <w:rPr/>
      </w:pPr>
      <w:r>
        <w:rPr>
          <w:rFonts w:ascii="IRNazanin" w:hAnsi="IRNazanin" w:eastAsia="IRNazanin"/>
          <w:color w:val="111111"/>
          <w:sz w:val="28"/>
          <w:sz w:val="28"/>
          <w:szCs w:val="28"/>
          <w:rtl w:val="true"/>
          <w:lang w:bidi="fa-IR"/>
        </w:rPr>
        <w:t xml:space="preserve">تأليف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الفقیه المحقق آیة الله جعفر السبحاني</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نشر مؤسسة الإمام الصادق علیه السلام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الذي حسرت عن معرفة كماله ، عقول الأولياء ، وعجزت عن إدراك حقيقته ، أفهام العلماء ، واحد لا شريك له ، لا يُشبهه شيء لا في الأرض ولا في السماء ؛ والصلاة والسلام على نبيّه الخاتم ، أفضل خلائقه وأشرف سفرائه ، وعلى آله البررة الأصفياء ، والأئمّة الأتقياء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فغير خفيّ على النابه انّ للعقيدة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 في حياة الإنسان أيسره انّ سلوكَه وليدُ عقيدته ونتاج تفكيره ، فالمواقف التي يتّخذها تمليها عليه عقيدتُه ، والمسير الذي يسير عليه ، توحيه إليه فكرته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سلوك الإنسان الذي يؤمن بإله حىّ قادر عليم ، يرى ما يفعله ، ويحصي عليه ما يصدر عنه من صغيرة وكبيرة ، يختلف تماماً عن سلوك من يعتقد أنّه سيّد نفسه وسيّد الكون الذي يعيش فيه ، لا يرى لنفسه رقيباً ولا حسيباً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يتّضح أنّ العقيدة هي ركيزة الحياة ، وأنّ التكاليف والفرائض التي نعبّر عنها بالشريعة بناء عليها ، فالعقيدة ترتبط ارتباطاً وثيقاً بالروح والعقل ، في حين ترتبط الشريعة والأحكام بألوان السلوك والممارسات</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ولأجل هذه الغاية قُمنا بتحرير مواضع الخلاف عن جوانب من العقيدة الإسلامية بصورة موجزة ، وركّزنا على أبرز النقاط التي يحتدم فيها النقاش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وبما أنّ لكلّ علم لغته ، فقد آثرنا اللغة السهلة ، واخترنا في مادة البحث ما قام عليه دليل واضح من الكتاب والسنّة ، وأيّده العقل الصريح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به عرفنا الله سبحانه وأنبياءه ورسله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أوقع في النفوس ، وأقطع لعذر المخالف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وخصصنا الجزءين السابقين بدراسة مسائل فقهية احتدم فيها الخلاف من العصور الأُولى إلى يومنا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هذا الجزء فهو مخصّص لمسائل فكرية أو عقائدية هي من نتاج النقاش العلمي بين المحقّقين من المسلمين ويأتي كلّ ذلك في ضمن عشرة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ونرجو من الله سبحانه أن يكون رائدنا في هذه البحوث هو الكتاب والسنة والعقل الحصيف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الذي بنعمته تتم الصالحات</w:t>
      </w:r>
    </w:p>
    <w:p>
      <w:pPr>
        <w:pStyle w:val="BookText"/>
        <w:rPr/>
      </w:pPr>
      <w:r>
        <w:rPr>
          <w:rFonts w:ascii="Amiri" w:hAnsi="Amiri" w:eastAsia="Amiri" w:cs="Amiri"/>
          <w:color w:val="111111"/>
          <w:sz w:val="28"/>
          <w:sz w:val="28"/>
          <w:szCs w:val="28"/>
          <w:rtl w:val="true"/>
          <w:lang w:bidi="ar-SA"/>
        </w:rPr>
        <w:t>جعفر السبحاني قم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مؤسسة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bookmarkStart w:id="7" w:name="pg11047_102513"/>
    </w:p>
    <w:p>
      <w:pPr>
        <w:pStyle w:val="Heading2"/>
        <w:numPr>
          <w:ilvl w:val="1"/>
          <w:numId w:val="1"/>
        </w:numPr>
        <w:rPr/>
      </w:pPr>
      <w:bookmarkStart w:id="8" w:name="__RefHeading___Toc1390907_1067777946"/>
      <w:bookmarkStart w:id="9" w:name="_Toc3"/>
      <w:bookmarkEnd w:id="7"/>
      <w:bookmarkEnd w:id="8"/>
      <w:r>
        <w:rPr>
          <w:rtl w:val="true"/>
        </w:rPr>
        <w:t xml:space="preserve">الفصل الأوّل </w:t>
      </w:r>
      <w:r>
        <w:rPr>
          <w:rtl w:val="true"/>
        </w:rPr>
        <w:t xml:space="preserve">: </w:t>
      </w:r>
      <w:r>
        <w:rPr>
          <w:rtl w:val="true"/>
        </w:rPr>
        <w:t>التحسين والتقبيح العقليان ومكانتهما في العقيدة والشريعة</w:t>
      </w:r>
      <w:bookmarkEnd w:id="9"/>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1390909_1067777946"/>
      <w:bookmarkStart w:id="11" w:name="_Toc4"/>
      <w:bookmarkEnd w:id="10"/>
      <w:r>
        <w:rPr>
          <w:rtl w:val="true"/>
        </w:rPr>
        <w:t>اشارة</w:t>
      </w:r>
      <w:bookmarkEnd w:id="11"/>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1047_102515"/>
      <w:bookmarkStart w:id="13" w:name="pg11047_102515"/>
      <w:bookmarkEnd w:id="13"/>
    </w:p>
    <w:p>
      <w:pPr>
        <w:pStyle w:val="Heading3"/>
        <w:numPr>
          <w:ilvl w:val="2"/>
          <w:numId w:val="1"/>
        </w:numPr>
        <w:rPr/>
      </w:pPr>
      <w:bookmarkStart w:id="14" w:name="pg11047_102515"/>
      <w:bookmarkStart w:id="15" w:name="__RefHeading___Toc1390911_1067777946"/>
      <w:bookmarkStart w:id="16" w:name="_Toc5"/>
      <w:bookmarkEnd w:id="14"/>
      <w:bookmarkEnd w:id="15"/>
      <w:r>
        <w:rPr>
          <w:rtl w:val="true"/>
        </w:rPr>
        <w:t>تمهيد</w:t>
      </w:r>
      <w:bookmarkEnd w:id="16"/>
    </w:p>
    <w:p>
      <w:pPr>
        <w:pStyle w:val="BookText"/>
        <w:rPr/>
      </w:pPr>
      <w:r>
        <w:rPr>
          <w:rFonts w:ascii="Amiri" w:hAnsi="Amiri" w:eastAsia="Amiri" w:cs="Amiri"/>
          <w:color w:val="111111"/>
          <w:sz w:val="28"/>
          <w:sz w:val="28"/>
          <w:szCs w:val="28"/>
          <w:rtl w:val="true"/>
          <w:lang w:bidi="ar-SA"/>
        </w:rPr>
        <w:t>شغلت قاعدةُ التحسين والتقبيح العقليّين بالَ كثير من المفكّرين من أقدم العصور إلى يومنا هذا ، إذ قلّما يتّفق أن يخوض باحث في العلوم الإنسانية دون أن يُشير إليها ، لعلاقتها بعلم الكلام والأخلاق ، والفقه وأُصوله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الباحث في علم الكلام عند ما يصل بحثه إلى أفعاله سبحانه ، يصف بعضه بالوجوب والحتمية ، ويقول يجب عليه سبحانه بعث الرسل ، لهداية الناس وإيصالهم إلى الغاية المتوخّاة من خلقتهم ، كما يصف البعض الآخر بالامتناع وعدم الجواز كإعطاء المعجزة بيد المدّعي الكاذب ، ويتّخذ الحسن والقبح أساساً لقضائه البات في المسألتين حيث يحسنُ الأوّل ويقبح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معنى ذلك ، فرض التكليف على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يحكم العبد عليه تعالى بالإيجاب والامتناع كما ربما يتصوّره بعض المنكرين للحسن والقبح العقليين</w:t>
      </w:r>
      <w:r>
        <w:rPr>
          <w:rFonts w:eastAsia="Amiri" w:cs="Amiri" w:ascii="Amiri" w:hAnsi="Amiri"/>
          <w:color w:val="111111"/>
          <w:sz w:val="28"/>
          <w:szCs w:val="28"/>
          <w:rtl w:val="true"/>
          <w:lang w:bidi="ar-SA"/>
        </w:rPr>
        <w:t xml:space="preserve">. </w:t>
      </w:r>
      <w:r>
        <w:rPr>
          <w:rStyle w:val="FootnoteAnchor"/>
          <w:rtl w:val="true"/>
        </w:rPr>
        <w:footnoteReference w:id="2"/>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لأنّ هناك فرقاً بين فرض التكليف على الله ، وبين كشف ما عنده من الحكم من خلال صفاته وكمال ذاته ، فالقائل بالتحسين والتقبيح العقليين لا يفرض على الله تكليفاً إذ أين التراب ورب الأرباب ، بل يستدلّ من خلال ما عنده </w:t>
      </w:r>
    </w:p>
    <w:p>
      <w:pPr>
        <w:pStyle w:val="BookText"/>
        <w:rPr/>
      </w:pPr>
      <w:r>
        <w:rPr>
          <w:rFonts w:ascii="Amiri" w:hAnsi="Amiri" w:eastAsia="Amiri" w:cs="Amiri"/>
          <w:color w:val="111111"/>
          <w:sz w:val="28"/>
          <w:sz w:val="28"/>
          <w:szCs w:val="28"/>
          <w:rtl w:val="true"/>
          <w:lang w:bidi="ar-SA"/>
        </w:rPr>
        <w:t xml:space="preserve">من الصفات ، على اللزوم والامتناع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سبحانه بما هو عادل ، لا يجور على عباده ، وبما انّه حكيم لا يعبث في فعله ، إلى ذلك من الأحكام المستكشفة من خلال دراسة صفاته وسنوضحه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بإذن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حال الباحث في علم الكلام وحاجته إلى تنقيح مسألة التحسين والتقبيح العقليين ، ومثله الباحث في الأخلاق حينما يطرح القيم الأخلاقية على طاولة البحث فيعتمد على تلك القاعدة في تقييم الأفعال الإنسانية من حيث كونه فضيلة أو رذيلة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وليست حاجة الفقيه إلى تلك القاعدة بأقلّ من حاجة الطائفتين ، فانّ خلود الأحكام الفقهية عبْر الزمان وكون الشريعة الإسلامية ، خاتمة الشرائع ، رهن القول بالتحسين والتقبيح العقليين ، فكلّ حكم شرعي يستمد ملاكه من تلك القاعدة فهو حكم مؤبّد بتأبيد ملاكه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والقبح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يتغير ولا يتبدّل ، فانّ الحسن ، حسن على كلّ حال ، والقبيح قبيح كذلك ، والحكم المستمَدَّ منه يكون كذلك فالاعتراف بالحسن والقبح العقليّين الأبديّين يُضيف على الأحكام الشرعيّة المستندة إليهما ، وصفَ الأبديّة</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حاجة الأُصولي إلى القاعدة فواضحة جدّاً ، حيث إنّ العقل أحد الأدلّة الأربعة التي يستنبط بها الأحكام ومن أحكامه ، الحكم بحسن الفعل وقبحه مثلاً إذا افترضنا انّ المكلّف شكّ في حكم موضوع بعد الفحص عن مظانّه في الكتاب والسنّة ولم يعثر فيهما على حكمه ، فعند ذاك يستقل العقل بقبح عقاب المكلّف إذا ارتكب مع احتمال الحرمة ، أو ترك مع احتمال الوجوب استناداً إلى قبح العقاب بلا بيان</w:t>
      </w:r>
      <w:r>
        <w:rPr>
          <w:rFonts w:eastAsia="Amiri" w:cs="Amiri" w:ascii="Amiri" w:hAnsi="Amiri"/>
          <w:color w:val="111111"/>
          <w:sz w:val="28"/>
          <w:szCs w:val="28"/>
          <w:rtl w:val="true"/>
          <w:lang w:bidi="ar-SA"/>
        </w:rPr>
        <w:t xml:space="preserve">. </w:t>
      </w:r>
      <w:bookmarkStart w:id="17" w:name="pg11047_102517"/>
    </w:p>
    <w:p>
      <w:pPr>
        <w:pStyle w:val="Heading3"/>
        <w:numPr>
          <w:ilvl w:val="2"/>
          <w:numId w:val="1"/>
        </w:numPr>
        <w:rPr/>
      </w:pPr>
      <w:bookmarkStart w:id="18" w:name="__RefHeading___Toc1390913_1067777946"/>
      <w:bookmarkStart w:id="19" w:name="_Toc6"/>
      <w:bookmarkEnd w:id="17"/>
      <w:bookmarkEnd w:id="18"/>
      <w:r>
        <w:rPr>
          <w:rtl w:val="true"/>
        </w:rPr>
        <w:t>دور القاعدة في العلوم الإنسانية</w:t>
      </w:r>
      <w:bookmarkEnd w:id="19"/>
    </w:p>
    <w:p>
      <w:pPr>
        <w:pStyle w:val="Heading4"/>
        <w:numPr>
          <w:ilvl w:val="3"/>
          <w:numId w:val="1"/>
        </w:numPr>
        <w:rPr/>
      </w:pPr>
      <w:bookmarkStart w:id="20" w:name="__RefHeading___Toc1390915_1067777946"/>
      <w:bookmarkStart w:id="21" w:name="_Toc7"/>
      <w:bookmarkEnd w:id="20"/>
      <w:r>
        <w:rPr>
          <w:rtl w:val="true"/>
        </w:rPr>
        <w:t>اشارة</w:t>
      </w:r>
      <w:bookmarkEnd w:id="21"/>
    </w:p>
    <w:p>
      <w:pPr>
        <w:pStyle w:val="BookText"/>
        <w:rPr/>
      </w:pPr>
      <w:r>
        <w:rPr>
          <w:rFonts w:ascii="Amiri" w:hAnsi="Amiri" w:eastAsia="Amiri" w:cs="Amiri"/>
          <w:color w:val="111111"/>
          <w:sz w:val="28"/>
          <w:sz w:val="28"/>
          <w:szCs w:val="28"/>
          <w:rtl w:val="true"/>
          <w:lang w:bidi="ar-SA"/>
        </w:rPr>
        <w:t xml:space="preserve">وخلاصة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القاعدة إذا فُسِّرت بصورة صحيحة ، تعدّ حجر الأساس لكثير من المسائل في العلوم الإنسانية كما عرفت نماذجها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كانت القاعدة أساساً لثبات القيم الأخلاقية ، والقوانين الشرعية السماوية ، المبنية على التحسين والتقبيح العقليّين ، عاد بعض المفكّرين من الغربيّين الذين لا يروقهم ثبات القيم ودوامها ، وبقاء الشريعة السماوية ، يثيرون الشكوك حول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سبقهم في إنكار القاعدة طائفة من المتكلّمين وهم الأشاعرة ، وأهل الحديث لا لهذه الغاية ، بل لاستنكارهم استطاعة العقل على إدراك حسن الفعل أو قبحه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المرجع في تمييز الحسن عن القبح هو الشرع ، وبذلك افترق المسلمون إلى طائفتين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يقول بالتحسين والتقبيح العقليّين تمثّلهم الإمامية والمعتزلة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ينكر التحسين والتقبيح العقليّين ويقول بالشرعيّين منهما ، وأنّ الحسن ما حسّنه الشارع والقبيح ما قبّحه الشارع ولو لا أمر الشارع ونهيه لما استطاع الإنسان على معرفة الحسن والقبيح ، وهذا مقالة الأشاعرة وأهل الحديث ، وسيوافيك انّ من أنكر استطاعة إدراك الحسن والقبح من الأفعال لا يتسنّى له ، إثبات التحسين والتقبيح مطلقاً حتّى الشرعي منهما</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دور القاعدة في العقيدة والشريعة ، وهذا خلاف طائفة من المتكلّمين وجماعة من المفكّرين الغربيّين ، لكن تبيين الموضوع ومناقشة الأقوال والآراء ، والقضاء بين أدلة الطرفين والثمرات المترتبة على المسألة على وجه الإيجاز ، يأتي في ضمن فصول </w:t>
      </w:r>
      <w:r>
        <w:rPr>
          <w:rFonts w:eastAsia="Amiri" w:cs="Amiri" w:ascii="Amiri" w:hAnsi="Amiri"/>
          <w:color w:val="111111"/>
          <w:sz w:val="28"/>
          <w:szCs w:val="28"/>
          <w:rtl w:val="true"/>
          <w:lang w:bidi="ar-SA"/>
        </w:rPr>
        <w:t xml:space="preserve">: </w:t>
      </w:r>
      <w:bookmarkStart w:id="22" w:name="pg11047_102518"/>
    </w:p>
    <w:p>
      <w:pPr>
        <w:pStyle w:val="Heading4"/>
        <w:numPr>
          <w:ilvl w:val="3"/>
          <w:numId w:val="1"/>
        </w:numPr>
        <w:rPr/>
      </w:pPr>
      <w:bookmarkStart w:id="23" w:name="__RefHeading___Toc1390917_1067777946"/>
      <w:bookmarkStart w:id="24" w:name="_Toc8"/>
      <w:bookmarkEnd w:id="22"/>
      <w:bookmarkEnd w:id="23"/>
      <w:r>
        <w:rPr/>
        <w:t>1</w:t>
      </w:r>
      <w:r>
        <w:rPr>
          <w:rtl w:val="true"/>
        </w:rPr>
        <w:t xml:space="preserve">- </w:t>
      </w:r>
      <w:r>
        <w:rPr>
          <w:rtl w:val="true"/>
        </w:rPr>
        <w:t>ملاكات التحسين والتقبيح العقليّين</w:t>
      </w:r>
      <w:bookmarkEnd w:id="24"/>
    </w:p>
    <w:p>
      <w:pPr>
        <w:pStyle w:val="Heading5"/>
        <w:numPr>
          <w:ilvl w:val="4"/>
          <w:numId w:val="1"/>
        </w:numPr>
        <w:rPr/>
      </w:pPr>
      <w:bookmarkStart w:id="25" w:name="__RefHeading___Toc1390919_1067777946"/>
      <w:bookmarkStart w:id="26" w:name="_Toc9"/>
      <w:bookmarkEnd w:id="25"/>
      <w:r>
        <w:rPr>
          <w:rtl w:val="true"/>
        </w:rPr>
        <w:t>اشارة</w:t>
      </w:r>
      <w:bookmarkEnd w:id="26"/>
    </w:p>
    <w:p>
      <w:pPr>
        <w:pStyle w:val="BookText"/>
        <w:rPr/>
      </w:pPr>
      <w:r>
        <w:rPr>
          <w:rFonts w:ascii="Amiri" w:hAnsi="Amiri" w:eastAsia="Amiri" w:cs="Amiri"/>
          <w:color w:val="111111"/>
          <w:sz w:val="28"/>
          <w:sz w:val="28"/>
          <w:szCs w:val="28"/>
          <w:rtl w:val="true"/>
          <w:lang w:bidi="ar-SA"/>
        </w:rPr>
        <w:t>إنّ القول بأنّ العقل قادر على درك حسن الأفعال وقبحها ، يُفسّر على وجوه ، فلا بدّ من ذكرها وتعيين ما هو محطّ البحث بين المثبتين والمنكرين</w:t>
      </w:r>
      <w:r>
        <w:rPr>
          <w:rFonts w:eastAsia="Amiri" w:cs="Amiri" w:ascii="Amiri" w:hAnsi="Amiri"/>
          <w:color w:val="111111"/>
          <w:sz w:val="28"/>
          <w:szCs w:val="28"/>
          <w:rtl w:val="true"/>
          <w:lang w:bidi="ar-SA"/>
        </w:rPr>
        <w:t>.</w:t>
      </w:r>
    </w:p>
    <w:p>
      <w:pPr>
        <w:pStyle w:val="Heading5"/>
        <w:numPr>
          <w:ilvl w:val="4"/>
          <w:numId w:val="1"/>
        </w:numPr>
        <w:rPr/>
      </w:pPr>
      <w:bookmarkStart w:id="27" w:name="__RefHeading___Toc1390921_1067777946"/>
      <w:bookmarkStart w:id="28" w:name="_Toc10"/>
      <w:bookmarkEnd w:id="27"/>
      <w:r>
        <w:rPr/>
        <w:t>1</w:t>
      </w:r>
      <w:r>
        <w:rPr>
          <w:rtl w:val="true"/>
        </w:rPr>
        <w:t xml:space="preserve">. </w:t>
      </w:r>
      <w:r>
        <w:rPr>
          <w:rtl w:val="true"/>
        </w:rPr>
        <w:t>التحسين والتقبيح الذاتيان</w:t>
      </w:r>
      <w:bookmarkEnd w:id="28"/>
    </w:p>
    <w:p>
      <w:pPr>
        <w:pStyle w:val="BookText"/>
        <w:rPr/>
      </w:pPr>
      <w:r>
        <w:rPr>
          <w:rFonts w:ascii="Amiri" w:hAnsi="Amiri" w:eastAsia="Amiri" w:cs="Amiri"/>
          <w:color w:val="111111"/>
          <w:sz w:val="28"/>
          <w:sz w:val="28"/>
          <w:szCs w:val="28"/>
          <w:rtl w:val="true"/>
          <w:lang w:bidi="ar-SA"/>
        </w:rPr>
        <w:t xml:space="preserve">إذا كان الفعل الصادر عن الفاعل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أكان واجباً أم ممكناً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إذا نظر إليه العقل وتجرّد عن كلّ شيء ، يحكم بحسنه ولزوم فعله أو بقبحه ولزوم تركه ، فالعقل في قضائه هذا بالحسن أو القبح ، لا ينظر إلاّ إلى نفس الموضوع ، دون ما يترتّب عليه من المصالح والمفاسد العامّة ، أو كونه موافقاً لغرض الفاعل أو الإنسان الحاكم أو غير ذلك من الأُمور الخارجة عن ذات الفعل ، فهذا هو المسمّى بالتحسين والتقبيح العقليّين الذاتيّين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مثاله ، الإحسان والظلم فيستقل العقل بحسن الأوّل وقبح الثاني ، من دون نظر إلى مصالح الفعل أو مفاسده ، أو كونه مؤمِّناً لغرض الفاعل أو الحاكم ، فكأنّ الحسن والقبح داخلان في ذات الفعل وجوهره ، لا ينفكان عنه ، ففرض الفعل يلازم فرض أحد الحكمين</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وسيوافيك انّ هذا هو محطّ البحث بين المثبت والنافي</w:t>
      </w:r>
      <w:r>
        <w:rPr>
          <w:rFonts w:eastAsia="Amiri" w:cs="Amiri" w:ascii="Amiri" w:hAnsi="Amiri"/>
          <w:color w:val="111111"/>
          <w:sz w:val="28"/>
          <w:szCs w:val="28"/>
          <w:rtl w:val="true"/>
          <w:lang w:bidi="ar-SA"/>
        </w:rPr>
        <w:t xml:space="preserve">. </w:t>
      </w:r>
      <w:bookmarkStart w:id="29" w:name="pg11047_102519"/>
    </w:p>
    <w:p>
      <w:pPr>
        <w:pStyle w:val="Heading5"/>
        <w:numPr>
          <w:ilvl w:val="4"/>
          <w:numId w:val="1"/>
        </w:numPr>
        <w:rPr/>
      </w:pPr>
      <w:bookmarkStart w:id="30" w:name="__RefHeading___Toc1390923_1067777946"/>
      <w:bookmarkStart w:id="31" w:name="_Toc11"/>
      <w:bookmarkEnd w:id="29"/>
      <w:bookmarkEnd w:id="30"/>
      <w:r>
        <w:rPr/>
        <w:t>2</w:t>
      </w:r>
      <w:r>
        <w:rPr>
          <w:rtl w:val="true"/>
        </w:rPr>
        <w:t xml:space="preserve">. </w:t>
      </w:r>
      <w:r>
        <w:rPr>
          <w:rtl w:val="true"/>
        </w:rPr>
        <w:t>التحسين والتقبيح في إطار المصالح والمفاسد</w:t>
      </w:r>
      <w:bookmarkEnd w:id="31"/>
    </w:p>
    <w:p>
      <w:pPr>
        <w:pStyle w:val="BookText"/>
        <w:rPr/>
      </w:pPr>
      <w:r>
        <w:rPr>
          <w:rFonts w:ascii="Amiri" w:hAnsi="Amiri" w:eastAsia="Amiri" w:cs="Amiri"/>
          <w:color w:val="111111"/>
          <w:sz w:val="28"/>
          <w:sz w:val="28"/>
          <w:szCs w:val="28"/>
          <w:rtl w:val="true"/>
          <w:lang w:bidi="ar-SA"/>
        </w:rPr>
        <w:t>تؤكد هذه النظرية على القول بالتحسين والتقبيح العقليّين ، لكن بالنظر إلى المصالح والمفاسد المترتبة على الفعل ، ففي هذه النظرة لا يكون الفعل بما هو هو ، موضوعاً للحسن والقبح كما عليه النظرية السابقة بل باعتبار كونه مبدأ للمصالح والمفاسد ، وربّما يعبّر عن المصالح والمفاسد ، بالأغراض والمقاصد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منها ، هي الأغراض النوعية لا الشخصية وإلاّ يلزم الهرج والمرج في وصف الأفعال ، فإنّ الظلم يؤمِّن غرض الظالم ، دون المظلوم فيوصف بالقبح عند الأوّل دون الثاني ، بل المراد المصالح والأغراض العقلائية التي يدور عليها بقاء النظام وهذا كالعدل فانّه حسن إذ به قوام النظام ، والظلم فانّه قبيح لأنّه هادم للنظام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وسيوافيك انّ وصف الأفعال بالحسن والقبح باعتبار الآثار المترتّبة عليها وإن كان صحيحاً ، لكنّه يصلح لوصف قسم من الأفعال بهما وهو أفعال الإنسان الذي يحمل فعْلُه المصلحةَ النوعية أو مفسدتها ولا يشمل فعل الله سبحانه فإن فعله يوصف بالحسن والقبح دون أن يكون هناك حديث المصلحة أو المفسدة كأخذ البريء بذنب المجرم ، ونقض العهد والميثاق ، وإساءة المحسن فانّه قبيح من دون أن يكون هنا أي فساد ، فشمولية المسألة ، لفعل المولى سبحانه وعبده يقتضي خروج هذا النوع من الحسن والقبح عن محط البحث</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انّ الغاية الكبرى من الخوض في هذه المسألة ، هو التعرف على أفعاله سبحانه وتمييز ما يجوز عليه عمّا لا يجوز ، فلا محيص من القول بأنّ الملاك لوصف الفعل بالحسن والقبح في إطار عام حتّى يشتمل فعله سبحانه ، هو الملاك الأوّل ، أي ما يكون الفعل بما هو هو ، مجرّداً عن القيود التالية </w:t>
      </w:r>
      <w:r>
        <w:rPr>
          <w:rFonts w:eastAsia="Amiri" w:cs="Amiri" w:ascii="Amiri" w:hAnsi="Amiri"/>
          <w:color w:val="111111"/>
          <w:sz w:val="28"/>
          <w:szCs w:val="28"/>
          <w:rtl w:val="true"/>
          <w:lang w:bidi="ar-SA"/>
        </w:rPr>
        <w:t xml:space="preserve">: </w:t>
      </w:r>
      <w:bookmarkStart w:id="32" w:name="pg11047_102520"/>
    </w:p>
    <w:p>
      <w:pPr>
        <w:pStyle w:val="BookText"/>
        <w:rPr/>
      </w:pPr>
      <w:bookmarkEnd w:id="32"/>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 الفاعل واجباً أو ممكناً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 الفعل ممّا يترتّب عليه المصلحة أو 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كونه مؤمِّناً للغرض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موضوعاً لحكم العقل بالحسن أو القبح</w:t>
      </w:r>
      <w:r>
        <w:rPr>
          <w:rFonts w:eastAsia="Amiri" w:cs="Amiri" w:ascii="Amiri" w:hAnsi="Amiri"/>
          <w:color w:val="111111"/>
          <w:sz w:val="28"/>
          <w:szCs w:val="28"/>
          <w:rtl w:val="true"/>
          <w:lang w:bidi="ar-SA"/>
        </w:rPr>
        <w:t>.</w:t>
      </w:r>
    </w:p>
    <w:p>
      <w:pPr>
        <w:pStyle w:val="Heading5"/>
        <w:numPr>
          <w:ilvl w:val="4"/>
          <w:numId w:val="1"/>
        </w:numPr>
        <w:rPr/>
      </w:pPr>
      <w:bookmarkStart w:id="33" w:name="__RefHeading___Toc1390925_1067777946"/>
      <w:bookmarkStart w:id="34" w:name="_Toc12"/>
      <w:bookmarkEnd w:id="33"/>
      <w:r>
        <w:rPr/>
        <w:t>3</w:t>
      </w:r>
      <w:r>
        <w:rPr>
          <w:rtl w:val="true"/>
        </w:rPr>
        <w:t xml:space="preserve">. </w:t>
      </w:r>
      <w:r>
        <w:rPr>
          <w:rtl w:val="true"/>
        </w:rPr>
        <w:t>موافقة العادات والتقاليد</w:t>
      </w:r>
      <w:bookmarkEnd w:id="34"/>
    </w:p>
    <w:p>
      <w:pPr>
        <w:pStyle w:val="BookText"/>
        <w:rPr/>
      </w:pPr>
      <w:r>
        <w:rPr>
          <w:rFonts w:ascii="Amiri" w:hAnsi="Amiri" w:eastAsia="Amiri" w:cs="Amiri"/>
          <w:color w:val="111111"/>
          <w:sz w:val="28"/>
          <w:sz w:val="28"/>
          <w:szCs w:val="28"/>
          <w:rtl w:val="true"/>
          <w:lang w:bidi="ar-SA"/>
        </w:rPr>
        <w:t>إنّ لكلّ قوم عادات وتقاليد تخصّهم ، فملاك الحسن والقبح موافقة الفعل للعادات والتقاليد ومخالفتها ، وربّما يطلق عليه الحسن والقبح العرفيان ، والتحسين والتقبيح بهذا المعنى وإن كان صحيحاً لكنّه لا يصلح لأن تكون ملاكاً للبحث عند المتكلّمين أو الأُصوليين ، لانّهما بهذا المعنى يُصبحان أمرين نسبيين أوّلاً ، لأنّ المعروف عند قوم ربما يكون منكراً عند قوم آخر ؛ ولا يكون معياراً لمعرفة وصف أفعاله سبحانه ثانياً ، لأنّها فوق العادات والتقاليد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فخرجنا بالنتيجة التالية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لوصف الأفعال بالحسن والقبح ملاكات ثلاثة فالذي يصلح لأن يكون ملاكاً للبحث في المقام ، هو كون الفعل مجرّداً عن أي قيد وشرط ، صالحاً لوصفه عند العقل بأحدهما ، دون الملاكين الآخرين ، كوصفه بهما باعتبار ما يترتّب عليه من المصالح والمفاسد ، والمنافع والمضار النوعية ، أو باعتبار موافقته العادة السائدة على القوم أو مخالفتها ، فإنّ هذين الملاكين تحدِّد المسألة على وجه يخرج فعله سبحانه عن موردها</w:t>
      </w:r>
      <w:r>
        <w:rPr>
          <w:rFonts w:eastAsia="Amiri" w:cs="Amiri" w:ascii="Amiri" w:hAnsi="Amiri"/>
          <w:color w:val="111111"/>
          <w:sz w:val="28"/>
          <w:szCs w:val="28"/>
          <w:rtl w:val="true"/>
          <w:lang w:bidi="ar-SA"/>
        </w:rPr>
        <w:t xml:space="preserve">. </w:t>
      </w:r>
      <w:bookmarkStart w:id="35" w:name="pg11047_102521"/>
    </w:p>
    <w:p>
      <w:pPr>
        <w:pStyle w:val="Heading4"/>
        <w:numPr>
          <w:ilvl w:val="3"/>
          <w:numId w:val="1"/>
        </w:numPr>
        <w:rPr/>
      </w:pPr>
      <w:bookmarkStart w:id="36" w:name="__RefHeading___Toc1390927_1067777946"/>
      <w:bookmarkStart w:id="37" w:name="_Toc13"/>
      <w:bookmarkEnd w:id="35"/>
      <w:bookmarkEnd w:id="36"/>
      <w:r>
        <w:rPr/>
        <w:t>2</w:t>
      </w:r>
      <w:r>
        <w:rPr>
          <w:rtl w:val="true"/>
        </w:rPr>
        <w:t xml:space="preserve">- </w:t>
      </w:r>
      <w:r>
        <w:rPr>
          <w:rtl w:val="true"/>
        </w:rPr>
        <w:t>تقسيم الحكمة إلى نظريّة وعمليّة</w:t>
      </w:r>
      <w:bookmarkEnd w:id="37"/>
    </w:p>
    <w:p>
      <w:pPr>
        <w:pStyle w:val="BookText"/>
        <w:rPr/>
      </w:pPr>
      <w:r>
        <w:rPr>
          <w:rFonts w:ascii="Amiri" w:hAnsi="Amiri" w:eastAsia="Amiri" w:cs="Amiri"/>
          <w:color w:val="111111"/>
          <w:sz w:val="28"/>
          <w:sz w:val="28"/>
          <w:szCs w:val="28"/>
          <w:rtl w:val="true"/>
          <w:lang w:bidi="ar-SA"/>
        </w:rPr>
        <w:t xml:space="preserve">تنقسم الحكمة ، لدى الحكماء منذ عهد مبكِّر إلى حكمة نظرية وحكمة عملية ، فلو تعلّق الإدراك بما من شأنه أن يُعلم ، كانقسام الموجود إلى واجب وممكن ، فهو حكمة نظريّة ولو تعلّق بما من شأنه أن يعمل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بالميثاق حسن ونقضه قبيح فهو حكمة عملية فالحكمتان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النظرية والعملية كلاهما من أقسام الإدراك وإنّما الاختلاف في المتعلَّق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المعنى المعروف عند الفلاسفة والمتكلّمين وهو الظاهر من عبارة الفارابي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النظرية هي التي بها يحوز الإنسان علم ما من شأنه أن يعلمه إنسان ، والعملية هي التي يعرف ما من شأنه أن يعمله الإنسان بإرادته</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والعقل المدرِك للحكمة الأُولى عقل نظري والمدرِك للثانية منهما عقل عمليّ وليس معناه انّ هنا عقلين مختلفين جوهراً بل عقل واحد يوصف تارة بالنظري وأُخرى بالعملي باعتبار اختلاف متعلقه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مصطلح آخر للعقل العملي ، يجعله في عداد القوى العاملة التي هي مبدأ محرّك لبدن الإنسان إلى الأفاعيل الجزئيّة </w:t>
      </w:r>
      <w:r>
        <w:rPr>
          <w:rStyle w:val="FootnoteAnchor"/>
          <w:rtl w:val="true"/>
        </w:rPr>
        <w:footnoteReference w:id="4"/>
      </w:r>
      <w:r>
        <w:rPr>
          <w:rFonts w:ascii="Amiri" w:hAnsi="Amiri" w:eastAsia="Amiri" w:cs="Amiri"/>
          <w:color w:val="111111"/>
          <w:sz w:val="28"/>
          <w:sz w:val="28"/>
          <w:szCs w:val="28"/>
          <w:rtl w:val="true"/>
          <w:lang w:bidi="ar-SA"/>
        </w:rPr>
        <w:t>، أعرضنا عن ذكره تفصيلاً روماً للاختصار</w:t>
      </w:r>
      <w:r>
        <w:rPr>
          <w:rFonts w:eastAsia="Amiri" w:cs="Amiri" w:ascii="Amiri" w:hAnsi="Amiri"/>
          <w:color w:val="111111"/>
          <w:sz w:val="28"/>
          <w:szCs w:val="28"/>
          <w:rtl w:val="true"/>
          <w:lang w:bidi="ar-SA"/>
        </w:rPr>
        <w:t xml:space="preserve">. </w:t>
      </w:r>
      <w:bookmarkStart w:id="38" w:name="pg11047_102522"/>
    </w:p>
    <w:p>
      <w:pPr>
        <w:pStyle w:val="Heading4"/>
        <w:numPr>
          <w:ilvl w:val="3"/>
          <w:numId w:val="1"/>
        </w:numPr>
        <w:rPr/>
      </w:pPr>
      <w:bookmarkStart w:id="39" w:name="__RefHeading___Toc1390929_1067777946"/>
      <w:bookmarkStart w:id="40" w:name="_Toc14"/>
      <w:bookmarkEnd w:id="38"/>
      <w:bookmarkEnd w:id="39"/>
      <w:r>
        <w:rPr/>
        <w:t>3</w:t>
      </w:r>
      <w:r>
        <w:rPr>
          <w:rtl w:val="true"/>
        </w:rPr>
        <w:t xml:space="preserve">- </w:t>
      </w:r>
      <w:r>
        <w:rPr>
          <w:rtl w:val="true"/>
        </w:rPr>
        <w:t>تقسيم القضايا إلى ضرورية وغير ضرورية</w:t>
      </w:r>
      <w:bookmarkEnd w:id="40"/>
    </w:p>
    <w:p>
      <w:pPr>
        <w:pStyle w:val="BookText"/>
        <w:rPr/>
      </w:pPr>
      <w:r>
        <w:rPr>
          <w:rFonts w:ascii="Amiri" w:hAnsi="Amiri" w:eastAsia="Amiri" w:cs="Amiri"/>
          <w:color w:val="111111"/>
          <w:sz w:val="28"/>
          <w:sz w:val="28"/>
          <w:szCs w:val="28"/>
          <w:rtl w:val="true"/>
          <w:lang w:bidi="ar-SA"/>
        </w:rPr>
        <w:t>تنقسم الحكمة النظرية إلى ضروريّة وغير ضروريّة ، فالقسم الأوّل ما يحضر في النفس بلا نظر ، والقسم الثاني ، ما يحصل فيها بعد إعمال الفكر والنظر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التقسيم انّه لو كانت القضايا بأجمعها ضرورية لما احتاجت إلى التفكير ولم يكن هناك أية مشكلة فكرية ، ولو كانت بأسرها غير ضرورية لتاه الإنسان في دوّامة من المشاكل الفكرية دون أن يجد حلولاً لها ، لأنّ المفروض كون القضايا على نمط واحد ، فلم يكن بد من أن تكون القضايا في الحكمة النظرية منقسمة إلى قسمين حتّى يستمد في حل غير الضروري ، من الضروري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فكما أنّ القضايا في الحكمة النظرية تنقسم إلى قسمين ، فهكذا الحال في الحكمة العملية تنقسم إلى ضرورية وغير ضرورية بنفس الدليل السابق في الحكمة النظرية ، فانّ القضايا التي يحكم العقل بحسنها أو قبحها ، وبالتالي يمدح الفاعل ويذمُّه ويُلزم العمل على وفقه أو الاجتناب عنه لا تخلو من حالتين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إمّا أن تكون قضايا واضحة يدركها العقل بلا توسيط مقدّمة ، وهي القضايا الضرورية في الحكمة العملية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أن لا يدركها إلاّ بإرجاعها إلى قضايا أُخرى حتّى تنتهي إلى أُم القضايا العملية الضرورية لتكون مفتاحاً لحمل سائر القضايا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 كان امتناع اجتماع الضدّين أو ارتفاعهما أُمّ القضايا في الحكمة النظرية وبهما تثبت صحّة كلّ القضايا في العلوم ، فحسن العدل وقبح الظلم أُمّ القضايا في الحكمة العملية ، فلا يحكم بحسن شيء أو قبحه إلاّ إذا انطبق على الفعل أحد العنوانين</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يظهر انّ تقسيم القضايا إلى ضروريّة وغير ضروريّة ، لا ينحصر بالحكمة النظريّة ، بل يعمّ القسمين ، والدليل على التقسيم جار في كلا القسمين</w:t>
      </w:r>
      <w:r>
        <w:rPr>
          <w:rFonts w:eastAsia="Amiri" w:cs="Amiri" w:ascii="Amiri" w:hAnsi="Amiri"/>
          <w:color w:val="111111"/>
          <w:sz w:val="28"/>
          <w:szCs w:val="28"/>
          <w:rtl w:val="true"/>
          <w:lang w:bidi="ar-SA"/>
        </w:rPr>
        <w:t xml:space="preserve">. </w:t>
      </w:r>
      <w:bookmarkStart w:id="41" w:name="pg11047_102524"/>
    </w:p>
    <w:p>
      <w:pPr>
        <w:pStyle w:val="Heading4"/>
        <w:numPr>
          <w:ilvl w:val="3"/>
          <w:numId w:val="1"/>
        </w:numPr>
        <w:rPr/>
      </w:pPr>
      <w:bookmarkStart w:id="42" w:name="__RefHeading___Toc1390931_1067777946"/>
      <w:bookmarkStart w:id="43" w:name="_Toc15"/>
      <w:bookmarkEnd w:id="41"/>
      <w:bookmarkEnd w:id="42"/>
      <w:r>
        <w:rPr/>
        <w:t>4</w:t>
      </w:r>
      <w:r>
        <w:rPr>
          <w:rtl w:val="true"/>
        </w:rPr>
        <w:t xml:space="preserve">- </w:t>
      </w:r>
      <w:r>
        <w:rPr>
          <w:rtl w:val="true"/>
        </w:rPr>
        <w:t>أدلّة القول بالتحسين والتقبيح العقليّين</w:t>
      </w:r>
      <w:bookmarkEnd w:id="43"/>
    </w:p>
    <w:p>
      <w:pPr>
        <w:pStyle w:val="Heading5"/>
        <w:numPr>
          <w:ilvl w:val="4"/>
          <w:numId w:val="1"/>
        </w:numPr>
        <w:rPr/>
      </w:pPr>
      <w:bookmarkStart w:id="44" w:name="__RefHeading___Toc1390933_1067777946"/>
      <w:bookmarkStart w:id="45" w:name="_Toc16"/>
      <w:bookmarkEnd w:id="44"/>
      <w:r>
        <w:rPr>
          <w:rtl w:val="true"/>
        </w:rPr>
        <w:t>اشارة</w:t>
      </w:r>
      <w:bookmarkEnd w:id="45"/>
    </w:p>
    <w:p>
      <w:pPr>
        <w:pStyle w:val="BookText"/>
        <w:rPr/>
      </w:pPr>
      <w:r>
        <w:rPr>
          <w:rFonts w:ascii="Amiri" w:hAnsi="Amiri" w:eastAsia="Amiri" w:cs="Amiri"/>
          <w:color w:val="111111"/>
          <w:sz w:val="28"/>
          <w:sz w:val="28"/>
          <w:szCs w:val="28"/>
          <w:rtl w:val="true"/>
          <w:lang w:bidi="ar-SA"/>
        </w:rPr>
        <w:t>أقام القائلون بالتحسين والتقبيح العقليّين أدلّة ساطعة على أنّ العقل يدرك حسن الأفعال وقبحها ولا يقتصر على مجرّد الإدراك ، بل يبعث إلى الأوّل ويمدح فاعله ، ويزجر عن الثاني ويذم فاعله ، والرسالة الحاضرة لا تتحمل البسط بنقل عامة الدلائل ونكتفي من الكثير بالقليل</w:t>
      </w:r>
      <w:r>
        <w:rPr>
          <w:rFonts w:eastAsia="Amiri" w:cs="Amiri" w:ascii="Amiri" w:hAnsi="Amiri"/>
          <w:color w:val="111111"/>
          <w:sz w:val="28"/>
          <w:szCs w:val="28"/>
          <w:rtl w:val="true"/>
          <w:lang w:bidi="ar-SA"/>
        </w:rPr>
        <w:t>.</w:t>
      </w:r>
    </w:p>
    <w:p>
      <w:pPr>
        <w:pStyle w:val="Heading5"/>
        <w:numPr>
          <w:ilvl w:val="4"/>
          <w:numId w:val="1"/>
        </w:numPr>
        <w:rPr/>
      </w:pPr>
      <w:bookmarkStart w:id="46" w:name="__RefHeading___Toc1390935_1067777946"/>
      <w:bookmarkStart w:id="47" w:name="_Toc17"/>
      <w:bookmarkEnd w:id="46"/>
      <w:r>
        <w:rPr>
          <w:rtl w:val="true"/>
        </w:rPr>
        <w:t xml:space="preserve">الأوّل </w:t>
      </w:r>
      <w:r>
        <w:rPr>
          <w:rtl w:val="true"/>
        </w:rPr>
        <w:t xml:space="preserve">: </w:t>
      </w:r>
      <w:r>
        <w:rPr>
          <w:rtl w:val="true"/>
        </w:rPr>
        <w:t>بداهة العقل</w:t>
      </w:r>
      <w:bookmarkEnd w:id="47"/>
    </w:p>
    <w:p>
      <w:pPr>
        <w:pStyle w:val="BookText"/>
        <w:rPr/>
      </w:pPr>
      <w:r>
        <w:rPr>
          <w:rFonts w:ascii="Amiri" w:hAnsi="Amiri" w:eastAsia="Amiri" w:cs="Amiri"/>
          <w:color w:val="111111"/>
          <w:sz w:val="28"/>
          <w:sz w:val="28"/>
          <w:szCs w:val="28"/>
          <w:rtl w:val="true"/>
          <w:lang w:bidi="ar-SA"/>
        </w:rPr>
        <w:t>كلّ إنسان يجد في نفسه حسن العدل وقبح الظلم ، وإذا عَرَضَ الموضوعين على وجدانه ، يجد في نفسه نزوعاً إلى العدل واستحساناً له ، وتنفراً عن الظلم وتقبيحاً له ، وهكذا سائر الأفعال التي تعد من مشتقات العدل والظلم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بالتحسين والتقبيح ليس ناتجاً من صميم العقل وإنّما هو وليد التعاليم الدينية الراسخة التي يعتمد عليها المصلحون في دعوتهم فصار ذلك سبباً لرسوخ تلك الفكرة في أذهان الناس</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وقفة قصيرة أمام هذا السؤال تُبطل هذا الاحتمال ، إذ لو كانت الفكرة ناتجة من دعوة المصلحين لاختصت الفكرة بهم وبمن وقع في إطار دعوتهم ، ولكنّا نجد الفكرة أوسع من ذلك فقد غطَّت كافةَ الأُمم وطوائف البشر حتّى الّذين لا </w:t>
      </w:r>
      <w:bookmarkStart w:id="48" w:name="pg11047_102525"/>
    </w:p>
    <w:p>
      <w:pPr>
        <w:pStyle w:val="BookText"/>
        <w:rPr/>
      </w:pPr>
      <w:bookmarkEnd w:id="48"/>
      <w:r>
        <w:rPr>
          <w:rFonts w:ascii="Amiri" w:hAnsi="Amiri" w:eastAsia="Amiri" w:cs="Amiri"/>
          <w:color w:val="111111"/>
          <w:sz w:val="28"/>
          <w:sz w:val="28"/>
          <w:szCs w:val="28"/>
          <w:rtl w:val="true"/>
          <w:lang w:bidi="ar-SA"/>
        </w:rPr>
        <w:t>يمتلكون ايماناً بالشرائع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ما ذكر يشير العلاّمة الحلي في شرح تجريد الاعتقاد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نعلم بالضرورة حسن بعض الأشياء ، وقبح بعضها من غير نظر إلى شرع ، فإنّ كلّ عاقل يجزم بحسن الإحسان ويمدح عليه وبقبح الإساءة والظلم ويذم عليه ، وهذا حكم ضروري لا يقبل الشك وليس مستفاداً من الشرع لحكم البراهمة والملاحدة به من غير اعتراف بالشرائع</w:t>
      </w:r>
      <w:r>
        <w:rPr>
          <w:rFonts w:eastAsia="Amiri" w:cs="Amiri" w:ascii="Amiri" w:hAnsi="Amiri"/>
          <w:color w:val="111111"/>
          <w:sz w:val="28"/>
          <w:szCs w:val="28"/>
          <w:rtl w:val="true"/>
          <w:lang w:bidi="ar-SA"/>
        </w:rPr>
        <w:t xml:space="preserve">. </w:t>
      </w:r>
      <w:r>
        <w:rPr>
          <w:rStyle w:val="FootnoteAnchor"/>
          <w:rtl w:val="true"/>
        </w:rPr>
        <w:footnoteReference w:id="5"/>
      </w:r>
    </w:p>
    <w:p>
      <w:pPr>
        <w:pStyle w:val="Heading5"/>
        <w:numPr>
          <w:ilvl w:val="4"/>
          <w:numId w:val="1"/>
        </w:numPr>
        <w:rPr/>
      </w:pPr>
      <w:bookmarkStart w:id="49" w:name="__RefHeading___Toc1390937_1067777946"/>
      <w:bookmarkStart w:id="50" w:name="_Toc18"/>
      <w:bookmarkEnd w:id="49"/>
      <w:r>
        <w:rPr>
          <w:rtl w:val="true"/>
        </w:rPr>
        <w:t xml:space="preserve">الثاني </w:t>
      </w:r>
      <w:r>
        <w:rPr>
          <w:rtl w:val="true"/>
        </w:rPr>
        <w:t xml:space="preserve">: </w:t>
      </w:r>
      <w:r>
        <w:rPr>
          <w:rtl w:val="true"/>
        </w:rPr>
        <w:t>عدم ثبوتهما مطلقاً لو قلنا بالشرع فقط</w:t>
      </w:r>
      <w:bookmarkEnd w:id="50"/>
    </w:p>
    <w:p>
      <w:pPr>
        <w:pStyle w:val="BookText"/>
        <w:rPr/>
      </w:pPr>
      <w:r>
        <w:rPr>
          <w:rFonts w:ascii="Amiri" w:hAnsi="Amiri" w:eastAsia="Amiri" w:cs="Amiri"/>
          <w:color w:val="111111"/>
          <w:sz w:val="28"/>
          <w:sz w:val="28"/>
          <w:szCs w:val="28"/>
          <w:rtl w:val="true"/>
          <w:lang w:bidi="ar-SA"/>
        </w:rPr>
        <w:t>إنّ نفاة القول بالتحسين والتقبيح العقليّين ذهبوا إلى أنّ التعرّف على حسن الأفعال وقبحها رهن بيان الشرع ، فما حسّنه الشارع فهو حسن وما قبحه فهو قبيح ، وليس للعقل سبيل إلى معرفة حسن الأفعال وقبحها ، ولكنّهم غفلوا عن مضاعفات هذا القول ، إذ لازمه عدم ثبوت الحسن والقبح مطلقاً حتّى الشرعي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قلنا بأنّه لا سبيل للعقل إلى معرفة حسن الفعل أو قبحه ولا يُعرفان إلاّ بتصريح الشرع بأنّ العدل حسن أو الظلم قبيح ، لا يحصل الجزم بقوله ، لتجويز الكذب عليه وبالتالي نحتمل أن يكون ما وصفه بالحسن ، قبيحاً واقعاً ، وما وصفه بالقبح ، حسناً كذلك</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افترضنا انّ الشارع أضاف إلى ما ذكره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 حسن والكذب قبيح ، لا ينفعنا في الجزم بما حكم على العدل والظلم ، من تحسين الأوّل وتقبيح الثاني لتجويز الكذب عليه في كلّ ما يخبر حتى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الصدق 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والكذب </w:t>
      </w:r>
      <w:bookmarkStart w:id="51" w:name="pg11047_102526"/>
    </w:p>
    <w:p>
      <w:pPr>
        <w:pStyle w:val="BookText"/>
        <w:rPr/>
      </w:pPr>
      <w:bookmarkEnd w:id="51"/>
      <w:r>
        <w:rPr>
          <w:rFonts w:ascii="Amiri" w:hAnsi="Amiri" w:eastAsia="Amiri" w:cs="Amiri"/>
          <w:color w:val="111111"/>
          <w:sz w:val="28"/>
          <w:sz w:val="28"/>
          <w:szCs w:val="28"/>
          <w:rtl w:val="true"/>
          <w:lang w:bidi="ar-SA"/>
        </w:rPr>
        <w:t>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يدفع هذا الاحتمال إلاّ بثبوت حسن الصدق وقبح الكذب قبل كلّ شيء بفضل العقل فما لم يثبت هذا الأصل بدليل العقل وحكمه لما حصل اليقين بصدق الأحكام الصادرة عن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وحصيلة الكلام ، أنّه ما لم يثبت حسن الصدق وقبح الكذب عن طريق العقل لا يثبت حسن أيِّ فعل أو قبحه بحكم الشرع ، لأنّه من المحتمل أن يأمر بما هو المنكر عنده أو ينهى عمّا هو المعروف عنده ولو أخبر عن طريق أنبيائه وسفرائه انّه إنّما يأمر بالعدل والإحسان ، وينهى عن الفحشاء والمنكر ، فلا يحصل اليقين بصدق كلامه وأخباره ، لمكان احتمال الكذب في كلامه هذا ، ولا يُنفى هذا الاحتمال إلاّ إذا ثبت عن غير طريق الشرع حسن الأوّل وقبح الثاني وانّه سبحانه فاعل مختار حكيم ، مثله لا يكذب ، ولا يعبث بكلامه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تدبّر نفاة القول بالتحسين والتقبيح العقليّين في هذا الدليل لرجعوا عن إنكارهم إلى الصراط المستقيم</w:t>
      </w:r>
      <w:r>
        <w:rPr>
          <w:rFonts w:eastAsia="Amiri" w:cs="Amiri" w:ascii="Amiri" w:hAnsi="Amiri"/>
          <w:color w:val="111111"/>
          <w:sz w:val="28"/>
          <w:szCs w:val="28"/>
          <w:rtl w:val="true"/>
          <w:lang w:bidi="ar-SA"/>
        </w:rPr>
        <w:t>.</w:t>
      </w:r>
    </w:p>
    <w:p>
      <w:pPr>
        <w:pStyle w:val="Heading5"/>
        <w:numPr>
          <w:ilvl w:val="4"/>
          <w:numId w:val="1"/>
        </w:numPr>
        <w:rPr/>
      </w:pPr>
      <w:bookmarkStart w:id="52" w:name="__RefHeading___Toc1390939_1067777946"/>
      <w:bookmarkStart w:id="53" w:name="_Toc19"/>
      <w:bookmarkEnd w:id="52"/>
      <w:r>
        <w:rPr>
          <w:rtl w:val="true"/>
        </w:rPr>
        <w:t xml:space="preserve">الثالث </w:t>
      </w:r>
      <w:r>
        <w:rPr>
          <w:rtl w:val="true"/>
        </w:rPr>
        <w:t xml:space="preserve">: </w:t>
      </w:r>
      <w:r>
        <w:rPr>
          <w:rtl w:val="true"/>
        </w:rPr>
        <w:t>إنكارهما يلازم امتناع إثبات الشرائع السماوية</w:t>
      </w:r>
      <w:bookmarkEnd w:id="53"/>
    </w:p>
    <w:p>
      <w:pPr>
        <w:pStyle w:val="BookText"/>
        <w:rPr/>
      </w:pPr>
      <w:r>
        <w:rPr>
          <w:rFonts w:ascii="Amiri" w:hAnsi="Amiri" w:eastAsia="Amiri" w:cs="Amiri"/>
          <w:color w:val="111111"/>
          <w:sz w:val="28"/>
          <w:sz w:val="28"/>
          <w:szCs w:val="28"/>
          <w:rtl w:val="true"/>
          <w:lang w:bidi="ar-SA"/>
        </w:rPr>
        <w:t>من ادّعى السفارة من الله سبحانه وكونه نبيّاً مبعوثاً عنه ، لا يمكن لنا تصديقه إلاّ في ظل القول بالحسن والقبح العقليّين ، لأنّ الدليل الوحيد أو المؤثر على عامة الطبقات ، كونه مبعوثاً بالمعاجز والبيّنات ، فيستدلُّ بها على أنّه كان مبعوثاً من الله سبحانه لهداية الناس ، هذا من 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جانب آخر انّ المعاجز لا تفيد اليقين بأنّه مبعوث من الله سبحانه إلاّ إذا ثبت أصل في باب النبوة وهو </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انّه سبحانه لا يزوِّد الكاذب بقدرة خارقة ليضلّ الناس عن طريقه لأنّه أمر </w:t>
      </w:r>
      <w:bookmarkStart w:id="54" w:name="pg11047_102527"/>
    </w:p>
    <w:p>
      <w:pPr>
        <w:pStyle w:val="BookText"/>
        <w:rPr/>
      </w:pPr>
      <w:bookmarkEnd w:id="54"/>
      <w:r>
        <w:rPr>
          <w:rFonts w:ascii="Amiri" w:hAnsi="Amiri" w:eastAsia="Amiri" w:cs="Amiri"/>
          <w:color w:val="111111"/>
          <w:sz w:val="28"/>
          <w:sz w:val="28"/>
          <w:szCs w:val="28"/>
          <w:rtl w:val="true"/>
          <w:lang w:bidi="ar-SA"/>
        </w:rPr>
        <w:t>قبيح عقلاً لا يصدر منه سبحانه ، فلو لم يثبت هذا الأصل بحكم العقل لا يمكن الإذعان بصدق دعواه لاحتمال انّ المزوَّد بالمعاجز ، مدّع كاذب ، إذ لم يثبت بعدُ قبح تسلط الكاذب على المعاجز والبيّنات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صدع الشارع بأنّه لا يسلط الكاذب على القوة الخارقة ، لا يمكن الإيمان بصدق قوله ، لعدم ثبوت قبح الكذب على الشارع كما مرّ في الدليل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العلاّمة الحلّي حول هذا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الحسن والقبح سمعيّاً لا عقلياً ، لما قبح من الله شيء ، ولو كان كذلك لما قبح منه تعالى إظهار المعجزات على يد الكاذبين ، وتجويز ذلك يسدّ باب معرفة النبوة إذ إظهار المعجزة بعد ادّعاء النبوة لا يكون دليلاً لصدق ادّعائه إذا كان باب احتمال إظهار المعجزة على يد الكاذب مفتوحاً</w:t>
      </w:r>
      <w:r>
        <w:rPr>
          <w:rFonts w:eastAsia="Amiri" w:cs="Amiri" w:ascii="Amiri" w:hAnsi="Amiri"/>
          <w:color w:val="111111"/>
          <w:sz w:val="28"/>
          <w:szCs w:val="28"/>
          <w:rtl w:val="true"/>
          <w:lang w:bidi="ar-SA"/>
        </w:rPr>
        <w:t xml:space="preserve">. </w:t>
      </w:r>
      <w:r>
        <w:rPr>
          <w:rStyle w:val="FootnoteAnchor"/>
          <w:rtl w:val="true"/>
        </w:rPr>
        <w:footnoteReference w:id="6"/>
      </w:r>
    </w:p>
    <w:p>
      <w:pPr>
        <w:pStyle w:val="Heading5"/>
        <w:numPr>
          <w:ilvl w:val="4"/>
          <w:numId w:val="1"/>
        </w:numPr>
        <w:rPr/>
      </w:pPr>
      <w:bookmarkStart w:id="55" w:name="__RefHeading___Toc1390941_1067777946"/>
      <w:bookmarkStart w:id="56" w:name="_Toc20"/>
      <w:bookmarkEnd w:id="55"/>
      <w:r>
        <w:rPr>
          <w:rtl w:val="true"/>
        </w:rPr>
        <w:t xml:space="preserve">الرابع </w:t>
      </w:r>
      <w:r>
        <w:rPr>
          <w:rtl w:val="true"/>
        </w:rPr>
        <w:t xml:space="preserve">: </w:t>
      </w:r>
      <w:r>
        <w:rPr>
          <w:rtl w:val="true"/>
        </w:rPr>
        <w:t>الحسن والقبح العقليان في الذكر الحكيم</w:t>
      </w:r>
      <w:bookmarkEnd w:id="56"/>
    </w:p>
    <w:p>
      <w:pPr>
        <w:pStyle w:val="BookText"/>
        <w:rPr/>
      </w:pPr>
      <w:r>
        <w:rPr>
          <w:rFonts w:ascii="Amiri" w:hAnsi="Amiri" w:eastAsia="Amiri" w:cs="Amiri"/>
          <w:color w:val="111111"/>
          <w:sz w:val="28"/>
          <w:sz w:val="28"/>
          <w:szCs w:val="28"/>
          <w:rtl w:val="true"/>
          <w:lang w:bidi="ar-SA"/>
        </w:rPr>
        <w:t xml:space="preserve">من سبر القرآن الكريم وأمعن في دعوته إلى الصلاح والفلاح يقف على أنّ القرآن يتّخذ وجدان الإنسان قاضياً ليحكم في قضايا كثيرة بشيء يرجع إلى الحسن والقبح ، فالآيات التي نتلوها عليك تُسلّم انّ الإنسان الحرّ المجرّد عن سائر النزعات ، قادر على درك حسن الفعل أو قبحه ، ولذلك يترك القضاء فيها إليه ويقول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نَجْعَلُ الَّذِينَ آمَنُوا وَعَمِلُوا الصَّالِحاتِ كَالْمُفْسِدِينَ فِي الْأَرْضِ أَمْ نَجْعَلُ الْمُتَّقِينَ كَالْفُجَّارِ</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أَفَنَجْعَلُ الْمُسْلِمِينَ كَالْمُجْرِمِينَ</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جَزاءُ الْإِحْسانِ إِلاَّ الْإِحْسانُ</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ففي هذه الطائفة من الآيات يوكِّل الذكر الحكيم القضاءَ إلى وجدان الإنسان ، وانّه هل يصحّ التسوية بين المفسدين والمتّقين ، والمسلمين والمجرمين ، كما يتّخذ من الوجدان قاضياً ،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جَزاءُ الْإِحْسانِ إِلاَّ الْإِحْسانُ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آيات أُخرى تأمر بالمعروف كالعدل والإحسان ، وإيتاء ذي القربى ، وتنهى عن الفحشاء والمنكر والبغي على نحو تسلِّم انّ المخاطب بها ، يعرفها معرفة ذاتية ولا يحتاج إلى الشرع ليعرّفه الموضوع ، وكأنّ الشرع يؤكد ما يجده الإنسان بفطرته ، يقول سبحانه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 بِالْعَدْلِ وَالْإِحْسانِ وَإِيتاءِ ذِي الْقُرْبى وَيَنْهى عَنِ الْفَحْشاءِ وَالْمُنْكَرِ وَالْبَغْيِ يَعِظُكُمْ لَعَلَّكُمْ تَذَكَّرُونَ</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حَرَّمَ رَبِّيَ الْفَواحِشَ ما ظَهَرَ مِنْها وَما بَطَنَ</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يَأْمُرُهُمْ بِالْمَعْرُوفِ وَيَنْهاهُمْ عَنِ الْمُنْكَرِ</w:t>
      </w:r>
      <w:r>
        <w:rPr>
          <w:rFonts w:eastAsia="Amiri" w:cs="Amiri" w:ascii="Amiri" w:hAnsi="Amiri"/>
          <w:color w:val="111111"/>
          <w:sz w:val="28"/>
          <w:szCs w:val="28"/>
          <w:rtl w:val="true"/>
          <w:lang w:bidi="ar-SA"/>
        </w:rPr>
        <w:t xml:space="preserve">). </w:t>
      </w:r>
      <w:r>
        <w:rPr>
          <w:rStyle w:val="FootnoteAnchor"/>
          <w:rtl w:val="true"/>
        </w:rPr>
        <w:footnoteReference w:id="11"/>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وكيفية دلالة هذه الآيات على قابلية العقل على درك الحسن والقبح علمت ممّا سبق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وثمة آية أُخرى تندِّد بعمل المشركين حينما ينسبون بعض أعمالهم المنكرة إلى أمره سبحانه ، وهو يردُّ عليهم بأنّ عملهم فحشاء والله لا يأمر بها ، والآية صريحة في انّ الإنسان بفضل الوجدان يعرف الفحشاء عن غيرها بلا حاجة إلى تعريف الشارع ، كما هي صريحة في انّ الله سبحانه منزّه عن ارتكاب القبائح والمنكرات التي يعرفها الإنسان بوجدانه ويقول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فَعَلُوا فاحِشَةً قالُوا وَجَدْنا عَلَيْها آباءَنا وَاللهُ أَمَرَنا بِها قُلْ إِنَّ اللهَ لا يَأْمُرُ بِالْفَحْشاءِ</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فأخبر سبحانه أنّ فعلهم فاحشة قبل نهيه ، وأخبر أنّه لا يأمر بما هو فاحشة في العقول والفطرة ، ولو كان إنّما علم كونه فاحشة بالنهي ، وأنّه لا معنى لكونه فاحشة إلاّ تعلق النهي ، لصار معنى الكلام إنّ الله لا يأمر بما ينهى عنه ، ولصار 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رَبِّي 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ربي بما أمر به ، ولكان 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إِنَّما حَرَّمَ رَبِّيَ الْفَواحِشَ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إنّما حرّم ربّي ما حرّم وهذا ما يصان عن التكلم به آحاد العقلاء ، فضلاً عن كلام العزيز الحكيم ، ويلزم ألا تكون الفاحشة فاحشة ، ولا الشرك شركاً إلاّ بعد النهي</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شكّ أنّ الشرع كساها بنهيه عنه قبحاً إلى قبحها ، فكان قبحها في ذاتها وازدادت قبحاً عند العقل بنهي الربّ تعالى عنها ، وذمّه لها ، كما أنّ العدل والصدق والتوحيد حسن في نفسه وازداد حسناً إلى حسنه يأمر الرب به وثنائه على فاعله</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وممّا يؤيّد هذا الوجه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فَبِظُلْمٍ مِنَ الَّذِينَ هادُوا حَرَّمْنا عَلَيْهِمْ طَيِّباتٍ أُحِلَّتْ لَهُمْ وَبِصَدِّهِمْ عَنْ سَبِيلِ اللهِ كَثِيراً</w:t>
      </w:r>
      <w:r>
        <w:rPr>
          <w:rFonts w:eastAsia="Amiri" w:cs="Amiri" w:ascii="Amiri" w:hAnsi="Amiri"/>
          <w:color w:val="111111"/>
          <w:sz w:val="28"/>
          <w:szCs w:val="28"/>
          <w:rtl w:val="true"/>
          <w:lang w:bidi="ar-SA"/>
        </w:rPr>
        <w:t xml:space="preserve">). </w:t>
      </w:r>
      <w:r>
        <w:rPr>
          <w:rStyle w:val="FootnoteAnchor"/>
          <w:rtl w:val="true"/>
        </w:rPr>
        <w:footnoteReference w:id="14"/>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فأخبر تعالى أنّه حرمه عليهم مع كونه طيباً في نفسه ، فلولا أن طيبه أمر ثابت له بدون الأمر لم يكن ليجمع الطيب والتحريم</w:t>
      </w:r>
      <w:r>
        <w:rPr>
          <w:rFonts w:eastAsia="Amiri" w:cs="Amiri" w:ascii="Amiri" w:hAnsi="Amiri"/>
          <w:color w:val="111111"/>
          <w:sz w:val="28"/>
          <w:szCs w:val="28"/>
          <w:rtl w:val="true"/>
          <w:lang w:bidi="ar-SA"/>
        </w:rPr>
        <w:t xml:space="preserve">. </w:t>
      </w:r>
      <w:r>
        <w:rPr>
          <w:rStyle w:val="FootnoteAnchor"/>
          <w:rtl w:val="true"/>
        </w:rPr>
        <w:footnoteReference w:id="15"/>
      </w:r>
      <w:bookmarkStart w:id="57" w:name="pg11047_102531"/>
    </w:p>
    <w:p>
      <w:pPr>
        <w:pStyle w:val="Heading4"/>
        <w:numPr>
          <w:ilvl w:val="3"/>
          <w:numId w:val="1"/>
        </w:numPr>
        <w:rPr/>
      </w:pPr>
      <w:bookmarkStart w:id="58" w:name="__RefHeading___Toc1390943_1067777946"/>
      <w:bookmarkStart w:id="59" w:name="_Toc21"/>
      <w:bookmarkEnd w:id="57"/>
      <w:bookmarkEnd w:id="58"/>
      <w:r>
        <w:rPr/>
        <w:t>5</w:t>
      </w:r>
      <w:r>
        <w:rPr>
          <w:rtl w:val="true"/>
        </w:rPr>
        <w:t xml:space="preserve">- </w:t>
      </w:r>
      <w:r>
        <w:rPr>
          <w:rtl w:val="true"/>
        </w:rPr>
        <w:t>أدلّة المنكرين للتحسين والتقبيح العقليّين</w:t>
      </w:r>
      <w:bookmarkEnd w:id="59"/>
    </w:p>
    <w:p>
      <w:pPr>
        <w:pStyle w:val="Heading5"/>
        <w:numPr>
          <w:ilvl w:val="4"/>
          <w:numId w:val="1"/>
        </w:numPr>
        <w:rPr/>
      </w:pPr>
      <w:bookmarkStart w:id="60" w:name="__RefHeading___Toc1390945_1067777946"/>
      <w:bookmarkStart w:id="61" w:name="_Toc22"/>
      <w:bookmarkEnd w:id="60"/>
      <w:r>
        <w:rPr>
          <w:rtl w:val="true"/>
        </w:rPr>
        <w:t>اشارة</w:t>
      </w:r>
      <w:bookmarkEnd w:id="61"/>
    </w:p>
    <w:p>
      <w:pPr>
        <w:pStyle w:val="BookText"/>
        <w:rPr/>
      </w:pPr>
      <w:r>
        <w:rPr>
          <w:rFonts w:ascii="Amiri" w:hAnsi="Amiri" w:eastAsia="Amiri" w:cs="Amiri"/>
          <w:color w:val="111111"/>
          <w:sz w:val="28"/>
          <w:sz w:val="28"/>
          <w:szCs w:val="28"/>
          <w:rtl w:val="true"/>
          <w:lang w:bidi="ar-SA"/>
        </w:rPr>
        <w:t xml:space="preserve">ذهبت الأشاعرة تبعاً لأهل الحديث إلى أنّ الفعل عاجز عن إدراك حسن الأفعال وقبحها وانّ الحسن ما أمر به الشارع والقبيح ما نهى عنه ، ولو جُرّد الموضوع عن الأمر والنهي لما تمكّن العقل من إدراكهما </w:t>
      </w:r>
      <w:r>
        <w:rPr>
          <w:rStyle w:val="FootnoteAnchor"/>
          <w:rtl w:val="true"/>
        </w:rPr>
        <w:footnoteReference w:id="16"/>
      </w:r>
      <w:r>
        <w:rPr>
          <w:rFonts w:ascii="Amiri" w:hAnsi="Amiri" w:eastAsia="Amiri" w:cs="Amiri"/>
          <w:color w:val="111111"/>
          <w:sz w:val="28"/>
          <w:sz w:val="28"/>
          <w:szCs w:val="28"/>
          <w:rtl w:val="true"/>
          <w:lang w:bidi="ar-SA"/>
        </w:rPr>
        <w:t>وإنكارهم هذا أشبه بإنكار السوفسطائيين في إنكار الحقائق الخارجية ، حتّى وجودهم وأنفسهم لأجل شبهات واهية ، وذلك لأنّه لا يوجد على أديم الأرض إنسان ينكر جداً حسن الإحسان وقبح الظلم ، حسن العمل بالميثاق وقبح نقضه ، حسن جزاء الإحسان بالإحسان وقبح جزائه بالسوء ، إلى غير ذلك من القضايا الواضحة التي تعد أُسساً للحياة الفردية والاجتماعية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وقفت على كلام ، لبعض السلفين ردّ فيه على الأشاعرة المنكرين للحسن والقبح العقليين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الأشاعرة أجازوا على الله أن يأمر بأيّ شيء ، وينهى عن أيّ شيء ، بناء على نفيهم التحسين والتقبيح العقليين ، ونفيهم الحكم والغايات ، وعلى ذلك فالشرك عندهم ليس قبيحاً في ذاته ، وسائر المحرمات كذلك ، وإنّما اكتسبت صفة القبح بنهي الله عنها ، ولو أمر الله تعالى بالشرك وبسائر المحرمات لكانت حسنة ، وجوزوا على الله ذلك ، كما أنّهم يرون أنّ التوحيد وسائر الطاعات ليست حسنة في ذاتها ، وإنّما اكتسبت صفة الحسن بأمر الله بها ، </w:t>
      </w:r>
      <w:bookmarkStart w:id="62" w:name="pg11047_102532"/>
    </w:p>
    <w:p>
      <w:pPr>
        <w:pStyle w:val="BookText"/>
        <w:rPr/>
      </w:pPr>
      <w:bookmarkEnd w:id="62"/>
      <w:r>
        <w:rPr>
          <w:rFonts w:ascii="Amiri" w:hAnsi="Amiri" w:eastAsia="Amiri" w:cs="Amiri"/>
          <w:color w:val="111111"/>
          <w:sz w:val="28"/>
          <w:sz w:val="28"/>
          <w:szCs w:val="28"/>
          <w:rtl w:val="true"/>
          <w:lang w:bidi="ar-SA"/>
        </w:rPr>
        <w:t>ولو نهى الله تعالى عن التوحيد وسائر الطاعات لكانت قبيحة ، وأجازوا عليه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أجازوا على الله فعل كلّ شيء ممكن لذاته ، فله أن يعذب أنبياءه وأولياء ويجعلهم في سجين ، وينعم شياطين الإنس والجن ويجعلهم في عليّين ، ويكون ذلك عدلاً وحسناً ، وذلك بناء على نفيهم الحكم والغايات</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وهؤلاء المنكرون وإن رفعوا راية الإنكار ولكنّهم تراجعوا عنها باختراع معاني متعددة للحسن والقبح فسلّموا حكم العقل بالتحسين والتقبيح في بعضها دون البعض الآخر وليس التعرّف عليها بمهم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المهم في المقام دراسة أدلّتهم على الإنكار ، وإليك البيان </w:t>
      </w:r>
      <w:r>
        <w:rPr>
          <w:rFonts w:eastAsia="Amiri" w:cs="Amiri" w:ascii="Amiri" w:hAnsi="Amiri"/>
          <w:color w:val="111111"/>
          <w:sz w:val="28"/>
          <w:szCs w:val="28"/>
          <w:rtl w:val="true"/>
          <w:lang w:bidi="ar-SA"/>
        </w:rPr>
        <w:t>:</w:t>
      </w:r>
    </w:p>
    <w:p>
      <w:pPr>
        <w:pStyle w:val="Heading5"/>
        <w:numPr>
          <w:ilvl w:val="4"/>
          <w:numId w:val="1"/>
        </w:numPr>
        <w:rPr/>
      </w:pPr>
      <w:bookmarkStart w:id="63" w:name="__RefHeading___Toc1390947_1067777946"/>
      <w:bookmarkStart w:id="64" w:name="_Toc23"/>
      <w:bookmarkEnd w:id="63"/>
      <w:r>
        <w:rPr>
          <w:rtl w:val="true"/>
        </w:rPr>
        <w:t xml:space="preserve">الأوّل </w:t>
      </w:r>
      <w:r>
        <w:rPr>
          <w:rtl w:val="true"/>
        </w:rPr>
        <w:t xml:space="preserve">: </w:t>
      </w:r>
      <w:r>
        <w:rPr>
          <w:rtl w:val="true"/>
        </w:rPr>
        <w:t>لو كانا بديهيين لما اختلف فيه اثنان</w:t>
      </w:r>
      <w:bookmarkEnd w:id="64"/>
    </w:p>
    <w:p>
      <w:pPr>
        <w:pStyle w:val="Heading6"/>
        <w:numPr>
          <w:ilvl w:val="5"/>
          <w:numId w:val="1"/>
        </w:numPr>
        <w:rPr/>
      </w:pPr>
      <w:bookmarkStart w:id="65" w:name="__RefHeading___Toc1390949_1067777946"/>
      <w:bookmarkStart w:id="66" w:name="_Toc24"/>
      <w:bookmarkEnd w:id="65"/>
      <w:r>
        <w:rPr>
          <w:rtl w:val="true"/>
        </w:rPr>
        <w:t>اشارة</w:t>
      </w:r>
      <w:bookmarkEnd w:id="66"/>
    </w:p>
    <w:p>
      <w:pPr>
        <w:pStyle w:val="BookText"/>
        <w:rPr/>
      </w:pPr>
      <w:r>
        <w:rPr>
          <w:rFonts w:ascii="Amiri" w:hAnsi="Amiri" w:eastAsia="Amiri" w:cs="Amiri"/>
          <w:color w:val="111111"/>
          <w:sz w:val="28"/>
          <w:sz w:val="28"/>
          <w:szCs w:val="28"/>
          <w:rtl w:val="true"/>
          <w:lang w:bidi="ar-SA"/>
        </w:rPr>
        <w:t>لو كان العلم بحسن بعض الأفعال وقبحها ضرورياً لما وقع التفاوت بينه وبين العلم بزيادة الكل على الجزء ، والثاني باطل بالوجدان ، لوقوع الاختلاف بين العلمين ، فانّ العلم بزيادة الكلّ على الجزء أوضح وأبين من التحسين والتقبيح</w:t>
      </w:r>
      <w:r>
        <w:rPr>
          <w:rFonts w:eastAsia="Amiri" w:cs="Amiri" w:ascii="Amiri" w:hAnsi="Amiri"/>
          <w:color w:val="111111"/>
          <w:sz w:val="28"/>
          <w:szCs w:val="28"/>
          <w:rtl w:val="true"/>
          <w:lang w:bidi="ar-SA"/>
        </w:rPr>
        <w:t>.</w:t>
      </w:r>
    </w:p>
    <w:p>
      <w:pPr>
        <w:pStyle w:val="Heading6"/>
        <w:numPr>
          <w:ilvl w:val="5"/>
          <w:numId w:val="1"/>
        </w:numPr>
        <w:rPr/>
      </w:pPr>
      <w:bookmarkStart w:id="67" w:name="__RefHeading___Toc1390951_1067777946"/>
      <w:bookmarkStart w:id="68" w:name="_Toc25"/>
      <w:bookmarkEnd w:id="67"/>
      <w:r>
        <w:rPr>
          <w:rtl w:val="true"/>
        </w:rPr>
        <w:t>على هامش الاستدلال</w:t>
      </w:r>
      <w:bookmarkEnd w:id="68"/>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الاستدلال كأنّه مبني على ردّ الدليل الأوّل للمثبتين حيث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حسن الأفعال وقبحها من الأُمور البديهية ، فردّ عليه النفاة بأنّه لو كان بديهياً ، لما تفاوت العلمان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بزيادة الكلّ على الجزء وحسن العدل وقبح الظلم ، والعلوم الضرورية لا تتفاوت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والاستدلال مبني على أصل غير أصيل وهو عدم وجود التفاوت في العلوم الضرورية ، وذلك لأنّ القضايا اليقينية التي تتمتع بالبداهة على أقسام ستة وكلّها قضايا ضرورية مع وجود التفاوت بينهما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الأوّليات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 أعظم من الجزء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المشاهدات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إمّا مشاهدة ظاهرية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مشرقة ، أو باطنية ، كقولنا انّ لنا جوعاً وعطشاً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التجربيات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انبساط الفلز في الحرارة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الحدسيات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القمر مستفاد من الشمس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المتواترات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المكرمة موجودة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الفطريات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الأربعة 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فأين 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 أعظم من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يعد من الأوّليات في البداهة من 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 القمر مستفاد من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من الحدسيات ، فوجود التفاوت بين هذه العلوم واضح جدّاً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سبب التفاوت فيرجع غالباً إلى وجود الاختلاف بين تصوّر مفرداتها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ممكن يحتاج إلى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حكم بديهي كما أنّ 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 أعظم من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بديهي ، وسبب الاختلاف يرجع إلى أظهريّة مفردات الثاني من مفردات الأوّل ، فأين الإمكان والحاجة والعلة في الظهور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فاختلاف المفردات من حيث الظهور والخفاء ، يورث ظهوراً وخفاءً في المركب أيضاً</w:t>
      </w:r>
      <w:r>
        <w:rPr>
          <w:rFonts w:eastAsia="Amiri" w:cs="Amiri" w:ascii="Amiri" w:hAnsi="Amiri"/>
          <w:color w:val="111111"/>
          <w:sz w:val="28"/>
          <w:szCs w:val="28"/>
          <w:rtl w:val="true"/>
          <w:lang w:bidi="ar-SA"/>
        </w:rPr>
        <w:t xml:space="preserve">. </w:t>
      </w:r>
      <w:bookmarkStart w:id="69" w:name="pg11047_102534"/>
    </w:p>
    <w:p>
      <w:pPr>
        <w:pStyle w:val="Heading5"/>
        <w:numPr>
          <w:ilvl w:val="4"/>
          <w:numId w:val="1"/>
        </w:numPr>
        <w:rPr/>
      </w:pPr>
      <w:bookmarkStart w:id="70" w:name="__RefHeading___Toc1390953_1067777946"/>
      <w:bookmarkStart w:id="71" w:name="_Toc26"/>
      <w:bookmarkEnd w:id="69"/>
      <w:bookmarkEnd w:id="70"/>
      <w:r>
        <w:rPr>
          <w:rtl w:val="true"/>
        </w:rPr>
        <w:t xml:space="preserve">الثاني </w:t>
      </w:r>
      <w:r>
        <w:rPr>
          <w:rtl w:val="true"/>
        </w:rPr>
        <w:t xml:space="preserve">: </w:t>
      </w:r>
      <w:r>
        <w:rPr>
          <w:rtl w:val="true"/>
        </w:rPr>
        <w:t>الكذب النافع ليس بقبيح</w:t>
      </w:r>
      <w:bookmarkEnd w:id="71"/>
    </w:p>
    <w:p>
      <w:pPr>
        <w:pStyle w:val="Heading6"/>
        <w:numPr>
          <w:ilvl w:val="5"/>
          <w:numId w:val="1"/>
        </w:numPr>
        <w:rPr/>
      </w:pPr>
      <w:bookmarkStart w:id="72" w:name="__RefHeading___Toc1390955_1067777946"/>
      <w:bookmarkStart w:id="73" w:name="_Toc27"/>
      <w:bookmarkEnd w:id="72"/>
      <w:r>
        <w:rPr>
          <w:rtl w:val="true"/>
        </w:rPr>
        <w:t>اشارة</w:t>
      </w:r>
      <w:bookmarkEnd w:id="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الكذب قبيحاً ، لكان الكذب المفضي إلى تخليص النبي من يد الظالم قبيحاً أيضاً ، والتالي باطل لأنّه يحسن تخليص النبي من يد الظالم ، فالمقدّم مثله ، فيصبح الكذب النافع غير قبيح ، فلو كان قبح الكذب ذاتيّاً ، لما تغيّر قبحه ، بل يبقى عليه وإن ما بلغ</w:t>
      </w:r>
      <w:r>
        <w:rPr>
          <w:rFonts w:eastAsia="Amiri" w:cs="Amiri" w:ascii="Amiri" w:hAnsi="Amiri"/>
          <w:color w:val="111111"/>
          <w:sz w:val="28"/>
          <w:szCs w:val="28"/>
          <w:rtl w:val="true"/>
          <w:lang w:bidi="ar-SA"/>
        </w:rPr>
        <w:t>.</w:t>
      </w:r>
    </w:p>
    <w:p>
      <w:pPr>
        <w:pStyle w:val="Heading6"/>
        <w:numPr>
          <w:ilvl w:val="5"/>
          <w:numId w:val="1"/>
        </w:numPr>
        <w:rPr/>
      </w:pPr>
      <w:bookmarkStart w:id="74" w:name="__RefHeading___Toc1390957_1067777946"/>
      <w:bookmarkStart w:id="75" w:name="_Toc28"/>
      <w:bookmarkEnd w:id="74"/>
      <w:r>
        <w:rPr>
          <w:rtl w:val="true"/>
        </w:rPr>
        <w:t>على هامش الاستدلال</w:t>
      </w:r>
      <w:bookmarkEnd w:id="75"/>
    </w:p>
    <w:p>
      <w:pPr>
        <w:pStyle w:val="BookText"/>
        <w:rPr/>
      </w:pPr>
      <w:r>
        <w:rPr>
          <w:rFonts w:ascii="Amiri" w:hAnsi="Amiri" w:eastAsia="Amiri" w:cs="Amiri"/>
          <w:color w:val="111111"/>
          <w:sz w:val="28"/>
          <w:sz w:val="28"/>
          <w:szCs w:val="28"/>
          <w:rtl w:val="true"/>
          <w:lang w:bidi="ar-SA"/>
        </w:rPr>
        <w:t xml:space="preserve">إنّ في المقام أمرين قبيحين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الكذب والإغراء بالجهل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ترك نصرة النبي وتعريضه للهلاك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دار الأمر بين ارتكاب أحد القبيحين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يكذب وفيه نجاة النبي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يترك نصرة النبي ويعرّضه للهلاك وفيه ترك الكذب 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والعقل عندئذ يحكم بتقديم أخف القبيحين على الآخر ، تخلصاً عن ارتكاب الأقبح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فالكذب باق على قبحه ، لكنّه يقدّم ارتكابه على الأقبح ويكون معذوراً في ارتكابه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إنقاذ النبي لا يتوقّف على الكذب مطلقاً إذا كان باب التعريض والتورية مفتوحاً ، ولهذا 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التعاريض لمندوحة</w:t>
      </w:r>
      <w:r>
        <w:rPr>
          <w:rFonts w:eastAsia="Amiri" w:cs="Amiri" w:ascii="Amiri" w:hAnsi="Amiri"/>
          <w:color w:val="111111"/>
          <w:sz w:val="28"/>
          <w:szCs w:val="28"/>
          <w:rtl w:val="true"/>
          <w:lang w:bidi="ar-SA"/>
        </w:rPr>
        <w:t>».</w:t>
      </w:r>
    </w:p>
    <w:p>
      <w:pPr>
        <w:pStyle w:val="Heading5"/>
        <w:numPr>
          <w:ilvl w:val="4"/>
          <w:numId w:val="1"/>
        </w:numPr>
        <w:rPr/>
      </w:pPr>
      <w:bookmarkStart w:id="76" w:name="__RefHeading___Toc1390959_1067777946"/>
      <w:bookmarkStart w:id="77" w:name="_Toc29"/>
      <w:bookmarkEnd w:id="76"/>
      <w:r>
        <w:rPr>
          <w:rtl w:val="true"/>
        </w:rPr>
        <w:t xml:space="preserve">الثالث </w:t>
      </w:r>
      <w:r>
        <w:rPr>
          <w:rtl w:val="true"/>
        </w:rPr>
        <w:t xml:space="preserve">: </w:t>
      </w:r>
      <w:r>
        <w:rPr>
          <w:rtl w:val="true"/>
        </w:rPr>
        <w:t>التحسين والتقبيح فرض تكليف على الله</w:t>
      </w:r>
      <w:bookmarkEnd w:id="77"/>
    </w:p>
    <w:p>
      <w:pPr>
        <w:pStyle w:val="Heading6"/>
        <w:numPr>
          <w:ilvl w:val="5"/>
          <w:numId w:val="1"/>
        </w:numPr>
        <w:rPr/>
      </w:pPr>
      <w:bookmarkStart w:id="78" w:name="__RefHeading___Toc1390961_1067777946"/>
      <w:bookmarkStart w:id="79" w:name="_Toc30"/>
      <w:bookmarkEnd w:id="78"/>
      <w:r>
        <w:rPr>
          <w:rtl w:val="true"/>
        </w:rPr>
        <w:t>اشارة</w:t>
      </w:r>
      <w:bookmarkEnd w:id="79"/>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الدليل هو أكثر تداولاً على ألسنة السُذَّج من الناس الذين يغترون </w:t>
      </w:r>
      <w:bookmarkStart w:id="80" w:name="pg11047_102535"/>
    </w:p>
    <w:p>
      <w:pPr>
        <w:pStyle w:val="BookText"/>
        <w:rPr/>
      </w:pPr>
      <w:bookmarkEnd w:id="80"/>
      <w:r>
        <w:rPr>
          <w:rFonts w:ascii="Amiri" w:hAnsi="Amiri" w:eastAsia="Amiri" w:cs="Amiri"/>
          <w:color w:val="111111"/>
          <w:sz w:val="28"/>
          <w:sz w:val="28"/>
          <w:szCs w:val="28"/>
          <w:rtl w:val="true"/>
          <w:lang w:bidi="ar-SA"/>
        </w:rPr>
        <w:t>بأدلّة المنكرين للتحسين والتقبيح العقليّين قالوا بأنّ القائلين بهما يوجبون على الله ما يوجبون على العبد ، ويحرِّمون عليه من جنس ما يحرِّمون على العبد ، ويسمّون ذلك العدل ، والحكمة مع قصور عقلهم عن معرفة حكمتهم</w:t>
      </w:r>
      <w:r>
        <w:rPr>
          <w:rFonts w:eastAsia="Amiri" w:cs="Amiri" w:ascii="Amiri" w:hAnsi="Amiri"/>
          <w:color w:val="111111"/>
          <w:sz w:val="28"/>
          <w:szCs w:val="28"/>
          <w:rtl w:val="true"/>
          <w:lang w:bidi="ar-SA"/>
        </w:rPr>
        <w:t xml:space="preserve">. </w:t>
      </w:r>
      <w:r>
        <w:rPr>
          <w:rStyle w:val="FootnoteAnchor"/>
          <w:rtl w:val="true"/>
        </w:rPr>
        <w:footnoteReference w:id="18"/>
      </w:r>
    </w:p>
    <w:p>
      <w:pPr>
        <w:pStyle w:val="Heading6"/>
        <w:numPr>
          <w:ilvl w:val="5"/>
          <w:numId w:val="1"/>
        </w:numPr>
        <w:rPr/>
      </w:pPr>
      <w:bookmarkStart w:id="81" w:name="__RefHeading___Toc1390963_1067777946"/>
      <w:bookmarkStart w:id="82" w:name="_Toc31"/>
      <w:bookmarkEnd w:id="81"/>
      <w:r>
        <w:rPr>
          <w:rtl w:val="true"/>
        </w:rPr>
        <w:t>على هامش الاستدلال</w:t>
      </w:r>
      <w:bookmarkEnd w:id="82"/>
    </w:p>
    <w:p>
      <w:pPr>
        <w:pStyle w:val="BookText"/>
        <w:rPr/>
      </w:pPr>
      <w:r>
        <w:rPr>
          <w:rFonts w:ascii="Amiri" w:hAnsi="Amiri" w:eastAsia="Amiri" w:cs="Amiri"/>
          <w:color w:val="111111"/>
          <w:sz w:val="28"/>
          <w:sz w:val="28"/>
          <w:szCs w:val="28"/>
          <w:rtl w:val="true"/>
          <w:lang w:bidi="ar-SA"/>
        </w:rPr>
        <w:t xml:space="preserve">إنّ المستدل خلط بين فرض التكليف على الله ، وكشف ما عنده من الحُكْم من خلال صفاته وكماله ، فالقائل بالملازمة لا يفرض التكليف على الله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التراب ورب الأرباب ، بل يستكشف ما عنده من الأحكام من خلال دراسة صفاته الكمالية ، فهو بما انّه عادل ، لا يجور ، وحكيم لا يعبث ، وعالم لا يجهل ، نستكشف بها الأحكام اللائقة به حسب صفاته فالتكاليف التي يستنبطها العقل من قبيل التكاليف التي فرضتها على الله حكمتُه وعدله وعلمه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قلنا لا يجوز على الله سبحانه تعذيبُ البريء أو أخذُه بذنب المجرم ، لا نعني انّا نفرض هذا التكليف عليه ، وانّه يجب أن يقوم به ، وإنّما نريد أنّ لازم صفاته الكمالية هو أن لا يفعل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نظير ما يقوم به العلماء من كشف أسرار الطبيعة وقوانينها ، فلو قال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زوايا المثلث تساوي قائمتين ، فهذا لا يعني إلاّ أنّه في الواقع كذلك ، لا انّه يجب أن يكون كذلك لأجل حكمه به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 النظام السائد على الكون نظاماً مبنياً على العلم والعدل والحكمة فلازم ذلك أن لا يؤخذ البريء بذنب المجرم ، فكشف هذا الحكم نظير كشف القوانين السائدة على الكون في العلوم الطبيعية والرياضية والفلكية</w:t>
      </w:r>
      <w:r>
        <w:rPr>
          <w:rFonts w:eastAsia="Amiri" w:cs="Amiri" w:ascii="Amiri" w:hAnsi="Amiri"/>
          <w:color w:val="111111"/>
          <w:sz w:val="28"/>
          <w:szCs w:val="28"/>
          <w:rtl w:val="true"/>
          <w:lang w:bidi="ar-SA"/>
        </w:rPr>
        <w:t xml:space="preserve">. </w:t>
      </w:r>
      <w:bookmarkStart w:id="83" w:name="pg11047_102536"/>
    </w:p>
    <w:p>
      <w:pPr>
        <w:pStyle w:val="BookText"/>
        <w:rPr/>
      </w:pPr>
      <w:bookmarkEnd w:id="83"/>
      <w:r>
        <w:rPr>
          <w:rFonts w:ascii="Amiri" w:hAnsi="Amiri" w:eastAsia="Amiri" w:cs="Amiri"/>
          <w:color w:val="111111"/>
          <w:sz w:val="28"/>
          <w:sz w:val="28"/>
          <w:szCs w:val="28"/>
          <w:rtl w:val="true"/>
          <w:lang w:bidi="ar-SA"/>
        </w:rPr>
        <w:t xml:space="preserve">وفي كلام بعض الأشاعرة إلماع لما ذكرنا ، يقول النسفي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إرسال الرسل ، 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التفتازاني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شرحه على ذلك الموضع من كلام النسفي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مصلحة وعاقبة حميدة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إشارة إلى أنّ الإرسال واجب لا بمعنى الوجوب على الله تعالى ، بل بمعنى أنّ قضية الحكمة تقتضيه لما فيه من الحِكَم والمصالح وليس بممتنع</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وكلامه هذا نفس ما ذكرناه ، وهذا دليل على أنّ الأشاعرة قد أظهروا نوعاً من المرونة للعدلية عبْر الزمان</w:t>
      </w:r>
      <w:r>
        <w:rPr>
          <w:rFonts w:eastAsia="Amiri" w:cs="Amiri" w:ascii="Amiri" w:hAnsi="Amiri"/>
          <w:color w:val="111111"/>
          <w:sz w:val="28"/>
          <w:szCs w:val="28"/>
          <w:rtl w:val="true"/>
          <w:lang w:bidi="ar-SA"/>
        </w:rPr>
        <w:t>.</w:t>
      </w:r>
    </w:p>
    <w:p>
      <w:pPr>
        <w:pStyle w:val="Heading6"/>
        <w:numPr>
          <w:ilvl w:val="5"/>
          <w:numId w:val="1"/>
        </w:numPr>
        <w:rPr/>
      </w:pPr>
      <w:bookmarkStart w:id="84" w:name="__RefHeading___Toc1390965_1067777946"/>
      <w:bookmarkStart w:id="85" w:name="_Toc32"/>
      <w:bookmarkEnd w:id="84"/>
      <w:r>
        <w:rPr>
          <w:rtl w:val="true"/>
        </w:rPr>
        <w:t>الدوافع من وراء إنكار التحسين والتقبيح العقليّين</w:t>
      </w:r>
      <w:bookmarkEnd w:id="85"/>
    </w:p>
    <w:p>
      <w:pPr>
        <w:pStyle w:val="BookText"/>
        <w:rPr/>
      </w:pPr>
      <w:r>
        <w:rPr>
          <w:rFonts w:ascii="Amiri" w:hAnsi="Amiri" w:eastAsia="Amiri" w:cs="Amiri"/>
          <w:color w:val="111111"/>
          <w:sz w:val="28"/>
          <w:sz w:val="28"/>
          <w:szCs w:val="28"/>
          <w:rtl w:val="true"/>
          <w:lang w:bidi="ar-SA"/>
        </w:rPr>
        <w:t xml:space="preserve">إنّ التحسين والتقبيح العقليّين من المسائل الواضحة لدى العقل والعقلاء والتي لا تحتاج إلى مزيد بيان ، ومن أنكرهما فإنّما ينكرهما بلسانه دون قلبه ، وعلى الرغم من ذلك نرى وجود فئة كبيرة من المتكلّمين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 عليهم إنكار هذا الأصل ، فما هو الدافع الذي جرّهم إلى إنكاره؟</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الدافع من وراء إنكار الحسن والقبح في أفعاله سبحانه غير الدافع الذي جرّهم إلى إنكارهما في أفعال الإنسان</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فالدافع في الأوّل هو زعمهم المنافاة بين القول بهما وبين وصفه سبحانه بالمالك المطلق والسلطان بلا منازع الذي له أن يتصرف في ملكه كيف ما شاء حتى لو جازى الإحسان بالسوء</w:t>
      </w:r>
      <w:r>
        <w:rPr>
          <w:rFonts w:eastAsia="Amiri" w:cs="Amiri" w:ascii="Amiri" w:hAnsi="Amiri"/>
          <w:color w:val="111111"/>
          <w:sz w:val="28"/>
          <w:szCs w:val="28"/>
          <w:rtl w:val="true"/>
          <w:lang w:bidi="ar-SA"/>
        </w:rPr>
        <w:t xml:space="preserve">. </w:t>
      </w:r>
      <w:bookmarkStart w:id="86" w:name="pg11047_102537"/>
    </w:p>
    <w:p>
      <w:pPr>
        <w:pStyle w:val="BookText"/>
        <w:rPr/>
      </w:pPr>
      <w:bookmarkEnd w:id="86"/>
      <w:r>
        <w:rPr>
          <w:rFonts w:ascii="Amiri" w:hAnsi="Amiri" w:eastAsia="Amiri" w:cs="Amiri"/>
          <w:color w:val="111111"/>
          <w:sz w:val="28"/>
          <w:sz w:val="28"/>
          <w:szCs w:val="28"/>
          <w:rtl w:val="true"/>
          <w:lang w:bidi="ar-SA"/>
        </w:rPr>
        <w:t xml:space="preserve">كما أنّ الدافع في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إنكارهما في أفعال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قولهم بالجبر في أفعاله وانّ الإنسان مضطر في فعله لا محيص له عن ارتكابه ، ومع ذلك كيف يمكن أن يوصف فعله بالحسن والقبح؟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الصدد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أنكر الأشاعرة الحسن والقبح العقليّين مطلقاً ، أو في أفعاله تعالى فلبنائهم انّه تعالى كلّما فعل ، صدر منه في محله ، لأنّه مالك الخلق كلّه ، فلو أثاب العاصي وعاقب المطيع لم يأت بقبيح ، لأنّه تصرّف في ملكه ، وهو لا يسأل عمّا يفعل وهم يسألون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أفعال العباد ، فلبنائهم على عدم صدور الأفعال منهم بالاختيار ، بل بالجبر والاضطرار ، ولا شيء من أفعال المجبور بحسن ولا قبيح</w:t>
      </w:r>
      <w:r>
        <w:rPr>
          <w:rFonts w:eastAsia="Amiri" w:cs="Amiri" w:ascii="Amiri" w:hAnsi="Amiri"/>
          <w:color w:val="111111"/>
          <w:sz w:val="28"/>
          <w:szCs w:val="28"/>
          <w:rtl w:val="true"/>
          <w:lang w:bidi="ar-SA"/>
        </w:rPr>
        <w:t xml:space="preserve">. </w:t>
      </w:r>
      <w:r>
        <w:rPr>
          <w:rStyle w:val="FootnoteAnchor"/>
          <w:rtl w:val="true"/>
        </w:rPr>
        <w:footnoteReference w:id="20"/>
      </w:r>
    </w:p>
    <w:p>
      <w:pPr>
        <w:pStyle w:val="Heading5"/>
        <w:numPr>
          <w:ilvl w:val="4"/>
          <w:numId w:val="1"/>
        </w:numPr>
        <w:rPr/>
      </w:pPr>
      <w:bookmarkStart w:id="87" w:name="__RefHeading___Toc1390967_1067777946"/>
      <w:bookmarkStart w:id="88" w:name="_Toc33"/>
      <w:bookmarkEnd w:id="87"/>
      <w:r>
        <w:rPr>
          <w:rtl w:val="true"/>
        </w:rPr>
        <w:t xml:space="preserve">الرابع </w:t>
      </w:r>
      <w:r>
        <w:rPr>
          <w:rtl w:val="true"/>
        </w:rPr>
        <w:t xml:space="preserve">: </w:t>
      </w:r>
      <w:r>
        <w:rPr>
          <w:rtl w:val="true"/>
        </w:rPr>
        <w:t>جواز التكليف بما لا يطاق</w:t>
      </w:r>
      <w:bookmarkEnd w:id="88"/>
    </w:p>
    <w:p>
      <w:pPr>
        <w:pStyle w:val="BookText"/>
        <w:rPr/>
      </w:pPr>
      <w:r>
        <w:rPr>
          <w:rFonts w:ascii="Amiri" w:hAnsi="Amiri" w:eastAsia="Amiri" w:cs="Amiri"/>
          <w:color w:val="111111"/>
          <w:sz w:val="28"/>
          <w:sz w:val="28"/>
          <w:szCs w:val="28"/>
          <w:rtl w:val="true"/>
          <w:lang w:bidi="ar-SA"/>
        </w:rPr>
        <w:t xml:space="preserve">اعتمد الفخر الرازي في إنكاره للحسن والقبح العقليّين على أنّ التكليف بما لا يطاق قبيح عقلاً عند العدلية ، مع أنّ الشرع أمر به ، وإليك نصّه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كان قبيحاً لما فعله الله تعالى ، وقد فعله بدليل أنّه كلّف الكافر بالإيمان ، مع علمه بأنّه لا يؤمن ، وعلمه بأنّه متى كان كذلك كان الإيمان منه محالاً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 كلّف أبا لهب بالإيمان ، ومن الإيمان تصديق الله تعالى في كلّ ما أخبر عنه ، وممّا أخبر عنه أنّه لا يؤمن ، فقد كلّفه بأن يؤمن بأنّه لا يؤمن ، وهو تكليف الجمع بين الضدين</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xml:space="preserve">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الرازي تصور انّه قد وقف على دليل حاسم في المقام ، فاستدلّ بما ذكرته المجبرة قبله بقرون وأجابت عنه العدلية بوجوه ، وقال الرازي في بعض كلماته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اجتمعت جملة العقلاء لم يقدروا على أن يوردوا على هذا الوجه حرفاً إلاّ بالتزام مذهب هشام وهو انّه تعالى لا يعلم الأشياء قبل وقوعها</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نسبه إلى هشام بن الحكم فرية عليه كما أوضحناه في محله </w:t>
      </w:r>
      <w:r>
        <w:rPr>
          <w:rStyle w:val="FootnoteAnchor"/>
          <w:rtl w:val="true"/>
        </w:rPr>
        <w:footnoteReference w:id="23"/>
      </w:r>
      <w:r>
        <w:rPr>
          <w:rFonts w:ascii="Amiri" w:hAnsi="Amiri" w:eastAsia="Amiri" w:cs="Amiri"/>
          <w:color w:val="111111"/>
          <w:sz w:val="28"/>
          <w:sz w:val="28"/>
          <w:szCs w:val="28"/>
          <w:rtl w:val="true"/>
          <w:lang w:bidi="ar-SA"/>
        </w:rPr>
        <w:t>، وإليك الإجابة عن الدليلين الأوّلين ، أمّا الدليل الأوّل فلأنّ علمه الأزلي لم يتعلّق بصدور كلّ فعل من فاعله على وجه الإطلاق ، بل تعلّق علمه بصدور كل فعل عن فاعله حسب الخصوصيات المتوفرة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ضوء ذلك فقد تعلّق علمه الأزلي بصدور الحرارة من النار على وجه الجبر ، بلا شعور ، كما تعلّق علمه الأزلي بصدور الرعشة من المرتعش ، عالماً بلا اختيار ، ولكن تعلّق علمه سبحانه بصدور فعل الإنسان عن اختيار منه ، فتعلّق علمه بوجود الإنسان وصدور فعله منه اختياراً ، يؤكِّد الاختيار ويدفع الجبر عن ساحة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العلّة إذا كانت عالمة شاعرة ، ومريدة ومختارة كالإنسان ، فقد تعلّق علمه بصدور أفعالها منها بتلك الخصوصيات وانصباغ فعلها بصبغة الاختيار والحرية ، فلو صدر فعل الإنسان منه بهذه الكيفية لكان علمه مطابقاً للواقع غير متخلّف عنه ، وأمّا لو صدر فعله منه عن جبر واضطرار بلا علم وشعور ، أو بلا اختيار وإرادة ، فعند ذلك يتخلّف علمه عن الواقع</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الجواب عن الدليل الثاني فحاصله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أبا لهب مكلّف بالإيمان لكونه </w:t>
      </w:r>
    </w:p>
    <w:p>
      <w:pPr>
        <w:pStyle w:val="BookText"/>
        <w:rPr/>
      </w:pPr>
      <w:r>
        <w:rPr>
          <w:rFonts w:ascii="Amiri" w:hAnsi="Amiri" w:eastAsia="Amiri" w:cs="Amiri"/>
          <w:color w:val="111111"/>
          <w:sz w:val="28"/>
          <w:sz w:val="28"/>
          <w:szCs w:val="28"/>
          <w:rtl w:val="true"/>
          <w:lang w:bidi="ar-SA"/>
        </w:rPr>
        <w:t>أمراً اختيارياً له ، وأمّا الإخبار بعدم إيمانه فقد نزل به الوحي بعد ما ختم الله على قلبه ، وعندئذ فليس مكلّفاً بما جاء في القرآن من أنّه لا يؤمن بل هو من إخبارات القرآن كسائر أخباره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 بيان أدلّة المثبتين والمنكرين ، وأظن انّ الحقّ تجلّى بأجلى مظاهره ، وهو أحقّ أن يتبع ، وما جاء به المنكرون تسويلات سحروا أعين المغترين بها واسترهبوهم ولكن نور الحقيقة لا يفتأ متبلِّجا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الكلام في الآثار والثمرات المترتبة على القاعدة وهو موضوعنا في الفصل الآتي</w:t>
      </w:r>
      <w:r>
        <w:rPr>
          <w:rFonts w:eastAsia="Amiri" w:cs="Amiri" w:ascii="Amiri" w:hAnsi="Amiri"/>
          <w:color w:val="111111"/>
          <w:sz w:val="28"/>
          <w:szCs w:val="28"/>
          <w:rtl w:val="true"/>
          <w:lang w:bidi="ar-SA"/>
        </w:rPr>
        <w:t xml:space="preserve">. </w:t>
      </w:r>
      <w:bookmarkStart w:id="89" w:name="pg11047_102540"/>
    </w:p>
    <w:p>
      <w:pPr>
        <w:pStyle w:val="Heading4"/>
        <w:numPr>
          <w:ilvl w:val="3"/>
          <w:numId w:val="1"/>
        </w:numPr>
        <w:rPr/>
      </w:pPr>
      <w:bookmarkStart w:id="90" w:name="__RefHeading___Toc1390969_1067777946"/>
      <w:bookmarkStart w:id="91" w:name="_Toc34"/>
      <w:bookmarkEnd w:id="89"/>
      <w:bookmarkEnd w:id="90"/>
      <w:r>
        <w:rPr/>
        <w:t>6</w:t>
      </w:r>
      <w:r>
        <w:rPr>
          <w:rtl w:val="true"/>
        </w:rPr>
        <w:t xml:space="preserve">- </w:t>
      </w:r>
      <w:r>
        <w:rPr>
          <w:rtl w:val="true"/>
        </w:rPr>
        <w:t>النتائج المترتّبة على التحسين والتقبيح العقليّين</w:t>
      </w:r>
      <w:bookmarkEnd w:id="91"/>
    </w:p>
    <w:p>
      <w:pPr>
        <w:pStyle w:val="Heading5"/>
        <w:numPr>
          <w:ilvl w:val="4"/>
          <w:numId w:val="1"/>
        </w:numPr>
        <w:rPr/>
      </w:pPr>
      <w:bookmarkStart w:id="92" w:name="__RefHeading___Toc1390971_1067777946"/>
      <w:bookmarkStart w:id="93" w:name="_Toc35"/>
      <w:bookmarkEnd w:id="92"/>
      <w:r>
        <w:rPr>
          <w:rtl w:val="true"/>
        </w:rPr>
        <w:t>اشارة</w:t>
      </w:r>
      <w:bookmarkEnd w:id="93"/>
    </w:p>
    <w:p>
      <w:pPr>
        <w:pStyle w:val="BookText"/>
        <w:rPr/>
      </w:pPr>
      <w:r>
        <w:rPr>
          <w:rFonts w:ascii="Amiri" w:hAnsi="Amiri" w:eastAsia="Amiri" w:cs="Amiri"/>
          <w:color w:val="111111"/>
          <w:sz w:val="28"/>
          <w:sz w:val="28"/>
          <w:szCs w:val="28"/>
          <w:rtl w:val="true"/>
          <w:lang w:bidi="ar-SA"/>
        </w:rPr>
        <w:t>إنّ قيمة كلّ بحث رهن الآثار التي تترتّب عليه ، والثمار التي يقتطفها الباحث ، ومن حسن الحظ انّ للمسألة دوراً عظيماً في العلوم الإنسانية لا سيما في الكلام والأخلاق ، وقد مضى الالماع إليه في صدر الرسالة وإليك شيئاً من هذه الثمرات</w:t>
      </w:r>
      <w:r>
        <w:rPr>
          <w:rFonts w:eastAsia="Amiri" w:cs="Amiri" w:ascii="Amiri" w:hAnsi="Amiri"/>
          <w:color w:val="111111"/>
          <w:sz w:val="28"/>
          <w:szCs w:val="28"/>
          <w:rtl w:val="true"/>
          <w:lang w:bidi="ar-SA"/>
        </w:rPr>
        <w:t>.</w:t>
      </w:r>
    </w:p>
    <w:p>
      <w:pPr>
        <w:pStyle w:val="Heading5"/>
        <w:numPr>
          <w:ilvl w:val="4"/>
          <w:numId w:val="1"/>
        </w:numPr>
        <w:rPr/>
      </w:pPr>
      <w:bookmarkStart w:id="94" w:name="__RefHeading___Toc1390973_1067777946"/>
      <w:bookmarkStart w:id="95" w:name="_Toc36"/>
      <w:bookmarkEnd w:id="94"/>
      <w:r>
        <w:rPr/>
        <w:t>1</w:t>
      </w:r>
      <w:r>
        <w:rPr>
          <w:rtl w:val="true"/>
        </w:rPr>
        <w:t xml:space="preserve">. </w:t>
      </w:r>
      <w:r>
        <w:rPr>
          <w:rtl w:val="true"/>
        </w:rPr>
        <w:t>وجوب المعرفة عقلاً</w:t>
      </w:r>
      <w:bookmarkEnd w:id="95"/>
    </w:p>
    <w:p>
      <w:pPr>
        <w:pStyle w:val="Heading6"/>
        <w:numPr>
          <w:ilvl w:val="5"/>
          <w:numId w:val="1"/>
        </w:numPr>
        <w:rPr/>
      </w:pPr>
      <w:bookmarkStart w:id="96" w:name="__RefHeading___Toc1390975_1067777946"/>
      <w:bookmarkStart w:id="97" w:name="_Toc37"/>
      <w:bookmarkEnd w:id="96"/>
      <w:r>
        <w:rPr>
          <w:rtl w:val="true"/>
        </w:rPr>
        <w:t>اشارة</w:t>
      </w:r>
      <w:bookmarkEnd w:id="97"/>
    </w:p>
    <w:p>
      <w:pPr>
        <w:pStyle w:val="BookText"/>
        <w:rPr/>
      </w:pPr>
      <w:r>
        <w:rPr>
          <w:rFonts w:ascii="Amiri" w:hAnsi="Amiri" w:eastAsia="Amiri" w:cs="Amiri"/>
          <w:color w:val="111111"/>
          <w:sz w:val="28"/>
          <w:sz w:val="28"/>
          <w:szCs w:val="28"/>
          <w:rtl w:val="true"/>
          <w:lang w:bidi="ar-SA"/>
        </w:rPr>
        <w:t>اتّفق المتكلمون على لزوم معرفة المنعم ، لكن اختلفوا في وجه لزومه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ذهبت الأشاعرة المنكرون للحسن والقبح العقليّين إلى أنّ معرفة المنعم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واجبة شرعاً مع أنّه أمر غير معقول ، إذ كيف تجب معرفته شرعاً مع أنّ الشريعة لم تثبت بعدُ حتّى يثبت وجود معرفة الله في ضمن سائر أحكامه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وذهبت الإمامية والمعتزلة إلى أنّ معرفته واجبة عقلاً ، واستدلّوا على ذلك بوجهين </w:t>
      </w:r>
      <w:bookmarkStart w:id="98" w:name="pg11047_102541"/>
    </w:p>
    <w:p>
      <w:pPr>
        <w:pStyle w:val="Heading6"/>
        <w:numPr>
          <w:ilvl w:val="5"/>
          <w:numId w:val="1"/>
        </w:numPr>
        <w:rPr/>
      </w:pPr>
      <w:bookmarkStart w:id="99" w:name="__RefHeading___Toc1390977_1067777946"/>
      <w:bookmarkStart w:id="100" w:name="_Toc38"/>
      <w:bookmarkEnd w:id="98"/>
      <w:bookmarkEnd w:id="99"/>
      <w:r>
        <w:rPr>
          <w:rtl w:val="true"/>
        </w:rPr>
        <w:t xml:space="preserve">الف </w:t>
      </w:r>
      <w:r>
        <w:rPr>
          <w:rtl w:val="true"/>
        </w:rPr>
        <w:t xml:space="preserve">: </w:t>
      </w:r>
      <w:r>
        <w:rPr>
          <w:rtl w:val="true"/>
        </w:rPr>
        <w:t>لزوم شكر المنعم</w:t>
      </w:r>
      <w:bookmarkEnd w:id="100"/>
    </w:p>
    <w:p>
      <w:pPr>
        <w:pStyle w:val="BookText"/>
        <w:rPr/>
      </w:pPr>
      <w:r>
        <w:rPr>
          <w:rFonts w:ascii="Amiri" w:hAnsi="Amiri" w:eastAsia="Amiri" w:cs="Amiri"/>
          <w:color w:val="111111"/>
          <w:sz w:val="28"/>
          <w:sz w:val="28"/>
          <w:szCs w:val="28"/>
          <w:rtl w:val="true"/>
          <w:lang w:bidi="ar-SA"/>
        </w:rPr>
        <w:t>لا شكّ انّ حياة الإنسان رهن النعم التي يعيش فيها ، فليس مصدر النعم هو نفسه بل شخص آخر هذا من 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جانب آخر انّ العقل يدفع الإنسان إلى شكر من أحسن إليه ولا يصح الشكر إلا بمعرفته ، فينتج وجوب معرفته عقلاً</w:t>
      </w:r>
      <w:r>
        <w:rPr>
          <w:rFonts w:eastAsia="Amiri" w:cs="Amiri" w:ascii="Amiri" w:hAnsi="Amiri"/>
          <w:color w:val="111111"/>
          <w:sz w:val="28"/>
          <w:szCs w:val="28"/>
          <w:rtl w:val="true"/>
          <w:lang w:bidi="ar-SA"/>
        </w:rPr>
        <w:t>.</w:t>
      </w:r>
    </w:p>
    <w:p>
      <w:pPr>
        <w:pStyle w:val="Heading6"/>
        <w:numPr>
          <w:ilvl w:val="5"/>
          <w:numId w:val="1"/>
        </w:numPr>
        <w:rPr/>
      </w:pPr>
      <w:bookmarkStart w:id="101" w:name="__RefHeading___Toc1390979_1067777946"/>
      <w:bookmarkStart w:id="102" w:name="_Toc39"/>
      <w:bookmarkEnd w:id="101"/>
      <w:r>
        <w:rPr>
          <w:rtl w:val="true"/>
        </w:rPr>
        <w:t xml:space="preserve">ب </w:t>
      </w:r>
      <w:r>
        <w:rPr>
          <w:rtl w:val="true"/>
        </w:rPr>
        <w:t xml:space="preserve">: </w:t>
      </w:r>
      <w:r>
        <w:rPr>
          <w:rtl w:val="true"/>
        </w:rPr>
        <w:t>دفع العقاب المحتمل بالمعرفة</w:t>
      </w:r>
      <w:bookmarkEnd w:id="102"/>
    </w:p>
    <w:p>
      <w:pPr>
        <w:pStyle w:val="BookText"/>
        <w:rPr/>
      </w:pPr>
      <w:r>
        <w:rPr>
          <w:rFonts w:ascii="Amiri" w:hAnsi="Amiri" w:eastAsia="Amiri" w:cs="Amiri"/>
          <w:color w:val="111111"/>
          <w:sz w:val="28"/>
          <w:sz w:val="28"/>
          <w:szCs w:val="28"/>
          <w:rtl w:val="true"/>
          <w:lang w:bidi="ar-SA"/>
        </w:rPr>
        <w:t>إنّ معرفة الله دافعة للخوف الحاصل من الاختلاف ، ودفع الخوف حسن بالضرورة</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 xml:space="preserve">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ذهب الإلهيون إلى أنّ العالم وما فيه مخلوق 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جماهير الناس ، وإن خالفهم شرذمة قليلة من المادّيين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ويدّعون أنّ لله سبحانه سفراء وأنبياء حوّل إليهم بيان وظائف العباد في أبعاد مختلفة وإنّ في مخالفتهم مضاعفات وعقوبات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الإنسان يحتمل جداً صدق مقولتهم فيبعثه عقله إلى وجوب معرفته ومعرفة سفرائه ويحسنه كما يزجره عن ترك المعرفة ويقبحه ، ولو لا القول بالحسن والقبح العقليّين لما كان هناك أي باعث إلى معرفته سبحانه</w:t>
      </w:r>
      <w:r>
        <w:rPr>
          <w:rFonts w:eastAsia="Amiri" w:cs="Amiri" w:ascii="Amiri" w:hAnsi="Amiri"/>
          <w:color w:val="111111"/>
          <w:sz w:val="28"/>
          <w:szCs w:val="28"/>
          <w:rtl w:val="true"/>
          <w:lang w:bidi="ar-SA"/>
        </w:rPr>
        <w:t>.</w:t>
      </w:r>
    </w:p>
    <w:p>
      <w:pPr>
        <w:pStyle w:val="Heading5"/>
        <w:numPr>
          <w:ilvl w:val="4"/>
          <w:numId w:val="1"/>
        </w:numPr>
        <w:rPr/>
      </w:pPr>
      <w:bookmarkStart w:id="103" w:name="__RefHeading___Toc1390981_1067777946"/>
      <w:bookmarkStart w:id="104" w:name="_Toc40"/>
      <w:bookmarkEnd w:id="103"/>
      <w:r>
        <w:rPr/>
        <w:t>2</w:t>
      </w:r>
      <w:r>
        <w:rPr>
          <w:rtl w:val="true"/>
        </w:rPr>
        <w:t xml:space="preserve">. </w:t>
      </w:r>
      <w:r>
        <w:rPr>
          <w:rtl w:val="true"/>
        </w:rPr>
        <w:t>وصفه بالعدل والحكمة</w:t>
      </w:r>
      <w:bookmarkEnd w:id="104"/>
    </w:p>
    <w:p>
      <w:pPr>
        <w:pStyle w:val="Heading6"/>
        <w:numPr>
          <w:ilvl w:val="5"/>
          <w:numId w:val="1"/>
        </w:numPr>
        <w:rPr/>
      </w:pPr>
      <w:bookmarkStart w:id="105" w:name="__RefHeading___Toc1390983_1067777946"/>
      <w:bookmarkStart w:id="106" w:name="_Toc41"/>
      <w:bookmarkEnd w:id="105"/>
      <w:r>
        <w:rPr>
          <w:rtl w:val="true"/>
        </w:rPr>
        <w:t>اشارة</w:t>
      </w:r>
      <w:bookmarkEnd w:id="106"/>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وصفه سبحانه بالعدل والحكمة فرع ثبوت التحسين والتقبيح العقليّين ، ولو لا استقلال العقل بحسن العدل وقبح الظلم لما صحّ وصفه سبحانه بالعدل أو </w:t>
      </w:r>
      <w:bookmarkStart w:id="107" w:name="pg11047_102542"/>
    </w:p>
    <w:p>
      <w:pPr>
        <w:pStyle w:val="BookText"/>
        <w:rPr/>
      </w:pPr>
      <w:bookmarkEnd w:id="107"/>
      <w:r>
        <w:rPr>
          <w:rFonts w:ascii="Amiri" w:hAnsi="Amiri" w:eastAsia="Amiri" w:cs="Amiri"/>
          <w:color w:val="111111"/>
          <w:sz w:val="28"/>
          <w:sz w:val="28"/>
          <w:szCs w:val="28"/>
          <w:rtl w:val="true"/>
          <w:lang w:bidi="ar-SA"/>
        </w:rPr>
        <w:t>تنزيهه عن الظلم ، ونظير ذلك وصفه بكونه حكيماً لا يعبث ، لأنّ الفعل العبث قبيح عقلاً ، ومن عزل العقل عن درك التحسين والتقبيح العقليين لما تسنّى له إثبات هذين الوصفين له والاعتماد في إثباتهما على اخبار الشرع قد علمت عدم صحّته</w:t>
      </w:r>
      <w:r>
        <w:rPr>
          <w:rFonts w:eastAsia="Amiri" w:cs="Amiri" w:ascii="Amiri" w:hAnsi="Amiri"/>
          <w:color w:val="111111"/>
          <w:sz w:val="28"/>
          <w:szCs w:val="28"/>
          <w:rtl w:val="true"/>
          <w:lang w:bidi="ar-SA"/>
        </w:rPr>
        <w:t xml:space="preserve">. </w:t>
      </w:r>
      <w:r>
        <w:rPr>
          <w:rStyle w:val="FootnoteAnchor"/>
          <w:rtl w:val="true"/>
        </w:rPr>
        <w:footnoteReference w:id="25"/>
      </w:r>
    </w:p>
    <w:p>
      <w:pPr>
        <w:pStyle w:val="Heading6"/>
        <w:numPr>
          <w:ilvl w:val="5"/>
          <w:numId w:val="1"/>
        </w:numPr>
        <w:rPr/>
      </w:pPr>
      <w:bookmarkStart w:id="108" w:name="__RefHeading___Toc1390985_1067777946"/>
      <w:bookmarkStart w:id="109" w:name="_Toc42"/>
      <w:bookmarkEnd w:id="108"/>
      <w:r>
        <w:rPr>
          <w:rtl w:val="true"/>
        </w:rPr>
        <w:t>الدليل على نفي صدور القبيح عن الله سبحانه</w:t>
      </w:r>
      <w:bookmarkEnd w:id="109"/>
    </w:p>
    <w:p>
      <w:pPr>
        <w:pStyle w:val="BookText"/>
        <w:rPr/>
      </w:pPr>
      <w:r>
        <w:rPr>
          <w:rFonts w:ascii="Amiri" w:hAnsi="Amiri" w:eastAsia="Amiri" w:cs="Amiri"/>
          <w:color w:val="111111"/>
          <w:sz w:val="28"/>
          <w:sz w:val="28"/>
          <w:szCs w:val="28"/>
          <w:rtl w:val="true"/>
          <w:lang w:bidi="ar-SA"/>
        </w:rPr>
        <w:t xml:space="preserve">اعتمد المتكلّمون على نفي صدور القبيح منه سبحانه على وصفين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بالحسن والقبح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غناه وعدم حاجته إلى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في حياتنا اليومية نشاهد ذلك بالعيان ، فانّ من يرتكب القبيح فإنّما يرتكب لإحدى جهتين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لجهله بقبح الفعل ، أو لإحساس الحاجة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ربّما لا يكون محتاجاً إليه في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فقد هذين الأمرين فلا يصدر منه 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هذا هو السبب الأساسي لصدور القبيح من الإنسان ، فهذا هو السبب أيضاً في صدوره عن الله سبحانه ، فإذا كان سبحانه نفس العلم والغنى يمتنع صدور فعل القبيح منه</w:t>
      </w:r>
      <w:r>
        <w:rPr>
          <w:rFonts w:eastAsia="Amiri" w:cs="Amiri" w:ascii="Amiri" w:hAnsi="Amiri"/>
          <w:color w:val="111111"/>
          <w:sz w:val="28"/>
          <w:szCs w:val="28"/>
          <w:rtl w:val="true"/>
          <w:lang w:bidi="ar-SA"/>
        </w:rPr>
        <w:t>.</w:t>
      </w:r>
    </w:p>
    <w:p>
      <w:pPr>
        <w:pStyle w:val="Heading5"/>
        <w:numPr>
          <w:ilvl w:val="4"/>
          <w:numId w:val="1"/>
        </w:numPr>
        <w:rPr/>
      </w:pPr>
      <w:bookmarkStart w:id="110" w:name="__RefHeading___Toc1390987_1067777946"/>
      <w:bookmarkStart w:id="111" w:name="_Toc43"/>
      <w:bookmarkEnd w:id="110"/>
      <w:r>
        <w:rPr/>
        <w:t>3</w:t>
      </w:r>
      <w:r>
        <w:rPr>
          <w:rtl w:val="true"/>
        </w:rPr>
        <w:t xml:space="preserve">. </w:t>
      </w:r>
      <w:r>
        <w:rPr>
          <w:rtl w:val="true"/>
        </w:rPr>
        <w:t>لزوم اللطف على الله</w:t>
      </w:r>
      <w:bookmarkEnd w:id="111"/>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اللطف عبارة عمّا يكون المكلّف معه أقرب إلى فعل الطاعة وأبعد عن فعل المعصية ، وقد قسموا اللطف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المقرِّب نحو الطاعة ، وإلى المحصِّل لها ؛ فلو </w:t>
      </w:r>
      <w:bookmarkStart w:id="112" w:name="pg11047_102543"/>
    </w:p>
    <w:p>
      <w:pPr>
        <w:pStyle w:val="BookText"/>
        <w:rPr/>
      </w:pPr>
      <w:bookmarkEnd w:id="112"/>
      <w:r>
        <w:rPr>
          <w:rFonts w:ascii="Amiri" w:hAnsi="Amiri" w:eastAsia="Amiri" w:cs="Amiri"/>
          <w:color w:val="111111"/>
          <w:sz w:val="28"/>
          <w:sz w:val="28"/>
          <w:szCs w:val="28"/>
          <w:rtl w:val="true"/>
          <w:lang w:bidi="ar-SA"/>
        </w:rPr>
        <w:t>كان موجباً لقرب المكلّف إلى فعل الطاعة والبعد عن فعل المعصية ، فهو لطف مقرّب ، ولو ترتّبت عليه الطاعة فهو لطف محصّل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اللطف عبارة عن فسح المجال أمام المكلّف بُغية حصول الطاعة والابتعاد عن المعصية ، وهو أمر غير إعطاء القابلية للمكلّف بل فوقه ، فانّ القدرة شرط عقلي ولولاها لقبح التكليف ، والمراد انّه سبحانه يتلطّف على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وراء إعطائه القابلية والقدرة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بفعل أُمور يرغب معها إلى الطاعة وترك المعصية ، فلو توقّف تحصيل الغرض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طاعة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وراء إعطاء القدرة ، على فعل المرغِّبات إلى الطاعة وترك المعصية كوعده وإيعاده كان على المكلّف القيام به لكيلا ينتفي الغرض ، وإلى هذا الدليل يشير المحقّق الطوسي ،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واللطف واجب لتحصيل الغرض به</w:t>
      </w:r>
      <w:r>
        <w:rPr>
          <w:rFonts w:eastAsia="Amiri" w:cs="Amiri" w:ascii="Amiri" w:hAnsi="Amiri"/>
          <w:color w:val="111111"/>
          <w:sz w:val="28"/>
          <w:szCs w:val="28"/>
          <w:rtl w:val="true"/>
          <w:lang w:bidi="ar-SA"/>
        </w:rPr>
        <w:t>».</w:t>
      </w:r>
    </w:p>
    <w:p>
      <w:pPr>
        <w:pStyle w:val="Heading5"/>
        <w:numPr>
          <w:ilvl w:val="4"/>
          <w:numId w:val="1"/>
        </w:numPr>
        <w:rPr/>
      </w:pPr>
      <w:bookmarkStart w:id="113" w:name="__RefHeading___Toc1390989_1067777946"/>
      <w:bookmarkStart w:id="114" w:name="_Toc44"/>
      <w:bookmarkEnd w:id="113"/>
      <w:r>
        <w:rPr/>
        <w:t>4</w:t>
      </w:r>
      <w:r>
        <w:rPr>
          <w:rtl w:val="true"/>
        </w:rPr>
        <w:t xml:space="preserve">. </w:t>
      </w:r>
      <w:r>
        <w:rPr>
          <w:rtl w:val="true"/>
        </w:rPr>
        <w:t>بعثة الأنبياء</w:t>
      </w:r>
      <w:bookmarkEnd w:id="114"/>
    </w:p>
    <w:p>
      <w:pPr>
        <w:pStyle w:val="BookText"/>
        <w:rPr/>
      </w:pPr>
      <w:r>
        <w:rPr>
          <w:rFonts w:ascii="Amiri" w:hAnsi="Amiri" w:eastAsia="Amiri" w:cs="Amiri"/>
          <w:color w:val="111111"/>
          <w:sz w:val="28"/>
          <w:sz w:val="28"/>
          <w:szCs w:val="28"/>
          <w:rtl w:val="true"/>
          <w:lang w:bidi="ar-SA"/>
        </w:rPr>
        <w:t xml:space="preserve">إنّ العقل يحكم بلزوم بعث الأنبياء ، وذلك لأمرين رئيسيّين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للعقل أحكاماً كلية كلزوم شكر المنعم وعبادته ، إلاّ أنّه عاجز عن الخوض في تفاصيلها ، فوجب من باب اللطف بعث الأنبياء ، لغاية إيضاح كيفية أداء الواجب وبيان المزيد من التفاصيل</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ادراك العقل حسن فعل أو قبحه ربما لا يكون باعثاً أو زاجراً إلاّ إذا افترض بوعد ووعيد من قبل المولى سبحانه وهو لا يتحقّق إلاّ ببعث الأنبياء الناطقين عنه سبحانه ، وبذلك يعلم أنّ دور الأنبياء بالنسبة إلى ما يدركه العقل أحد أمرين ، إمّا دور الإرشاد إلى التفاصيل التي لا يدركها العقل ، وإمّا دور الدعم لحكمه</w:t>
      </w:r>
      <w:r>
        <w:rPr>
          <w:rFonts w:eastAsia="Amiri" w:cs="Amiri" w:ascii="Amiri" w:hAnsi="Amiri"/>
          <w:color w:val="111111"/>
          <w:sz w:val="28"/>
          <w:szCs w:val="28"/>
          <w:rtl w:val="true"/>
          <w:lang w:bidi="ar-SA"/>
        </w:rPr>
        <w:t xml:space="preserve">. </w:t>
      </w:r>
      <w:bookmarkStart w:id="115" w:name="pg11047_102544"/>
    </w:p>
    <w:p>
      <w:pPr>
        <w:pStyle w:val="Heading5"/>
        <w:numPr>
          <w:ilvl w:val="4"/>
          <w:numId w:val="1"/>
        </w:numPr>
        <w:rPr/>
      </w:pPr>
      <w:bookmarkStart w:id="116" w:name="__RefHeading___Toc1390991_1067777946"/>
      <w:bookmarkStart w:id="117" w:name="_Toc45"/>
      <w:bookmarkEnd w:id="115"/>
      <w:bookmarkEnd w:id="116"/>
      <w:r>
        <w:rPr/>
        <w:t>5</w:t>
      </w:r>
      <w:r>
        <w:rPr>
          <w:rtl w:val="true"/>
        </w:rPr>
        <w:t xml:space="preserve">. </w:t>
      </w:r>
      <w:r>
        <w:rPr>
          <w:rtl w:val="true"/>
        </w:rPr>
        <w:t>حسن التكليف</w:t>
      </w:r>
      <w:bookmarkEnd w:id="117"/>
    </w:p>
    <w:p>
      <w:pPr>
        <w:pStyle w:val="BookText"/>
        <w:rPr/>
      </w:pPr>
      <w:r>
        <w:rPr>
          <w:rFonts w:ascii="Amiri" w:hAnsi="Amiri" w:eastAsia="Amiri" w:cs="Amiri"/>
          <w:color w:val="111111"/>
          <w:sz w:val="28"/>
          <w:sz w:val="28"/>
          <w:szCs w:val="28"/>
          <w:rtl w:val="true"/>
          <w:lang w:bidi="ar-SA"/>
        </w:rPr>
        <w:t>إذا كان فعله سبحانه منزّهاً عن العبث ، يستقلّ العقل بالحكم بلزوم إيصال كلّ مكلّف إلى الغايات التي خلق لها ، وذلك بتكليفهم بما يوصلهم إلى الكمال ، وزجرهم عمّا يمنعهم عنه ، حتى لا يُتركوا سدىً وتنفتح في ضوء التكليف طاقاتهم الروحية ، وعلم الإنسان بالحسن والقبح لا يكفي في استكماله ، إذ هناك أُمور يقصر عن إدراك حكمه ، علم الإنسان ، ولا تعلم إلاّ عن طريق الوحي والشرع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حفظ النظام أمر حسن واختلاله وزعزعته أمر قبيح ، ولا يسود النظام في المجتمع الإنساني إلاّ بتقنين قوانين سماويّة </w:t>
      </w:r>
      <w:r>
        <w:rPr>
          <w:rStyle w:val="FootnoteAnchor"/>
          <w:rtl w:val="true"/>
        </w:rPr>
        <w:footnoteReference w:id="26"/>
      </w:r>
      <w:r>
        <w:rPr>
          <w:rFonts w:ascii="Amiri" w:hAnsi="Amiri" w:eastAsia="Amiri" w:cs="Amiri"/>
          <w:color w:val="111111"/>
          <w:sz w:val="28"/>
          <w:sz w:val="28"/>
          <w:szCs w:val="28"/>
          <w:rtl w:val="true"/>
          <w:lang w:bidi="ar-SA"/>
        </w:rPr>
        <w:t>تكفل تحقيق العدل والمساواة بين كافة الشعوب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الثمرات المذكورة لحسن التكليف</w:t>
      </w:r>
      <w:r>
        <w:rPr>
          <w:rFonts w:eastAsia="Amiri" w:cs="Amiri" w:ascii="Amiri" w:hAnsi="Amiri"/>
          <w:color w:val="111111"/>
          <w:sz w:val="28"/>
          <w:szCs w:val="28"/>
          <w:rtl w:val="true"/>
          <w:lang w:bidi="ar-SA"/>
        </w:rPr>
        <w:t>.</w:t>
      </w:r>
    </w:p>
    <w:p>
      <w:pPr>
        <w:pStyle w:val="Heading5"/>
        <w:numPr>
          <w:ilvl w:val="4"/>
          <w:numId w:val="1"/>
        </w:numPr>
        <w:rPr/>
      </w:pPr>
      <w:bookmarkStart w:id="118" w:name="__RefHeading___Toc1390993_1067777946"/>
      <w:bookmarkStart w:id="119" w:name="_Toc46"/>
      <w:bookmarkEnd w:id="118"/>
      <w:r>
        <w:rPr/>
        <w:t>6</w:t>
      </w:r>
      <w:r>
        <w:rPr>
          <w:rtl w:val="true"/>
        </w:rPr>
        <w:t xml:space="preserve">. </w:t>
      </w:r>
      <w:r>
        <w:rPr>
          <w:rtl w:val="true"/>
        </w:rPr>
        <w:t>لزوم تزويد الأنبياء بالبيّنات والمعاجز</w:t>
      </w:r>
      <w:bookmarkEnd w:id="119"/>
    </w:p>
    <w:p>
      <w:pPr>
        <w:pStyle w:val="BookText"/>
        <w:rPr/>
      </w:pPr>
      <w:r>
        <w:rPr>
          <w:rFonts w:ascii="Amiri" w:hAnsi="Amiri" w:eastAsia="Amiri" w:cs="Amiri"/>
          <w:color w:val="111111"/>
          <w:sz w:val="28"/>
          <w:sz w:val="28"/>
          <w:szCs w:val="28"/>
          <w:rtl w:val="true"/>
          <w:lang w:bidi="ar-SA"/>
        </w:rPr>
        <w:t>إنّ بداهة العقل قاضية بعدم جواز الخنوع والخضوع لأي ادّعاء ما لم يعضده الدليل والبرهان ، فمقتضى الحكمة الإلهية تزويد الأنبياء بالمعاجز والبيّنات حتى تتحقّق الغاية المتوخّاة من بعثهم ، ولولاها لأصبح بعثهم سدىً وعملاً بلا غاية وهو قبيح</w:t>
      </w:r>
      <w:r>
        <w:rPr>
          <w:rFonts w:eastAsia="Amiri" w:cs="Amiri" w:ascii="Amiri" w:hAnsi="Amiri"/>
          <w:color w:val="111111"/>
          <w:sz w:val="28"/>
          <w:szCs w:val="28"/>
          <w:rtl w:val="true"/>
          <w:lang w:bidi="ar-SA"/>
        </w:rPr>
        <w:t>.</w:t>
      </w:r>
    </w:p>
    <w:p>
      <w:pPr>
        <w:pStyle w:val="Heading4"/>
        <w:numPr>
          <w:ilvl w:val="3"/>
          <w:numId w:val="1"/>
        </w:numPr>
        <w:rPr/>
      </w:pPr>
      <w:bookmarkStart w:id="120" w:name="__RefHeading___Toc1390995_1067777946"/>
      <w:bookmarkStart w:id="121" w:name="_Toc47"/>
      <w:bookmarkEnd w:id="120"/>
      <w:r>
        <w:rPr/>
        <w:t>7</w:t>
      </w:r>
      <w:r>
        <w:rPr>
          <w:rtl w:val="true"/>
        </w:rPr>
        <w:t xml:space="preserve">. </w:t>
      </w:r>
      <w:r>
        <w:rPr>
          <w:rtl w:val="true"/>
        </w:rPr>
        <w:t>لزوم النظر في برهان مدّعي النبوة</w:t>
      </w:r>
      <w:bookmarkEnd w:id="121"/>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مقتضى الحكمة الإلهية دعم الأنبياء بالبراهين ، فيلزم على العباد عقلاً النظر في برهان مدّعي النبوة ، لاستقلال العقل بذلك ، ولدفع الضرر </w:t>
      </w:r>
      <w:bookmarkStart w:id="122" w:name="pg11047_102545"/>
    </w:p>
    <w:p>
      <w:pPr>
        <w:pStyle w:val="BookText"/>
        <w:rPr/>
      </w:pPr>
      <w:bookmarkEnd w:id="122"/>
      <w:r>
        <w:rPr>
          <w:rFonts w:ascii="IRNazanin" w:hAnsi="IRNazanin" w:eastAsia="IRNazanin"/>
          <w:color w:val="111111"/>
          <w:sz w:val="28"/>
          <w:sz w:val="28"/>
          <w:szCs w:val="28"/>
          <w:rtl w:val="true"/>
          <w:lang w:bidi="fa-IR"/>
        </w:rPr>
        <w:t>المحتمل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من عزل العقل عن الحكم في ذلك المجال ، فليس له أن يثبت لزوم النظر إلاّ عن طريق الشرع ، وهو بعد غير ثابت ، فتطرح مشكلة الدور</w:t>
      </w:r>
      <w:r>
        <w:rPr>
          <w:rFonts w:eastAsia="Amiri" w:cs="Amiri" w:ascii="Amiri" w:hAnsi="Amiri"/>
          <w:color w:val="111111"/>
          <w:sz w:val="28"/>
          <w:szCs w:val="28"/>
          <w:rtl w:val="true"/>
          <w:lang w:bidi="ar-SA"/>
        </w:rPr>
        <w:t>.</w:t>
      </w:r>
    </w:p>
    <w:p>
      <w:pPr>
        <w:pStyle w:val="Heading4"/>
        <w:numPr>
          <w:ilvl w:val="3"/>
          <w:numId w:val="1"/>
        </w:numPr>
        <w:rPr/>
      </w:pPr>
      <w:bookmarkStart w:id="123" w:name="__RefHeading___Toc1390997_1067777946"/>
      <w:bookmarkStart w:id="124" w:name="_Toc48"/>
      <w:bookmarkEnd w:id="123"/>
      <w:r>
        <w:rPr/>
        <w:t>8</w:t>
      </w:r>
      <w:r>
        <w:rPr>
          <w:rtl w:val="true"/>
        </w:rPr>
        <w:t xml:space="preserve">. </w:t>
      </w:r>
      <w:r>
        <w:rPr>
          <w:rtl w:val="true"/>
        </w:rPr>
        <w:t>العلم بصدق دعوى الأنبياء</w:t>
      </w:r>
      <w:bookmarkEnd w:id="124"/>
    </w:p>
    <w:p>
      <w:pPr>
        <w:pStyle w:val="BookText"/>
        <w:rPr/>
      </w:pPr>
      <w:r>
        <w:rPr>
          <w:rFonts w:ascii="Amiri" w:hAnsi="Amiri" w:eastAsia="Amiri" w:cs="Amiri"/>
          <w:color w:val="111111"/>
          <w:sz w:val="28"/>
          <w:sz w:val="28"/>
          <w:szCs w:val="28"/>
          <w:rtl w:val="true"/>
          <w:lang w:bidi="ar-SA"/>
        </w:rPr>
        <w:t xml:space="preserve">إذا اقترنت دعوة المتنبّئ بالمعاجز والبيّنات الواضحة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فبناء على استقلال العقل بالحسن والقبح العقليّين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لحكمنا بصدقه ، لقبح إعطاء البيّنات للمدّعي الكذّاب لما فيه من إضلال الناس ، وأمّا إذا عزلنا العقل عن الحكم المذكور ، فلا دليل على صدق نبوّته</w:t>
      </w:r>
      <w:r>
        <w:rPr>
          <w:rFonts w:eastAsia="Amiri" w:cs="Amiri" w:ascii="Amiri" w:hAnsi="Amiri"/>
          <w:color w:val="111111"/>
          <w:sz w:val="28"/>
          <w:szCs w:val="28"/>
          <w:rtl w:val="true"/>
          <w:lang w:bidi="ar-SA"/>
        </w:rPr>
        <w:t>.</w:t>
      </w:r>
    </w:p>
    <w:p>
      <w:pPr>
        <w:pStyle w:val="Heading4"/>
        <w:numPr>
          <w:ilvl w:val="3"/>
          <w:numId w:val="1"/>
        </w:numPr>
        <w:rPr/>
      </w:pPr>
      <w:bookmarkStart w:id="125" w:name="__RefHeading___Toc1390999_1067777946"/>
      <w:bookmarkStart w:id="126" w:name="_Toc49"/>
      <w:bookmarkEnd w:id="125"/>
      <w:r>
        <w:rPr/>
        <w:t>9</w:t>
      </w:r>
      <w:r>
        <w:rPr>
          <w:rtl w:val="true"/>
        </w:rPr>
        <w:t xml:space="preserve">. </w:t>
      </w:r>
      <w:r>
        <w:rPr>
          <w:rtl w:val="true"/>
        </w:rPr>
        <w:t>الخاتمية واستمرار أحكام الإسلام</w:t>
      </w:r>
      <w:bookmarkEnd w:id="126"/>
    </w:p>
    <w:p>
      <w:pPr>
        <w:pStyle w:val="BookText"/>
        <w:rPr/>
      </w:pPr>
      <w:r>
        <w:rPr>
          <w:rFonts w:ascii="Amiri" w:hAnsi="Amiri" w:eastAsia="Amiri" w:cs="Amiri"/>
          <w:color w:val="111111"/>
          <w:sz w:val="28"/>
          <w:sz w:val="28"/>
          <w:szCs w:val="28"/>
          <w:rtl w:val="true"/>
          <w:lang w:bidi="ar-SA"/>
        </w:rPr>
        <w:t xml:space="preserve">إنّ استقلال العقل بالتحسين والتقبيح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الذي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أساس الخاتمية وبقاء أحكام الإسلام وخلودها إلى يوم القيامة ، لأنّ الفطرة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العماد لإدراك الحسن والقبح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مشتركة بين جميع أفراد البشر ولا تتبدّل بتبدّل الحضارات وتطور الثقافات ، فإنّ تبدّلها لا يمسّ فطرة الإنسان ولا يُغير جبلته ، فيصبح ما تستحسنه الفطرة أو تستقبحه خالداً إلى يوم القيامة ، دون أن يتطرّق إليه التبدّل والتغيّر</w:t>
      </w:r>
      <w:r>
        <w:rPr>
          <w:rFonts w:eastAsia="Amiri" w:cs="Amiri" w:ascii="Amiri" w:hAnsi="Amiri"/>
          <w:color w:val="111111"/>
          <w:sz w:val="28"/>
          <w:szCs w:val="28"/>
          <w:rtl w:val="true"/>
          <w:lang w:bidi="ar-SA"/>
        </w:rPr>
        <w:t>.</w:t>
      </w:r>
    </w:p>
    <w:p>
      <w:pPr>
        <w:pStyle w:val="Heading4"/>
        <w:numPr>
          <w:ilvl w:val="3"/>
          <w:numId w:val="1"/>
        </w:numPr>
        <w:rPr/>
      </w:pPr>
      <w:bookmarkStart w:id="127" w:name="__RefHeading___Toc1391001_1067777946"/>
      <w:bookmarkStart w:id="128" w:name="_Toc50"/>
      <w:bookmarkEnd w:id="127"/>
      <w:r>
        <w:rPr/>
        <w:t>10</w:t>
      </w:r>
      <w:r>
        <w:rPr>
          <w:rtl w:val="true"/>
        </w:rPr>
        <w:t xml:space="preserve">. </w:t>
      </w:r>
      <w:r>
        <w:rPr>
          <w:rtl w:val="true"/>
        </w:rPr>
        <w:t>الله عادل لا يجور</w:t>
      </w:r>
      <w:bookmarkEnd w:id="128"/>
    </w:p>
    <w:p>
      <w:pPr>
        <w:pStyle w:val="Heading5"/>
        <w:numPr>
          <w:ilvl w:val="4"/>
          <w:numId w:val="1"/>
        </w:numPr>
        <w:rPr/>
      </w:pPr>
      <w:bookmarkStart w:id="129" w:name="__RefHeading___Toc1391003_1067777946"/>
      <w:bookmarkStart w:id="130" w:name="_Toc51"/>
      <w:bookmarkEnd w:id="129"/>
      <w:r>
        <w:rPr>
          <w:rtl w:val="true"/>
        </w:rPr>
        <w:t>اشارة</w:t>
      </w:r>
      <w:bookmarkEnd w:id="130"/>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أبرز مصاديق حكمته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عدله ، بمعنى قيامه بالقسط ، وأنّه لا يجور ولا يظلم ، ويترتب عليه بعض النتائج التي منها </w:t>
      </w:r>
      <w:r>
        <w:rPr>
          <w:rFonts w:eastAsia="Amiri" w:cs="Amiri" w:ascii="Amiri" w:hAnsi="Amiri"/>
          <w:color w:val="111111"/>
          <w:sz w:val="28"/>
          <w:szCs w:val="28"/>
          <w:rtl w:val="true"/>
          <w:lang w:bidi="ar-SA"/>
        </w:rPr>
        <w:t xml:space="preserve">: </w:t>
      </w:r>
      <w:bookmarkStart w:id="131" w:name="pg11047_102546"/>
    </w:p>
    <w:p>
      <w:pPr>
        <w:pStyle w:val="Heading5"/>
        <w:numPr>
          <w:ilvl w:val="4"/>
          <w:numId w:val="1"/>
        </w:numPr>
        <w:rPr/>
      </w:pPr>
      <w:bookmarkStart w:id="132" w:name="__RefHeading___Toc1391005_1067777946"/>
      <w:bookmarkStart w:id="133" w:name="_Toc52"/>
      <w:bookmarkEnd w:id="131"/>
      <w:bookmarkEnd w:id="132"/>
      <w:r>
        <w:rPr>
          <w:rtl w:val="true"/>
        </w:rPr>
        <w:t>أ</w:t>
      </w:r>
      <w:r>
        <w:rPr>
          <w:rtl w:val="true"/>
        </w:rPr>
        <w:t xml:space="preserve">. </w:t>
      </w:r>
      <w:r>
        <w:rPr>
          <w:rtl w:val="true"/>
        </w:rPr>
        <w:t>قبح العقاب بلا بيان</w:t>
      </w:r>
      <w:bookmarkEnd w:id="133"/>
    </w:p>
    <w:p>
      <w:pPr>
        <w:pStyle w:val="BookText"/>
        <w:rPr/>
      </w:pPr>
      <w:r>
        <w:rPr>
          <w:rFonts w:ascii="Amiri" w:hAnsi="Amiri" w:eastAsia="Amiri" w:cs="Amiri"/>
          <w:color w:val="111111"/>
          <w:sz w:val="28"/>
          <w:sz w:val="28"/>
          <w:szCs w:val="28"/>
          <w:rtl w:val="true"/>
          <w:lang w:bidi="ar-SA"/>
        </w:rPr>
        <w:t>إذا كان الله تعالى عادلاً ، فانّه لا يعاقب عباده دون أن يبيّن لهم تكاليفهم ، لحكم العقل بقبح العقاب بلا صدور بيان ، أو مع صدور دون أن يقع في متناول العباد ، ولزوم تنزّه الواجب عنه</w:t>
      </w:r>
      <w:r>
        <w:rPr>
          <w:rFonts w:eastAsia="Amiri" w:cs="Amiri" w:ascii="Amiri" w:hAnsi="Amiri"/>
          <w:color w:val="111111"/>
          <w:sz w:val="28"/>
          <w:szCs w:val="28"/>
          <w:rtl w:val="true"/>
          <w:lang w:bidi="ar-SA"/>
        </w:rPr>
        <w:t>.</w:t>
      </w:r>
    </w:p>
    <w:p>
      <w:pPr>
        <w:pStyle w:val="Heading5"/>
        <w:numPr>
          <w:ilvl w:val="4"/>
          <w:numId w:val="1"/>
        </w:numPr>
        <w:rPr/>
      </w:pPr>
      <w:bookmarkStart w:id="134" w:name="__RefHeading___Toc1391007_1067777946"/>
      <w:bookmarkStart w:id="135" w:name="_Toc53"/>
      <w:bookmarkEnd w:id="134"/>
      <w:r>
        <w:rPr>
          <w:rtl w:val="true"/>
        </w:rPr>
        <w:t>ب</w:t>
      </w:r>
      <w:r>
        <w:rPr>
          <w:rtl w:val="true"/>
        </w:rPr>
        <w:t xml:space="preserve">. </w:t>
      </w:r>
      <w:r>
        <w:rPr>
          <w:rtl w:val="true"/>
        </w:rPr>
        <w:t>قبح التكليف بما لا يطاق</w:t>
      </w:r>
      <w:bookmarkEnd w:id="135"/>
    </w:p>
    <w:p>
      <w:pPr>
        <w:pStyle w:val="BookText"/>
        <w:rPr/>
      </w:pPr>
      <w:r>
        <w:rPr>
          <w:rFonts w:ascii="Amiri" w:hAnsi="Amiri" w:eastAsia="Amiri" w:cs="Amiri"/>
          <w:color w:val="111111"/>
          <w:sz w:val="28"/>
          <w:sz w:val="28"/>
          <w:szCs w:val="28"/>
          <w:rtl w:val="true"/>
          <w:lang w:bidi="ar-SA"/>
        </w:rPr>
        <w:t>من نتائج حكم العقل بعدله تعالى ، حكمه بلزوم تكليفه بما يطيقه العبد ، وأنّ تكليفه وإلزامه بما هو فوق طاقته ظلم وقبيح لا يصدر عن الحكيم</w:t>
      </w:r>
      <w:r>
        <w:rPr>
          <w:rFonts w:eastAsia="Amiri" w:cs="Amiri" w:ascii="Amiri" w:hAnsi="Amiri"/>
          <w:color w:val="111111"/>
          <w:sz w:val="28"/>
          <w:szCs w:val="28"/>
          <w:rtl w:val="true"/>
          <w:lang w:bidi="ar-SA"/>
        </w:rPr>
        <w:t>.</w:t>
      </w:r>
    </w:p>
    <w:p>
      <w:pPr>
        <w:pStyle w:val="Heading5"/>
        <w:numPr>
          <w:ilvl w:val="4"/>
          <w:numId w:val="1"/>
        </w:numPr>
        <w:rPr/>
      </w:pPr>
      <w:bookmarkStart w:id="136" w:name="__RefHeading___Toc1391009_1067777946"/>
      <w:bookmarkStart w:id="137" w:name="_Toc54"/>
      <w:bookmarkEnd w:id="136"/>
      <w:r>
        <w:rPr>
          <w:rtl w:val="true"/>
        </w:rPr>
        <w:t>ج</w:t>
      </w:r>
      <w:r>
        <w:rPr>
          <w:rtl w:val="true"/>
        </w:rPr>
        <w:t xml:space="preserve">. </w:t>
      </w:r>
      <w:r>
        <w:rPr>
          <w:rtl w:val="true"/>
        </w:rPr>
        <w:t>مدَى تأثير القضاء والقدر في مصير الإنسان</w:t>
      </w:r>
      <w:bookmarkEnd w:id="137"/>
    </w:p>
    <w:p>
      <w:pPr>
        <w:pStyle w:val="BookText"/>
        <w:rPr/>
      </w:pPr>
      <w:r>
        <w:rPr>
          <w:rFonts w:ascii="Amiri" w:hAnsi="Amiri" w:eastAsia="Amiri" w:cs="Amiri"/>
          <w:color w:val="111111"/>
          <w:sz w:val="28"/>
          <w:sz w:val="28"/>
          <w:szCs w:val="28"/>
          <w:rtl w:val="true"/>
          <w:lang w:bidi="ar-SA"/>
        </w:rPr>
        <w:t>هذه المسألة على الرغم من أهميتها البالغة في العقيدة الإسلامية ، فقد احتدم الجدل حولها إلى درجه التكفير وإراقة الدماء خاصة في العصور الأُولى ، فهل تأثيرهما إلى حدّ يسلب الاختيار عن الإنسان ،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قبيح عند العقل فيتعين الثاني</w:t>
      </w:r>
      <w:r>
        <w:rPr>
          <w:rFonts w:eastAsia="Amiri" w:cs="Amiri" w:ascii="Amiri" w:hAnsi="Amiri"/>
          <w:color w:val="111111"/>
          <w:sz w:val="28"/>
          <w:szCs w:val="28"/>
          <w:rtl w:val="true"/>
          <w:lang w:bidi="ar-SA"/>
        </w:rPr>
        <w:t>.</w:t>
      </w:r>
    </w:p>
    <w:p>
      <w:pPr>
        <w:pStyle w:val="Heading5"/>
        <w:numPr>
          <w:ilvl w:val="4"/>
          <w:numId w:val="1"/>
        </w:numPr>
        <w:rPr/>
      </w:pPr>
      <w:bookmarkStart w:id="138" w:name="__RefHeading___Toc1391011_1067777946"/>
      <w:bookmarkStart w:id="139" w:name="_Toc55"/>
      <w:bookmarkEnd w:id="138"/>
      <w:r>
        <w:rPr>
          <w:rtl w:val="true"/>
        </w:rPr>
        <w:t>د</w:t>
      </w:r>
      <w:r>
        <w:rPr>
          <w:rtl w:val="true"/>
        </w:rPr>
        <w:t xml:space="preserve">. </w:t>
      </w:r>
      <w:r>
        <w:rPr>
          <w:rtl w:val="true"/>
        </w:rPr>
        <w:t>اختيار الإنسان</w:t>
      </w:r>
      <w:r>
        <w:rPr>
          <w:rtl w:val="true"/>
        </w:rPr>
        <w:t>.</w:t>
      </w:r>
      <w:bookmarkEnd w:id="139"/>
    </w:p>
    <w:p>
      <w:pPr>
        <w:pStyle w:val="BookText"/>
        <w:rPr/>
      </w:pPr>
      <w:r>
        <w:rPr>
          <w:rFonts w:ascii="Amiri" w:hAnsi="Amiri" w:eastAsia="Amiri" w:cs="Amiri"/>
          <w:color w:val="111111"/>
          <w:sz w:val="28"/>
          <w:sz w:val="28"/>
          <w:szCs w:val="28"/>
          <w:rtl w:val="true"/>
          <w:lang w:bidi="ar-SA"/>
        </w:rPr>
        <w:t>من جملة المسائل المترتبة على عدله تعالى ، اختيار الإنسان في أفعاله دون أن يكون مجبوراً مسيَّراً فيما يقوم به من ظلم وجور</w:t>
      </w:r>
      <w:r>
        <w:rPr>
          <w:rFonts w:eastAsia="Amiri" w:cs="Amiri" w:ascii="Amiri" w:hAnsi="Amiri"/>
          <w:color w:val="111111"/>
          <w:sz w:val="28"/>
          <w:szCs w:val="28"/>
          <w:rtl w:val="true"/>
          <w:lang w:bidi="ar-SA"/>
        </w:rPr>
        <w:t>.</w:t>
      </w:r>
    </w:p>
    <w:p>
      <w:pPr>
        <w:pStyle w:val="Heading4"/>
        <w:numPr>
          <w:ilvl w:val="3"/>
          <w:numId w:val="1"/>
        </w:numPr>
        <w:rPr/>
      </w:pPr>
      <w:bookmarkStart w:id="140" w:name="__RefHeading___Toc1391013_1067777946"/>
      <w:bookmarkStart w:id="141" w:name="_Toc56"/>
      <w:bookmarkEnd w:id="140"/>
      <w:r>
        <w:rPr/>
        <w:t>11</w:t>
      </w:r>
      <w:r>
        <w:rPr>
          <w:rtl w:val="true"/>
        </w:rPr>
        <w:t xml:space="preserve">. </w:t>
      </w:r>
      <w:r>
        <w:rPr>
          <w:rtl w:val="true"/>
        </w:rPr>
        <w:t>ثبات الأخلاق والقيم</w:t>
      </w:r>
      <w:bookmarkEnd w:id="141"/>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مسألة ثبات الأخلاق في جميع العصور والحضارات أو تبدّلها تبعاً لاختلافها ، ممّا طرح مؤخراً عند الغربيّين ودارت حوله نقاشات حادة ، فمن قائل بثبات أُصولها ، ومن قائل بتبدّلها وتغيّرها حسب تغير الأنظمة والحضارات ، ولكن </w:t>
      </w:r>
    </w:p>
    <w:p>
      <w:pPr>
        <w:pStyle w:val="BookText"/>
        <w:rPr/>
      </w:pPr>
      <w:r>
        <w:rPr>
          <w:rFonts w:ascii="Amiri" w:hAnsi="Amiri" w:eastAsia="Amiri" w:cs="Amiri"/>
          <w:color w:val="111111"/>
          <w:sz w:val="28"/>
          <w:sz w:val="28"/>
          <w:szCs w:val="28"/>
          <w:rtl w:val="true"/>
          <w:lang w:bidi="ar-SA"/>
        </w:rPr>
        <w:t>المسألة لا تنحل إلاّ في ضوء التحسين والتقبيح العقليّين الناشئين من قضاء الجبلّة الإنسانية والفطرة الثابتة ، فعند ذاك تتسم أُصول الأخلاق بسمة الثبات والخلود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خذ على سبيل 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إكرام المحسن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أمر يستحسنه العقل ، ولا يتغير حكم العقل هذا أبداً ، وإنّما الذي يتغيّر بمرور الزمان ، وسائل الإكرام وكيفيته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الثابت عبارة عن الأُصول الفطرية التي لها جذور في عمق الإنسان ، وطبيعته ، وبما انّ الفطرة الإنسانية واحدة في جميع الشرائط والظروف لا تتغير بتغيّرها ، تُصبح الأُصول المبنية على الفطرة الإنسانية أُصولاً ثابتة لا تتغيّر أيضاً ، فقوله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وَالْإِحْسانِ وَإِيتاءِ ذِي الْقُرْبى وَيَنْهى عَنِ الْفَحْشاءِ وَالْمُنْكَرِ وَالْبَغْيِ يَعِظُكُمْ لَعَلَّكُمْ تَذَكَّرُونَ</w:t>
      </w:r>
      <w:r>
        <w:rPr>
          <w:rFonts w:eastAsia="Amiri" w:cs="Amiri" w:ascii="Amiri" w:hAnsi="Amiri"/>
          <w:color w:val="111111"/>
          <w:sz w:val="28"/>
          <w:szCs w:val="28"/>
          <w:rtl w:val="true"/>
          <w:lang w:bidi="ar-SA"/>
        </w:rPr>
        <w:t xml:space="preserve">) </w:t>
      </w:r>
      <w:r>
        <w:rPr>
          <w:rStyle w:val="FootnoteAnchor"/>
          <w:rtl w:val="true"/>
        </w:rPr>
        <w:footnoteReference w:id="27"/>
      </w:r>
      <w:r>
        <w:rPr>
          <w:rFonts w:ascii="Amiri" w:hAnsi="Amiri" w:eastAsia="Amiri" w:cs="Amiri"/>
          <w:color w:val="111111"/>
          <w:sz w:val="28"/>
          <w:sz w:val="28"/>
          <w:szCs w:val="28"/>
          <w:rtl w:val="true"/>
          <w:lang w:bidi="ar-SA"/>
        </w:rPr>
        <w:t>ثابت ولا يتغيّر عبر القرون ، لأنّ العدل والإحسان قد جبل الإنسان عليهما ، نعم ثمة تغيّر يطرأ على الأساليب المقررة لإجراء تلك الأُصول الثابتة تبعاً لتغيّر الزمان ، فهي لم تزل تتغيّر حسب تغيّر الحضارات وهذا التغيّر ليس جوهرياً يمس ثبات تلك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غض النظر عن البيئة التي يعيش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سلوكاً باطنياً يلازمه ولا ينفك عنه ، وفطرة ثابتة ويعدّ جزءاً مهماً من شخصيته يميّزه عن سائر الحيوانات ويلازم وجوده في كلّ زمان ومكان</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السلوك الباطني الثابت لا يستغني عن قانون ينظم اتجاهاته ، ويصونه عن الإفراط والتفريط ، فإذا كان القانون مطابقاً لمقتضى فطرته ، وصالحاً لتعديل ميولها ، لزم خلوده بخلوده ، وثبوته بثبوته ، فمن زعم أنّ الأخلاق تتطور </w:t>
      </w:r>
    </w:p>
    <w:p>
      <w:pPr>
        <w:pStyle w:val="BookText"/>
        <w:rPr/>
      </w:pPr>
      <w:r>
        <w:rPr>
          <w:rFonts w:ascii="Amiri" w:hAnsi="Amiri" w:eastAsia="Amiri" w:cs="Amiri"/>
          <w:color w:val="111111"/>
          <w:sz w:val="28"/>
          <w:sz w:val="28"/>
          <w:szCs w:val="28"/>
          <w:rtl w:val="true"/>
          <w:lang w:bidi="ar-SA"/>
        </w:rPr>
        <w:t>حسب تطور الظروف والشرائط غفل عن أنّ للإنسان سلوكاً باطنياً وفطرة ثابتة لا تنفك عنه ما دام الإنسان إنساناً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إنّ الذي يتغيّر وتتغيّر بتبعه العادات والتقاليد ، لا صلة له بالأخلاق وثباتها ، وها نحن نذكر من الأُصول الثابتة في علم الأخلاق نماذج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يشك ذو مسكة أنّ بقاء النظام في المجتمع الإنساني رهن قوانين تؤمِّن حقوق جميع شرائح المجتمع بعيداً عن الظلم والجور والتعسّف ، وهذا أصل ثابت لا يشك فيه أحد ، بيد أنّ الذي يتغيّر هو الأساليب التي تتكفّل إجراء هذا الأصل ، فلا تجد على أديم الأرض من ينكر حسن تقنين مبنيّ على العدل وبسطه بين الناس ، وقبح الظلم والتعسف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الأصل الثابت لم يتغيّر منذ أن وجد الإنسان على البسيطة وأصبحت له حياة اجتماعية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الاختلاف بين الرجل والمرأة أمر تكويني محسوس ، فهما موجودان مختلفان عضوياً وروحياً على الرغم من الأبواق الإعلامية التي تبغي كسر الحواجز بينهما ، ولذلك اختلفت أحكام كلّ منهما عن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التشريع مطابقاً لفطرتهما ومسايراً لطبعهما يظل ثابتاً لا يتغيّر بمرور الزمان ، لثبات الموضوع المقتضي لثبات المحمول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الروابط العائلية ، كرابطة الابن بأبويه ، ورابطة الأخ بأخيه ، وهي روابط طبيعية ، تتحد فيها الأواصر الروحية والنسبية ، فالأحكام التي قُنّنت لتنظيم تلك الروابط باتت ثابتة لا تتغيّر بتغيّر الزمان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التشريع الإسلامي بالغ في الاهتمام بالأخلاق للحيلولة دون تفسّخها ، كما عالج أسباب التفسّخ الخلقي كالخمر والميسر والإباحة الجنسية </w:t>
      </w:r>
    </w:p>
    <w:p>
      <w:pPr>
        <w:pStyle w:val="BookText"/>
        <w:rPr/>
      </w:pPr>
      <w:r>
        <w:rPr>
          <w:rFonts w:ascii="Amiri" w:hAnsi="Amiri" w:eastAsia="Amiri" w:cs="Amiri"/>
          <w:color w:val="111111"/>
          <w:sz w:val="28"/>
          <w:sz w:val="28"/>
          <w:szCs w:val="28"/>
          <w:rtl w:val="true"/>
          <w:lang w:bidi="ar-SA"/>
        </w:rPr>
        <w:t>بوضع حلول تتناسب معها من خلال تحريمها وإقامة الحدود على مقترفيها ، وهذه الحلول ليست مقطعية تتغيّر بتغير الزمان ، بل هي ثابتة لا تتغير ، لأنّ الآثار التي تتركها المفاسد الخلقية أيضاً ثابتة ، فالخمر يزيل العقل ، والميسر ينبت العداوة في المجتمع ، والإباحة الجنسية تفسد النسل والحرث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وأمثالها من الأحكام الثابتة في حياة الإنسان الاجتماعية ، وهي تنسجم قبل كلّ شيء مع فطرته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وخلاصة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تطوّر الحياة الاجتماعية في بعض مجالاتها ، أو تغيّر الأحكام الموضوعة على وفق ملاكات واقعية متغيّرة لا يكون ذريعة لنسخ قبح الظلم وحسن العدل ولزوم أداء الأمانة ، ودفع الغرامات ، والوفاء بالعهود والمواثيق وأضرابها</w:t>
      </w:r>
      <w:r>
        <w:rPr>
          <w:rFonts w:eastAsia="Amiri" w:cs="Amiri" w:ascii="Amiri" w:hAnsi="Amiri"/>
          <w:color w:val="111111"/>
          <w:sz w:val="28"/>
          <w:szCs w:val="28"/>
          <w:rtl w:val="true"/>
          <w:lang w:bidi="ar-SA"/>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2" w:name="pg11047_102551"/>
      <w:bookmarkStart w:id="143" w:name="pg11047_102551"/>
      <w:bookmarkEnd w:id="143"/>
    </w:p>
    <w:p>
      <w:pPr>
        <w:pStyle w:val="Heading2"/>
        <w:numPr>
          <w:ilvl w:val="1"/>
          <w:numId w:val="1"/>
        </w:numPr>
        <w:rPr/>
      </w:pPr>
      <w:bookmarkStart w:id="144" w:name="pg11047_102551"/>
      <w:bookmarkStart w:id="145" w:name="__RefHeading___Toc1391015_1067777946"/>
      <w:bookmarkStart w:id="146" w:name="_Toc57"/>
      <w:bookmarkEnd w:id="144"/>
      <w:bookmarkEnd w:id="145"/>
      <w:r>
        <w:rPr>
          <w:rtl w:val="true"/>
        </w:rPr>
        <w:t>الفصل الثاني</w:t>
      </w:r>
      <w:r>
        <w:rPr>
          <w:rtl w:val="true"/>
        </w:rPr>
        <w:t xml:space="preserve">: </w:t>
      </w:r>
      <w:r>
        <w:rPr>
          <w:rtl w:val="true"/>
        </w:rPr>
        <w:t>الإنسان بين الجبر والتفويض</w:t>
      </w:r>
      <w:bookmarkEnd w:id="146"/>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7" w:name="__RefHeading___Toc1391017_1067777946"/>
      <w:bookmarkStart w:id="148" w:name="_Toc58"/>
      <w:bookmarkEnd w:id="147"/>
      <w:r>
        <w:rPr>
          <w:rtl w:val="true"/>
        </w:rPr>
        <w:t>اشارة</w:t>
      </w:r>
      <w:bookmarkEnd w:id="148"/>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9" w:name="pg11047_102553"/>
      <w:bookmarkStart w:id="150" w:name="pg11047_102553"/>
      <w:bookmarkEnd w:id="150"/>
    </w:p>
    <w:p>
      <w:pPr>
        <w:pStyle w:val="Heading3"/>
        <w:numPr>
          <w:ilvl w:val="2"/>
          <w:numId w:val="1"/>
        </w:numPr>
        <w:rPr/>
      </w:pPr>
      <w:bookmarkStart w:id="151" w:name="pg11047_102553"/>
      <w:bookmarkStart w:id="152" w:name="__RefHeading___Toc1391019_1067777946"/>
      <w:bookmarkStart w:id="153" w:name="_Toc59"/>
      <w:bookmarkEnd w:id="151"/>
      <w:bookmarkEnd w:id="152"/>
      <w:r>
        <w:rPr>
          <w:rtl w:val="true"/>
        </w:rPr>
        <w:t>تمهيد</w:t>
      </w:r>
      <w:bookmarkEnd w:id="153"/>
    </w:p>
    <w:p>
      <w:pPr>
        <w:pStyle w:val="BookText"/>
        <w:rPr/>
      </w:pPr>
      <w:r>
        <w:rPr>
          <w:rFonts w:ascii="Amiri" w:hAnsi="Amiri" w:eastAsia="Amiri" w:cs="Amiri"/>
          <w:color w:val="111111"/>
          <w:sz w:val="28"/>
          <w:sz w:val="28"/>
          <w:szCs w:val="28"/>
          <w:rtl w:val="true"/>
          <w:lang w:bidi="ar-SA"/>
        </w:rPr>
        <w:t xml:space="preserve">إنّ للشخصية الإنسانية أبعاداً مختلفة ، ومن تلك الأبعاد كون الإنسان فاعلاً مختاراً فيما يفعل أو يترك ، أو كونه مسيّراً قد رُسِم مصيرُ حياته بيد القَدَر أو عامل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سيوافيك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محيص له إلاّ السير في الطريق الذي خُطّ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انّ دراسة هذا البعد من أبعاد الشخصية الإنسانية دراسة مسألة فلسفية محضة يَلجها كبارُ الحكماء والفلاسفة عبْر القرون ولهم فيها آراء وأفكار ، لكنّها وفي الوقت نفسه مسألة يشتاق إلى فهمها عامّة الناس وقلّما وجدت في حياة الإنسان مسألة لها تلك الميزة ، وفي الحقيقة هي من إحدى المسائل الأربع التي يتطلّع إلى فهمها الجميع ألا وهي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أين جاء إلى الدنيا؟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ذا جاء إليها؟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أين يذهب؟</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هو في إعماله مخيّر أو مسير؟</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ولأجل ذلك لا يمكن تحديد الزمن الذي طُرِحت فيه مسألة الجبر والاختيار ، كما لا يمكن تحديد مكانها ، وإنّ باذرها هل هو إفريقي أو روميّ أو هندي أو صيني أو إيراني؟ وعلى كلّ تقدير فللمسألة جذور عميقة في تاريخ حياة </w:t>
      </w:r>
    </w:p>
    <w:p>
      <w:pPr>
        <w:pStyle w:val="BookText"/>
        <w:rPr/>
      </w:pP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الآراء المطروحة في المسألة تدور على محورين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الإنسان مسيّر لا مخيّر ، مجبور في أفعاله وليس بمختار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الإنسان مخيّر في أفعاله لا مسيّر ، مختار فيها وليس بمجبور</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ولكلّ من الرأيين قائل ودليل يعضد رأيه ، إلاّ أنّ المهم هو الوقوف على الرأي السائد حين نزول الوحي على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فالسير في الحديث والتاريخ يُثبت بأنّ الرأي العام في الجزيرة العربية قبل البعثة كان هو الجبر ، وقد بقيت رسوبات تلك الفكرة بعد البعثة وحتى رحيل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تبيين هذا الجانب من جوانب البحث نعقد الفصل التالي</w:t>
      </w:r>
      <w:r>
        <w:rPr>
          <w:rFonts w:eastAsia="Amiri" w:cs="Amiri" w:ascii="Amiri" w:hAnsi="Amiri"/>
          <w:color w:val="111111"/>
          <w:sz w:val="28"/>
          <w:szCs w:val="28"/>
          <w:rtl w:val="true"/>
          <w:lang w:bidi="ar-SA"/>
        </w:rPr>
        <w:t xml:space="preserve">. </w:t>
      </w:r>
      <w:bookmarkStart w:id="154" w:name="pg11047_102555"/>
    </w:p>
    <w:p>
      <w:pPr>
        <w:pStyle w:val="Heading3"/>
        <w:numPr>
          <w:ilvl w:val="2"/>
          <w:numId w:val="1"/>
        </w:numPr>
        <w:rPr/>
      </w:pPr>
      <w:bookmarkStart w:id="155" w:name="__RefHeading___Toc1391021_1067777946"/>
      <w:bookmarkStart w:id="156" w:name="_Toc60"/>
      <w:bookmarkEnd w:id="154"/>
      <w:bookmarkEnd w:id="155"/>
      <w:r>
        <w:rPr/>
        <w:t>1</w:t>
      </w:r>
      <w:r>
        <w:rPr>
          <w:rtl w:val="true"/>
        </w:rPr>
        <w:t xml:space="preserve">- </w:t>
      </w:r>
      <w:r>
        <w:rPr>
          <w:rtl w:val="true"/>
        </w:rPr>
        <w:t>الجبر على مسرح التاريخ الإسلامي</w:t>
      </w:r>
      <w:bookmarkEnd w:id="156"/>
    </w:p>
    <w:p>
      <w:pPr>
        <w:pStyle w:val="Heading4"/>
        <w:numPr>
          <w:ilvl w:val="3"/>
          <w:numId w:val="1"/>
        </w:numPr>
        <w:rPr/>
      </w:pPr>
      <w:bookmarkStart w:id="157" w:name="__RefHeading___Toc1391023_1067777946"/>
      <w:bookmarkStart w:id="158" w:name="_Toc61"/>
      <w:bookmarkEnd w:id="157"/>
      <w:r>
        <w:rPr>
          <w:rtl w:val="true"/>
        </w:rPr>
        <w:t>اشارة</w:t>
      </w:r>
      <w:bookmarkEnd w:id="158"/>
    </w:p>
    <w:p>
      <w:pPr>
        <w:pStyle w:val="BookText"/>
        <w:rPr/>
      </w:pPr>
      <w:r>
        <w:rPr>
          <w:rFonts w:ascii="Amiri" w:hAnsi="Amiri" w:eastAsia="Amiri" w:cs="Amiri"/>
          <w:color w:val="111111"/>
          <w:sz w:val="28"/>
          <w:sz w:val="28"/>
          <w:szCs w:val="28"/>
          <w:rtl w:val="true"/>
          <w:lang w:bidi="ar-SA"/>
        </w:rPr>
        <w:t xml:space="preserve">إنّ التأمّل في عقائد العرب في الجاهلية يُثبت بأنّهم أو طائفة منهم كانوا معتقدين بالتقدير السالب للاختيار عن الإنسان ، يقول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سَيَقُولُ الَّذِينَ أَشْرَكُوا لَوْ شاءَ اللهُ ما أَشْرَكْنا وَلا آباؤُنا وَلا حَرَّمْنا مِنْ شَيْءٍ كَذلِكَ كَذَّبَ الَّذِينَ مِنْ قَبْلِهِمْ حَتَّى ذاقُوا بَأْسَنا قُلْ هَلْ عِنْدَكُمْ مِنْ عِلْمٍ فَتُخْرِجُوهُ لَنا إِنْ تَتَّبِعُونَ إِلاَّ الظَّنَّ وَإِنْ أَنْتُمْ إِلاَّ تَخْرُصُونَ</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 xml:space="preserve">وليست الآية ، آية وحيدة تكشف عن عقيدة العرب في العصر الجاهلي حول فعل الإنسان ، بل هناك آية أو آيات أُخرى تشير إلى عقيدتهم ، يقول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فَعَلُوا فاحِشَةً قالُوا وَجَدْنا عَلَيْها آباءَنا وَاللهُ أَمَرَنا بِها قُلْ إِنَّ اللهَ لا يَأْمُرُ بِالْفَحْشاءِ أَتَقُولُونَ عَلَى اللهِ ما لا تَعْلَمُونَ</w:t>
      </w:r>
      <w:r>
        <w:rPr>
          <w:rFonts w:eastAsia="Amiri" w:cs="Amiri" w:ascii="Amiri" w:hAnsi="Amiri"/>
          <w:color w:val="111111"/>
          <w:sz w:val="28"/>
          <w:szCs w:val="28"/>
          <w:rtl w:val="true"/>
          <w:lang w:bidi="ar-SA"/>
        </w:rPr>
        <w:t xml:space="preserve">). </w:t>
      </w:r>
      <w:r>
        <w:rPr>
          <w:rStyle w:val="FootnoteAnchor"/>
          <w:rtl w:val="true"/>
        </w:rPr>
        <w:footnoteReference w:id="29"/>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أَمَرَنا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أنّ عبادة الوثن أمر قدّره الله سبحانه وليس لنا الفرار ممّا قُضي به ، والله سبحانه يردّ على مزعمتهم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اللهَ لا يَأْمُرُ بِالْفَحْشاءِ أَتَقُولُونَ عَلَى اللهِ ما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يأمر بها ولا يقدِّرها بالمعنى </w:t>
      </w:r>
    </w:p>
    <w:p>
      <w:pPr>
        <w:pStyle w:val="BookText"/>
        <w:rPr/>
      </w:pPr>
      <w:r>
        <w:rPr>
          <w:rFonts w:ascii="Amiri" w:hAnsi="Amiri" w:eastAsia="Amiri" w:cs="Amiri"/>
          <w:color w:val="111111"/>
          <w:sz w:val="28"/>
          <w:sz w:val="28"/>
          <w:szCs w:val="28"/>
          <w:rtl w:val="true"/>
          <w:lang w:bidi="ar-SA"/>
        </w:rPr>
        <w:t>الذي تدّعون أي السالب للاختيار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جذور هذه العقيدة وانّها كيف تسرّبت إلى الجزيرة العربية حتّى سادت على المشركين فقد ظلّت مجهولة؟</w:t>
      </w:r>
    </w:p>
    <w:p>
      <w:pPr>
        <w:pStyle w:val="BookText"/>
        <w:rPr/>
      </w:pPr>
      <w:r>
        <w:rPr>
          <w:rFonts w:ascii="Amiri" w:hAnsi="Amiri" w:eastAsia="Amiri" w:cs="Amiri"/>
          <w:color w:val="111111"/>
          <w:sz w:val="28"/>
          <w:sz w:val="28"/>
          <w:szCs w:val="28"/>
          <w:rtl w:val="true"/>
          <w:lang w:bidi="ar-SA"/>
        </w:rPr>
        <w:t>والعجب انّ رسوبات فكرة الجبر بقيت بعد بزوغ نجم الإسلام وسادت حال حياة الرسول وبعد رحيله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الواقدي في مغازيه عن أُمّ الحارث الأنصارية وهي تحدِّث عن فرار المسلمين يوم حنين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بي عمر بن الخطاب منهزماً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الله</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ومعنى ذلك انّه لم يكن دور للغزاة من المسلمين في هزيمة حنين ، وقد كانت الهزيمة تقديراً قطعياً من الله ولم يكن محيص من التسليم امامه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نفس الجبر لا يفترق عنه قيد شعرة ، مع أنّه سبحانه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نَصَرَكُمُ اللهُ فِي مَواطِنَ كَثِيرَةٍ وَيَوْمَ حُنَيْنٍ إِذْ أَعْجَبَتْكُمْ كَثْرَتُكُمْ فَلَمْ تُغْنِ عَنْكُمْ شَيْئاً وَضاقَتْ عَلَيْكُمُ الْأَرْضُ بِما رَحُبَتْ ثُمَّ وَلَّيْتُمْ مُدْبِرِينَ</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 xml:space="preserve">وقد أشار سبحانه إلى عامل الهزيمة وأنّه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إعجابهم بكثرتهم ، فاعتمدوا على الكثرة ، مكان الاعتماد على الله سبحانه أوّلاً وعلى قواهم الذاتية ثانياً كما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أَعْجَبَتْكُمْ كَثْرَتُكُمْ</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الانسحاب عن ساحة الحرب بدل الثبات ، كما يقول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وَلَّيْتُمْ مُدْبِرِينَ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أنّهم أُمروا بالثبات كما يقول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لَقِيتُمُ الَّذِينَ كَفَرُوا زَحْفاً فَلا تُوَلُّوهُمُ الْأَدْبارَ</w:t>
      </w:r>
      <w:r>
        <w:rPr>
          <w:rFonts w:eastAsia="Amiri" w:cs="Amiri" w:ascii="Amiri" w:hAnsi="Amiri"/>
          <w:color w:val="111111"/>
          <w:sz w:val="28"/>
          <w:szCs w:val="28"/>
          <w:rtl w:val="true"/>
          <w:lang w:bidi="ar-SA"/>
        </w:rPr>
        <w:t xml:space="preserve">). </w:t>
      </w:r>
      <w:r>
        <w:rPr>
          <w:rStyle w:val="FootnoteAnchor"/>
          <w:rtl w:val="true"/>
        </w:rPr>
        <w:footnoteReference w:id="32"/>
      </w:r>
      <w:bookmarkStart w:id="159" w:name="pg11047_102557"/>
    </w:p>
    <w:p>
      <w:pPr>
        <w:pStyle w:val="BookText"/>
        <w:rPr/>
      </w:pPr>
      <w:bookmarkEnd w:id="159"/>
      <w:r>
        <w:rPr>
          <w:rFonts w:ascii="Amiri" w:hAnsi="Amiri" w:eastAsia="Amiri" w:cs="Amiri"/>
          <w:color w:val="111111"/>
          <w:sz w:val="28"/>
          <w:sz w:val="28"/>
          <w:szCs w:val="28"/>
          <w:rtl w:val="true"/>
          <w:lang w:bidi="ar-SA"/>
        </w:rPr>
        <w:t xml:space="preserve">والعجب انّ هذه العقيدة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 السالب للاختيار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سائدة بعد رحيل الرسول وباقية في اذهان الصحابة ، وهذا السيوطي ينقل عن عبد الله بن عمر أنّه جاء رجل إلى أبي بكر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الزنا بقدر؟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قدّره عليّ ثمّ يعذّبني؟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بن اللخناء أما والله لو كان عندي إنسان أمرته أن يجأ أنفك</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 xml:space="preserve">لقد كان السائل في حيرة من أمر القدر فسأل الخليفة عن كون الزنا مقدَّراً من الله أم لا؟ فلما أجاب الخليفة بنعم ، استغرب من ذلك ، لأنّ العقل لا يسوّغ تقديره سبحانه شيئاً سالباً للاختيار عن الإنسان في فعله أو تركه ثمّ تعذيبه عليه ، ولذلك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الله قدّره عليّ ثمّ يعذبني؟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ذاك أقرّه الخليفة على ما استغربه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ابن اللخناء</w:t>
      </w:r>
      <w:r>
        <w:rPr>
          <w:rFonts w:eastAsia="Amiri" w:cs="Amiri" w:ascii="Amiri" w:hAnsi="Amiri"/>
          <w:color w:val="111111"/>
          <w:sz w:val="28"/>
          <w:szCs w:val="28"/>
          <w:rtl w:val="true"/>
          <w:lang w:bidi="ar-SA"/>
        </w:rPr>
        <w:t>.</w:t>
      </w:r>
    </w:p>
    <w:p>
      <w:pPr>
        <w:pStyle w:val="Heading4"/>
        <w:numPr>
          <w:ilvl w:val="3"/>
          <w:numId w:val="1"/>
        </w:numPr>
        <w:rPr/>
      </w:pPr>
      <w:bookmarkStart w:id="160" w:name="__RefHeading___Toc1391025_1067777946"/>
      <w:bookmarkStart w:id="161" w:name="_Toc62"/>
      <w:bookmarkEnd w:id="160"/>
      <w:r>
        <w:rPr>
          <w:rtl w:val="true"/>
        </w:rPr>
        <w:t>استغلال الأُمويّين للقدر</w:t>
      </w:r>
      <w:bookmarkEnd w:id="161"/>
    </w:p>
    <w:p>
      <w:pPr>
        <w:pStyle w:val="BookText"/>
        <w:rPr/>
      </w:pPr>
      <w:r>
        <w:rPr>
          <w:rFonts w:ascii="Amiri" w:hAnsi="Amiri" w:eastAsia="Amiri" w:cs="Amiri"/>
          <w:color w:val="111111"/>
          <w:sz w:val="28"/>
          <w:sz w:val="28"/>
          <w:szCs w:val="28"/>
          <w:rtl w:val="true"/>
          <w:lang w:bidi="ar-SA"/>
        </w:rPr>
        <w:t>إنّ طبيعة الحكومات الاستبدادية هي تبرير كلّ ما يسود المجتمع من الفقر والظلم والاعتساف بعامل خارج عن دائرة حكمهم كقضاء الله سبحانه وقدره حتّى لا يعترض عليهم معترض</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وجد التفسيرُ الخاطئ للدين طريقَه إلى المجتمع الحاضر وانّه وسيلة لدعم الجهاز الحاكم ، وقد استغل الشيوعيون والعلمانيُّون هذه الفكرة لإبعاد الناس عن الدين ولكنّهم خلطوا سهواً أو عمداً بين كون الدين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أُلهم على قلوب الأنبياء ولا أن يكون مسانداً للجهاز الظالم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التفسير الباطل للدين ، إذ كيف يكون الدين مسانداً للسلطات الزمنية الجائرة مع أنّه يأمر بالعدل </w:t>
      </w:r>
    </w:p>
    <w:p>
      <w:pPr>
        <w:pStyle w:val="BookText"/>
        <w:rPr/>
      </w:pPr>
      <w:r>
        <w:rPr>
          <w:rFonts w:ascii="Amiri" w:hAnsi="Amiri" w:eastAsia="Amiri" w:cs="Amiri"/>
          <w:color w:val="111111"/>
          <w:sz w:val="28"/>
          <w:sz w:val="28"/>
          <w:szCs w:val="28"/>
          <w:rtl w:val="true"/>
          <w:lang w:bidi="ar-SA"/>
        </w:rPr>
        <w:t>والاحسان وينهى عن الظلم والفحشاء؟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إمام المسلمين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راوياً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لن تقدس أُمّة لا يؤخذ للضعيف فيها حقّه من القوي غير متعتع</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الأمويين استغلّوا الجبر لإرساء قواعد حُكْمِهم حتى أنّ معاوية لمّا نصب ولده يزيداً خليفة للمسلمين وسلّطه على رقاب المسلمين اعترضت عليه أُمّ المؤمنين عائشة ، فأجابها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 يزيد قضاء من القضاء وليس للعباد الخيرة من أمرهم</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وبهذا أيضاً أجاب معاوية عبد الله بن عمر عند ما سأل معاوية عن تنصيبه يزيدَ للحكم؟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أُحذرك أن تشق عصا المسلمين وتسعى في تفريق ملئهم وأن تسفك دماءهم ، وانّ أمر يزيد قد كان قضاءً من القضاء وليس للعباد خيرة من أمره</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سرى هذا الاعتذار إلى غير الأمويّين من الذين ساروا في ركب الخلفاء ، فهذا هو عمر بن سعد بن أبي وقاص ، قاتل الإمام الشهيد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اعترض عليه عبد الله بن مطيع العدوي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اخترت همدَان والريَ على قتل ابن 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أُمور قُضِيتْ من السماء وقد أعذرت إلى ابن عمي قبل الوقعة فأبى إلاّ ما أبى</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برّرتْ عائشة أُم المؤمنين خلافَها مع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بالقضاء والقدر ، على ما رواه الخطيب عن أبي قتادة فعند ما ذكر قصة الخوارج في النهروان لعائشة أجابته </w:t>
      </w:r>
      <w:bookmarkStart w:id="162" w:name="pg11047_102559"/>
    </w:p>
    <w:p>
      <w:pPr>
        <w:pStyle w:val="BookText"/>
        <w:rPr/>
      </w:pPr>
      <w:bookmarkEnd w:id="162"/>
      <w:r>
        <w:rPr>
          <w:rFonts w:ascii="Amiri" w:hAnsi="Amiri" w:eastAsia="Amiri" w:cs="Amiri"/>
          <w:color w:val="111111"/>
          <w:sz w:val="28"/>
          <w:sz w:val="28"/>
          <w:szCs w:val="28"/>
          <w:rtl w:val="true"/>
          <w:lang w:bidi="ar-SA"/>
        </w:rPr>
        <w:t xml:space="preserve">أُمّ المؤمنين بقولها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يمنعني ما بيني وبين عليّ أن أقول الحق ، سمعت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تفترق أُمّتي على فرقتين تمرق بينهما فرقة محلّقون رءوسهم ، مخفّون شواربهم ، أزرهم إلى أنصاف سوقهم ، يقرءون القرآن لا يتجاوز تراقيهم يقتلهم أحبهم إليّ ، وأحبهم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المؤمنين فأنت تعلمين هذا فلم كان الذي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قتادة وكان أمر الله قدراً مقدوراً ، وللقدر أسباب</w:t>
      </w:r>
      <w:r>
        <w:rPr>
          <w:rFonts w:eastAsia="Amiri" w:cs="Amiri" w:ascii="Amiri" w:hAnsi="Amiri"/>
          <w:color w:val="111111"/>
          <w:sz w:val="28"/>
          <w:szCs w:val="28"/>
          <w:rtl w:val="true"/>
          <w:lang w:bidi="ar-SA"/>
        </w:rPr>
        <w:t xml:space="preserve">!!. </w:t>
      </w:r>
      <w:r>
        <w:rPr>
          <w:rStyle w:val="FootnoteAnchor"/>
          <w:rtl w:val="true"/>
        </w:rPr>
        <w:footnoteReference w:id="38"/>
      </w:r>
    </w:p>
    <w:p>
      <w:pPr>
        <w:pStyle w:val="Heading4"/>
        <w:numPr>
          <w:ilvl w:val="3"/>
          <w:numId w:val="1"/>
        </w:numPr>
        <w:rPr/>
      </w:pPr>
      <w:bookmarkStart w:id="163" w:name="__RefHeading___Toc1391027_1067777946"/>
      <w:bookmarkStart w:id="164" w:name="_Toc63"/>
      <w:bookmarkEnd w:id="163"/>
      <w:r>
        <w:rPr>
          <w:rtl w:val="true"/>
        </w:rPr>
        <w:t>التقدير المساوي للجبر عقيدة مستوردة</w:t>
      </w:r>
      <w:bookmarkEnd w:id="164"/>
    </w:p>
    <w:p>
      <w:pPr>
        <w:pStyle w:val="BookText"/>
        <w:rPr/>
      </w:pPr>
      <w:r>
        <w:rPr>
          <w:rFonts w:ascii="Amiri" w:hAnsi="Amiri" w:eastAsia="Amiri" w:cs="Amiri"/>
          <w:color w:val="111111"/>
          <w:sz w:val="28"/>
          <w:sz w:val="28"/>
          <w:szCs w:val="28"/>
          <w:rtl w:val="true"/>
          <w:lang w:bidi="ar-SA"/>
        </w:rPr>
        <w:t xml:space="preserve">ومن العوامل التي صارت سبباً لتركيز فكرة الجبر بين المسلمين هي الأساطير التي حاكها الأحبار والرهبان ونشروها بين المسلمين حول القضاء والقدر ، فهذا هو حماد بن سلمة يروي عن أبي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وهب بن منبه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أقول بالقدر حتّى قرأت بضعة وسبعين كتاباً مَنْ كتب الأنبياء في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جعل لنفسه شيئاً من المشيئة فقد كفر ، فتركتُ قولي</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والمراد من القدر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أقول بالقدر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القول بتقدير الله سبحانه وقضائه ، بل المراد هو القول بالاختيار والمشيئة للعبد كما يظهر من ذيل كلامه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النقل يعطي انّ القول بنفي الاختيار والمشيية للإنسان ، قد تسرّب إلى الأوساط الإسلامية عن طريق هذه الجماعة وعن الكتب الإسرائيلية أفيصحّ بعد هذا أن نعد القول بنفي المشيئة للإنسان عقيدة جاء بها القرآن والسنّة النبوية ، ونكفّر من قال بالمشيئة له ولو مشيئة ظلية تابعة لمشيئته سبحانه ، ونقاتل في سبيل هذه العقيدة؟</w:t>
      </w:r>
      <w:r>
        <w:rPr>
          <w:rFonts w:eastAsia="Amiri" w:cs="Amiri" w:ascii="Amiri" w:hAnsi="Amiri"/>
          <w:color w:val="111111"/>
          <w:sz w:val="28"/>
          <w:szCs w:val="28"/>
          <w:rtl w:val="true"/>
          <w:lang w:bidi="ar-SA"/>
        </w:rPr>
        <w:t xml:space="preserve">! </w:t>
      </w:r>
      <w:bookmarkStart w:id="165" w:name="pg11047_102560"/>
    </w:p>
    <w:p>
      <w:pPr>
        <w:pStyle w:val="Heading4"/>
        <w:numPr>
          <w:ilvl w:val="3"/>
          <w:numId w:val="1"/>
        </w:numPr>
        <w:rPr/>
      </w:pPr>
      <w:bookmarkStart w:id="166" w:name="__RefHeading___Toc1391029_1067777946"/>
      <w:bookmarkStart w:id="167" w:name="_Toc64"/>
      <w:bookmarkEnd w:id="165"/>
      <w:bookmarkEnd w:id="166"/>
      <w:r>
        <w:rPr>
          <w:rtl w:val="true"/>
        </w:rPr>
        <w:t xml:space="preserve">حديث </w:t>
      </w:r>
      <w:r>
        <w:rPr>
          <w:rtl w:val="true"/>
        </w:rPr>
        <w:t>«</w:t>
      </w:r>
      <w:r>
        <w:rPr>
          <w:rtl w:val="true"/>
        </w:rPr>
        <w:t>الفراغ من الأمر</w:t>
      </w:r>
      <w:r>
        <w:rPr>
          <w:rtl w:val="true"/>
        </w:rPr>
        <w:t xml:space="preserve">» </w:t>
      </w:r>
      <w:r>
        <w:rPr>
          <w:rtl w:val="true"/>
        </w:rPr>
        <w:t>بدعة يهوديّة</w:t>
      </w:r>
      <w:bookmarkEnd w:id="167"/>
    </w:p>
    <w:p>
      <w:pPr>
        <w:pStyle w:val="BookText"/>
        <w:rPr/>
      </w:pPr>
      <w:r>
        <w:rPr>
          <w:rFonts w:ascii="Amiri" w:hAnsi="Amiri" w:eastAsia="Amiri" w:cs="Amiri"/>
          <w:color w:val="111111"/>
          <w:sz w:val="28"/>
          <w:sz w:val="28"/>
          <w:szCs w:val="28"/>
          <w:rtl w:val="true"/>
          <w:lang w:bidi="ar-SA"/>
        </w:rPr>
        <w:t xml:space="preserve">يجد الباحث في ثنايا الأحاديث وكلمات المحدّثين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سبحانه قد فرغ من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قد فرغ سبحانه من أمر التدبير والتكوين فلا يتغيّر ما قُدّر ، ولا يتبدّل ما قضى به ، وهو بظاهره نفس الجبر ، إذ معناه انّه لا محيص للإنسان إلاّ العمل بما قُدّر وقضى ولا يتمكّن من تغييره وتبديله ، وبالتالي لا خيرة للإنسان في حياته فيما يختار أو يترك مع أنّه سبحانه يحكم على خلافه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كانَ لِرَسُولٍ أَنْ يَأْتِيَ بِآيَةٍ إِلاَّ بِإِذْنِ اللهِ لِكُلِّ أَجَلٍ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يَمْحُوا اللهُ ما يَشاءُ وَيُثْبِتُ وَعِنْدَهُ أُمُّ الْكِتابِ</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وهل يمحو إلاّ ما أثبتَ؟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قد فرغ من الأمر فما معنى محو ما أثبته وقدّره؟ كيف والله سبحانه مبسوط اليد لا يكبّله تقديره وقضاؤه ، فله السيادة على القضاء والقدر دونهما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الثعلبي ينقل عن مجاهد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قريش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حينما أنزل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لِرَسُولٍ أَنْ يَأْتِيَ بِآيَةٍ إِلاَّ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لنا نراك يا محمد تملك من شيء وقد فرغ من أمره ، فأنزلت هذه الآية تخويفاً ووعداً لهم ، أي أن يشأ أحدثها من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ويُحدث في كلّ رمضان في ليلة القدر ويمحو ويُثبت ما يشاء من أرزاق الناس ومسائلهم وما يؤتيهم ويُنسأهم له</w:t>
      </w:r>
      <w:r>
        <w:rPr>
          <w:rFonts w:eastAsia="Amiri" w:cs="Amiri" w:ascii="Amiri" w:hAnsi="Amiri"/>
          <w:color w:val="111111"/>
          <w:sz w:val="28"/>
          <w:szCs w:val="28"/>
          <w:rtl w:val="true"/>
          <w:lang w:bidi="ar-SA"/>
        </w:rPr>
        <w:t xml:space="preserve">. </w:t>
      </w:r>
      <w:r>
        <w:rPr>
          <w:rStyle w:val="FootnoteAnchor"/>
          <w:rtl w:val="true"/>
        </w:rPr>
        <w:footnoteReference w:id="41"/>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تطرق عن طريق تلامذة الاحبار والرهبان انّه سبحانه يمحو ما يشاء ويثبت إلاّ الحياة والموت والشقاء والسعادة فانّهما لا يتغيران ، ونقله السيوطي عن </w:t>
      </w:r>
    </w:p>
    <w:p>
      <w:pPr>
        <w:pStyle w:val="BookText"/>
        <w:rPr/>
      </w:pPr>
      <w:r>
        <w:rPr>
          <w:rFonts w:ascii="Amiri" w:hAnsi="Amiri" w:eastAsia="Amiri" w:cs="Amiri"/>
          <w:color w:val="111111"/>
          <w:sz w:val="28"/>
          <w:sz w:val="28"/>
          <w:szCs w:val="28"/>
          <w:rtl w:val="true"/>
          <w:lang w:bidi="ar-SA"/>
        </w:rPr>
        <w:t>غير واحد من الصحابة والتابعين الذين كانوا يحسنون الظن باحبار اليهود ورهبان النصارى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ابن جرير وابن المنذر عن مجاهد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يَمْحُوا اللهُ ما يَشاءُ وَيُثْبِتُ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الحياة والموت ، والشقاء والسعادة فانّهما لا يتغيّران</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 xml:space="preserve">أخرج الطبراني في الأوسط وابن مردويه بسند ضعيف عن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وَيُثْبِتُ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الشقوة والسعادة والحياة والموت</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 xml:space="preserve">وقد روى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كلّ ليلة القدر يرفع ويخفض ويرزق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غير الحياة والموت والشقاوة والسعادة ، فإنّ ذلك لا يزول</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 xml:space="preserve">وأظنّ أنّ الرواية مكذوبة على لسان ابن عباس تلميذ الإمام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وبيته الرفيع مجمعون على إمكان تغيير المصير حتّى السعادة والشقاء بالأعمال الصالحة والطالحة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سيادة القدر على مصير الإنسان على نحو يسلب عنه الاختيار ولا يتمكّن من تبديل ما قدّر إلى خلافه ، نفس القول بالجبر وسيادته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القول مرفوض عقلاً ، وكتاباً ، فإنّ إطلاق الكتاب في المحو الإثبات ، يعمّ الجميع حتّى الموت والحياة والسعادة والشقاء</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قوم يونس قد غيّروا مصيرهم السيّئ بالتوبة والعمل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 لا كانَتْ قَرْيَةٌ آمَنَتْ فَنَفَعَها إِيمانُها إِلاَّ قَوْمَ يُونُسَ لَمَّا آمَنُوا كَشَفْنا </w:t>
      </w:r>
    </w:p>
    <w:p>
      <w:pPr>
        <w:pStyle w:val="BookText"/>
        <w:rPr/>
      </w:pPr>
      <w:r>
        <w:rPr>
          <w:rFonts w:ascii="Amiri" w:hAnsi="Amiri" w:eastAsia="Amiri" w:cs="Amiri"/>
          <w:color w:val="111111"/>
          <w:sz w:val="28"/>
          <w:sz w:val="28"/>
          <w:szCs w:val="28"/>
          <w:rtl w:val="true"/>
          <w:lang w:bidi="ar-SA"/>
        </w:rPr>
        <w:t>عَنْهُمْ عَذابَ الْخِزْيِ فِي الْحَياةِ الدُّنْيا وَمَتَّعْناهُمْ إِلى حِينٍ</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ويدلّ على ذلك أيضاً الروايات المتضافرة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ابن أبي شيبة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أبي الدنيا في الدعاء ، عن ابن مسعود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دعا عبد قطّ بهذه الدعوات إلاّ وسّع الله له في معيشته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ذا المن ولا يُمنُّ عليه ، يا ذا الجلال والإكرام ، يا ذا الطول لا إله إلاّ أنت ، ظهر اللاجئين ، وجار المستجيرين ، ومأمن الخائفين ، إن كنت كتبتني عندك في أُمّ الكتاب شقيّاً فامح عني اسم الشقاء وأثبتني عندك سعيداً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فإنّك تقول في كتابك الذي أنزلت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يَمْحُوا اللهُ ما يَشاءُ وَيُثْبِتُ وَعِنْدَهُ أُمُّ الْكِتابِ</w:t>
      </w:r>
      <w:r>
        <w:rPr>
          <w:rFonts w:eastAsia="Amiri" w:cs="Amiri" w:ascii="Amiri" w:hAnsi="Amiri"/>
          <w:color w:val="111111"/>
          <w:sz w:val="28"/>
          <w:szCs w:val="28"/>
          <w:rtl w:val="true"/>
          <w:lang w:bidi="ar-SA"/>
        </w:rPr>
        <w:t xml:space="preserve">). </w:t>
      </w:r>
      <w:r>
        <w:rPr>
          <w:rStyle w:val="FootnoteAnchor"/>
          <w:rtl w:val="true"/>
        </w:rPr>
        <w:footnoteReference w:id="46"/>
      </w:r>
      <w:bookmarkStart w:id="168" w:name="pg11047_102563"/>
    </w:p>
    <w:p>
      <w:pPr>
        <w:pStyle w:val="Heading3"/>
        <w:numPr>
          <w:ilvl w:val="2"/>
          <w:numId w:val="1"/>
        </w:numPr>
        <w:rPr/>
      </w:pPr>
      <w:bookmarkStart w:id="169" w:name="__RefHeading___Toc1391031_1067777946"/>
      <w:bookmarkStart w:id="170" w:name="_Toc65"/>
      <w:bookmarkEnd w:id="168"/>
      <w:bookmarkEnd w:id="169"/>
      <w:r>
        <w:rPr/>
        <w:t>2</w:t>
      </w:r>
      <w:r>
        <w:rPr>
          <w:rtl w:val="true"/>
        </w:rPr>
        <w:t xml:space="preserve">- </w:t>
      </w:r>
      <w:r>
        <w:rPr>
          <w:rtl w:val="true"/>
        </w:rPr>
        <w:t>أحاديث لا تفارق الجبرَ قيد شعرة</w:t>
      </w:r>
      <w:bookmarkEnd w:id="170"/>
    </w:p>
    <w:p>
      <w:pPr>
        <w:pStyle w:val="BookText"/>
        <w:rPr/>
      </w:pPr>
      <w:r>
        <w:rPr>
          <w:rFonts w:ascii="Amiri" w:hAnsi="Amiri" w:eastAsia="Amiri" w:cs="Amiri"/>
          <w:color w:val="111111"/>
          <w:sz w:val="28"/>
          <w:sz w:val="28"/>
          <w:szCs w:val="28"/>
          <w:rtl w:val="true"/>
          <w:lang w:bidi="ar-SA"/>
        </w:rPr>
        <w:t xml:space="preserve">إنّ اتّفاق المحدّثين على أنّ الصحيحين وبعدهما السنن الأربع ، من أصحّ الكتب بعد القرآن الكريم ، عاق الكثير من المحقّقين من الخوض فيهما نقداً وتمحيصاً ، ولو لا هذا الاتّفاق ، لقام المحقّقون بالنقد والتمحيص فيما كان مخالفاً للكتاب والسنّة النبوية القطعية والعقل الصريح ، وها نحن نسرد في المقام بعض ما جاء في الصحيحين ما لا يفارق الجبر قيد شعرة وهو إمّا مؤوّل أو موضوع على لسان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مسلم في صحيحه عن زيد بن وهب ، عن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أحدكم يجمع خلقه في بطن أُمّه أربعين يوماً ، ثمّ يكون في ذلك علقة مثل ذلك ، ثمّ يكون في ذلك مضغة مثل ذلك ، ثمّ يرسل الملك فينفخ فيه الروح ويؤمر بأربع 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بكتب رزقه وأجله وعمله وشقي أو سعيد ، فوالذي لا إله غيره إنّ أحدكم ليعمل بعمل أهل الجنّة حتّى ما يكون بينه وبينها إلاّ ذراع ، فيسبق عليه الكتاب فيعمل بعمل أهل النار فيدخلها ، وإنّ أحدكم ليعمل بعمل أهل النار حتّى ما يكون بينه وبينها إلاّ ذراع ، فيسبق عليه الكتاب فيعمل بعمل أهل الجنة فيدخلها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فعلى هذا لا يقدر الإنسان على إضلال نفسه ولا هدايتها كما لا يقدر على أن يجعل نفسه من أهل الجنة أو النار ، ولو حاول لتحصيل شيء منها ، سبقَ الكتابُ حائلاً بينه وبين إرادته ، وهذا هو نفس القول بأنّ الإنسان مسيّر لا مخيّر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الإمام النووي الشارح لصحيح مسلم نظر إلى هذه الأحاديث بعين الرضا والقبول ، فلما رأى انّها لا تفارق الجبر قيد شعرة حاول تأويل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فيسبق عليه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 الموضعين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هذا قد يقع في نادر من الناس لا أنّه غالب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من لطف الله تعالى وسعة رحمته انقلابُ الناس من الشر إلى الخير في كثرة وأمّا انقلابهم من الخير إلى الشر ففي غاية الندور ونهاية القلة ، وهو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رحمتي سبقت غضبي وغلبت غضبي</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يلاحظ عليه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حمل أحد الطرفين على الغلبة والطرف الآخر على وجه الندرة قسمة ضيزى فانّ ظاهر الحديث أنّ سبق الكتاب في الطرفين 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الحديث ظاهر في غلبة القدر على عمل الإنسان ونيته فربما يجعل الصالح طالحاً والطالح صالحاً ، ولا صلة له بسبق رحمته على غضبه والظاهر انّ هذه الأحاديث حيكت على وفق عقائد اليهود الذين ذهبوا إلى انّ يده سبحانه مغلولة فبعد ما قضى ، لا يتمكن من تغييره ، غُلَّت أيديهم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عنه أيضاً حذيفة بن أسيد يبلغ به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يدخل الملك على النطفة بعد ما تستقر في الرحم بأربعين أو خمسة وأربعين ليلة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أشقي أو سعيد؟ فيكتبان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 أذكر أو أُنثى؟ فيكتبان ، ويكتب عمله</w:t>
      </w:r>
    </w:p>
    <w:p>
      <w:pPr>
        <w:pStyle w:val="BookText"/>
        <w:rPr/>
      </w:pPr>
      <w:r>
        <w:rPr>
          <w:rFonts w:ascii="Amiri" w:hAnsi="Amiri" w:eastAsia="Amiri" w:cs="Amiri"/>
          <w:color w:val="111111"/>
          <w:sz w:val="28"/>
          <w:sz w:val="28"/>
          <w:szCs w:val="28"/>
          <w:rtl w:val="true"/>
          <w:lang w:bidi="ar-SA"/>
        </w:rPr>
        <w:t>وأثره وأجله ورزقه ، ثمّ تُطوى الصحف فلا يزاد فيها ولا ينقص</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فعلى هذا فالصحف الأُولى التي قُدِّر فيها مصير الإنسان مطوية لا تفتح فلا يزيد فيها شيء ولا ينقص ، وهذا لا يختلف عن الجبر قيد شعرة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تفسير القضاء والقدر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اللّذين هما من المعارف العليا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بالمعنى الوارد في الرواية يجعل الإنسان مكتوف اليدين في خضمِّ الحياة فيسلب عنه كلّ سعي في طريق السعادة إذا كتب من أهل الشقاء أو في طريق الشقاء إذا كتب من أهل السعادة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عبد الله بن عمر ،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أرأيت ما نعمل فيه أمر مبتدع أو فيما قد فرغ منه؟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فيما قد فرغ منه ، يا ابن الخطاب وكلّ ميسر ، أمّا من كان من أهل السعادة فإنّه يعمل للسعادة ، وأمّا من كان من أهل الشقاء فإنّه يعمل للشقاء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شَقِيٌّ وَسَعِيدٌ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 الله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فعلامَ نعمل ، على شيء قد فرغ منه ، أو على شيء لم يفرغ 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على شيء قد فرغ منه وجرت به الأقلام يا عمر ، ولكن كلّ ميسّر لما خلق له</w:t>
      </w:r>
      <w:r>
        <w:rPr>
          <w:rFonts w:eastAsia="Amiri" w:cs="Amiri" w:ascii="Amiri" w:hAnsi="Amiri"/>
          <w:color w:val="111111"/>
          <w:sz w:val="28"/>
          <w:szCs w:val="28"/>
          <w:rtl w:val="true"/>
          <w:lang w:bidi="ar-SA"/>
        </w:rPr>
        <w:t xml:space="preserve">. </w:t>
      </w:r>
      <w:r>
        <w:rPr>
          <w:rStyle w:val="FootnoteAnchor"/>
          <w:rtl w:val="true"/>
        </w:rPr>
        <w:footnoteReference w:id="49"/>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الحديث يعرب عن أنّه قد تمّ القضاء على الناس في الأزل وجعلهم صنفين وكلّ ميسر لما خلق له في الأزل لا لما لم يخلق له ، فأهل السعادة ميسّرون للاعمال الصالحة فقط وأهل الشقاء ميسّرون للأعمال الطالحة فقط ، وأي جبر أوضح وأبين ممّا جاء في هذا الحديث</w:t>
      </w:r>
      <w:r>
        <w:rPr>
          <w:rFonts w:eastAsia="Amiri" w:cs="Amiri" w:ascii="Amiri" w:hAnsi="Amiri"/>
          <w:color w:val="111111"/>
          <w:sz w:val="28"/>
          <w:szCs w:val="28"/>
          <w:rtl w:val="true"/>
          <w:lang w:bidi="ar-SA"/>
        </w:rPr>
        <w:t xml:space="preserve">. </w:t>
      </w:r>
      <w:bookmarkStart w:id="171" w:name="pg11047_102566"/>
    </w:p>
    <w:p>
      <w:pPr>
        <w:pStyle w:val="Heading3"/>
        <w:numPr>
          <w:ilvl w:val="2"/>
          <w:numId w:val="1"/>
        </w:numPr>
        <w:rPr/>
      </w:pPr>
      <w:bookmarkStart w:id="172" w:name="__RefHeading___Toc1391033_1067777946"/>
      <w:bookmarkStart w:id="173" w:name="_Toc66"/>
      <w:bookmarkEnd w:id="171"/>
      <w:bookmarkEnd w:id="172"/>
      <w:r>
        <w:rPr/>
        <w:t>3</w:t>
      </w:r>
      <w:r>
        <w:rPr>
          <w:rtl w:val="true"/>
        </w:rPr>
        <w:t xml:space="preserve">- </w:t>
      </w:r>
      <w:r>
        <w:rPr>
          <w:rtl w:val="true"/>
        </w:rPr>
        <w:t>مضاعفات القول بالجبر</w:t>
      </w:r>
      <w:bookmarkEnd w:id="173"/>
    </w:p>
    <w:p>
      <w:pPr>
        <w:pStyle w:val="Heading4"/>
        <w:numPr>
          <w:ilvl w:val="3"/>
          <w:numId w:val="1"/>
        </w:numPr>
        <w:rPr/>
      </w:pPr>
      <w:bookmarkStart w:id="174" w:name="__RefHeading___Toc1391035_1067777946"/>
      <w:bookmarkStart w:id="175" w:name="_Toc67"/>
      <w:bookmarkEnd w:id="174"/>
      <w:r>
        <w:rPr>
          <w:rtl w:val="true"/>
        </w:rPr>
        <w:t>اشارة</w:t>
      </w:r>
      <w:bookmarkEnd w:id="175"/>
    </w:p>
    <w:p>
      <w:pPr>
        <w:pStyle w:val="BookText"/>
        <w:rPr/>
      </w:pPr>
      <w:r>
        <w:rPr>
          <w:rFonts w:ascii="Amiri" w:hAnsi="Amiri" w:eastAsia="Amiri" w:cs="Amiri"/>
          <w:color w:val="111111"/>
          <w:sz w:val="28"/>
          <w:sz w:val="28"/>
          <w:szCs w:val="28"/>
          <w:rtl w:val="true"/>
          <w:lang w:bidi="ar-SA"/>
        </w:rPr>
        <w:t xml:space="preserve">إنّ للقول بالجبر وإنّ الإنسان مسيّر لا مخيّر ، مضاعفات كثيرة ، نشير إلى قسم منها ونحيل الباقي إلى مجال آخر </w:t>
      </w:r>
      <w:r>
        <w:rPr>
          <w:rFonts w:eastAsia="Amiri" w:cs="Amiri" w:ascii="Amiri" w:hAnsi="Amiri"/>
          <w:color w:val="111111"/>
          <w:sz w:val="28"/>
          <w:szCs w:val="28"/>
          <w:rtl w:val="true"/>
          <w:lang w:bidi="ar-SA"/>
        </w:rPr>
        <w:t>:</w:t>
      </w:r>
    </w:p>
    <w:p>
      <w:pPr>
        <w:pStyle w:val="Heading4"/>
        <w:numPr>
          <w:ilvl w:val="3"/>
          <w:numId w:val="1"/>
        </w:numPr>
        <w:rPr/>
      </w:pPr>
      <w:bookmarkStart w:id="176" w:name="__RefHeading___Toc1391037_1067777946"/>
      <w:bookmarkStart w:id="177" w:name="_Toc68"/>
      <w:bookmarkEnd w:id="176"/>
      <w:r>
        <w:rPr/>
        <w:t>1</w:t>
      </w:r>
      <w:r>
        <w:rPr>
          <w:rtl w:val="true"/>
        </w:rPr>
        <w:t xml:space="preserve">. </w:t>
      </w:r>
      <w:r>
        <w:rPr>
          <w:rtl w:val="true"/>
        </w:rPr>
        <w:t>انتفاء الغرض من بعثة الأنبياء</w:t>
      </w:r>
      <w:bookmarkEnd w:id="177"/>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الغرض من بعثة الأنبياء هو دعوة الناس وإرشادهم إلى معالم التوحيد ونهيهم عن الشرك في مجال العقيدة ، وإلى محاسن الأخلاق وزجرهم عن مساويها في مجال العمل ، يقول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بَعَثْنا فِي كُلِّ أُمَّةٍ رَسُولاً أَنِ اعْبُدُوا اللهَ وَاجْتَنِبُوا الطَّاغُوتَ</w:t>
      </w:r>
      <w:r>
        <w:rPr>
          <w:rFonts w:eastAsia="Amiri" w:cs="Amiri" w:ascii="Amiri" w:hAnsi="Amiri"/>
          <w:color w:val="111111"/>
          <w:sz w:val="28"/>
          <w:szCs w:val="28"/>
          <w:rtl w:val="true"/>
          <w:lang w:bidi="ar-SA"/>
        </w:rPr>
        <w:t xml:space="preserve">) </w:t>
      </w:r>
      <w:r>
        <w:rPr>
          <w:rStyle w:val="FootnoteAnchor"/>
          <w:rtl w:val="true"/>
        </w:rPr>
        <w:footnoteReference w:id="50"/>
      </w:r>
      <w:r>
        <w:rPr>
          <w:rFonts w:ascii="Amiri" w:hAnsi="Amiri" w:eastAsia="Amiri" w:cs="Amiri"/>
          <w:color w:val="111111"/>
          <w:sz w:val="28"/>
          <w:sz w:val="28"/>
          <w:szCs w:val="28"/>
          <w:rtl w:val="true"/>
          <w:lang w:bidi="ar-SA"/>
        </w:rPr>
        <w:t xml:space="preserve">، وقال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النَّاسُ أُمَّةً واحِدَةً فَبَعَثَ اللهُ النَّبِيِّينَ مُبَشِّرِينَ وَمُنْذِرِينَ</w:t>
      </w:r>
      <w:r>
        <w:rPr>
          <w:rFonts w:eastAsia="Amiri" w:cs="Amiri" w:ascii="Amiri" w:hAnsi="Amiri"/>
          <w:color w:val="111111"/>
          <w:sz w:val="28"/>
          <w:szCs w:val="28"/>
          <w:rtl w:val="true"/>
          <w:lang w:bidi="ar-SA"/>
        </w:rPr>
        <w:t xml:space="preserve">) </w:t>
      </w:r>
      <w:r>
        <w:rPr>
          <w:rStyle w:val="FootnoteAnchor"/>
          <w:rtl w:val="true"/>
        </w:rPr>
        <w:footnoteReference w:id="51"/>
      </w:r>
      <w:r>
        <w:rPr>
          <w:rFonts w:ascii="Amiri" w:hAnsi="Amiri" w:eastAsia="Amiri" w:cs="Amiri"/>
          <w:color w:val="111111"/>
          <w:sz w:val="28"/>
          <w:sz w:val="28"/>
          <w:szCs w:val="28"/>
          <w:rtl w:val="true"/>
          <w:lang w:bidi="ar-SA"/>
        </w:rPr>
        <w:t>إلى غير ذلك من الآيات التي تعكس الهدف المنشود من وراء بعث الأنبياء ، ولا يتحقّق هذا الغرض إلاّ في ظل كون الإنسان مخيّراً لا مسيَّراً ، فلو كان مسيّراً فكلّ إنسان كتب عليه النار ، فهو يدخلها ، إذن فما هو فائدة بعث الأنبياء ، فإنّ دعوة الأنبياء وعدمها بالنسبة إليه 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الوضوح بمكان لا يحتاج إلى التطويل</w:t>
      </w:r>
      <w:r>
        <w:rPr>
          <w:rFonts w:eastAsia="Amiri" w:cs="Amiri" w:ascii="Amiri" w:hAnsi="Amiri"/>
          <w:color w:val="111111"/>
          <w:sz w:val="28"/>
          <w:szCs w:val="28"/>
          <w:rtl w:val="true"/>
          <w:lang w:bidi="ar-SA"/>
        </w:rPr>
        <w:t xml:space="preserve">. </w:t>
      </w:r>
      <w:bookmarkStart w:id="178" w:name="pg11047_102567"/>
    </w:p>
    <w:p>
      <w:pPr>
        <w:pStyle w:val="Heading4"/>
        <w:numPr>
          <w:ilvl w:val="3"/>
          <w:numId w:val="1"/>
        </w:numPr>
        <w:rPr/>
      </w:pPr>
      <w:bookmarkStart w:id="179" w:name="__RefHeading___Toc1391039_1067777946"/>
      <w:bookmarkStart w:id="180" w:name="_Toc69"/>
      <w:bookmarkEnd w:id="178"/>
      <w:bookmarkEnd w:id="179"/>
      <w:r>
        <w:rPr/>
        <w:t>2</w:t>
      </w:r>
      <w:r>
        <w:rPr>
          <w:rtl w:val="true"/>
        </w:rPr>
        <w:t xml:space="preserve">. </w:t>
      </w:r>
      <w:r>
        <w:rPr>
          <w:rtl w:val="true"/>
        </w:rPr>
        <w:t>انتفاء فائدة المناهج التربوية</w:t>
      </w:r>
      <w:bookmarkEnd w:id="180"/>
    </w:p>
    <w:p>
      <w:pPr>
        <w:pStyle w:val="BookText"/>
        <w:rPr/>
      </w:pPr>
      <w:r>
        <w:rPr>
          <w:rFonts w:ascii="Amiri" w:hAnsi="Amiri" w:eastAsia="Amiri" w:cs="Amiri"/>
          <w:color w:val="111111"/>
          <w:sz w:val="28"/>
          <w:sz w:val="28"/>
          <w:szCs w:val="28"/>
          <w:rtl w:val="true"/>
          <w:lang w:bidi="ar-SA"/>
        </w:rPr>
        <w:t>التربية عبارة عن توفير أرضية مناسبة لخروج ما هو بالقوة إلى منصّة الظهور والفعلية ، وهذا كالمزارع والفلاح القائمين بتربية البذور والنباتات فيوفّران ما يحتاجان إليه في إخراج الاستعداد المكنون فيهما إلى حيز الظهور والكمال ، فليس للمربّى دور الخلق والإيجاد ، بل تهيئة الظروف المناسبة لأن يُظهر الشيءُ كمالَه المستور لكي ينقلب البذر زرعاً والنبات شجراً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ضوء ذلك فالمناهج التربوية في الإنسان ، شعارها رفع المستوى الفكري له وسوقه نحو الفضائل ومنعه من السقوط في هاوية الرذائل ، ومن المعلوم أنّ تحقّق هذه الغاية رهن وجود الحرية في الإنسان لكي يقع في إطار التربية ، فيسير حسب الضوء الذي يريه المربي ، فلو كان مسيّراً لا مخيّراً فإعمال الأساليب التربوية يُصبح أمراً لغواً غير مؤثر</w:t>
      </w:r>
      <w:r>
        <w:rPr>
          <w:rFonts w:eastAsia="Amiri" w:cs="Amiri" w:ascii="Amiri" w:hAnsi="Amiri"/>
          <w:color w:val="111111"/>
          <w:sz w:val="28"/>
          <w:szCs w:val="28"/>
          <w:rtl w:val="true"/>
          <w:lang w:bidi="ar-SA"/>
        </w:rPr>
        <w:t>.</w:t>
      </w:r>
    </w:p>
    <w:p>
      <w:pPr>
        <w:pStyle w:val="Heading4"/>
        <w:numPr>
          <w:ilvl w:val="3"/>
          <w:numId w:val="1"/>
        </w:numPr>
        <w:rPr/>
      </w:pPr>
      <w:bookmarkStart w:id="181" w:name="__RefHeading___Toc1391041_1067777946"/>
      <w:bookmarkStart w:id="182" w:name="_Toc70"/>
      <w:bookmarkEnd w:id="181"/>
      <w:r>
        <w:rPr/>
        <w:t>3</w:t>
      </w:r>
      <w:r>
        <w:rPr>
          <w:rtl w:val="true"/>
        </w:rPr>
        <w:t xml:space="preserve">. </w:t>
      </w:r>
      <w:r>
        <w:rPr>
          <w:rtl w:val="true"/>
        </w:rPr>
        <w:t>تكذيب الكتاب العزيز</w:t>
      </w:r>
      <w:bookmarkEnd w:id="182"/>
    </w:p>
    <w:p>
      <w:pPr>
        <w:pStyle w:val="BookText"/>
        <w:rPr/>
      </w:pPr>
      <w:r>
        <w:rPr>
          <w:rFonts w:ascii="Amiri" w:hAnsi="Amiri" w:eastAsia="Amiri" w:cs="Amiri"/>
          <w:color w:val="111111"/>
          <w:sz w:val="28"/>
          <w:sz w:val="28"/>
          <w:szCs w:val="28"/>
          <w:rtl w:val="true"/>
          <w:lang w:bidi="ar-SA"/>
        </w:rPr>
        <w:t xml:space="preserve">إنّ من سبر الكتاب العزيز وتجرد عن عامّة الرواسب يجد انّ القرآن يصوّر الإنسان فاعلاً مختاراً يخاطبه فينصحه تارة ، ويأمره أُخرى ، ويزجره ثالثاً ، ويعده رابعاً ويوعده خامساً ، إلى غير ذلك من علائم الاختيار وآثاره ، ونذكر منها ما يلي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هَدَيْناهُ السَّبِيلَ إِمَّا شاكِراً وَإِمَّا كَفُوراً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الْحَقُّ مِنْ رَبِّكُمْ فَمَنْ شاءَ فَلْيُؤْمِنْ وَمَنْ شاءَ فَلْيَكْفُرْ إِنَّا أَعْتَدْنا لِلظَّالِمِينَ ناراً أَحاطَ بِهِمْ سُرادِقُها وَإِنْ يَسْتَغِيثُوا يُغاثُوا بِماءٍ كَالْمُهْلِ يَشْوِي الْوُجُوهَ بِئْسَ الشَّرابُ وَساءَتْ مُرْتَفَقاً</w:t>
      </w:r>
      <w:r>
        <w:rPr>
          <w:rFonts w:eastAsia="Amiri" w:cs="Amiri" w:ascii="Amiri" w:hAnsi="Amiri"/>
          <w:color w:val="111111"/>
          <w:sz w:val="28"/>
          <w:szCs w:val="28"/>
          <w:rtl w:val="true"/>
          <w:lang w:bidi="ar-SA"/>
        </w:rPr>
        <w:t xml:space="preserve">). </w:t>
      </w:r>
      <w:r>
        <w:rPr>
          <w:rStyle w:val="FootnoteAnchor"/>
          <w:rtl w:val="true"/>
        </w:rPr>
        <w:footnoteReference w:id="52"/>
      </w:r>
      <w:bookmarkStart w:id="183" w:name="pg11047_102568"/>
    </w:p>
    <w:p>
      <w:pPr>
        <w:pStyle w:val="BookText"/>
        <w:rPr/>
      </w:pPr>
      <w:bookmarkEnd w:id="183"/>
      <w:r>
        <w:rPr>
          <w:rFonts w:ascii="Amiri" w:hAnsi="Amiri" w:eastAsia="Amiri" w:cs="Amiri"/>
          <w:color w:val="111111"/>
          <w:sz w:val="28"/>
          <w:sz w:val="28"/>
          <w:szCs w:val="28"/>
          <w:rtl w:val="true"/>
          <w:lang w:bidi="ar-SA"/>
        </w:rPr>
        <w:t xml:space="preserve">ولله در الشهيد السعيد زين الدين العاملي حينما 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جاء في القرآن آيةُ 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تدمِّر آياتِ الضلال ومن يُجبر</w:t>
      </w:r>
    </w:p>
    <w:p>
      <w:pPr>
        <w:pStyle w:val="BookText"/>
        <w:rPr/>
      </w:pPr>
      <w:r>
        <w:rPr>
          <w:rFonts w:ascii="Amiri" w:hAnsi="Amiri" w:eastAsia="Amiri" w:cs="Amiri"/>
          <w:color w:val="111111"/>
          <w:sz w:val="28"/>
          <w:sz w:val="28"/>
          <w:szCs w:val="28"/>
          <w:rtl w:val="true"/>
          <w:lang w:bidi="ar-SA"/>
        </w:rPr>
        <w:t xml:space="preserve">وتخبر انّ الاختيار بأيدينا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شاء فليؤمن ومن شاء فليكفر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صالِحاً فَلِنَفْسِهِ وَمَنْ أَساءَ فَعَلَيْها وَما رَبُّكَ بِظَلاَّمٍ لِلْعَبِيدِ</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امْرِئٍ بِما كَسَبَ رَهِينٌ</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امْرِئٍ مِنْهُمْ مَا اكْتَسَبَ مِنَ الْإِثْمِ</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 لَيْسَ لِلْإِنْسانِ إِلاَّ ما 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سَعْيَهُ سَوْفَ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يُجْزاهُ الْجَزاءَ الْأَوْفى</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إلى غير ذلك من الآيات الصريحة في أنّ الإنسان مخيّر فيما يختار ويترك وليس في حياته عاملُ ضغط باسم القدر والقضاء أو غيره ، يسلب عنه الاختيار ، وأمّا الآيات التي ربّما يستشم منها الجبر ، ككون الهداية والضلال بيد الله سبحانه فسيوافيك تفسيرها</w:t>
      </w:r>
      <w:r>
        <w:rPr>
          <w:rFonts w:eastAsia="Amiri" w:cs="Amiri" w:ascii="Amiri" w:hAnsi="Amiri"/>
          <w:color w:val="111111"/>
          <w:sz w:val="28"/>
          <w:szCs w:val="28"/>
          <w:rtl w:val="true"/>
          <w:lang w:bidi="ar-SA"/>
        </w:rPr>
        <w:t>.</w:t>
      </w:r>
    </w:p>
    <w:p>
      <w:pPr>
        <w:pStyle w:val="Heading4"/>
        <w:numPr>
          <w:ilvl w:val="3"/>
          <w:numId w:val="1"/>
        </w:numPr>
        <w:rPr/>
      </w:pPr>
      <w:bookmarkStart w:id="184" w:name="__RefHeading___Toc1391043_1067777946"/>
      <w:bookmarkStart w:id="185" w:name="_Toc71"/>
      <w:bookmarkEnd w:id="184"/>
      <w:r>
        <w:rPr/>
        <w:t>4</w:t>
      </w:r>
      <w:r>
        <w:rPr>
          <w:rtl w:val="true"/>
        </w:rPr>
        <w:t xml:space="preserve">. </w:t>
      </w:r>
      <w:r>
        <w:rPr>
          <w:rtl w:val="true"/>
        </w:rPr>
        <w:t>الجبري في ساحة الحياة ، اختياريّ</w:t>
      </w:r>
      <w:bookmarkEnd w:id="185"/>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من رفع راية الجبر واتّسم به في الحياة ، وبنى عليه منهجاً فلسفياً ، فهو يغالط نفسه ، فترى أنّه إذا ظُلم وغصب حقّه ، يندِّد بالظالم ويرفع شكواه إلى </w:t>
      </w:r>
      <w:bookmarkStart w:id="186" w:name="pg11047_102569"/>
    </w:p>
    <w:p>
      <w:pPr>
        <w:pStyle w:val="BookText"/>
        <w:rPr/>
      </w:pPr>
      <w:bookmarkEnd w:id="186"/>
      <w:r>
        <w:rPr>
          <w:rFonts w:ascii="Amiri" w:hAnsi="Amiri" w:eastAsia="Amiri" w:cs="Amiri"/>
          <w:color w:val="111111"/>
          <w:sz w:val="28"/>
          <w:sz w:val="28"/>
          <w:szCs w:val="28"/>
          <w:rtl w:val="true"/>
          <w:lang w:bidi="ar-SA"/>
        </w:rPr>
        <w:t>المحاكم حتّى يأخذ الحاكم حقّه من الغاصب والظالم ، فلو لم يكن لخصمه خيرة واختيار فما معنى التنديد والتعرض له؟ وهذا يدلّ على أنّه يصوّر الخصم المخالف إنساناً مختاراً غصب ما يملكه عن اختيار وله أن يقوم بردّه إلى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كلّ من رفع عقيرته بالجبر فهو حين الجدال والسجال وإن كان جبريّاً ولكنّه في حياته الاجتماعية اختياري على ضد الجبر ولا يقبل أيّ عذر لخصمه</w:t>
      </w:r>
      <w:r>
        <w:rPr>
          <w:rFonts w:eastAsia="Amiri" w:cs="Amiri" w:ascii="Amiri" w:hAnsi="Amiri"/>
          <w:color w:val="111111"/>
          <w:sz w:val="28"/>
          <w:szCs w:val="28"/>
          <w:rtl w:val="true"/>
          <w:lang w:bidi="ar-SA"/>
        </w:rPr>
        <w:t>!!</w:t>
      </w:r>
    </w:p>
    <w:p>
      <w:pPr>
        <w:pStyle w:val="Heading4"/>
        <w:numPr>
          <w:ilvl w:val="3"/>
          <w:numId w:val="1"/>
        </w:numPr>
        <w:rPr/>
      </w:pPr>
      <w:bookmarkStart w:id="187" w:name="__RefHeading___Toc1391045_1067777946"/>
      <w:bookmarkStart w:id="188" w:name="_Toc72"/>
      <w:bookmarkEnd w:id="187"/>
      <w:r>
        <w:rPr/>
        <w:t>5</w:t>
      </w:r>
      <w:r>
        <w:rPr>
          <w:rtl w:val="true"/>
        </w:rPr>
        <w:t xml:space="preserve">. </w:t>
      </w:r>
      <w:r>
        <w:rPr>
          <w:rtl w:val="true"/>
        </w:rPr>
        <w:t>الجبر واجهة لنيل المزيد من الحرية</w:t>
      </w:r>
      <w:bookmarkEnd w:id="188"/>
    </w:p>
    <w:p>
      <w:pPr>
        <w:pStyle w:val="BookText"/>
        <w:rPr/>
      </w:pPr>
      <w:r>
        <w:rPr>
          <w:rFonts w:ascii="Amiri" w:hAnsi="Amiri" w:eastAsia="Amiri" w:cs="Amiri"/>
          <w:color w:val="111111"/>
          <w:sz w:val="28"/>
          <w:sz w:val="28"/>
          <w:szCs w:val="28"/>
          <w:rtl w:val="true"/>
          <w:lang w:bidi="ar-SA"/>
        </w:rPr>
        <w:t>إنّ من دوافع القول بالجبر هو اشباع الميول والغرائز الحيوانية في الحياة ، فالجبري يطلب المزيد من الحرية من وراء ادّعائه الجبر ، ويتستر تحت واجهة الجبر ليخلِّص نفسه من عهدة التكليف والمسئولية ، ففي الحقيقة هو لا يؤمن بالجبر كمنهج للحياة ، بل يعتقد بالحرية فيها ليعيش فيها وفقاً لما تمليه عليه غرائزه الجامحة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تم الحديث عن بعض مضاعفات الجبر</w:t>
      </w:r>
      <w:r>
        <w:rPr>
          <w:rFonts w:eastAsia="Amiri" w:cs="Amiri" w:ascii="Amiri" w:hAnsi="Amiri"/>
          <w:color w:val="111111"/>
          <w:sz w:val="28"/>
          <w:szCs w:val="28"/>
          <w:rtl w:val="true"/>
          <w:lang w:bidi="ar-SA"/>
        </w:rPr>
        <w:t xml:space="preserve">. </w:t>
      </w:r>
      <w:bookmarkStart w:id="189" w:name="pg11047_102570"/>
    </w:p>
    <w:p>
      <w:pPr>
        <w:pStyle w:val="Heading3"/>
        <w:numPr>
          <w:ilvl w:val="2"/>
          <w:numId w:val="1"/>
        </w:numPr>
        <w:rPr/>
      </w:pPr>
      <w:bookmarkStart w:id="190" w:name="__RefHeading___Toc1391047_1067777946"/>
      <w:bookmarkStart w:id="191" w:name="_Toc73"/>
      <w:bookmarkEnd w:id="189"/>
      <w:bookmarkEnd w:id="190"/>
      <w:r>
        <w:rPr/>
        <w:t>4</w:t>
      </w:r>
      <w:r>
        <w:rPr>
          <w:rtl w:val="true"/>
        </w:rPr>
        <w:t xml:space="preserve">- </w:t>
      </w:r>
      <w:r>
        <w:rPr>
          <w:rtl w:val="true"/>
        </w:rPr>
        <w:t>شبهات وحلول</w:t>
      </w:r>
      <w:bookmarkEnd w:id="191"/>
    </w:p>
    <w:p>
      <w:pPr>
        <w:pStyle w:val="Heading4"/>
        <w:numPr>
          <w:ilvl w:val="3"/>
          <w:numId w:val="1"/>
        </w:numPr>
        <w:rPr/>
      </w:pPr>
      <w:bookmarkStart w:id="192" w:name="__RefHeading___Toc1391049_1067777946"/>
      <w:bookmarkStart w:id="193" w:name="_Toc74"/>
      <w:bookmarkEnd w:id="192"/>
      <w:r>
        <w:rPr>
          <w:rtl w:val="true"/>
        </w:rPr>
        <w:t>اشارة</w:t>
      </w:r>
      <w:bookmarkEnd w:id="193"/>
    </w:p>
    <w:p>
      <w:pPr>
        <w:pStyle w:val="BookText"/>
        <w:rPr/>
      </w:pPr>
      <w:r>
        <w:rPr>
          <w:rFonts w:ascii="Amiri" w:hAnsi="Amiri" w:eastAsia="Amiri" w:cs="Amiri"/>
          <w:color w:val="111111"/>
          <w:sz w:val="28"/>
          <w:sz w:val="28"/>
          <w:szCs w:val="28"/>
          <w:rtl w:val="true"/>
          <w:lang w:bidi="ar-SA"/>
        </w:rPr>
        <w:t xml:space="preserve">ثمّ إنّ للقائلين بالجبر شبهات مختلفة ربما يغتر بها السذج من الناس ، فها نحن نستعرض تلك الشبهات ونضع أمام القارئ حلولاً لها على نحو لا يبقى لمشكك شك ولا لمريب ريب ، فنقول </w:t>
      </w:r>
      <w:r>
        <w:rPr>
          <w:rFonts w:eastAsia="Amiri" w:cs="Amiri" w:ascii="Amiri" w:hAnsi="Amiri"/>
          <w:color w:val="111111"/>
          <w:sz w:val="28"/>
          <w:szCs w:val="28"/>
          <w:rtl w:val="true"/>
          <w:lang w:bidi="ar-SA"/>
        </w:rPr>
        <w:t>:</w:t>
      </w:r>
    </w:p>
    <w:p>
      <w:pPr>
        <w:pStyle w:val="Heading4"/>
        <w:numPr>
          <w:ilvl w:val="3"/>
          <w:numId w:val="1"/>
        </w:numPr>
        <w:rPr/>
      </w:pPr>
      <w:bookmarkStart w:id="194" w:name="__RefHeading___Toc1391051_1067777946"/>
      <w:bookmarkStart w:id="195" w:name="_Toc75"/>
      <w:bookmarkEnd w:id="194"/>
      <w:r>
        <w:rPr>
          <w:rtl w:val="true"/>
        </w:rPr>
        <w:t>الشبهة الأُولى</w:t>
      </w:r>
      <w:bookmarkEnd w:id="195"/>
    </w:p>
    <w:p>
      <w:pPr>
        <w:pStyle w:val="Heading5"/>
        <w:numPr>
          <w:ilvl w:val="4"/>
          <w:numId w:val="1"/>
        </w:numPr>
        <w:rPr/>
      </w:pPr>
      <w:bookmarkStart w:id="196" w:name="__RefHeading___Toc1391053_1067777946"/>
      <w:bookmarkStart w:id="197" w:name="_Toc76"/>
      <w:bookmarkEnd w:id="196"/>
      <w:r>
        <w:rPr/>
        <w:t>1</w:t>
      </w:r>
      <w:r>
        <w:rPr>
          <w:rtl w:val="true"/>
        </w:rPr>
        <w:t xml:space="preserve">. </w:t>
      </w:r>
      <w:r>
        <w:rPr>
          <w:rtl w:val="true"/>
        </w:rPr>
        <w:t>مثلث الشخصية</w:t>
      </w:r>
      <w:bookmarkEnd w:id="197"/>
    </w:p>
    <w:p>
      <w:pPr>
        <w:pStyle w:val="BookText"/>
        <w:rPr/>
      </w:pPr>
      <w:r>
        <w:rPr>
          <w:rFonts w:ascii="Amiri" w:hAnsi="Amiri" w:eastAsia="Amiri" w:cs="Amiri"/>
          <w:color w:val="111111"/>
          <w:sz w:val="28"/>
          <w:sz w:val="28"/>
          <w:szCs w:val="28"/>
          <w:rtl w:val="true"/>
          <w:lang w:bidi="ar-SA"/>
        </w:rPr>
        <w:t xml:space="preserve">إنّ فعل الإنسان تعبير عن شخصيّته المكوّنة بأُصول ثلاثة يعبّر عنها بمثلث الشخصية وإن كانت الأضلاع في بنائها ومقدار تأثيرها غير متساوية ، ولكن كلّ ضلع يؤثر فيها تأثيراً قطعيّاً ، وأمّا أضلاعها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ناموس الوراثة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البيئة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أمر اعترف به العلم والتجربة ويلمسه كل إنسان واع ، فالولد كما يرث الصفات الجسمانية للوالدين كذلك يرث صفاتهما الخُلقية وينشأ </w:t>
      </w:r>
    </w:p>
    <w:p>
      <w:pPr>
        <w:pStyle w:val="BookText"/>
        <w:rPr/>
      </w:pPr>
      <w:r>
        <w:rPr>
          <w:rFonts w:ascii="Amiri" w:hAnsi="Amiri" w:eastAsia="Amiri" w:cs="Amiri"/>
          <w:color w:val="111111"/>
          <w:sz w:val="28"/>
          <w:sz w:val="28"/>
          <w:szCs w:val="28"/>
          <w:rtl w:val="true"/>
          <w:lang w:bidi="ar-SA"/>
        </w:rPr>
        <w:t xml:space="preserve">عليها ، يقول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ينشأ الصغير على ما كان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الأُصول عليها ينبت الشجر</w:t>
      </w:r>
    </w:p>
    <w:p>
      <w:pPr>
        <w:pStyle w:val="BookText"/>
        <w:rPr/>
      </w:pPr>
      <w:r>
        <w:rPr>
          <w:rFonts w:ascii="Amiri" w:hAnsi="Amiri" w:eastAsia="Amiri" w:cs="Amiri"/>
          <w:color w:val="111111"/>
          <w:sz w:val="28"/>
          <w:sz w:val="28"/>
          <w:szCs w:val="28"/>
          <w:rtl w:val="true"/>
          <w:lang w:bidi="ar-SA"/>
        </w:rPr>
        <w:t>فاللبنة الأُولى في بناء الشخصية الصالحة أم الطالحة هي ما يرث الولد من الوالدين من الفضائل والرذائل ، وقد كشف العلم أنّ الجينات الموجودة في النطفة الإنسانية سبب طبيعي وعامل لانتقال هذه الصفات من الوالدين إلى الطفل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فيأتي دوره بعد دور الوراثة حيث إنّ المعلّم يمثِّل المدرسة التربوية الثانية بعد مدرسة الأبوين ، ولهذا يكون دور التعليم في مصير الطفل دوراً حسّاساً في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 فيأتي دوره إذا أتمّ دراسته وبدأ ممارسة العمل ، فعندئذ يتأثر في سلوكه وخُلقه بالبيئة التي يعيش فيها ، فإذا كانت العوامل الثلاثة متجانسة في الغاية والأثر ، يقع الكلّ في طريق تكوين الشخصية الواحدة بلا صراع بينها ولا نزاع ، وأمّا إذا كان بينها نزاع وصراع في الغاية والدعوة ، فتكون النتيجة من حيث السلوك ، تابعة لأقوى العوامل وأرسخها في الروح وهو يختلف حسب اختلاف تأثير الأوفر سهماً من هذه ، ولأجل ذلك يوجد من يختار سلوك الآباء كما يوجد من يتركه ويقتفي أثر الثقافة أو البيئة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تقدير فالإنسان مختار صورة ، لكنّه مسيّر سيرة يخط مصيره هذه العوامل أو أقواها تأثيراً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ما ذكر من تأثير العوامل الثلاثة في بناء الشخصية أمر لا غبار عليه ، إنّما الكلام في كونها علّة تامّة أو معدّات تُوجِد أرضية لنمو مقتضاها ، ولا تُوجِدُ حتمية ، غير قابلة للتغيير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العامل الأوّل فلا شكّ في تأثيره ، وقد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وَالْبَلَدُ الطَّيِّبُ يَخْرُجُ نَباتُهُ بِإِذْنِ رَبِّهِ وَالَّذِي خَبُثَ لا يَخْرُجُ إِلاَّ نَكِداً</w:t>
      </w:r>
      <w:r>
        <w:rPr>
          <w:rFonts w:eastAsia="Amiri" w:cs="Amiri" w:ascii="Amiri" w:hAnsi="Amiri"/>
          <w:color w:val="111111"/>
          <w:sz w:val="28"/>
          <w:szCs w:val="28"/>
          <w:rtl w:val="true"/>
          <w:lang w:bidi="ar-SA"/>
        </w:rPr>
        <w:t xml:space="preserve">). </w:t>
      </w:r>
      <w:r>
        <w:rPr>
          <w:rStyle w:val="FootnoteAnchor"/>
          <w:rtl w:val="true"/>
        </w:rPr>
        <w:footnoteReference w:id="57"/>
      </w:r>
      <w:r>
        <w:rPr>
          <w:rFonts w:ascii="Amiri" w:hAnsi="Amiri" w:eastAsia="Amiri" w:cs="Amiri"/>
          <w:color w:val="111111"/>
          <w:sz w:val="28"/>
          <w:sz w:val="28"/>
          <w:szCs w:val="28"/>
          <w:rtl w:val="true"/>
          <w:lang w:bidi="ar-SA"/>
        </w:rPr>
        <w:t>وفي الآيات والروايات تصريحات وإشارات إلى ذلك ، لكن أثرها بين غير قابل للتغيير ، كالبُله والحُمق والبلادة ، وبين قابل له في ظلّ عوامل تربوية ، ولأجل ذلك ربما يكون الولد المتولّد من أبوين بارّين ، خائناً وجانياً ، كما ربما يكون الولد المتولّد من أبوين طاغيين ، إنساناً صالحاً مطيعاً ، والأوّل كولد نوح ، والثاني كعمر بن عبد العزيز الأموي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العامل الثاني ، فليس عاملاً حتميّ الأثر وقطعيّ النتيجة ، فربّما يسعى الوالدان ، لتغيير ما أوجده التعلّم من الآثار الطيّبة أو الخبيثة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يقلُّ عنه العامل الثالث ، فقد أثّرت البيئة الفاسدة على امرأة نوح وامرأة لوط ، فأفسدتهما </w:t>
      </w:r>
      <w:r>
        <w:rPr>
          <w:rStyle w:val="FootnoteAnchor"/>
          <w:rtl w:val="true"/>
        </w:rPr>
        <w:footnoteReference w:id="58"/>
      </w:r>
      <w:r>
        <w:rPr>
          <w:rFonts w:ascii="Amiri" w:hAnsi="Amiri" w:eastAsia="Amiri" w:cs="Amiri"/>
          <w:color w:val="111111"/>
          <w:sz w:val="28"/>
          <w:sz w:val="28"/>
          <w:szCs w:val="28"/>
          <w:rtl w:val="true"/>
          <w:lang w:bidi="ar-SA"/>
        </w:rPr>
        <w:t>وفي الوقت نفسه بقيت في بيت نوح عدّة على صلاحهم وفلاحهم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العوامل بأجمعها معدّات ، لا علّة تامّة في بناء الشخصية الحتمية غير القابلة للتغيير</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العوامل المكوِّنة للشخصية الإنسانية لا تنحصر في العوامل الثلاثة المذكورة التي اختارها المادي ، لأنّها تناسب ما يبتغيه ، كيف وانّ هناك أبعاداً روحية للإنسان وأحاسيس خاصة ، توحي إليه خير الحياة وتدفعه إليها ، بحماس ، وإن لم يكن علّة تامة أيضاً في التخطيط ، وهي عبارة عن الإدراكات النابعة من داخل الإنسان وفطرته من دون أن يتدخل في الإيحاء عامل خارجي ، كإحساسه بالجوع والعطش ، ورغبته في الزواج في سنين معيّنة ، والاشتياق إلى المال والمنصب في فترات من حياته ، وميله إلى ما هو حسن بالذات وهروبه عمّا هو قبيح كذلك ،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كالإحسان والأمانة والوفاء بالميثاق ، وفي مقابله الظلم ، والخيانة ، ونقض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سمّيتها بالأحاسيس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تنبع من ذات الإنسان وأعماق وجوده</w:t>
      </w:r>
      <w:r>
        <w:rPr>
          <w:rFonts w:eastAsia="Amiri" w:cs="Amiri" w:ascii="Amiri" w:hAnsi="Amiri"/>
          <w:color w:val="111111"/>
          <w:sz w:val="28"/>
          <w:szCs w:val="28"/>
          <w:rtl w:val="true"/>
          <w:lang w:bidi="ar-SA"/>
        </w:rPr>
        <w:t xml:space="preserve">. </w:t>
      </w:r>
      <w:bookmarkStart w:id="198" w:name="pg11047_102574"/>
    </w:p>
    <w:p>
      <w:pPr>
        <w:pStyle w:val="Heading4"/>
        <w:numPr>
          <w:ilvl w:val="3"/>
          <w:numId w:val="1"/>
        </w:numPr>
        <w:rPr/>
      </w:pPr>
      <w:bookmarkStart w:id="199" w:name="__RefHeading___Toc1391055_1067777946"/>
      <w:bookmarkStart w:id="200" w:name="_Toc77"/>
      <w:bookmarkEnd w:id="198"/>
      <w:bookmarkEnd w:id="199"/>
      <w:r>
        <w:rPr>
          <w:rtl w:val="true"/>
        </w:rPr>
        <w:t xml:space="preserve">الشبهة الثانية </w:t>
      </w:r>
      <w:r>
        <w:rPr>
          <w:rtl w:val="true"/>
        </w:rPr>
        <w:t xml:space="preserve">: </w:t>
      </w:r>
      <w:r>
        <w:rPr>
          <w:rtl w:val="true"/>
        </w:rPr>
        <w:t>أفعال الإنسان في إطار القضاء والقدر</w:t>
      </w:r>
      <w:bookmarkEnd w:id="200"/>
    </w:p>
    <w:p>
      <w:pPr>
        <w:pStyle w:val="Heading5"/>
        <w:numPr>
          <w:ilvl w:val="4"/>
          <w:numId w:val="1"/>
        </w:numPr>
        <w:rPr/>
      </w:pPr>
      <w:bookmarkStart w:id="201" w:name="__RefHeading___Toc1391057_1067777946"/>
      <w:bookmarkStart w:id="202" w:name="_Toc78"/>
      <w:bookmarkEnd w:id="201"/>
      <w:r>
        <w:rPr>
          <w:rtl w:val="true"/>
        </w:rPr>
        <w:t>اشارة</w:t>
      </w:r>
      <w:bookmarkEnd w:id="202"/>
    </w:p>
    <w:p>
      <w:pPr>
        <w:pStyle w:val="BookText"/>
        <w:rPr/>
      </w:pPr>
      <w:r>
        <w:rPr>
          <w:rFonts w:ascii="Amiri" w:hAnsi="Amiri" w:eastAsia="Amiri" w:cs="Amiri"/>
          <w:color w:val="111111"/>
          <w:sz w:val="28"/>
          <w:sz w:val="28"/>
          <w:szCs w:val="28"/>
          <w:rtl w:val="true"/>
          <w:lang w:bidi="ar-SA"/>
        </w:rPr>
        <w:t>القدر بمعنى انّه سبحانه يقدّر وجود الشيء ويحدّده كمّاً وكيفاً وزماناً ومكاناً إلى غير ذلك من الخصوصيات الحافّة بالشيء قبل تحقّقه وايجاده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التقدير ، وأمّا القضاء فهو حكمه القطعي بتحقّق ذلك الشيء المقدّر في ظرفه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حسَب أُصولنا وأمّا على أُصول غيرنا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إرادته سبحانه الأزلية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ايجاد الشيء على قدر مخصوص كما سيوافيك</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فقد أخذوا من القدر ، المعنى العيني وغفلوا عن معناه العلمي ، فالتقدير منه علمي قبل الايجاد ، ومنه عيني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والتقدير والقضاء بهذا المعنى يشمل كلّ ما في الكون من الموجودات الممكنة من السماء والأرض وما فيها حتّى الإنسان وجوده وفعله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أردنا أن نشبه المعقول بالمحسوس فنقول </w:t>
      </w:r>
      <w:r>
        <w:rPr>
          <w:rFonts w:eastAsia="IRNazanin" w:cs="IRNazanin"/>
          <w:color w:val="111111"/>
          <w:sz w:val="28"/>
          <w:szCs w:val="28"/>
          <w:rtl w:val="true"/>
          <w:lang w:bidi="fa-IR"/>
        </w:rPr>
        <w:t xml:space="preserve">: </w:t>
      </w:r>
      <w:bookmarkStart w:id="203" w:name="pg11047_102575"/>
    </w:p>
    <w:p>
      <w:pPr>
        <w:pStyle w:val="BookText"/>
        <w:rPr/>
      </w:pPr>
      <w:bookmarkEnd w:id="203"/>
      <w:r>
        <w:rPr>
          <w:rFonts w:ascii="Amiri" w:hAnsi="Amiri" w:eastAsia="Amiri" w:cs="Amiri"/>
          <w:color w:val="111111"/>
          <w:sz w:val="28"/>
          <w:sz w:val="28"/>
          <w:szCs w:val="28"/>
          <w:rtl w:val="true"/>
          <w:lang w:bidi="ar-SA"/>
        </w:rPr>
        <w:t>التقدير والقضاء أشبه بعمل الخياط عند ما يأخذ قياسات الثوب ، ثمّ يشرع بخياطته ولو لا ذلك لتعسّر عليه الخياطة</w:t>
      </w:r>
      <w:r>
        <w:rPr>
          <w:rFonts w:eastAsia="Amiri" w:cs="Amiri" w:ascii="Amiri" w:hAnsi="Amiri"/>
          <w:color w:val="111111"/>
          <w:sz w:val="28"/>
          <w:szCs w:val="28"/>
          <w:rtl w:val="true"/>
          <w:lang w:bidi="ar-SA"/>
        </w:rPr>
        <w:t>.</w:t>
      </w:r>
    </w:p>
    <w:p>
      <w:pPr>
        <w:pStyle w:val="Heading5"/>
        <w:numPr>
          <w:ilvl w:val="4"/>
          <w:numId w:val="1"/>
        </w:numPr>
        <w:rPr/>
      </w:pPr>
      <w:bookmarkStart w:id="204" w:name="__RefHeading___Toc1391059_1067777946"/>
      <w:bookmarkStart w:id="205" w:name="_Toc79"/>
      <w:bookmarkEnd w:id="204"/>
      <w:r>
        <w:rPr>
          <w:rtl w:val="true"/>
        </w:rPr>
        <w:t>ما هو محط النزاع في المقام؟</w:t>
      </w:r>
      <w:bookmarkEnd w:id="205"/>
    </w:p>
    <w:p>
      <w:pPr>
        <w:pStyle w:val="BookText"/>
        <w:rPr/>
      </w:pPr>
      <w:r>
        <w:rPr>
          <w:rFonts w:ascii="Amiri" w:hAnsi="Amiri" w:eastAsia="Amiri" w:cs="Amiri"/>
          <w:color w:val="111111"/>
          <w:sz w:val="28"/>
          <w:sz w:val="28"/>
          <w:szCs w:val="28"/>
          <w:rtl w:val="true"/>
          <w:lang w:bidi="ar-SA"/>
        </w:rPr>
        <w:t>إنّ محطّ النزاع في القضاء والقدر ، هو أفعال الإنسان ، التي يترتّب عليها الثواب والعقاب ، ويحمد أو يذمّ ، فهل وقوعها في إطار القضاء والقدر يسلب عنه الاختيار ويسود عليها ، الجبر والحتم ،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وراء ذلك من الأُمور الكونية سواء أكان له صلة بحياة الإنسان وأفعاله أم لا ، فخارج عن محط النزاع ، فالقول بسيادة الجبر عليه ، نظر إلى الخصوصيات الكامنة في وجوده ، تعبير واضح عن واقع وجوده مثلاً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حركة الشمس والقمر وما بينهما وفوقهما من السيارات والكواكب والمجرّات ، حركات جبرية لأنّه سبحانه قدّر وجودها ، وحركاتها بهذه الخصوصية وقضى عليها به ، يقول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وَسَخَّرَ لَكُمُ اللَّيْلَ وَالنَّهارَ وَالشَّمْسَ وَالْقَمَرَ وَالنُّجُومُ مُسَخَّراتٌ بِأَمْرِهِ إِنَّ فِي ذلِكَ لَآياتٍ لِقَوْمٍ يَعْقِلُونَ</w:t>
      </w:r>
      <w:r>
        <w:rPr>
          <w:rFonts w:eastAsia="Amiri" w:cs="Amiri" w:ascii="Amiri" w:hAnsi="Amiri"/>
          <w:color w:val="111111"/>
          <w:sz w:val="28"/>
          <w:szCs w:val="28"/>
          <w:rtl w:val="true"/>
          <w:lang w:bidi="ar-SA"/>
        </w:rPr>
        <w:t xml:space="preserve">) </w:t>
      </w:r>
      <w:r>
        <w:rPr>
          <w:rStyle w:val="FootnoteAnchor"/>
          <w:rtl w:val="true"/>
        </w:rPr>
        <w:footnoteReference w:id="60"/>
      </w:r>
      <w:r>
        <w:rPr>
          <w:rFonts w:ascii="Amiri" w:hAnsi="Amiri" w:eastAsia="Amiri" w:cs="Amiri"/>
          <w:color w:val="111111"/>
          <w:sz w:val="28"/>
          <w:sz w:val="28"/>
          <w:szCs w:val="28"/>
          <w:rtl w:val="true"/>
          <w:lang w:bidi="ar-SA"/>
        </w:rPr>
        <w:t>فالجميع فواعل ، تسخرية غير شاعرة بأفعالها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يقوم به النحل والنمل من الأفاعيل العجيبة ، المحيّرة للعقول حركات تسخرية ، يقوم به عن شعور ، ولكن لا بحرية واختيار فقد كتبت عليهما بقلم الفضاء ان يتخذ من الجبال بيوتاً والشجر وممّا يعرشون يقول سبحانه حاكياً عن القضاء المحتوم على النحل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وَأَوْحى رَبُّكَ إِلَى النَّحْلِ أَنِ اتَّخِذِي مِنَ الْجِبالِ بُيُوتاً وَمِنَ الشَّجَرِ وَمِمَّا يَعْرِشُونَ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كُلِي مِنْ كُلِّ الثَّمَراتِ فَاسْلُكِي سُبُلَ رَبِّكِ </w:t>
      </w:r>
    </w:p>
    <w:p>
      <w:pPr>
        <w:pStyle w:val="BookText"/>
        <w:rPr/>
      </w:pPr>
      <w:r>
        <w:rPr>
          <w:rFonts w:ascii="Amiri" w:hAnsi="Amiri" w:eastAsia="Amiri" w:cs="Amiri"/>
          <w:color w:val="111111"/>
          <w:sz w:val="28"/>
          <w:sz w:val="28"/>
          <w:szCs w:val="28"/>
          <w:rtl w:val="true"/>
          <w:lang w:bidi="ar-SA"/>
        </w:rPr>
        <w:t>ذُلُلاً يَخْرُجُ مِنْ بُطُونِها شَرابٌ مُخْتَلِفٌ أَلْوانُهُ فِيهِ شِفاءٌ لِلنَّاسِ إِنَّ فِي ذلِكَ لَآيَةً لِقَوْمٍ يَتَفَكَّرُونَ</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فالنحل ذاته ووجوده وعمله وصنعه واقع في إطار التقدير والقضاء والنظام السائد على ذلك ، هو سيادة الجبر عليه وأشباهه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خلقة الإنسان ونشؤه من النطفة إلى العلقة ، إلى المضغة إلى العظام إلى غير ذلك ممّا يجري عليه إلى أن يؤكد وينمو ويشبّ ويشيب ، ويموت كلّها واقع في إطار التقدير والقضاء ، لا خيار للإنسان فيه ، شاء أم لم يشأ ، فالقول بسيادة الجبر عليه في هذه المرحلة تعبير واقعي ، لا ينافي حكم العقل والشرع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ما يواجهه الإنسان في حياته ، ممّا يبتلي به غير مريد به كالطوفان الجارف الذي يكتسح مزرعته ، والسيل العارم الذي يهدم منزله وبيته ، والزلزال الشديد ، الذي يزعزع بنيانه وبالتالي يخسر ويتضرر ، كلّها بقدر من الله سبحانه لا يُلام بها الإنسان ولا يذمّ وهو أيضاً كسوابقه خارج عن محطّ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فالذي تدور عليه رحى النزاع والدراسة ، ما يصدر عن الإنسان من الأفعال التي في وسعه تركها أو فعلها ، فهل وقوعها في إطار التقدير يجرّنا إلى القول بالجبر ، أولا صلة بين القول بالقضاء والقدر ، واستنتاج الجبر منه؟</w:t>
      </w:r>
    </w:p>
    <w:p>
      <w:pPr>
        <w:pStyle w:val="BookText"/>
        <w:rPr/>
      </w:pPr>
      <w:r>
        <w:rPr>
          <w:rFonts w:ascii="IRNazanin" w:hAnsi="IRNazanin" w:eastAsia="IRNazanin"/>
          <w:color w:val="111111"/>
          <w:sz w:val="28"/>
          <w:sz w:val="28"/>
          <w:szCs w:val="28"/>
          <w:rtl w:val="true"/>
          <w:lang w:bidi="fa-IR"/>
        </w:rPr>
        <w:t>وهذا موضوع بحثنا ودراستنا</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كثيراً من الناس زعموا انّ القول بالقضاء والقدر يضادّ كون الإنسان مخيراً ، وقد كان ذلك الزعم سائداً في عصر الإمام أمير المؤمنين حيث أقبل شيخ إلى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منصرفه من صفين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عن مسيرنا إلى أهل الشام ، أبقضاء الله وقدره؟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أجل يا شيخُ ما علَوتُم من تلْعة ولا هبطتم من واد إلاّ بقضاء من الله وقدره فقال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الله احتسب عنائي يا أمير المؤمنين</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شيخ ، فو الله لقد عظّم الله لكم الأجر في مسيركم ، وأنتم سائرون ، وفي مقامكم إذ أنتم مقيمون ، وفي منصرفكم وأنتم منصرفون ، لم تكونوا في شيء من حالاتكم مُكْرَهين ، ولا إليه مضطرّين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لم نكن في شيء من حالاتنا مكرهين ، ولا إليه مضطرين وكان بالقضاء والقدر مسيرنا ومنقلبنا ومنصرفنا؟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أتظن أنّه كان قضاءً حتماً ، وقدراً لازماً ، إنّه لو كان كذلك لبطل الثواب والعقاب ، والأمر والنهي ، والزجر من الله تعالى ، وسقط معنى الوعد والوعيد ، ولم تكن لائمة للمذنب ، ولا مَحْمَدَة للمحسن ، ولكان المذنب أولى بالإحسان من المحسن ، ولكان المحسن أولى بالعقوبة من المذنب ، وتلك مقالة إخوان عبدة الأوثان وخصماء الرحمن ، وحزب الشيطان وقدرية هذه الأُمّة ومجوسها ، وانّ الله كلّف تخييراً ونهى تحذيراً ، وأعطى على القليل كثيراً ، ولم يُعص مغلوباً ، ولم يُطع مكرهاً ، ولم يملِّك مفوِّضاً ، ولم يخلق السماوات والأرض وما بينهما باطلاً ، ولم يبعث النبيّين مبشّرين ومنذرين عبثاً ، ذلك ظن الّذين كفروا فويل للّذين كفروا من النار</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والحديث جمع بين القول بين القدر والقضاء وكون الإنسان مخيّراً لا مسيّراً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الإيمان بالقدر ، لا يجعل الإنسان مكتوف اليدين بل هو مختار غير مكرَه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بقيت الفكرة بعد رحيل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وتسرّبت إلى كثير من الأوساط </w:t>
      </w:r>
    </w:p>
    <w:p>
      <w:pPr>
        <w:pStyle w:val="BookText"/>
        <w:rPr/>
      </w:pPr>
      <w:r>
        <w:rPr>
          <w:rFonts w:ascii="Amiri" w:hAnsi="Amiri" w:eastAsia="Amiri" w:cs="Amiri"/>
          <w:color w:val="111111"/>
          <w:sz w:val="28"/>
          <w:sz w:val="28"/>
          <w:szCs w:val="28"/>
          <w:rtl w:val="true"/>
          <w:lang w:bidi="ar-SA"/>
        </w:rPr>
        <w:t>فجعلوا القضاء والقدر من أدلّة الجبر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في القول بالقضاء والقدر وصمة الجبر ، أنكرت المعتزلة وقوع الأفعال الاختيارية الصادرة عن العباد متعلّقة بالقضاء والقدر ، خلافاً للأشاعرة فقد جعلوا الأفعال متعلّقاً للقضاء والقدر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قضاء الله هو إرادته الأزلية المتعلّقة بالأشياء على ما هي عليه فيما لا يزال ، وقدره إيجادها إيّاها على قدر مخصوص وتقدير معيّن في ذواتها وأحوالها</w:t>
      </w:r>
      <w:r>
        <w:rPr>
          <w:rFonts w:eastAsia="Amiri" w:cs="Amiri" w:ascii="Amiri" w:hAnsi="Amiri"/>
          <w:color w:val="111111"/>
          <w:sz w:val="28"/>
          <w:szCs w:val="28"/>
          <w:rtl w:val="true"/>
          <w:lang w:bidi="ar-SA"/>
        </w:rPr>
        <w:t xml:space="preserve">. </w:t>
      </w:r>
      <w:r>
        <w:rPr>
          <w:rStyle w:val="FootnoteAnchor"/>
          <w:rtl w:val="true"/>
        </w:rPr>
        <w:footnoteReference w:id="64"/>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انّ كلّ ما في الكون من كبير وصغير وجليل ودقيق من الجواهر والأعراض كلّها واقعة في إطار القدر والقضاء ، غير أنّ استنتاج الجبر من القدر والقضاء ، استنتاج خاطئ ، بل القول بهما يؤكد الاختيار على خلاف ما يستنتجه القائلون بالجبر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وإليك توضيح المقام فانّه يطلق القضاء والقدر على معنيين </w:t>
      </w:r>
      <w:r>
        <w:rPr>
          <w:rFonts w:eastAsia="Amiri" w:cs="Amiri" w:ascii="Amiri" w:hAnsi="Amiri"/>
          <w:color w:val="111111"/>
          <w:sz w:val="28"/>
          <w:szCs w:val="28"/>
          <w:rtl w:val="true"/>
          <w:lang w:bidi="ar-SA"/>
        </w:rPr>
        <w:t xml:space="preserve">: </w:t>
      </w:r>
      <w:bookmarkStart w:id="206" w:name="pg11047_102579"/>
    </w:p>
    <w:p>
      <w:pPr>
        <w:pStyle w:val="Heading5"/>
        <w:numPr>
          <w:ilvl w:val="4"/>
          <w:numId w:val="1"/>
        </w:numPr>
        <w:rPr/>
      </w:pPr>
      <w:bookmarkStart w:id="207" w:name="__RefHeading___Toc1391061_1067777946"/>
      <w:bookmarkStart w:id="208" w:name="_Toc80"/>
      <w:bookmarkEnd w:id="206"/>
      <w:bookmarkEnd w:id="207"/>
      <w:r>
        <w:rPr/>
        <w:t>1</w:t>
      </w:r>
      <w:r>
        <w:rPr>
          <w:rtl w:val="true"/>
        </w:rPr>
        <w:t xml:space="preserve">- </w:t>
      </w:r>
      <w:r>
        <w:rPr>
          <w:rtl w:val="true"/>
        </w:rPr>
        <w:t>المعنى الأوّل للقضاء والقدر</w:t>
      </w:r>
      <w:bookmarkEnd w:id="208"/>
    </w:p>
    <w:p>
      <w:pPr>
        <w:pStyle w:val="Heading6"/>
        <w:numPr>
          <w:ilvl w:val="5"/>
          <w:numId w:val="1"/>
        </w:numPr>
        <w:rPr/>
      </w:pPr>
      <w:bookmarkStart w:id="209" w:name="__RefHeading___Toc1391063_1067777946"/>
      <w:bookmarkStart w:id="210" w:name="_Toc81"/>
      <w:bookmarkEnd w:id="209"/>
      <w:r>
        <w:rPr>
          <w:rtl w:val="true"/>
        </w:rPr>
        <w:t xml:space="preserve">القضاء والقدر </w:t>
      </w:r>
      <w:r>
        <w:rPr>
          <w:rtl w:val="true"/>
        </w:rPr>
        <w:t xml:space="preserve">: </w:t>
      </w:r>
      <w:r>
        <w:rPr>
          <w:rtl w:val="true"/>
        </w:rPr>
        <w:t>السنن الكونية</w:t>
      </w:r>
      <w:bookmarkEnd w:id="210"/>
    </w:p>
    <w:p>
      <w:pPr>
        <w:pStyle w:val="BookText"/>
        <w:rPr/>
      </w:pPr>
      <w:r>
        <w:rPr>
          <w:rFonts w:ascii="Amiri" w:hAnsi="Amiri" w:eastAsia="Amiri" w:cs="Amiri"/>
          <w:color w:val="111111"/>
          <w:sz w:val="28"/>
          <w:sz w:val="28"/>
          <w:szCs w:val="28"/>
          <w:rtl w:val="true"/>
          <w:lang w:bidi="ar-SA"/>
        </w:rPr>
        <w:t xml:space="preserve">يُطلق القضاء والقدر ويراد بهما السنن الكونية الواردة في الكتاب والسنّة السائدة على الكون عامّة ، والإنسان خاصة وبيد الإنسان مفتاح التظلّل تحت أي سنّة من السنن ، ونذكر من هذه السنن ، الشيء القليل من الكثير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سبحانه حاكياً عن شيخ الأنبياء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اسْتَغْفِرُوا رَبَّكُمْ إِنَّهُ كانَ غَفَّاراً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يُرْسِلِ السَّماءَ عَلَيْكُمْ مِدْراراً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وَيُمْدِدْكُمْ بِأَمْوالٍ وَبَنِينَ وَيَجْعَلْ لَكُمْ جَنَّاتٍ وَيَجْعَلْ لَكُمْ أَنْهاراً</w:t>
      </w:r>
      <w:r>
        <w:rPr>
          <w:rFonts w:eastAsia="Amiri" w:cs="Amiri" w:ascii="Amiri" w:hAnsi="Amiri"/>
          <w:color w:val="111111"/>
          <w:sz w:val="28"/>
          <w:szCs w:val="28"/>
          <w:rtl w:val="true"/>
          <w:lang w:bidi="ar-SA"/>
        </w:rPr>
        <w:t xml:space="preserve">). </w:t>
      </w:r>
      <w:r>
        <w:rPr>
          <w:rStyle w:val="FootnoteAnchor"/>
          <w:rtl w:val="true"/>
        </w:rPr>
        <w:footnoteReference w:id="65"/>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فترى أنّ نوحاً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الاستغفار سبباً مؤثراً في نزول المطر وكثرة الأموال وجريان الأنهار ، ووفرة 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وإنكار تأثير الاستغفار في هذه الكائنات أشبه بكلمات الملاحدة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وموقف الاستغفار هنا موقف العلّة التامّة أو المقتضي بالنسبة إليها ، والآية تهدف إلى أنّ الرجوع إلى الله وإقامة دينه وأحكامه ، يسوق المجتمع إلى النظر والعدل والقسط ، إذ في ظلّه تنصبّ القوى على بناء المجتمع على أساس </w:t>
      </w:r>
    </w:p>
    <w:p>
      <w:pPr>
        <w:pStyle w:val="BookText"/>
        <w:rPr/>
      </w:pPr>
      <w:r>
        <w:rPr>
          <w:rFonts w:ascii="Amiri" w:hAnsi="Amiri" w:eastAsia="Amiri" w:cs="Amiri"/>
          <w:color w:val="111111"/>
          <w:sz w:val="28"/>
          <w:sz w:val="28"/>
          <w:szCs w:val="28"/>
          <w:rtl w:val="true"/>
          <w:lang w:bidi="ar-SA"/>
        </w:rPr>
        <w:t>صحيح ، فتُصرف القوى في العمران والزراعة وسائر مجالات المصالح الاقتصادية العامّة ؛ كما أنّ العمل على خلاف هذه السنّة ، وهو رجوع المجتمع عن الله وعن الطهارة في القلب والعمل ، ينتج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وللمجتمع الخيار في التمسّك بأهداب أيّة من السُّنتين ، فالكلّ قضاء الله وتقديره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تمسّك بالأُولى فقد تمسّك بقضاء الله ، كما أنّ تمسّك بالثانية فقد تمسّك به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أَهْلَ الْقُرى آمَنُوا وَاتَّقَوْا لَفَتَحْنا عَلَيْهِمْ بَرَكاتٍ مِنَ السَّماءِ وَالْأَرْضِ وَلكِنْ كَذَّبُوا فَأَخَذْناهُمْ بِما كانُوا يَكْسِبُونَ</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 اللهَ لَمْ يَكُ مُغَيِّراً نِعْمَةً أَنْعَمَها عَلى قَوْمٍ حَتَّى يُغَيِّرُوا ما بِأَنْفُسِهِمْ</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والتقرير في مورد هذه الآيات الثلاث مثله في الآية السابقة عليها وللإنسان الخيار في الأخذ بأيّة من السّنتين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تَأَذَّنَ رَبُّكُمْ لَئِنْ شَكَرْتُمْ لَأَزِيدَنَّكُمْ وَلَئِنْ كَفَرْتُمْ إِنَّ عَذابِي لَشَدِيدٌ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ترى أنّ الآية تتكفّل ببيان كلا طرفي السنّة الإلهية إيجاباً وسلباً ، وتُبيّن النتيجة المترتّبة على كلّ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 قضاؤه وتقديره والخيار في سلوكهما للمجتمع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يَتَّقِ اللهَ يَجْعَلْ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وَيَرْزُقْهُ مِنْ حَيْثُ لا</w:t>
      </w:r>
    </w:p>
    <w:p>
      <w:pPr>
        <w:pStyle w:val="BookText"/>
        <w:rPr/>
      </w:pPr>
      <w:r>
        <w:rPr>
          <w:rFonts w:ascii="Amiri" w:hAnsi="Amiri" w:eastAsia="Amiri" w:cs="Amiri"/>
          <w:color w:val="111111"/>
          <w:sz w:val="28"/>
          <w:sz w:val="28"/>
          <w:szCs w:val="28"/>
          <w:rtl w:val="true"/>
          <w:lang w:bidi="ar-SA"/>
        </w:rPr>
        <w:t>يَحْتَسِبُ</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يُثَبِّتُ اللهُ الَّذِينَ آمَنُوا بِالْقَوْلِ الثَّابِتِ فِي الْحَياةِ الدُّنْيا وَفِي الْآخِرَةِ وَيُضِلُّ اللهُ الظَّالِمِينَ وَيَفْعَلُ اللهُ ما يَشاءُ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فالمجتمع المؤمن بالله وكتابه وسنّة رسوله إيماناً راسخاً يثبّته الله سبحانه في الحياة الدنيا وفي الآخرة ، كما أنّ الظالم والعادل عن الله سبحانه يخذله سبحانه ولا يوفّقه إلى شيء من مراتب معرفته وهدايته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ذلك يُرتِّب على تلك الآية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تَرَ إِلَى الَّذِينَ بَدَّلُوا نِعْمَتَ اللهِ كُفْراً وَأَحَلُّوا قَوْمَهُمْ دارَ الْبَوارِ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جَهَنَّمَ يَصْلَوْنَها وَبِئْسَ الْقَرارُ</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كَتَبْنا فِي الزَّبُورِ مِنْ بَعْدِ الذِّكْرِ أَنَّ الْأَرْضَ يَرِثُها عِبادِيَ الصَّالِحُونَ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فالصالحون لأجل تحلِّيهم بالصلاح في العقيدة والعمل ، يغلبون الظالمين وتكون السيادة لهم ، والذلّة والخذلان لمخالفيهم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 وَمَنْ كَفَرَ بَعْدَ ذلِكَ فَأُولئِكَ هُمُ الْفاسِقُونَ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فالاستخلاف في الأرض نتيجة الإيمان بالله والعمل الصالح وإقامة دينه على وجه التمام ، ويترتّب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وراء الاستخلاف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في الآية من التمكين </w:t>
      </w:r>
    </w:p>
    <w:p>
      <w:pPr>
        <w:pStyle w:val="BookText"/>
        <w:rPr/>
      </w:pPr>
      <w:r>
        <w:rPr>
          <w:rFonts w:ascii="Amiri" w:hAnsi="Amiri" w:eastAsia="Amiri" w:cs="Amiri"/>
          <w:color w:val="111111"/>
          <w:sz w:val="28"/>
          <w:sz w:val="28"/>
          <w:szCs w:val="28"/>
          <w:rtl w:val="true"/>
          <w:lang w:bidi="ar-SA"/>
        </w:rPr>
        <w:t>وتبديل الخوف بالأمن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أَفَلَمْ يَسِيرُوا فِي الْأَرْضِ فَيَنْظُرُوا كَيْفَ كانَ عاقِبَةُ الَّذِينَ مِنْ قَبْلِهِمْ دَمَّرَ اللهُ عَلَيْهِمْ وَلِلْكافِرِينَ أَمْثالُها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والآيات الواردة حول الأمر بالسير في الأرض والاعتبار بما جرى على الأُمم السالفة لأجل عتوّهم وتكذيبهم رسل الله سبحانه ، كثيرة في القرآن الكريم ، تبيّن سنّته السائدة على الأُمم جمعاء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خَلَتْ مِنْ قَبْلِكُمْ سُنَنٌ فَسِيرُوا فِي الْأَرْضِ فَانْظُروا كَيْفَ كانَ عاقِبَةُ الْمُكَذِّبِينَ</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 تَتَّقُوا اللهَ يَجْعَلْ لَكُمْ فُرْقاناً وَيُكَفِّرْ عَنْكُمْ سَيِّئاتِكُمْ وَيَغْفِرْ لَكُمْ وَاللهُ ذُو الْفَضْلِ الْعَظِيمِ</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يُجادِلُ فِي آياتِ اللهِ إِلاَّ الَّذِينَ كَفَرُوا فَلا يَغْرُرْكَ تَقَلُّبُهُمْ فِي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قَبْلَهُمْ قَوْمُ نُوحٍ وَالْأَحْزابُ مِنْ بَعْدِهِمْ وَهَمَّتْ كُلُّ أُمَّةٍ بِرَسُولِهِمْ لِيَأْخُذُوهُ وَجادَلُوا بِالْباطِلِ لِيُدْحِضُوا بِهِ الْحَقَّ فَأَخَذْتُهُمْ فَكَيْفَ كانَ 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حَقَّتْ كَلِمَةُ رَبِّكَ عَلَى الَّذِينَ كَفَرُوا أَنَّهُمْ أَصْحابُ النَّارِ</w:t>
      </w:r>
      <w:r>
        <w:rPr>
          <w:rFonts w:eastAsia="Amiri" w:cs="Amiri" w:ascii="Amiri" w:hAnsi="Amiri"/>
          <w:color w:val="111111"/>
          <w:sz w:val="28"/>
          <w:szCs w:val="28"/>
          <w:rtl w:val="true"/>
          <w:lang w:bidi="ar-SA"/>
        </w:rPr>
        <w:t xml:space="preserve">). </w:t>
      </w:r>
      <w:r>
        <w:rPr>
          <w:rStyle w:val="FootnoteAnchor"/>
          <w:rtl w:val="true"/>
        </w:rPr>
        <w:footnoteReference w:id="73"/>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والآية من أثبت الآيات المبيّنة لسنته تعالى في الذين كفروا ، فلا يصلح للمؤمن أن يغرّه تقلّبهم في البلاد ، وعليه أن ينظر في عاقبة أمرهم كقوم نوح والأحزاب من بعدهم ، حتّى يقف على أنّ للباطل جولة وللحقّ دولة ، وانّ مردّ الكافرين إلى الهلاك والدمار كما أنّ مردّ المؤمنين إلى الجنة ، والإنسان مخيّر بين </w:t>
      </w:r>
    </w:p>
    <w:p>
      <w:pPr>
        <w:pStyle w:val="BookText"/>
        <w:rPr/>
      </w:pPr>
      <w:r>
        <w:rPr>
          <w:rFonts w:ascii="Amiri" w:hAnsi="Amiri" w:eastAsia="Amiri" w:cs="Amiri"/>
          <w:color w:val="111111"/>
          <w:sz w:val="28"/>
          <w:sz w:val="28"/>
          <w:szCs w:val="28"/>
          <w:rtl w:val="true"/>
          <w:lang w:bidi="ar-SA"/>
        </w:rPr>
        <w:t>التظلّل تحت أي واحد منهما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وَأَقْسَمُوا بِاللهِ جَهْدَ أَيْمانِهِمْ لَئِنْ جاءَهُمْ نَذِيرٌ لَيَكُونُنَّ أَهْدى مِنْ إِحْدَى الْأُمَمِ فَلَمَّا جاءَهُمْ نَذِيرٌ ما زادَهُمْ إِلاَّ نُفُوراً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اسْتِكْباراً فِي الْأَرْضِ وَمَكْرَ السَّيِّئِ وَلا يَحِيقُ الْمَكْرُ السَّيِّئُ إِلاَّ بِأَهْلِهِ فَهَلْ يَنْظُرُونَ إِلاَّ سُنَّتَ الْأَوَّلِينَ فَلَنْ تَجِدَ لِسُنَّتِ اللهِ تَبْدِيلاً وَلَنْ تَجِدَ لِسُنَّتِ اللهِ تَحْوِيلاً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وما ذكرنا من الآيات نبذة من السنن الإلهيّة السائدة على الفرد والمجتمع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وسع الباحث أن يتدبّر في آيات الكتاب العزيز حتّى يقف على سننه تعالى وقوانينه ، ثمّ يرجع إلى تاريخ الأُمم وأحوالها فيُصدِّق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 تَجِدَ لِسُنَّتِ اللهِ تَبْدِيلاً وَلَنْ تَجِدَ لِسُنَّتِ اللهِ تَحْوِيلاً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فالجميع من قضائه وقدره ، وللبشر أن يتظلل بأي واحد منهما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القول بالقضاء والقدر بهذا المعنى ، رائحة الجبر ، بل فيها تأكيد للاختيار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المعنى الأوّل لهما وإليك المعنى الثاني</w:t>
      </w:r>
      <w:r>
        <w:rPr>
          <w:rFonts w:eastAsia="Amiri" w:cs="Amiri" w:ascii="Amiri" w:hAnsi="Amiri"/>
          <w:color w:val="111111"/>
          <w:sz w:val="28"/>
          <w:szCs w:val="28"/>
          <w:rtl w:val="true"/>
          <w:lang w:bidi="ar-SA"/>
        </w:rPr>
        <w:t xml:space="preserve">. </w:t>
      </w:r>
      <w:bookmarkStart w:id="211" w:name="pg11047_102584"/>
    </w:p>
    <w:p>
      <w:pPr>
        <w:pStyle w:val="Heading5"/>
        <w:numPr>
          <w:ilvl w:val="4"/>
          <w:numId w:val="1"/>
        </w:numPr>
        <w:rPr/>
      </w:pPr>
      <w:bookmarkStart w:id="212" w:name="__RefHeading___Toc1391065_1067777946"/>
      <w:bookmarkStart w:id="213" w:name="_Toc82"/>
      <w:bookmarkEnd w:id="211"/>
      <w:bookmarkEnd w:id="212"/>
      <w:r>
        <w:rPr/>
        <w:t>2</w:t>
      </w:r>
      <w:r>
        <w:rPr>
          <w:rtl w:val="true"/>
        </w:rPr>
        <w:t xml:space="preserve">. </w:t>
      </w:r>
      <w:r>
        <w:rPr>
          <w:rtl w:val="true"/>
        </w:rPr>
        <w:t>المعنى الثانى للقضاء والقدر</w:t>
      </w:r>
      <w:bookmarkEnd w:id="213"/>
    </w:p>
    <w:p>
      <w:pPr>
        <w:pStyle w:val="Heading6"/>
        <w:numPr>
          <w:ilvl w:val="5"/>
          <w:numId w:val="1"/>
        </w:numPr>
        <w:rPr/>
      </w:pPr>
      <w:bookmarkStart w:id="214" w:name="__RefHeading___Toc1391067_1067777946"/>
      <w:bookmarkStart w:id="215" w:name="_Toc83"/>
      <w:bookmarkEnd w:id="214"/>
      <w:r>
        <w:rPr>
          <w:rtl w:val="true"/>
        </w:rPr>
        <w:t>علمه الأزلي بتحقّق الشيء مع خصوصياته</w:t>
      </w:r>
      <w:bookmarkEnd w:id="215"/>
    </w:p>
    <w:p>
      <w:pPr>
        <w:pStyle w:val="BookText"/>
        <w:rPr/>
      </w:pPr>
      <w:r>
        <w:rPr>
          <w:rFonts w:ascii="Amiri" w:hAnsi="Amiri" w:eastAsia="Amiri" w:cs="Amiri"/>
          <w:color w:val="111111"/>
          <w:sz w:val="28"/>
          <w:sz w:val="28"/>
          <w:szCs w:val="28"/>
          <w:rtl w:val="true"/>
          <w:lang w:bidi="ar-SA"/>
        </w:rPr>
        <w:t>المراد من القدر هو علمه سبحانه بالأزل بحد الشيء وخصوصيات وجوده وحدوده ، كما أنّ المراد من القضاء هو علمه بتحقّقه ووجوده ، وهذا ما يسمّى بالتقدير والقضاء العلميّين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يتوهّم انّ دخول فعل الإنسان في اطار القدر والقضاء يوجب سلب الاختيار عن الإنسان ، لأنّه سبحانه يعلم في الأزل فعل الإنسان حسب ما له من الخصوصيات ، ويعلم تحقّقه في المستقبل ، فإذا كان فعل الإنسان معلوماً لله سبحانه تقديراً وقضاءً فلا يبقى له الاختيار</w:t>
      </w:r>
      <w:r>
        <w:rPr>
          <w:rFonts w:eastAsia="Amiri" w:cs="Amiri" w:ascii="Amiri" w:hAnsi="Amiri"/>
          <w:color w:val="111111"/>
          <w:sz w:val="28"/>
          <w:szCs w:val="28"/>
          <w:rtl w:val="true"/>
          <w:lang w:bidi="ar-SA"/>
        </w:rPr>
        <w:t>.</w:t>
      </w:r>
    </w:p>
    <w:p>
      <w:pPr>
        <w:pStyle w:val="Heading6"/>
        <w:numPr>
          <w:ilvl w:val="5"/>
          <w:numId w:val="1"/>
        </w:numPr>
        <w:rPr/>
      </w:pPr>
      <w:bookmarkStart w:id="216" w:name="__RefHeading___Toc1391069_1067777946"/>
      <w:bookmarkStart w:id="217" w:name="_Toc84"/>
      <w:bookmarkEnd w:id="216"/>
      <w:r>
        <w:rPr>
          <w:rtl w:val="true"/>
        </w:rPr>
        <w:t>على هامش الشبهة</w:t>
      </w:r>
      <w:bookmarkEnd w:id="217"/>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علمه الأزلي لم يتعلّق بصدور كلّ فعل عن فاعله على وجه الإطلاق ، بل تعلّق علمه بصدور كلّ فعل عن فاعله حسب الخصوصيات الموجودة فيه ، وعلى ضوء ذلك تعلّق علمه الأزلي بصدور الحرارة من النار على وجه الجبر بلا شعور ، كما تعلّق علمه الأزلي بصدور الرعشة من المرتعش ، عالماً بلا اختيار ، ولكن تعلّق علمه سبحانه بصدور فعل الإنسان الاختياري منه بقيد الاختيار والحرية ، فتعلّق </w:t>
      </w:r>
    </w:p>
    <w:p>
      <w:pPr>
        <w:pStyle w:val="BookText"/>
        <w:rPr/>
      </w:pPr>
      <w:r>
        <w:rPr>
          <w:rFonts w:ascii="Amiri" w:hAnsi="Amiri" w:eastAsia="Amiri" w:cs="Amiri"/>
          <w:color w:val="111111"/>
          <w:sz w:val="28"/>
          <w:sz w:val="28"/>
          <w:szCs w:val="28"/>
          <w:rtl w:val="true"/>
          <w:lang w:bidi="ar-SA"/>
        </w:rPr>
        <w:t>علمه بوجود الإنسان وكونه فاعلاً مختاراً ، وصدور فعله عنه اختياراً ، يؤكّد الاختيار ويدفع الجبر عن ساحة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العلّة إذا كانت عالمة شاعرة ، ومريدة ومختارة كالإنسان ، فقد تعلّق علمه بصدور أفعالها منها بتلك الخصوصيات ، وانصباغ فعلها بصبغة الاختيار والحرية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صدر فعل الإنسان منه بهذه الكيفية لكان علمه مطابقاً للواقع غير متخلّف عنه ؛ وأمّا لو صدر فعله عنه في هذا المجال عن جبر واضطرار بلا علم وشعور ، أو بلا اختيار وإرادة ، فعند ذلك يتخلّف علمه عن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ونقول توضيحاً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الأعمال الصادرة من الإنسان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يصدر منه بلا شعور ولا إرادة ، كأعمال الجهاز الدمويّ ، والجهاز المعويّ ، وجهاز القلب ، والأحشاء ، التي تتسم في أفعال الإنسان بسمة الأعمال الاضطرارية ، غير الاختيارية ؛ وقسم آخر يصدر منه عن إرادة واختيار ، ويتسم بسمة الأعمال الاختيارية غير الاضطرارية ، كدراسته ، وكتابته ، وتجارته ، وزراعته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علم الله تعالى تعبيراً عن الواقع على نحو لا يتخلّف عنه قيدَ شعرة ، فيتعلّق علم الله بأفعال الإنسان على ما هي عليه من الخصائص والألوان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النتيجة أنّه سبحانه يعلم من الأزل صدور فعل معين في لحظة معيّنة من إنسان معيّن إمّا بالاضطرار ، أو الإكراه ، أو بالاختيار والحرية ، وتعلّق مثل هذا العلم لا يُنتج الجبر ، بل يلازم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صدر كلّ قسم على خلاف ما اتّسم به لكان ذلك تخلّفاً عن الواقع</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الموضوع ممّا ضلّ فيه كثير من الأفهام ، وزلّت أقدام غير واحد من الباحثين ، ندرس الموضوع على وجه التفصيل ، ونرفع النقاب عن وجه الواقع ، </w:t>
      </w:r>
      <w:bookmarkStart w:id="218" w:name="pg11047_102586"/>
    </w:p>
    <w:p>
      <w:pPr>
        <w:pStyle w:val="BookText"/>
        <w:rPr/>
      </w:pPr>
      <w:bookmarkEnd w:id="218"/>
      <w:r>
        <w:rPr>
          <w:rFonts w:ascii="Amiri" w:hAnsi="Amiri" w:eastAsia="Amiri" w:cs="Amiri"/>
          <w:color w:val="111111"/>
          <w:sz w:val="28"/>
          <w:sz w:val="28"/>
          <w:szCs w:val="28"/>
          <w:rtl w:val="true"/>
          <w:lang w:bidi="ar-SA"/>
        </w:rPr>
        <w:t xml:space="preserve">بذكر بعض الأمثلة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كان تعلّق العلم بالفعل سالباً للاختيار وموجباً للجبر يلزم أن يكون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فاعلاً بالجبر ، لعلمه بفعله قبل إيجاده ، والله سبحانه هو الفاعل المختار لا يخضع لشيء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المعلم الذي يمارس التدريس ، بإمكانه التنبّؤ بنتائج الامتحان الذي سيقام لتلاميذه آخر الفصل الدراسي ، حيث يستطيع أن يميز بين الناجح منهم والراسب وتكون نتيجة الامتحان وفق ما تنبّأ به ، أفيصح للراسب في الامتحان أن يلقي وزر ذلك على عهدة معلمه؟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علم المعلّم وصّاف كشّاف يحكي عن الواقع ولا يؤثّر عليه وإنّما المؤثر على الواقع مؤهّلات التلميذ وسعيه وكدحه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علمه سبحانه لا يتعلّق بالمسبّب بما هو مسبّب وإنّما يتعلّق بضم المسبّب إلى أسبابه والنتائج إلى مقدّماتها ، فإذا كان السبب والمقدمة أمراً اختيارياً ، فأولى أن يكون المسبب كذلك</w:t>
      </w:r>
      <w:r>
        <w:rPr>
          <w:rFonts w:eastAsia="Amiri" w:cs="Amiri" w:ascii="Amiri" w:hAnsi="Amiri"/>
          <w:color w:val="111111"/>
          <w:sz w:val="28"/>
          <w:szCs w:val="28"/>
          <w:rtl w:val="true"/>
          <w:lang w:bidi="ar-SA"/>
        </w:rPr>
        <w:t>.</w:t>
      </w:r>
    </w:p>
    <w:p>
      <w:pPr>
        <w:pStyle w:val="Heading6"/>
        <w:numPr>
          <w:ilvl w:val="5"/>
          <w:numId w:val="1"/>
        </w:numPr>
        <w:rPr/>
      </w:pPr>
      <w:bookmarkStart w:id="219" w:name="__RefHeading___Toc1391071_1067777946"/>
      <w:bookmarkStart w:id="220" w:name="_Toc85"/>
      <w:bookmarkEnd w:id="219"/>
      <w:r>
        <w:rPr>
          <w:rtl w:val="true"/>
        </w:rPr>
        <w:t>كلمة للشيخ الغزالي حولَ استنتاج الجبر من العلم الإلهي</w:t>
      </w:r>
      <w:bookmarkEnd w:id="220"/>
    </w:p>
    <w:p>
      <w:pPr>
        <w:pStyle w:val="BookText"/>
        <w:rPr/>
      </w:pPr>
      <w:r>
        <w:rPr>
          <w:rFonts w:ascii="Amiri" w:hAnsi="Amiri" w:eastAsia="Amiri" w:cs="Amiri"/>
          <w:color w:val="111111"/>
          <w:sz w:val="28"/>
          <w:sz w:val="28"/>
          <w:szCs w:val="28"/>
          <w:rtl w:val="true"/>
          <w:lang w:bidi="ar-SA"/>
        </w:rPr>
        <w:t xml:space="preserve">وللشيخ محمد الغزالي كلمة في نقد انّ العلم الإلهي يسلب الاختيار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عامّة المسلمين يطوون أنفسهم على ما يُشبه عقيدة الجبر ولكنّهم حياءً من الله يسترون الجبر باختيار خافت موهوم ، وقد أسهمت بعض المرويات في تكوين هذه الشبهة وتمكينها ، وكانت بالتالي سبباً في إفساد الفكر الإسلامي وانهيار الحضارة والمجتمع</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العلم الإلهي المحيط بكلّ شيء وصّاف ، كشاف ، يصف ما كان ، </w:t>
      </w:r>
    </w:p>
    <w:p>
      <w:pPr>
        <w:pStyle w:val="BookText"/>
        <w:rPr/>
      </w:pPr>
      <w:r>
        <w:rPr>
          <w:rFonts w:ascii="Amiri" w:hAnsi="Amiri" w:eastAsia="Amiri" w:cs="Amiri"/>
          <w:color w:val="111111"/>
          <w:sz w:val="28"/>
          <w:sz w:val="28"/>
          <w:szCs w:val="28"/>
          <w:rtl w:val="true"/>
          <w:lang w:bidi="ar-SA"/>
        </w:rPr>
        <w:t>ويكشف ما يكون ، والكتاب الدالّ عليه يسجّل للواقع وحسب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يجعل السماء أرضاً ولا الجماد حيواناً ، إنّه صورة تطابق الأصل بلا زيادة ولا نقص ولا أثر لها في سلب أو 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هذه الأوهام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التقدير سالب للاختيار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تكذيب للقرآن والسنّة ، فنحن بجهدنا وكدحنا ننجو أو نهلك ، والقول بأنّ كتاباً سبق علينا بذلك وأنّه لا حيلة لنا بإزاء ما كتب أزلاً هذا كلّه تضليل وإفك ، لقوله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جاءَكُمْ بَصائِرُ مِنْ رَبِّكُمْ فَمَنْ أَبْصَرَ فَلِنَفْسِهِ وَمَنْ عَمِيَ فَعَلَيْها</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الْحَقُّ مِنْ رَبِّكُمْ فَمَنْ شاءَ فَلْيُؤْمِنْ وَمَنْ شاءَ فَلْيَكْفُرْ</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 xml:space="preserve">والواقع انّ عقيدة الجبر تطويح بالوحي كلّه وتزييف للنشاط الإنساني من بدء الخلق إلى قيام الساعة ، بل هي تكذيب لله والمرسلين قاطبة ، ومن ثمّ فإنّنا نتناول بحذر شديد ما جاء في حديث مسلم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أحدكم ليعمل بعمل أهل الجنة حتّى ما يكون بينه وبينها إلاّ ذراع فيسبق عليه الكتاب فيعمل بعمل أهل النار ، فيدخلها ، وإنّ أحدكم ليعمل بعمل أهل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ميل بعقيدة القدر إلى الجبر فهو تخريب متعمّد لدين الله ودنيا الناس ، وقد رأيت بعض النقلة والكاتبين يهوِّنون من الإرادة البشرية ومن أثرها في حاضر المرء ومستقبله وكأنّهم يقولون للناس أنتم محكومون بعلم سابق لا فكاك منه ومسوقون إلى مصير لا دخل لكم فيه ، فاجهدوا جهدكم فلن تخرجوا من الخط المرسوم لكم مهما بذلتم</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الكلام الرديء ليس نضح قراءة واعية لكتاب ربنا ، ولا اقتداء </w:t>
      </w:r>
    </w:p>
    <w:p>
      <w:pPr>
        <w:pStyle w:val="BookText"/>
        <w:rPr/>
      </w:pPr>
      <w:r>
        <w:rPr>
          <w:rFonts w:ascii="Amiri" w:hAnsi="Amiri" w:eastAsia="Amiri" w:cs="Amiri"/>
          <w:color w:val="111111"/>
          <w:sz w:val="28"/>
          <w:sz w:val="28"/>
          <w:szCs w:val="28"/>
          <w:rtl w:val="true"/>
          <w:lang w:bidi="ar-SA"/>
        </w:rPr>
        <w:t>دقيقاً بسنّة نبينا انّه تخليط قد جنينا منه المرّ</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 أثر مروي يشغب على حرية الإرادة البشرية في صنع المستقبل الأُخروي يجب أن لا نلتفت إليه ، فحقائق الدين الثابتة بالعقل والنقل لا يهدّها حديث واهي السند أو معلول المتن ، لكنّنا مهما نوّهنا بالإرادة الإنسانية فلا تنسى إنّنا داخل سفينة يتقاذفها بحر الحياة بين مد وجزر وصعود وهبوط ، والسفينة تحكمها الأمواج ، ولا تحْكم الأمواجَ ، ويعني هذا انّ نُلْزم موقفاً محدداً بإزاء الأوضاع المتغيرة التي تمرّ بنا هذا الموقف من صنعنا وبه نحاسب</w:t>
      </w:r>
      <w:r>
        <w:rPr>
          <w:rFonts w:eastAsia="Amiri" w:cs="Amiri" w:ascii="Amiri" w:hAnsi="Amiri"/>
          <w:color w:val="111111"/>
          <w:sz w:val="28"/>
          <w:szCs w:val="28"/>
          <w:rtl w:val="true"/>
          <w:lang w:bidi="ar-SA"/>
        </w:rPr>
        <w:t xml:space="preserve">. </w:t>
      </w:r>
      <w:r>
        <w:rPr>
          <w:rStyle w:val="FootnoteAnchor"/>
          <w:rtl w:val="true"/>
        </w:rPr>
        <w:footnoteReference w:id="76"/>
      </w:r>
      <w:bookmarkStart w:id="221" w:name="pg11047_102589"/>
    </w:p>
    <w:p>
      <w:pPr>
        <w:pStyle w:val="Heading4"/>
        <w:numPr>
          <w:ilvl w:val="3"/>
          <w:numId w:val="1"/>
        </w:numPr>
        <w:rPr/>
      </w:pPr>
      <w:bookmarkStart w:id="222" w:name="__RefHeading___Toc1391073_1067777946"/>
      <w:bookmarkStart w:id="223" w:name="_Toc86"/>
      <w:bookmarkEnd w:id="221"/>
      <w:bookmarkEnd w:id="222"/>
      <w:r>
        <w:rPr>
          <w:rtl w:val="true"/>
        </w:rPr>
        <w:t>الشبهة الثالثة</w:t>
      </w:r>
      <w:r>
        <w:rPr>
          <w:rtl w:val="true"/>
        </w:rPr>
        <w:t xml:space="preserve">: </w:t>
      </w:r>
      <w:r>
        <w:rPr>
          <w:rtl w:val="true"/>
        </w:rPr>
        <w:t>الهداية والضلالة بيد الله</w:t>
      </w:r>
      <w:bookmarkEnd w:id="223"/>
    </w:p>
    <w:p>
      <w:pPr>
        <w:pStyle w:val="Heading5"/>
        <w:numPr>
          <w:ilvl w:val="4"/>
          <w:numId w:val="1"/>
        </w:numPr>
        <w:rPr/>
      </w:pPr>
      <w:bookmarkStart w:id="224" w:name="__RefHeading___Toc1391075_1067777946"/>
      <w:bookmarkStart w:id="225" w:name="_Toc87"/>
      <w:bookmarkEnd w:id="224"/>
      <w:r>
        <w:rPr>
          <w:rtl w:val="true"/>
        </w:rPr>
        <w:t>اشارة</w:t>
      </w:r>
      <w:bookmarkEnd w:id="225"/>
    </w:p>
    <w:p>
      <w:pPr>
        <w:pStyle w:val="BookText"/>
        <w:rPr/>
      </w:pPr>
      <w:r>
        <w:rPr>
          <w:rFonts w:ascii="Amiri" w:hAnsi="Amiri" w:eastAsia="Amiri" w:cs="Amiri"/>
          <w:color w:val="111111"/>
          <w:sz w:val="28"/>
          <w:sz w:val="28"/>
          <w:szCs w:val="28"/>
          <w:rtl w:val="true"/>
          <w:lang w:bidi="ar-SA"/>
        </w:rPr>
        <w:t>دلّت الآيات القرآنية على أنّ الهداية والضلالة بيده سبحانه ، فهو يضلّ من يشاء ويهدي من يشاء ، فإذا كان أمر الهداية مرتبطاً بمشيئته ، فلا يكون للعبد دور لا في الهداية ولا في الضلالة ، فالضال يعصي بلا اختيار ، والمهتدي يطيع كذلك وهذا بالجبر ، أشبه منه بالاختيار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سبحانه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 مِنْ رَسُولٍ إِلاَّ بِلِسانِ قَوْمِهِ لِيُبَيِّنَ لَهُمْ فَيُضِلُّ اللهُ مَنْ يَشاءُ وَيَهْدِي مَنْ يَشاءُ وَهُوَ الْعَزِيزُ الْحَكِيمُ</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فإذا كانت الهداية والضلالة بيد الله سبحانه فما معنى الاختيار؟</w:t>
      </w:r>
    </w:p>
    <w:p>
      <w:pPr>
        <w:pStyle w:val="Heading5"/>
        <w:numPr>
          <w:ilvl w:val="4"/>
          <w:numId w:val="1"/>
        </w:numPr>
        <w:rPr/>
      </w:pPr>
      <w:bookmarkStart w:id="226" w:name="__RefHeading___Toc1391077_1067777946"/>
      <w:bookmarkStart w:id="227" w:name="_Toc88"/>
      <w:bookmarkEnd w:id="226"/>
      <w:r>
        <w:rPr>
          <w:rtl w:val="true"/>
        </w:rPr>
        <w:t>على هامش الشبهة</w:t>
      </w:r>
      <w:bookmarkEnd w:id="227"/>
    </w:p>
    <w:p>
      <w:pPr>
        <w:pStyle w:val="Heading6"/>
        <w:numPr>
          <w:ilvl w:val="5"/>
          <w:numId w:val="1"/>
        </w:numPr>
        <w:rPr/>
      </w:pPr>
      <w:bookmarkStart w:id="228" w:name="__RefHeading___Toc1391079_1067777946"/>
      <w:bookmarkStart w:id="229" w:name="_Toc89"/>
      <w:bookmarkEnd w:id="228"/>
      <w:r>
        <w:rPr>
          <w:rtl w:val="true"/>
        </w:rPr>
        <w:t>اشارة</w:t>
      </w:r>
      <w:bookmarkEnd w:id="229"/>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هي الشبهة أو الاستدلال على القول بالجبر ولكن الإجابة عليها ليست أمراً مشكلاً بشرط أن نقف على أنّ الهداية على أقسام ، ونميز الهداية العامّة التي عليها تبتني مسألة الجبر والاختيار والهداية الخاصة التي مفتاحها بيد الإنسان ، وإليك التفصيل </w:t>
      </w:r>
      <w:r>
        <w:rPr>
          <w:rFonts w:eastAsia="Amiri" w:cs="Amiri" w:ascii="Amiri" w:hAnsi="Amiri"/>
          <w:color w:val="111111"/>
          <w:sz w:val="28"/>
          <w:szCs w:val="28"/>
          <w:rtl w:val="true"/>
          <w:lang w:bidi="ar-SA"/>
        </w:rPr>
        <w:t xml:space="preserve">: </w:t>
      </w:r>
      <w:bookmarkStart w:id="230" w:name="pg11047_102590"/>
    </w:p>
    <w:p>
      <w:pPr>
        <w:pStyle w:val="Heading6"/>
        <w:numPr>
          <w:ilvl w:val="5"/>
          <w:numId w:val="1"/>
        </w:numPr>
        <w:rPr/>
      </w:pPr>
      <w:bookmarkStart w:id="231" w:name="__RefHeading___Toc1391081_1067777946"/>
      <w:bookmarkStart w:id="232" w:name="_Toc90"/>
      <w:bookmarkEnd w:id="230"/>
      <w:bookmarkEnd w:id="231"/>
      <w:r>
        <w:rPr/>
        <w:t>1</w:t>
      </w:r>
      <w:r>
        <w:rPr>
          <w:rtl w:val="true"/>
        </w:rPr>
        <w:t xml:space="preserve">. </w:t>
      </w:r>
      <w:r>
        <w:rPr>
          <w:rtl w:val="true"/>
        </w:rPr>
        <w:t>الهداية التكوينية العامّة</w:t>
      </w:r>
      <w:bookmarkEnd w:id="232"/>
    </w:p>
    <w:p>
      <w:pPr>
        <w:pStyle w:val="BookText"/>
        <w:rPr/>
      </w:pPr>
      <w:r>
        <w:rPr>
          <w:rFonts w:ascii="Amiri" w:hAnsi="Amiri" w:eastAsia="Amiri" w:cs="Amiri"/>
          <w:color w:val="111111"/>
          <w:sz w:val="28"/>
          <w:sz w:val="28"/>
          <w:szCs w:val="28"/>
          <w:rtl w:val="true"/>
          <w:lang w:bidi="ar-SA"/>
        </w:rPr>
        <w:t xml:space="preserve">والمراد منها خلق كلّ شيء وتجهيزه بما يهديه إلى الغاية التي خلق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حاكياً كلام النبي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قالَ رَبُّنَا الَّذِي أَعْطى كُلَّ شَيْءٍ خَلْقَهُ ثُمَّ هَدى</w:t>
      </w:r>
      <w:r>
        <w:rPr>
          <w:rFonts w:eastAsia="Amiri" w:cs="Amiri" w:ascii="Amiri" w:hAnsi="Amiri"/>
          <w:color w:val="111111"/>
          <w:sz w:val="28"/>
          <w:szCs w:val="28"/>
          <w:rtl w:val="true"/>
          <w:lang w:bidi="ar-SA"/>
        </w:rPr>
        <w:t xml:space="preserve">) </w:t>
      </w:r>
      <w:r>
        <w:rPr>
          <w:rStyle w:val="FootnoteAnchor"/>
          <w:rtl w:val="true"/>
        </w:rPr>
        <w:footnoteReference w:id="78"/>
      </w:r>
      <w:r>
        <w:rPr>
          <w:rFonts w:ascii="Amiri" w:hAnsi="Amiri" w:eastAsia="Amiri" w:cs="Amiri"/>
          <w:color w:val="111111"/>
          <w:sz w:val="28"/>
          <w:sz w:val="28"/>
          <w:szCs w:val="28"/>
          <w:rtl w:val="true"/>
          <w:lang w:bidi="ar-SA"/>
        </w:rPr>
        <w:t>، وجهز كلّ موجود بجهاز يوصله إلى الكمال ، فالنبات مجهّز بأدقّ الأجهزة التي توصله في ظروف خاصة إلى تفتح طاقاته ، فالحبة المستورة تحت الأرض ترعاها أجهزة داخلية وعوامل خارجية كالماء والنور إلى أن تصير شجرة مثمرة ، ومثله الحيوان والإنسان فهذه الهداية عامة لجميع الأشياء ليس فيها تبعيض وتمييز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 اسْمَ رَبِّكَ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خَلَقَ فَسَوَّى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قَدَّرَ فَهَدى</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نَجْعَلْ لَهُ عَيْنَيْنِ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وَلِساناً وَشَفَتَيْنِ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وَهَدَيْناهُ النَّجْدَيْنِ</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وَنَفْسٍ وَما 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فَأَلْهَمَها فُجُورَها وَتَقْواها</w:t>
      </w:r>
      <w:r>
        <w:rPr>
          <w:rFonts w:eastAsia="Amiri" w:cs="Amiri" w:ascii="Amiri" w:hAnsi="Amiri"/>
          <w:color w:val="111111"/>
          <w:sz w:val="28"/>
          <w:szCs w:val="28"/>
          <w:rtl w:val="true"/>
          <w:lang w:bidi="ar-SA"/>
        </w:rPr>
        <w:t xml:space="preserve">). </w:t>
      </w:r>
      <w:r>
        <w:rPr>
          <w:rStyle w:val="FootnoteAnchor"/>
          <w:rtl w:val="true"/>
        </w:rPr>
        <w:footnoteReference w:id="81"/>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غير ذلك من الآيات الواردة حول الهداية التكوينية التي تنبع من ذات الشيء بما أودع الله فيها من الأجهزة والالهامات التي توصله إلى الغاية المنشودة من غير فرق بين المؤمن والكافر ، فقوله سبحانه عام يعمّ مجموع البشر مؤمنه وكافره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وَجْهَكَ لِلدِّينِ حَنِيفاً فِطْرَتَ اللهِ الَّتِي فَطَرَ النَّاسَ عَلَيْها لا تَبْدِيلَ لِخَلْقِ اللهِ ذلِكَ الدِّينُ الْقَيِّمُ وَلكِنَّ أَكْثَرَ النَّاسِ لا يَعْلَمُونَ</w:t>
      </w:r>
      <w:r>
        <w:rPr>
          <w:rFonts w:eastAsia="Amiri" w:cs="Amiri" w:ascii="Amiri" w:hAnsi="Amiri"/>
          <w:color w:val="111111"/>
          <w:sz w:val="28"/>
          <w:szCs w:val="28"/>
          <w:rtl w:val="true"/>
          <w:lang w:bidi="ar-SA"/>
        </w:rPr>
        <w:t xml:space="preserve">). </w:t>
      </w:r>
      <w:r>
        <w:rPr>
          <w:rStyle w:val="FootnoteAnchor"/>
          <w:rtl w:val="true"/>
        </w:rPr>
        <w:footnoteReference w:id="82"/>
      </w:r>
      <w:bookmarkStart w:id="233" w:name="pg11047_102591"/>
    </w:p>
    <w:p>
      <w:pPr>
        <w:pStyle w:val="BookText"/>
        <w:rPr/>
      </w:pPr>
      <w:bookmarkEnd w:id="233"/>
      <w:r>
        <w:rPr>
          <w:rFonts w:ascii="Amiri" w:hAnsi="Amiri" w:eastAsia="Amiri" w:cs="Amiri"/>
          <w:color w:val="111111"/>
          <w:sz w:val="28"/>
          <w:sz w:val="28"/>
          <w:szCs w:val="28"/>
          <w:rtl w:val="true"/>
          <w:lang w:bidi="ar-SA"/>
        </w:rPr>
        <w:t>ففطرة كلّ إنسان تهديه إلى التوحيد ونبذ الشرك ، ومن أجهزة الهداية التكوينية ، العقل الموهوب للإنسان المرشد له إلى معالم الخير والصلاح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النوع من الهداية العامة لكلّ موجود فضلا عن الإنسان</w:t>
      </w:r>
      <w:r>
        <w:rPr>
          <w:rFonts w:eastAsia="Amiri" w:cs="Amiri" w:ascii="Amiri" w:hAnsi="Amiri"/>
          <w:color w:val="111111"/>
          <w:sz w:val="28"/>
          <w:szCs w:val="28"/>
          <w:rtl w:val="true"/>
          <w:lang w:bidi="ar-SA"/>
        </w:rPr>
        <w:t>.</w:t>
      </w:r>
    </w:p>
    <w:p>
      <w:pPr>
        <w:pStyle w:val="Heading6"/>
        <w:numPr>
          <w:ilvl w:val="5"/>
          <w:numId w:val="1"/>
        </w:numPr>
        <w:rPr/>
      </w:pPr>
      <w:bookmarkStart w:id="234" w:name="__RefHeading___Toc1391083_1067777946"/>
      <w:bookmarkStart w:id="235" w:name="_Toc91"/>
      <w:bookmarkEnd w:id="234"/>
      <w:r>
        <w:rPr/>
        <w:t>2</w:t>
      </w:r>
      <w:r>
        <w:rPr>
          <w:rtl w:val="true"/>
        </w:rPr>
        <w:t xml:space="preserve">. </w:t>
      </w:r>
      <w:r>
        <w:rPr>
          <w:rtl w:val="true"/>
        </w:rPr>
        <w:t>الهداية التشريعية العامّة</w:t>
      </w:r>
      <w:bookmarkEnd w:id="235"/>
    </w:p>
    <w:p>
      <w:pPr>
        <w:pStyle w:val="BookText"/>
        <w:rPr/>
      </w:pPr>
      <w:r>
        <w:rPr>
          <w:rFonts w:ascii="Amiri" w:hAnsi="Amiri" w:eastAsia="Amiri" w:cs="Amiri"/>
          <w:color w:val="111111"/>
          <w:sz w:val="28"/>
          <w:sz w:val="28"/>
          <w:szCs w:val="28"/>
          <w:rtl w:val="true"/>
          <w:lang w:bidi="ar-SA"/>
        </w:rPr>
        <w:t xml:space="preserve">المقصود من الهداية العامة التشريعية هو بعث الأنبياء وإرسال الرسل وإنزال الكتب لهداية الناس ، وهذا الفرع من الهداية يشمل عامّة البشر ، ولا يختص بطائفة دون أُخرى ، قال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أَرْسَلْنا رُسُلَنا بِالْبَيِّناتِ وَأَنْزَلْنا مَعَهُمُ الْكِتابَ وَالْمِيزانَ لِيَقُومَ النَّاسُ بِالْقِسْطِ</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فالآية بظاهرها تثبت الهداية العامة لكافة البشر</w:t>
      </w:r>
      <w:r>
        <w:rPr>
          <w:rFonts w:eastAsia="Amiri" w:cs="Amiri" w:ascii="Amiri" w:hAnsi="Amiri"/>
          <w:color w:val="111111"/>
          <w:sz w:val="28"/>
          <w:szCs w:val="28"/>
          <w:rtl w:val="true"/>
          <w:lang w:bidi="ar-SA"/>
        </w:rPr>
        <w:t>.</w:t>
      </w:r>
    </w:p>
    <w:p>
      <w:pPr>
        <w:pStyle w:val="Heading6"/>
        <w:numPr>
          <w:ilvl w:val="5"/>
          <w:numId w:val="1"/>
        </w:numPr>
        <w:rPr/>
      </w:pPr>
      <w:bookmarkStart w:id="236" w:name="__RefHeading___Toc1391085_1067777946"/>
      <w:bookmarkStart w:id="237" w:name="_Toc92"/>
      <w:bookmarkEnd w:id="236"/>
      <w:r>
        <w:rPr/>
        <w:t>3</w:t>
      </w:r>
      <w:r>
        <w:rPr>
          <w:rtl w:val="true"/>
        </w:rPr>
        <w:t xml:space="preserve">. </w:t>
      </w:r>
      <w:r>
        <w:rPr>
          <w:rtl w:val="true"/>
        </w:rPr>
        <w:t>الهداية الخاصة</w:t>
      </w:r>
      <w:bookmarkEnd w:id="237"/>
    </w:p>
    <w:p>
      <w:pPr>
        <w:pStyle w:val="BookText"/>
        <w:rPr/>
      </w:pPr>
      <w:r>
        <w:rPr>
          <w:rFonts w:ascii="Amiri" w:hAnsi="Amiri" w:eastAsia="Amiri" w:cs="Amiri"/>
          <w:color w:val="111111"/>
          <w:sz w:val="28"/>
          <w:sz w:val="28"/>
          <w:szCs w:val="28"/>
          <w:rtl w:val="true"/>
          <w:lang w:bidi="ar-SA"/>
        </w:rPr>
        <w:t>وهناك هداية خاصة تختص بجملة من الأفراد الذين استضاءُوا بنور الهداية العامة ، تكوينيّها وتشريعيّها فيقعون مورداً للعناية الإلهية ، فمن اقتفى أثر الأنبياء وعمل بكتابهم يصلح لأن تشمله هداية خاصة وهو تسديده في مزالق الحياة إلى سبيل النجاة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من لم يستضئ بنور الهداية التشريعية العامة يحرم من تلك الهداية الخاصّة ، وهذا النوع من الهداية بيد الله تعالى وإليه يشير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يُضِلُّ مَنْ يَشاءُ وَيَهْدِي مَنْ يَشاءُ وَلَتُسْئَلُنَّ عَمَّا كُنْتُمْ تَعْمَلُونَ</w:t>
      </w:r>
      <w:r>
        <w:rPr>
          <w:rFonts w:eastAsia="Amiri" w:cs="Amiri" w:ascii="Amiri" w:hAnsi="Amiri"/>
          <w:color w:val="111111"/>
          <w:sz w:val="28"/>
          <w:szCs w:val="28"/>
          <w:rtl w:val="true"/>
          <w:lang w:bidi="ar-SA"/>
        </w:rPr>
        <w:t xml:space="preserve">). </w:t>
      </w:r>
      <w:r>
        <w:rPr>
          <w:rStyle w:val="FootnoteAnchor"/>
          <w:rtl w:val="true"/>
        </w:rPr>
        <w:footnoteReference w:id="84"/>
      </w:r>
      <w:r>
        <w:rPr>
          <w:rFonts w:ascii="Amiri" w:hAnsi="Amiri" w:eastAsia="Amiri" w:cs="Amiri"/>
          <w:color w:val="111111"/>
          <w:sz w:val="28"/>
          <w:sz w:val="28"/>
          <w:szCs w:val="28"/>
          <w:rtl w:val="true"/>
          <w:lang w:bidi="ar-SA"/>
        </w:rPr>
        <w:t xml:space="preserve">ولكن شموله </w:t>
      </w:r>
    </w:p>
    <w:p>
      <w:pPr>
        <w:pStyle w:val="BookText"/>
        <w:rPr/>
      </w:pPr>
      <w:r>
        <w:rPr>
          <w:rFonts w:ascii="Amiri" w:hAnsi="Amiri" w:eastAsia="Amiri" w:cs="Amiri"/>
          <w:color w:val="111111"/>
          <w:sz w:val="28"/>
          <w:sz w:val="28"/>
          <w:szCs w:val="28"/>
          <w:rtl w:val="true"/>
          <w:lang w:bidi="ar-SA"/>
        </w:rPr>
        <w:t xml:space="preserve">لطائفة دون أُخرى ليس اعتباطياً ، بل تشمل من استضاء بالهدايتين الأُوليين فتعمه هذه الهداية الخاصة ، كما أنّ من أعرض عنهما يحرم منها وتكون النتيجة خذلانه في الحياة ، وهذا النوع من الهداية تابع لملاكات خاصة </w:t>
      </w:r>
      <w:r>
        <w:rPr>
          <w:rStyle w:val="FootnoteAnchor"/>
          <w:rtl w:val="true"/>
        </w:rPr>
        <w:footnoteReference w:id="85"/>
      </w:r>
      <w:r>
        <w:rPr>
          <w:rFonts w:ascii="Amiri" w:hAnsi="Amiri" w:eastAsia="Amiri" w:cs="Amiri"/>
          <w:color w:val="111111"/>
          <w:sz w:val="28"/>
          <w:sz w:val="28"/>
          <w:szCs w:val="28"/>
          <w:rtl w:val="true"/>
          <w:lang w:bidi="ar-SA"/>
        </w:rPr>
        <w:t xml:space="preserve">فيشير إليها سبحانه عند البحث عنهما ، يقول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يُضِلُّ مَنْ يَشاءُ وَيَهْدِي إِلَيْهِ مَنْ أَنابَ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الهداية هداية تشريعية خاصة ولا تشمل إلاّ لمن وُصف بالانابة والتوجّه إلى الله كما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وَيَهْدِي إِلَيْهِ مَنْ أَنابَ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وبما ذكرنا يتّضح معنى كثير من الآيات الباحثة عن الهداية ويصفها بأنّها بيد الله يضلّ ويهدي ، ولكن يهدي من اكتسب لنفسه أهلية خاصة لشمولها ويحرم منها من حرم نفسه عن الهدايتين الأُوليين ، وإليك باقي الآيات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يَجْتَبِي إِلَيْهِ مَنْ يَشاءُ وَيَهْدِي إِلَيْهِ مَنْ يُنِيبُ</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جاهَدُوا فِينا لَنَهْدِيَنَّهُمْ سُبُلَنا وَإِنَّ اللهَ لَمَعَ الْمُحْسِنِينَ</w:t>
      </w:r>
      <w:r>
        <w:rPr>
          <w:rFonts w:eastAsia="Amiri" w:cs="Amiri" w:ascii="Amiri" w:hAnsi="Amiri"/>
          <w:color w:val="111111"/>
          <w:sz w:val="28"/>
          <w:szCs w:val="28"/>
          <w:rtl w:val="true"/>
          <w:lang w:bidi="ar-SA"/>
        </w:rPr>
        <w:t xml:space="preserve">) </w:t>
      </w:r>
      <w:r>
        <w:rPr>
          <w:rStyle w:val="FootnoteAnchor"/>
          <w:rtl w:val="true"/>
        </w:rPr>
        <w:footnoteReference w:id="87"/>
      </w:r>
      <w:r>
        <w:rPr>
          <w:rFonts w:ascii="Amiri" w:hAnsi="Amiri" w:eastAsia="Amiri" w:cs="Amiri"/>
          <w:color w:val="111111"/>
          <w:sz w:val="28"/>
          <w:sz w:val="28"/>
          <w:szCs w:val="28"/>
          <w:rtl w:val="true"/>
          <w:lang w:bidi="ar-SA"/>
        </w:rPr>
        <w:t>فمن أراد وجه الله سبحانه يمدّه بالهداية إلى سبله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اهْتَدَوْا زادَهُمْ هُدىً</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 فِتْيَةٌ آمَنُوا بِرَبِّهِمْ وَزِدْناهُمْ 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وَرَبَطْنا عَلى قُلُوبِهِمْ إِذْ قامُوا فَقالُوا رَبُّنا رَبُّ السَّماواتِ وَالْأَرْضِ لَنْ نَدْعُوَا مِنْ دُونِهِ إِلهاً لَقَدْ قُلْنا إِذاً شَطَطاً</w:t>
      </w:r>
      <w:r>
        <w:rPr>
          <w:rFonts w:eastAsia="Amiri" w:cs="Amiri" w:ascii="Amiri" w:hAnsi="Amiri"/>
          <w:color w:val="111111"/>
          <w:sz w:val="28"/>
          <w:szCs w:val="28"/>
          <w:rtl w:val="true"/>
          <w:lang w:bidi="ar-SA"/>
        </w:rPr>
        <w:t xml:space="preserve">). </w:t>
      </w:r>
      <w:r>
        <w:rPr>
          <w:rStyle w:val="FootnoteAnchor"/>
          <w:rtl w:val="true"/>
        </w:rPr>
        <w:footnoteReference w:id="89"/>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أنّه علق الهداية هنا على من جعل نفسه في مهبِّ العناية الخاصّة ، </w:t>
      </w:r>
    </w:p>
    <w:p>
      <w:pPr>
        <w:pStyle w:val="BookText"/>
        <w:rPr/>
      </w:pPr>
      <w:r>
        <w:rPr>
          <w:rFonts w:ascii="Amiri" w:hAnsi="Amiri" w:eastAsia="Amiri" w:cs="Amiri"/>
          <w:color w:val="111111"/>
          <w:sz w:val="28"/>
          <w:sz w:val="28"/>
          <w:szCs w:val="28"/>
          <w:rtl w:val="true"/>
          <w:lang w:bidi="ar-SA"/>
        </w:rPr>
        <w:t>علّق الضلالة في كثير من الآيات على صفات تشعر باستحقاقه الضلال وبمعنى الحرمان من الهداية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يَهْدِي الْقَوْمَ الظَّالِمِينَ</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وَيُضِلُّ اللهُ الظَّالِمِينَ وَيَفْعَلُ اللهُ ما يَشاءُ</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يُضِلُّ بِهِ إِلاَّ الْفاسِقِينَ</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كَفَرُوا وَظَلَمُوا لَمْ يَكُنِ اللهُ لِيَغْفِرَ لَهُمْ وَلا لِيَهْدِيَهُمْ طَرِيقاً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طَرِيقَ جَهَنَّمَ</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زاغُوا أَزاغَ اللهُ قُلُوبَهُمْ وَاللهُ لا يَهْدِي الْقَوْمَ الْفاسِقِينَ</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فالمراد من الإضلال هو عدم الهداية لأجل عدم استحقاق العناية والتوفيق الخاص ، لأنّهم كانوا ظالمين وفاسقين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كافرين ومنحرفين عن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وبالمراجعة إلى الآيات الواردة حول الهداية والضلالة يظهر أنّه سبحانه لم ينسب في كلامه إلى نفسه إضلالاً إلاّ ما كان مسبوقاً بظلم من العبد أو فسق أو كفر أو تكذيب ونظائرها التي استوجبت قطع العناية الخاصة وحرمانه منها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ما ذكرنا ، تقف على أنّ الهداية العامة التي بها تناط مسألة الجبر والاختيار ، عامة شاملة لجميع الأفراد ، ففي وسع كلّ إنسان أن يهتدي بهداها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الهداية الخاصة والعناية الزائدة فتختص بطائفة المنيبين والمستفيدين من الهداية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جاء في كلام المستدل من الآيات من تعليق الهداية والضلالة على </w:t>
      </w:r>
    </w:p>
    <w:p>
      <w:pPr>
        <w:pStyle w:val="BookText"/>
        <w:rPr/>
      </w:pPr>
      <w:r>
        <w:rPr>
          <w:rFonts w:ascii="Amiri" w:hAnsi="Amiri" w:eastAsia="Amiri" w:cs="Amiri"/>
          <w:color w:val="111111"/>
          <w:sz w:val="28"/>
          <w:sz w:val="28"/>
          <w:szCs w:val="28"/>
          <w:rtl w:val="true"/>
          <w:lang w:bidi="ar-SA"/>
        </w:rPr>
        <w:t>مشيئته سبحانه ناظرٌ إلى القسم الثاني لا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القسم الأوّل فلأنّ المشيئة الإلهية تعلقت على عمومها بكلّ مكلّف بل بكل إنسان ، وأمّا الهداية الخاصة فقد تعلقت مشيئته بشمولها لصنف دون صنف ولم تكن مشيئته ، مشيئة جزافية ، بل الملاك في شمولها لصنف خاص هو قابليته لأن تنزل عليه تلك الهداية ، لأنّه قد استفاد من الهدايتين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التكوينية والتشريعية العامتين ، فاستحق بذلك العناية الزائدة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عدم شمولها لصنف خاص ما هو إلاّ لأجل اتصافهم بصفات رديئة لا يستحقون معها تلك العناية الزائدة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ولأجل ذلك نرى أنّه سبحانه بعد ما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فَيُضِلُّ اللهُ مَنْ يَشاءُ وَيَهْدِي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يذيّله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الْعَزِيزُ الْحَكِيمُ</w:t>
      </w:r>
      <w:r>
        <w:rPr>
          <w:rFonts w:eastAsia="Amiri" w:cs="Amiri" w:ascii="Amiri" w:hAnsi="Amiri"/>
          <w:color w:val="111111"/>
          <w:sz w:val="28"/>
          <w:szCs w:val="28"/>
          <w:rtl w:val="true"/>
          <w:lang w:bidi="ar-SA"/>
        </w:rPr>
        <w:t xml:space="preserve">) </w:t>
      </w:r>
      <w:r>
        <w:rPr>
          <w:rStyle w:val="FootnoteAnchor"/>
          <w:rtl w:val="true"/>
        </w:rPr>
        <w:footnoteReference w:id="95"/>
      </w:r>
      <w:r>
        <w:rPr>
          <w:rFonts w:ascii="Amiri" w:hAnsi="Amiri" w:eastAsia="Amiri" w:cs="Amiri"/>
          <w:color w:val="111111"/>
          <w:sz w:val="28"/>
          <w:sz w:val="28"/>
          <w:szCs w:val="28"/>
          <w:rtl w:val="true"/>
          <w:lang w:bidi="ar-SA"/>
        </w:rPr>
        <w:t>، مشعراً بأنّ الإضلال والهداية كانا على وفاق الحكمة ، فهذا استحقّ الإضلال وذاك استحق الهداية</w:t>
      </w:r>
      <w:r>
        <w:rPr>
          <w:rFonts w:eastAsia="Amiri" w:cs="Amiri" w:ascii="Amiri" w:hAnsi="Amiri"/>
          <w:color w:val="111111"/>
          <w:sz w:val="28"/>
          <w:szCs w:val="28"/>
          <w:rtl w:val="true"/>
          <w:lang w:bidi="ar-SA"/>
        </w:rPr>
        <w:t xml:space="preserve">. </w:t>
      </w:r>
      <w:bookmarkStart w:id="238" w:name="pg11047_102595"/>
    </w:p>
    <w:p>
      <w:pPr>
        <w:pStyle w:val="Heading3"/>
        <w:numPr>
          <w:ilvl w:val="2"/>
          <w:numId w:val="1"/>
        </w:numPr>
        <w:rPr/>
      </w:pPr>
      <w:bookmarkStart w:id="239" w:name="__RefHeading___Toc1391087_1067777946"/>
      <w:bookmarkStart w:id="240" w:name="_Toc93"/>
      <w:bookmarkEnd w:id="238"/>
      <w:bookmarkEnd w:id="239"/>
      <w:r>
        <w:rPr/>
        <w:t>5</w:t>
      </w:r>
      <w:r>
        <w:rPr>
          <w:rtl w:val="true"/>
        </w:rPr>
        <w:t xml:space="preserve">- </w:t>
      </w:r>
      <w:r>
        <w:rPr>
          <w:rtl w:val="true"/>
        </w:rPr>
        <w:t>هل الإيمان بالقدر ركن من أركان الإيمان؟</w:t>
      </w:r>
      <w:bookmarkEnd w:id="240"/>
    </w:p>
    <w:p>
      <w:pPr>
        <w:pStyle w:val="BookText"/>
        <w:rPr/>
      </w:pPr>
      <w:r>
        <w:rPr>
          <w:rFonts w:ascii="Amiri" w:hAnsi="Amiri" w:eastAsia="Amiri" w:cs="Amiri"/>
          <w:color w:val="111111"/>
          <w:sz w:val="28"/>
          <w:sz w:val="28"/>
          <w:szCs w:val="28"/>
          <w:rtl w:val="true"/>
          <w:lang w:bidi="ar-SA"/>
        </w:rPr>
        <w:t>إنّ الإيمان بالقدر من المعارف القرآنية وقد ورد في غير واحد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كُلَّ شَيْءٍ خَلَقْناهُ بِقَدَرٍ</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 xml:space="preserve">وقال عزّ اسمه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وَخَلَقَ كُلَّ شَيْءٍ فَقَدَّرَهُ تَقْدِيراً</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 xml:space="preserve">فالكون وما فيه ، خُلِق عن علم وتقدير ، فقُدِّر كلّ شيء بما له من الصفات والخصوصيات ، والمقادير والأشكال قبل وقوعها ، وسُجِّل ذلك في كتاب خاص ،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يَعْزُبُ عَنْ رَبِّكَ مِنْ مِثْقالِ ذَرَّةٍ فِي الْأَرْضِ وَلا فِي السَّماءِ وَلا أَصْغَرَ مِنْ ذلِكَ وَلا أَكْبَرَ إِلاَّ فِي كِتابٍ مُبِينٍ</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 xml:space="preserve">وقال عزّ شأنه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تَسْقُطُ مِنْ وَرَقَةٍ إِلاَّ يَعْلَمُها وَلا حَبَّةٍ فِي ظُلُماتِ الْأَرْضِ وَلا رَطْبٍ وَلا يابِسٍ إِلاَّ فِي كِتابٍ مُبِينٍ</w:t>
      </w:r>
      <w:r>
        <w:rPr>
          <w:rFonts w:eastAsia="Amiri" w:cs="Amiri" w:ascii="Amiri" w:hAnsi="Amiri"/>
          <w:color w:val="111111"/>
          <w:sz w:val="28"/>
          <w:szCs w:val="28"/>
          <w:rtl w:val="true"/>
          <w:lang w:bidi="ar-SA"/>
        </w:rPr>
        <w:t xml:space="preserve">). </w:t>
      </w:r>
      <w:r>
        <w:rPr>
          <w:rStyle w:val="FootnoteAnchor"/>
          <w:rtl w:val="true"/>
        </w:rPr>
        <w:footnoteReference w:id="99"/>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المصائب التي تحدث في الأرض وما يواجهه الإنسان من خير و </w:t>
      </w:r>
    </w:p>
    <w:p>
      <w:pPr>
        <w:pStyle w:val="BookText"/>
        <w:rPr/>
      </w:pPr>
      <w:r>
        <w:rPr>
          <w:rFonts w:ascii="Amiri" w:hAnsi="Amiri" w:eastAsia="Amiri" w:cs="Amiri"/>
          <w:color w:val="111111"/>
          <w:sz w:val="28"/>
          <w:sz w:val="28"/>
          <w:szCs w:val="28"/>
          <w:rtl w:val="true"/>
          <w:lang w:bidi="ar-SA"/>
        </w:rPr>
        <w:t xml:space="preserve">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 مِنْ مُصِيبَةٍ فِي الْأَرْضِ وَلا فِي أَنْفُسِكُمْ إِلاَّ فِي كِتابٍ مِنْ قَبْلِ أَنْ نَبْرَأَها إِنَّ ذلِكَ عَلَى اللهِ يَسِيرٌ</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فالمصائب قدرت من حيث الخصوصيات وقضى عليها بالوجود ، في كتاب قبل أن يُخلق الكون وما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الكلام في أنّ الإيمان بالقدر هل هو ركن من الأركان ، كما عليه أكثر أهل السنّة فيكون الإيمان به في جنب الإيمان بالله وكتبه ورسله ، ويوم ميعاده ، أو هو أصل ومعرفة قرآنية كسائر المعارف الواردة في الكتاب العزيز؟ والظاهر هو الثاني ، وأمّا الأوّل فلا دليل عليه ، إذ كون شيء معدوداً من المعارف القرآنية غير كونه ركناً من أركان الإيمان ، إذ رب معرفة وردت في القرآن ، وليست ركناً من الإيمان ، كالحياة البرزخية ، والشفاعة ، والتوبة ، ومع ذلك فليست من أركان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ركناً من الأركان لجاءت الإشارة إليه في ثنايا الآيات المشيرة إلى أركان الإيمان كقوله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الْبِرَّ مَنْ آمَنَ بِاللهِ وَالْيَوْمِ الْآخِرِ وَالْمَلائِكَةِ وَالْكِتابِ وَالنَّبِيِّينَ</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 الرَّسُولُ بِما أُنْزِلَ إِلَيْهِ مِنْ رَبِّهِ وَالْمُؤْمِنُونَ كُلٌّ آمَنَ بِاللهِ وَمَلائِكَتِهِ وَكُتُبِهِ وَرُسُلِهِ لا نُفَرِّقُ بَيْنَ أَحَدٍ مِنْ رُسُلِهِ وَقالُوا سَمِعْنا وَأَطَعْنا غُفْرانَكَ رَبَّنا وَإِلَيْكَ الْمَصِيرُ</w:t>
      </w:r>
      <w:r>
        <w:rPr>
          <w:rFonts w:eastAsia="Amiri" w:cs="Amiri" w:ascii="Amiri" w:hAnsi="Amiri"/>
          <w:color w:val="111111"/>
          <w:sz w:val="28"/>
          <w:szCs w:val="28"/>
          <w:rtl w:val="true"/>
          <w:lang w:bidi="ar-SA"/>
        </w:rPr>
        <w:t xml:space="preserve">). </w:t>
      </w:r>
      <w:r>
        <w:rPr>
          <w:rStyle w:val="FootnoteAnchor"/>
          <w:rtl w:val="true"/>
        </w:rPr>
        <w:footnoteReference w:id="102"/>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جاء فيهما أركان الإيمان وهي الإيمان بالله وملائكته وكتبه ورسله واليوم الآخر ولم ترد فيهما أية إشارة إلى الإيمان بالقدر ، فلو كانت له هذه المنزلة ، لما أهملها </w:t>
      </w:r>
    </w:p>
    <w:p>
      <w:pPr>
        <w:pStyle w:val="BookText"/>
        <w:rPr/>
      </w:pPr>
      <w:r>
        <w:rPr>
          <w:rFonts w:ascii="Amiri" w:hAnsi="Amiri" w:eastAsia="Amiri" w:cs="Amiri"/>
          <w:color w:val="111111"/>
          <w:sz w:val="28"/>
          <w:sz w:val="28"/>
          <w:szCs w:val="28"/>
          <w:rtl w:val="true"/>
          <w:lang w:bidi="ar-SA"/>
        </w:rPr>
        <w:t>الذكر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وأظنّ انّ الغلو في القدر جاء من قبل الأحبار والرهبان ، وعدّ من أركان الإيمان في عصر الأمويين ، وقد أحصا الأحاديث الواردة فيه ابن الوزير اليمني </w:t>
      </w:r>
      <w:r>
        <w:rPr>
          <w:rStyle w:val="FootnoteAnchor"/>
          <w:rtl w:val="true"/>
        </w:rPr>
        <w:footnoteReference w:id="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فبلغت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 منها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في وجوب الإيمان بالأقدار ، و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في ثبوتها</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وقد تفلسف بعضهم في عدّه من أركان الإيمان من أنّ الإيمان بالقدر داخل ضمناً في الإيمان بالله ، بل جزء حقيقي منه ، لأنّ معناه الإيمان باحاطة علم الله تعالى بكلّ شيء وشمول إرادته لكلّ ما يقع من الكون ونفوذ قدرته في كلّ</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السرّ في عدّه من أركان الإيمان ، كونه تعبيراً آخر عن إحاطة علمه وشمول إرادته لكلّ شيء ، فلما ذا عدل عن المعنى الواضح إلى المعنى المبهم الذي لا ينتقل إلى ما ذكره إلاّ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البلاغة أن تُعدّ إحاطة علمه وشمول إرادته لكلّ شيء من أركان الإيمان</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قرأ تاريخ نشوء فكرة القدر ، وانتشاره بين المحدّثين ، يقف على أنّ إكبار القدر وجعله من أركان الإيمان ، كان سياسة أموية ، لأجل تبكيت الناس وكبح جماحهم ، والحط من مظاهراتهم أمام أعمال السلطة ، ولا أظن أنّ معبد الجهني ، وغيلان الدمشقي ، كانا ينكران سعة علمه ، أو إرادته سبحانه حتّى ذهب الثاني ضحيّة جهاده ، ومكافحته مع الظالمين وقُتل بفتوى فقيه السلطة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الأوزاعي</w:t>
      </w:r>
      <w:r>
        <w:rPr>
          <w:rFonts w:eastAsia="Amiri" w:cs="Amiri" w:ascii="Amiri" w:hAnsi="Amiri"/>
          <w:color w:val="111111"/>
          <w:sz w:val="28"/>
          <w:szCs w:val="28"/>
          <w:rtl w:val="true"/>
          <w:lang w:bidi="ar-SA"/>
        </w:rPr>
        <w:t xml:space="preserve">». </w:t>
      </w:r>
      <w:bookmarkStart w:id="241" w:name="pg11047_102598"/>
    </w:p>
    <w:p>
      <w:pPr>
        <w:pStyle w:val="Heading3"/>
        <w:numPr>
          <w:ilvl w:val="2"/>
          <w:numId w:val="1"/>
        </w:numPr>
        <w:rPr/>
      </w:pPr>
      <w:bookmarkStart w:id="242" w:name="__RefHeading___Toc1391089_1067777946"/>
      <w:bookmarkStart w:id="243" w:name="_Toc94"/>
      <w:bookmarkEnd w:id="241"/>
      <w:bookmarkEnd w:id="242"/>
      <w:r>
        <w:rPr/>
        <w:t>6</w:t>
      </w:r>
      <w:r>
        <w:rPr>
          <w:rtl w:val="true"/>
        </w:rPr>
        <w:t xml:space="preserve">- </w:t>
      </w:r>
      <w:r>
        <w:rPr>
          <w:rtl w:val="true"/>
        </w:rPr>
        <w:t>التفويض ومضاعفاته</w:t>
      </w:r>
      <w:bookmarkEnd w:id="243"/>
    </w:p>
    <w:p>
      <w:pPr>
        <w:pStyle w:val="Heading4"/>
        <w:numPr>
          <w:ilvl w:val="3"/>
          <w:numId w:val="1"/>
        </w:numPr>
        <w:rPr/>
      </w:pPr>
      <w:bookmarkStart w:id="244" w:name="__RefHeading___Toc1391091_1067777946"/>
      <w:bookmarkStart w:id="245" w:name="_Toc95"/>
      <w:bookmarkEnd w:id="244"/>
      <w:r>
        <w:rPr>
          <w:rtl w:val="true"/>
        </w:rPr>
        <w:t>اشارة</w:t>
      </w:r>
      <w:bookmarkEnd w:id="245"/>
    </w:p>
    <w:p>
      <w:pPr>
        <w:pStyle w:val="BookText"/>
        <w:rPr/>
      </w:pPr>
      <w:r>
        <w:rPr>
          <w:rFonts w:ascii="Amiri" w:hAnsi="Amiri" w:eastAsia="Amiri" w:cs="Amiri"/>
          <w:color w:val="111111"/>
          <w:sz w:val="28"/>
          <w:sz w:val="28"/>
          <w:szCs w:val="28"/>
          <w:rtl w:val="true"/>
          <w:lang w:bidi="ar-SA"/>
        </w:rPr>
        <w:t>لما كانت السلطة الأُموية مروّجة للقدر والقضاء بالمعنى السالب للاختيار وكان ذلك مخالفاً للفطرة الإنسانية وقضاء العقل وسيرة العقلاء ، قام رجال أحرار في وجه هذه العقيدة يركزون على القول بحرية الإنسان في إطار حياته ولكنّ السلطة اتّهمتهم بنفي القضاء والقدر ثمّ وضعت السيوف على رقاب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معبد الجهني اتّهموه بنفي القدر فذهب إلى الحسن البصري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بني أُميّة يسفكون الدماء ويقولون إنّما تجري أعمالنا على قدر الله تعالى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أعداء الله</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ومثله غيلان الدمشقي فقد اتّهم بنفس ما اتّهم به معبد الجهني فقد جاهر بمذهبه أيام هشام بن عبد الملك وأُحضِر الأوزاعي لمناظرته فأفتى بقتله فصُلب على باب كيسان بدمشق</w:t>
      </w:r>
      <w:r>
        <w:rPr>
          <w:rFonts w:eastAsia="Amiri" w:cs="Amiri" w:ascii="Amiri" w:hAnsi="Amiri"/>
          <w:color w:val="111111"/>
          <w:sz w:val="28"/>
          <w:szCs w:val="28"/>
          <w:rtl w:val="true"/>
          <w:lang w:bidi="ar-SA"/>
        </w:rPr>
        <w:t xml:space="preserve">. </w:t>
      </w:r>
      <w:r>
        <w:rPr>
          <w:rStyle w:val="FootnoteAnchor"/>
          <w:rtl w:val="true"/>
        </w:rPr>
        <w:footnoteReference w:id="107"/>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أظن انّ الرجلين كانا ينكران القضاء والقدر ، إذ كيف يمكن لمسلم أن ينكر أصلاً قرآنياً يعد من المعارف العليا للقرآن الكريم ، وإنّما كانا ينكران تبرير </w:t>
      </w:r>
      <w:bookmarkStart w:id="246" w:name="pg11047_102599"/>
    </w:p>
    <w:p>
      <w:pPr>
        <w:pStyle w:val="BookText"/>
        <w:rPr/>
      </w:pPr>
      <w:bookmarkEnd w:id="246"/>
      <w:r>
        <w:rPr>
          <w:rFonts w:ascii="Amiri" w:hAnsi="Amiri" w:eastAsia="Amiri" w:cs="Amiri"/>
          <w:color w:val="111111"/>
          <w:sz w:val="28"/>
          <w:sz w:val="28"/>
          <w:szCs w:val="28"/>
          <w:rtl w:val="true"/>
          <w:lang w:bidi="ar-SA"/>
        </w:rPr>
        <w:t>ظلم الظالمين وتعدّي الجائرين ، بالقضاء والقدر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صار ذلك سبباً بعد فترة من الزمن لظهور نظرية التفويض التي تدّعي تفويض الأُمور إلى العباد وانّه ليس لله سبحانه أيّ صنع في أفعالهم فجعلوا الإنسان خالقاً لأفعاله ، مستغنياً عن الله سبحانه في ايجاد أفعاله ، فصار الإنسان على حسب هذه النظرية كالإله في مجال الأفعال كما كان القضاء والقدر عند الجبريّين حاكماً على كلّ شيء ولا يمكن تغييره إلى صورة أُخرى من الصور ، فالطرفان يحيدان عن جادة التوحيد ويميلان إلى جانبي الإفراط والتفريط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وإليك نقد النظرية على وجه الإيجاز </w:t>
      </w:r>
      <w:r>
        <w:rPr>
          <w:rFonts w:eastAsia="Amiri" w:cs="Amiri" w:ascii="Amiri" w:hAnsi="Amiri"/>
          <w:color w:val="111111"/>
          <w:sz w:val="28"/>
          <w:szCs w:val="28"/>
          <w:rtl w:val="true"/>
          <w:lang w:bidi="ar-SA"/>
        </w:rPr>
        <w:t>:</w:t>
      </w:r>
    </w:p>
    <w:p>
      <w:pPr>
        <w:pStyle w:val="Heading4"/>
        <w:numPr>
          <w:ilvl w:val="3"/>
          <w:numId w:val="1"/>
        </w:numPr>
        <w:rPr/>
      </w:pPr>
      <w:bookmarkStart w:id="247" w:name="__RefHeading___Toc1391093_1067777946"/>
      <w:bookmarkStart w:id="248" w:name="_Toc96"/>
      <w:bookmarkEnd w:id="247"/>
      <w:r>
        <w:rPr/>
        <w:t>1</w:t>
      </w:r>
      <w:r>
        <w:rPr>
          <w:rtl w:val="true"/>
        </w:rPr>
        <w:t xml:space="preserve">. </w:t>
      </w:r>
      <w:r>
        <w:rPr>
          <w:rtl w:val="true"/>
        </w:rPr>
        <w:t>القول بالتفويض يلازم الشرك</w:t>
      </w:r>
      <w:bookmarkEnd w:id="248"/>
    </w:p>
    <w:p>
      <w:pPr>
        <w:pStyle w:val="BookText"/>
        <w:rPr/>
      </w:pPr>
      <w:r>
        <w:rPr>
          <w:rFonts w:ascii="Amiri" w:hAnsi="Amiri" w:eastAsia="Amiri" w:cs="Amiri"/>
          <w:color w:val="111111"/>
          <w:sz w:val="28"/>
          <w:sz w:val="28"/>
          <w:szCs w:val="28"/>
          <w:rtl w:val="true"/>
          <w:lang w:bidi="ar-SA"/>
        </w:rPr>
        <w:t xml:space="preserve">إنّ القول بالتفويض يلازم الشرك الخفي ، أي الاعتقاد بوجود خالقين مستقلّين في الخلق والإيجاد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العلّة العليا التي خلقت الموجودات والكائنات والإنسان ، والأُخرى الإنسان نفسه فإنّه يستقل بعد الخلقة في أفعاله وتنقطع حاجته إلى الله بعد وجوده وهو نفس تصوير المِثْل لله سبحانه</w:t>
      </w:r>
      <w:r>
        <w:rPr>
          <w:rFonts w:eastAsia="Amiri" w:cs="Amiri" w:ascii="Amiri" w:hAnsi="Amiri"/>
          <w:color w:val="111111"/>
          <w:sz w:val="28"/>
          <w:szCs w:val="28"/>
          <w:rtl w:val="true"/>
          <w:lang w:bidi="ar-SA"/>
        </w:rPr>
        <w:t>.</w:t>
      </w:r>
    </w:p>
    <w:p>
      <w:pPr>
        <w:pStyle w:val="Heading4"/>
        <w:numPr>
          <w:ilvl w:val="3"/>
          <w:numId w:val="1"/>
        </w:numPr>
        <w:rPr/>
      </w:pPr>
      <w:bookmarkStart w:id="249" w:name="__RefHeading___Toc1391095_1067777946"/>
      <w:bookmarkStart w:id="250" w:name="_Toc97"/>
      <w:bookmarkEnd w:id="249"/>
      <w:r>
        <w:rPr/>
        <w:t>2</w:t>
      </w:r>
      <w:r>
        <w:rPr>
          <w:rtl w:val="true"/>
        </w:rPr>
        <w:t xml:space="preserve">. </w:t>
      </w:r>
      <w:r>
        <w:rPr>
          <w:rtl w:val="true"/>
        </w:rPr>
        <w:t>الإنسان في دوّامة الحدوث</w:t>
      </w:r>
      <w:bookmarkEnd w:id="250"/>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الموجود الطبيعي في النظرة الأُولى له حدوث وبقاء ولكنّه في النظرة الدقيقة كلّه حدوث بعد حدوث ، لأنّ مقتضى الحركة الجوهرية هو كون العالم في تبدل مستمر وتجدّد دائم ، بأعراضها وجواهرها ، فذوات الأشياء في تجدد واندثار متواصل ، وما أشبه العالم بالصورة المنعكسة في الماء الجاري ، فهي ثابتة في النظرة الأُولى ، ولكنّها في النظرة الدقيقة متعددة متبدّلة حسب تبدّل الماء وقال سبحانه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وَتَرَى الْجِبالَ تَحْسَبُها جامِدَةً وَهِيَ تَمُرُّ مَرَّ السَّحابِ</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 xml:space="preserve">وبما أنّ المروي عن المفوضة انّ الإنسان محتاج إلى الله في حدوثه لا في بقائه ، ولذلك قالوا باستغنائه في الفعل عنه تعالى ، فليبين موقف الوجود الإمكاني إلى الواجب تبارك وتعالى حتّى يتبيّن حاجته إليه حدوثاً وبقاءً ونأتي بمثال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مثل الموجودات الإمكانية بالنسبة إلى الواجب كمثل المصباح الكهربائي المضيء فالحس الخاطئ يزعم انّ الضوء المنبعث من هذا المصباح هو استمرار للضوء الأوّل ، ويتصور انّ المصباح إنّما يحتاج إلى المولّد الكهربائي في حدوث الضوء دون استمراره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والحال انّ المصباح فاقد للإضاءة في مقام الذات محتاج في ضوئها إلى ذلك المولّد في كلّ لحظة ، لأنّ الضوء المتلألئ من المصباح إنّما هو استضاءة بعد استضاءة واستنارة بعد استنارة من المولد الكهربائي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فينطفئ المصباح إذا انقطع الاتصال بينه وبين المولد ، فالعالم يشبه هذا المصباح الكهربائي تماماً فهو لكونه فاقداً للوجود بالذات يحتاج إلى العلّة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حدوثه وبقائه ، لأنّه يأخذ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 بعد آن وزماناً بعد زمان</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 هذا حال الفاعل وذاته ، فكيف حال الفعل فالإنسان المحتاج إلى الواجب في كلّ آن ، محتاج إليه في الفعل والإيجاد ، لأنّ الفعل رهن الذات وموقوف عليها ، والذات في كلّ آن رهن العلّة العليا وموقوفة عليها ، فينتج انّ الفعل رهن العلّة العليا وموقوف عليها</w:t>
      </w:r>
      <w:r>
        <w:rPr>
          <w:rFonts w:eastAsia="Amiri" w:cs="Amiri" w:ascii="Amiri" w:hAnsi="Amiri"/>
          <w:color w:val="111111"/>
          <w:sz w:val="28"/>
          <w:szCs w:val="28"/>
          <w:rtl w:val="true"/>
          <w:lang w:bidi="ar-SA"/>
        </w:rPr>
        <w:t xml:space="preserve">. </w:t>
      </w:r>
      <w:bookmarkStart w:id="251" w:name="pg11047_102601"/>
    </w:p>
    <w:p>
      <w:pPr>
        <w:pStyle w:val="Heading3"/>
        <w:numPr>
          <w:ilvl w:val="2"/>
          <w:numId w:val="1"/>
        </w:numPr>
        <w:rPr/>
      </w:pPr>
      <w:bookmarkStart w:id="252" w:name="__RefHeading___Toc1391097_1067777946"/>
      <w:bookmarkStart w:id="253" w:name="_Toc98"/>
      <w:bookmarkEnd w:id="251"/>
      <w:bookmarkEnd w:id="252"/>
      <w:r>
        <w:rPr/>
        <w:t>7</w:t>
      </w:r>
      <w:r>
        <w:rPr>
          <w:rtl w:val="true"/>
        </w:rPr>
        <w:t xml:space="preserve">- </w:t>
      </w:r>
      <w:r>
        <w:rPr>
          <w:rtl w:val="true"/>
        </w:rPr>
        <w:t>الأمر بين الأمرين</w:t>
      </w:r>
      <w:bookmarkEnd w:id="253"/>
    </w:p>
    <w:p>
      <w:pPr>
        <w:pStyle w:val="Heading4"/>
        <w:numPr>
          <w:ilvl w:val="3"/>
          <w:numId w:val="1"/>
        </w:numPr>
        <w:rPr/>
      </w:pPr>
      <w:bookmarkStart w:id="254" w:name="__RefHeading___Toc1391099_1067777946"/>
      <w:bookmarkStart w:id="255" w:name="_Toc99"/>
      <w:bookmarkEnd w:id="254"/>
      <w:r>
        <w:rPr>
          <w:rtl w:val="true"/>
        </w:rPr>
        <w:t>اشارة</w:t>
      </w:r>
      <w:bookmarkEnd w:id="255"/>
    </w:p>
    <w:p>
      <w:pPr>
        <w:pStyle w:val="BookText"/>
        <w:rPr/>
      </w:pPr>
      <w:r>
        <w:rPr>
          <w:rFonts w:ascii="Amiri" w:hAnsi="Amiri" w:eastAsia="Amiri" w:cs="Amiri"/>
          <w:color w:val="111111"/>
          <w:sz w:val="28"/>
          <w:sz w:val="28"/>
          <w:szCs w:val="28"/>
          <w:rtl w:val="true"/>
          <w:lang w:bidi="ar-SA"/>
        </w:rPr>
        <w:t>كان الرأي السائد في المسألة أحد الرأيين ، إمّا الجبر ، وإمّا التفويض ؛ وبذلك ضلّ القائلون إمّا في متاهات الجبر أو بوقوعهم في حبال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الداعي لاختيار أحد المذهبين هو انّ القائلين بالجبر زعموا أنّ صيانة التوحيد في الخالقية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خالق ولا مؤثر إلاّ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رهن القول بالجبر ، فلو قلنا بالاختيار يلزم أن يكون الإنسان خالقاً لفعله ، جاعلاً لعمله وهو ينافي التوحيد الأفعالي الذي يعبّر عنه بالتوحيد في الخالقية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القائلين بالتفويض زعموا أنّ صيانة عدله سبحانه وتنزيهه عن الظلم والتعدّي ، رهن القول بالتفويض وتصوير انّ الإنسان فاعل مختار مستغن في فعله عن الواجب سبحانه بل محتاج في حدوثه إلى الله لا في بقائه فكيف في فعله؟</w:t>
      </w:r>
    </w:p>
    <w:p>
      <w:pPr>
        <w:pStyle w:val="BookText"/>
        <w:rPr/>
      </w:pPr>
      <w:r>
        <w:rPr>
          <w:rFonts w:ascii="Amiri" w:hAnsi="Amiri" w:eastAsia="Amiri" w:cs="Amiri"/>
          <w:color w:val="111111"/>
          <w:sz w:val="28"/>
          <w:sz w:val="28"/>
          <w:szCs w:val="28"/>
          <w:rtl w:val="true"/>
          <w:lang w:bidi="ar-SA"/>
        </w:rPr>
        <w:t>وعلى كلّ تقدير فالجبري يعتقد بانقطاع فعل الإنسان عنه ، وانّه فعل الله تماماً من دون أن يكون له صلة بالفاعل إلاّ كونه ظرفاً لفعل الخالق</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والقائل بالتفويض يعكس الأمر ويعتقد بانقطاع نسبة الفعل إلى الخالق ، وكونه مخلوقاً للإنسان تماماً من دون أن يكون هناك صلة بين فعله وخالق 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فالطائفة الأُولى يحسبون أنّهم بالقول بالجبر يرفعون راية التوحيد في الخالقية ، كما أنّ </w:t>
      </w:r>
    </w:p>
    <w:p>
      <w:pPr>
        <w:pStyle w:val="BookText"/>
        <w:rPr/>
      </w:pPr>
      <w:r>
        <w:rPr>
          <w:rFonts w:ascii="Amiri" w:hAnsi="Amiri" w:eastAsia="Amiri" w:cs="Amiri"/>
          <w:color w:val="111111"/>
          <w:sz w:val="28"/>
          <w:sz w:val="28"/>
          <w:szCs w:val="28"/>
          <w:rtl w:val="true"/>
          <w:lang w:bidi="ar-SA"/>
        </w:rPr>
        <w:t>الطائفة الثانية يزعمون أنّهم بالقول بالتفويض ينزهون الرب عن كلّ عيب وشين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الرأيان سائدين ولكن أئمّة أهل البيت ضربوا على وجه الرأيين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موقف الإنسان بالنسبة إلى الله غير موقف الجبر المشوِّه لسُمعة المذهب ، وغير موقف التفويض المُلْحِق للإنسان بمكان الشرك ، بل موقفه أمر واقع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صيانة التوحيد في الخالقية ليس منوطاً بالقول بالجبر ، أو صيانة عدله وقسطه ليس منحصراً بالقول بالتفويض ، بل يمكن الجمع بين الرأيين برأي ثالث ، وهو انّ الإنسان ذاته وفعله قائمان بذاته سبحانه ، وبذلك لا يصحّ فصل فعل الإنسان عنه سبحانه لافتراض قيامهما وعامة العوالم بوجوده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الوقت نفسه انّ فعله غير منقطع عنه ، وذلك لأنّ مشيئة الله تعلّقت بنظام قائم على أسباب ومسببات ، وصدور كلّ مسبب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سببه وهو الإنسان ، فلا يصحّ فصل المسبّب عن سببه ، فالنتيجة هو انّ لفعل الإنسان صلة بالله وصلة بسببه ، وهذا هو الأمر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نعتقد بالتوحيد في الخالقية الذي يعبر عنه بالتوحيد الأفعالي ، ولكن لا بمعنى إنكار العلل والأسباب وإنكار الروابط بين الظواهر الكونية ونفي أيّ سبب ظلّي يعمل بإذنه سبحانه ، فإنّ إلغاء الأسباب مخالف للضرورة والوجدان والذكر الحكيم</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بمعنى انّ العوالم الحسيّة والغيبيّة بذواتها وأفعالها قائمة به سبحانه ، وكما انّ تأثيرها وسببيّتها بإذنه ومشيئته ، فكلّ ظاهرة كونية لها نسبة إلى أسبابها ، كما أنّ لها نسبة إلى خالق أسبابها ، فإلغاء كلّ سبب وعلّة ، ونسبة الظاهرة إلى ذاته سبحانه ، غفلة عن تقديره سبحانه لكلّ شيء سبباً ، كما أنّ نسبة الفعل إلى السبب القريب وفصله عن الله سبحانه غفلة عن واقع السبب وانّه بوجوده وأثره قائم بالله </w:t>
      </w:r>
    </w:p>
    <w:p>
      <w:pPr>
        <w:pStyle w:val="BookText"/>
        <w:rPr/>
      </w:pPr>
      <w:r>
        <w:rPr>
          <w:rFonts w:ascii="Amiri" w:hAnsi="Amiri" w:eastAsia="Amiri" w:cs="Amiri"/>
          <w:color w:val="111111"/>
          <w:sz w:val="28"/>
          <w:sz w:val="28"/>
          <w:szCs w:val="28"/>
          <w:rtl w:val="true"/>
          <w:lang w:bidi="ar-SA"/>
        </w:rPr>
        <w:t>سبحانه ، فكيف يمكن فصل أثره عنه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إيضاح الموضوع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الأسباب الطبيعية على أقسام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سبب مؤثر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بإذن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للشعور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سبب مؤثر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بإذن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واجد للشعور ، لكن فاقد للاختيار كحركة المرتعش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سبب مؤثر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بإذن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واجد للشعور والاختيار كتحريك الإنسان ليده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فالحرارة تصدر من النار بإذنه سبحانه بلا شعور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وحركة يد المرتعش تصدر منه مع علم الفاعل بلا 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والأفعال التي يُثاب بها الإنسان أو يعاقب وبها تناط سعادته وشقاؤه يوم القيامة تصدر منه عن علم واختيار ، كلّ ذلك بإذنه ومشيئته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القول بالتوحيد الأفعالي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مؤثر ولا خالق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يصادم الاختيار ، لأنّ حصر الخالقية المستقلّة بالله لا ينافي نسبة الخالقية غير المستقلة وغير النابعة من ذاته إلى الإنسان ، ولا القول بالاختيار يزاحم سلطانه وقدرته ، فالفعل فعل الإنسان ، لأنّه السبب القريب وفي الوقت نفسه منسوب إليه سبحانه لكونه السبب البعيد </w:t>
      </w:r>
      <w:r>
        <w:rPr>
          <w:rStyle w:val="FootnoteAnchor"/>
          <w:rtl w:val="true"/>
        </w:rPr>
        <w:footnoteReference w:id="109"/>
      </w:r>
      <w:r>
        <w:rPr>
          <w:rFonts w:ascii="Amiri" w:hAnsi="Amiri" w:eastAsia="Amiri" w:cs="Amiri"/>
          <w:color w:val="111111"/>
          <w:sz w:val="28"/>
          <w:sz w:val="28"/>
          <w:szCs w:val="28"/>
          <w:rtl w:val="true"/>
          <w:lang w:bidi="ar-SA"/>
        </w:rPr>
        <w:t>الذي أوجد الإنسان وأفاض عليه القدرة وزوّده بالاختيار</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بيان موجز لهذا القول الموروث من أئمّة أهل البيت واستقبل المفكّرون من أهل السنّة هذه الفكرة ، كالإمام الرازي والشيخ عبده في رسالة التوحيد ، لمّا رأوا انّ في القول بالجبر الأشعري مضاعفات لا تحتمل ، وقد شاع ذلك القول بين المفكّرين المصريّين في العصر الأخير لما تأثّروا بالأفكار الغربية المروّجة للحرية والاختيار</w:t>
      </w:r>
      <w:r>
        <w:rPr>
          <w:rFonts w:eastAsia="Amiri" w:cs="Amiri" w:ascii="Amiri" w:hAnsi="Amiri"/>
          <w:color w:val="111111"/>
          <w:sz w:val="28"/>
          <w:szCs w:val="28"/>
          <w:rtl w:val="true"/>
          <w:lang w:bidi="ar-SA"/>
        </w:rPr>
        <w:t xml:space="preserve">. </w:t>
      </w:r>
      <w:bookmarkStart w:id="256" w:name="pg11047_102604"/>
    </w:p>
    <w:p>
      <w:pPr>
        <w:pStyle w:val="BookText"/>
        <w:rPr/>
      </w:pPr>
      <w:bookmarkEnd w:id="256"/>
      <w:r>
        <w:rPr>
          <w:rFonts w:ascii="Amiri" w:hAnsi="Amiri" w:eastAsia="Amiri" w:cs="Amiri"/>
          <w:color w:val="111111"/>
          <w:sz w:val="28"/>
          <w:sz w:val="28"/>
          <w:szCs w:val="28"/>
          <w:rtl w:val="true"/>
          <w:lang w:bidi="ar-SA"/>
        </w:rPr>
        <w:t>وتتجلّى قيمة هذا المذهب ببيان برهانه العقلي أوّلا ، وتحليل ما يدلّ عليه من الذكر الحكيم ثانياً ، والأحاديث الصحيحة ثالثاً</w:t>
      </w:r>
      <w:r>
        <w:rPr>
          <w:rFonts w:eastAsia="Amiri" w:cs="Amiri" w:ascii="Amiri" w:hAnsi="Amiri"/>
          <w:color w:val="111111"/>
          <w:sz w:val="28"/>
          <w:szCs w:val="28"/>
          <w:rtl w:val="true"/>
          <w:lang w:bidi="ar-SA"/>
        </w:rPr>
        <w:t>.</w:t>
      </w:r>
    </w:p>
    <w:p>
      <w:pPr>
        <w:pStyle w:val="Heading4"/>
        <w:numPr>
          <w:ilvl w:val="3"/>
          <w:numId w:val="1"/>
        </w:numPr>
        <w:rPr/>
      </w:pPr>
      <w:bookmarkStart w:id="257" w:name="__RefHeading___Toc1391101_1067777946"/>
      <w:bookmarkStart w:id="258" w:name="_Toc100"/>
      <w:bookmarkEnd w:id="257"/>
      <w:r>
        <w:rPr/>
        <w:t>1</w:t>
      </w:r>
      <w:r>
        <w:rPr>
          <w:rtl w:val="true"/>
        </w:rPr>
        <w:t xml:space="preserve">. </w:t>
      </w:r>
      <w:r>
        <w:rPr>
          <w:rtl w:val="true"/>
        </w:rPr>
        <w:t>نسبة الفعل إلى الله بالتسبيب وإلى العبد بالمباشرة</w:t>
      </w:r>
      <w:bookmarkEnd w:id="258"/>
    </w:p>
    <w:p>
      <w:pPr>
        <w:pStyle w:val="BookText"/>
        <w:rPr/>
      </w:pPr>
      <w:r>
        <w:rPr>
          <w:rFonts w:ascii="Amiri" w:hAnsi="Amiri" w:eastAsia="Amiri" w:cs="Amiri"/>
          <w:color w:val="111111"/>
          <w:sz w:val="28"/>
          <w:sz w:val="28"/>
          <w:szCs w:val="28"/>
          <w:rtl w:val="true"/>
          <w:lang w:bidi="ar-SA"/>
        </w:rPr>
        <w:t>إنّ نسبة فعل العبد إلى الله بالتسبيب وإلى العبد بالمباشرة ، فإنّ الله سبحانه وهب الوجود والحياة والعلم والقدرة لعباده وجعلها في اختيارهم ، وانّ العبد هو الذي يصرف الموهوب في أي مورد شاء فيُنسب الفعل إلى الله تعالى لكونه مفيضَ الأسباب ، وإلى العبد لكونه هو الذي يصرفها في أي مورد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مثال يبين حال النظريات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الجبر ، والتفويض ، والأمر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فرضنا شخصاً مرتعش اليد ، فاقد القدرة ، فإذا ربط رجل بيده المرتعشة سيفاً قاطعاً وهو يعلم انّ السيف المشدود في يده سيقع على آخر ويُهلكه ، فإذا وقع السيف وقتله ، ينسب القتل إلى من ربط يده بالسيف ، دون صاحب اليد الذي كان مسلوب القدرة في حفظ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فرضنا أنّ رجلاً أعطى سيفاً لمن يملك حركة يده وتنفيذ إرادته فقتل هو به رجلاً ، فالأمر على العكس ، فالقتل ينسب إلى المباشر دون من أعطى</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لو فرضنا شخصاً مشلول اليد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مرتعشها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قادر على الحركة إلاّ بإيصال رجل آخر التيّار الكهربائي إليه ليبعث في عضلاته قوّة ونشاطاً بحيث يكون رأس السلك الكهربائي بيد الرجل بحيث لو رفع يده في آن ، انقطعت القوة عن جسم هذا الشخص في الحال وأصبح عاجزاً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أوصل الرجل تلك القوة إلى جسم هذا الشخص ، فذهب باختياره وقتل إنساناً ، والرجل يعلم بما </w:t>
      </w:r>
    </w:p>
    <w:p>
      <w:pPr>
        <w:pStyle w:val="BookText"/>
        <w:rPr/>
      </w:pPr>
      <w:r>
        <w:rPr>
          <w:rFonts w:ascii="Amiri" w:hAnsi="Amiri" w:eastAsia="Amiri" w:cs="Amiri"/>
          <w:color w:val="111111"/>
          <w:sz w:val="28"/>
          <w:sz w:val="28"/>
          <w:szCs w:val="28"/>
          <w:rtl w:val="true"/>
          <w:lang w:bidi="ar-SA"/>
        </w:rPr>
        <w:t>فعله ، ففي مثل ذلك يستند الفعل إلى كلّ منهما ، أمّا إلى المباشر فلأنّه قد فعل باختياره وإعمال قدرته ، وأمّا إلى الموصل فلأنّه أقدره وأعطاه التمكّن ، حتّى في حال الفعل والاشتغال بالقتل ، كان متمكناً من قطع القوة عنه في كلّ آن شاء وأراد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فالجبري يمثِّل فعل العبد بالنسبة إلى الله تعالى كالمثال الأوّل ، حيث إنّ اليد المرتعشة فاقدة للاختيار ومضطرة إلى الإهلاك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التفويضي يمثّل نسبة فعله إليه كالمثال الثاني ، فهو يصور أنّ العبد يحتاج إلى إفاضة القدرة والحياة منه سبحانه حدوثاً لا بقاءً والعلّة الأُولى كافية في بقاء القدرة فيه إلى نهاية المطاف ، كما أنّه كان الأمر في المثال كذلك ، فكان الإنسان محتاجاً إلى رجل آخر في أخذ السيف ، وبعد الحصول عليه انقطعت حاجته إلى المعطي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والقائل بالأمر بين الأمرين يصوّر النسبة كالمثال الثالث ، فالإنسان في كلّ حال يحتاج إلى إفاضة القوة والحياة منه إليه بحيث لو قُطع الفيض في آن واحد بطلت الحياة والقدرة ، فهو حين الفعل يفعل بقوة مفاضة منه وحياة كذلك من غير فرق بين الحدوث والبقاء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إنّ للفعل الصادر من العبد نسبتين واقعيتين ، 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 إلى فاعله بالمباشرة باعتبار صدوره منه باختياره وإعمال قدرته ؛ وثانيتهما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الله تعالى باعتبار أنّه معطي الحياة والقدرة في كلّ آن وبصورة مستمرة حتى في آن اشتغاله بالعمل</w:t>
      </w:r>
      <w:r>
        <w:rPr>
          <w:rFonts w:eastAsia="Amiri" w:cs="Amiri" w:ascii="Amiri" w:hAnsi="Amiri"/>
          <w:color w:val="111111"/>
          <w:sz w:val="28"/>
          <w:szCs w:val="28"/>
          <w:rtl w:val="true"/>
          <w:lang w:bidi="ar-SA"/>
        </w:rPr>
        <w:t xml:space="preserve">. </w:t>
      </w:r>
      <w:r>
        <w:rPr>
          <w:rStyle w:val="FootnoteAnchor"/>
          <w:rtl w:val="true"/>
        </w:rPr>
        <w:footnoteReference w:id="110"/>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مثال آخر ذكره شيخنا المفيد ، فقال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نفترض انّ مولى من الموالي العرفيّين يختار عبداً من عبيده ويزوّجه إحدى فتياته ثمّ يقطع له قطيعة ويخصه بدار وأثاث وغير ذلك ممّا يحتاج إليه الإنسان في حياته إلى حين محدود ولأجل 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قلنا إنّ المولى وإن أعطى لعبده ما أعطى وملّكه ما ملك ، لكنّه لا يملك ، وأين العبد من الملك؟ كان ذلك قول المجبرة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المولى بإعطائه المال لعبده وتمليكه ، جعله مالكاً وانعزل هو عن المالكية وكان المالك هو العبدُ ، كان ذلك قول المعتزلة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جمعنا بين الملكين بحفظ المرتبتين ،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المولى مقامه في المولوية ، وللعبد مقامه في الرقية ، وانّ العبد يملك في ملك المولى ، فالمولى مالك في حين انّ العبد مالك ، فهنا ملك على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ذلك القول الحق الذي رآه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عليه البرهان</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وفي بعض الروايات إشارات واضحة إلى الأمر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الصدوق في توحيده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بمشيئتي كنت أنت الذي تشاء لنفسك ما تشاء ، وبإرادتي كنت أنت الذي تريد لنفسك ما تريد</w:t>
      </w:r>
      <w:r>
        <w:rPr>
          <w:rFonts w:eastAsia="Amiri" w:cs="Amiri" w:ascii="Amiri" w:hAnsi="Amiri"/>
          <w:color w:val="111111"/>
          <w:sz w:val="28"/>
          <w:szCs w:val="28"/>
          <w:rtl w:val="true"/>
          <w:lang w:bidi="ar-SA"/>
        </w:rPr>
        <w:t xml:space="preserve">». </w:t>
      </w:r>
      <w:r>
        <w:rPr>
          <w:rStyle w:val="FootnoteAnchor"/>
          <w:rtl w:val="true"/>
        </w:rPr>
        <w:footnoteReference w:id="112"/>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ترى أنّه يجعل مشيئة العبد وإرادته تلوَ مشيئة الله سبحانه وإرادته ، ولا يعرّفهما مفصولتين عن الله سبحانه ، بل الإرادة في نفس الانتساب إلى العبد ، لها نسبة إلى الله سبحانه</w:t>
      </w:r>
      <w:r>
        <w:rPr>
          <w:rFonts w:eastAsia="Amiri" w:cs="Amiri" w:ascii="Amiri" w:hAnsi="Amiri"/>
          <w:color w:val="111111"/>
          <w:sz w:val="28"/>
          <w:szCs w:val="28"/>
          <w:rtl w:val="true"/>
          <w:lang w:bidi="ar-SA"/>
        </w:rPr>
        <w:t xml:space="preserve">. </w:t>
      </w:r>
      <w:bookmarkStart w:id="259" w:name="pg11047_102607"/>
    </w:p>
    <w:p>
      <w:pPr>
        <w:pStyle w:val="Heading4"/>
        <w:numPr>
          <w:ilvl w:val="3"/>
          <w:numId w:val="1"/>
        </w:numPr>
        <w:rPr/>
      </w:pPr>
      <w:bookmarkStart w:id="260" w:name="__RefHeading___Toc1391103_1067777946"/>
      <w:bookmarkStart w:id="261" w:name="_Toc101"/>
      <w:bookmarkEnd w:id="259"/>
      <w:bookmarkEnd w:id="260"/>
      <w:r>
        <w:rPr/>
        <w:t>2</w:t>
      </w:r>
      <w:r>
        <w:rPr>
          <w:rtl w:val="true"/>
        </w:rPr>
        <w:t xml:space="preserve">. </w:t>
      </w:r>
      <w:r>
        <w:rPr>
          <w:rtl w:val="true"/>
        </w:rPr>
        <w:t>الأمر بين الأمرين في الكتاب العزيز</w:t>
      </w:r>
      <w:bookmarkEnd w:id="261"/>
    </w:p>
    <w:p>
      <w:pPr>
        <w:pStyle w:val="BookText"/>
        <w:rPr/>
      </w:pPr>
      <w:r>
        <w:rPr>
          <w:rFonts w:ascii="Amiri" w:hAnsi="Amiri" w:eastAsia="Amiri" w:cs="Amiri"/>
          <w:color w:val="111111"/>
          <w:sz w:val="28"/>
          <w:sz w:val="28"/>
          <w:szCs w:val="28"/>
          <w:rtl w:val="true"/>
          <w:lang w:bidi="ar-SA"/>
        </w:rPr>
        <w:t xml:space="preserve">إذا كان معنى الأمر بين الأمرين هو وجود النسبتين في فعل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إلى الله سبحانه ونسبة إلى العبد من دون أن تزاحم إحدى النسبتين ، النسبةَ الأُخرى ، فقد قرره الكتاب العزيز ببيانات مختلفة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انّه ربما ينسب الفعل إلى العبد وفي الوقت نفسه يسلبه عنه وينسبه إلى الله سبحانه ،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تَقْتُلُوهُمْ وَلكِنَّ اللهَ قَتَلَهُمْ وَما رَمَيْتَ إِذْ رَمَيْتَ وَلكِنَّ اللهَ رَمى وَلِيُبْلِيَ الْمُؤْمِنِينَ مِنْهُ بَلاءً حَسَناً إِنَّ اللهَ سَمِيعٌ عَلِيمٌ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ولا يصحّ هذا الإيجاب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رَمَيْتَ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عين السلب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رَمَيْتَ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الوجه الذي ذكرنا ، وهذا يعرب عن أنّ للفعل نسبتين وليست نسبتُه إلى العبد ، كلَّ حقيقته وواقعه ، وإلاّ لم تصح نسبته إلى الله ، كما أنّ نسبته إلى الله ليست خالصة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قائماً به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لوجود العبد وإرادته تأثير في طروء عناوين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قاتِلُوهُمْ يُعَذِّبْهُمُ اللهُ بِأَيْدِيكُمْ وَيُخْزِهِمْ وَيَنْصُرْكُمْ عَلَيْهِمْ وَيَشْفِ صُدُورَ قَوْمٍ مُؤْمِنِينَ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فالظاهر انّ المراد من التعذيب هو القتل ، لأنّ التعذيب الصادر من الله تعالى بأيدي المؤمنين ليس إلاّ ذاك ، لا العذاب البرزخي ولا الأُخروي فانّهما راجعان إلى الله سبحانه دون المؤمنين ، وعلى ذلك فقد نسب فعل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المؤمنين وخالقهم ولا تصح هاتان النسبتان إلاّ على هذا المنهج ، وإلاّ ففي منهج الجبر لا تصح النسبة إلاّ إليه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منهج التفويض على العكس ، </w:t>
      </w:r>
      <w:bookmarkStart w:id="262" w:name="pg11047_102608"/>
    </w:p>
    <w:p>
      <w:pPr>
        <w:pStyle w:val="BookText"/>
        <w:rPr/>
      </w:pPr>
      <w:bookmarkEnd w:id="262"/>
      <w:r>
        <w:rPr>
          <w:rFonts w:ascii="Amiri" w:hAnsi="Amiri" w:eastAsia="Amiri" w:cs="Amiri"/>
          <w:color w:val="111111"/>
          <w:sz w:val="28"/>
          <w:sz w:val="28"/>
          <w:szCs w:val="28"/>
          <w:rtl w:val="true"/>
          <w:lang w:bidi="ar-SA"/>
        </w:rPr>
        <w:t>والمنهج الذي يصحّح كلتا النسبتين هو منهج الأمر بين الأمرين</w:t>
      </w:r>
      <w:r>
        <w:rPr>
          <w:rFonts w:eastAsia="Amiri" w:cs="Amiri" w:ascii="Amiri" w:hAnsi="Amiri"/>
          <w:color w:val="111111"/>
          <w:sz w:val="28"/>
          <w:szCs w:val="28"/>
          <w:rtl w:val="true"/>
          <w:lang w:bidi="ar-SA"/>
        </w:rPr>
        <w:t>.</w:t>
      </w:r>
    </w:p>
    <w:p>
      <w:pPr>
        <w:pStyle w:val="Heading4"/>
        <w:numPr>
          <w:ilvl w:val="3"/>
          <w:numId w:val="1"/>
        </w:numPr>
        <w:rPr/>
      </w:pPr>
      <w:bookmarkStart w:id="263" w:name="__RefHeading___Toc1391105_1067777946"/>
      <w:bookmarkStart w:id="264" w:name="_Toc102"/>
      <w:bookmarkEnd w:id="263"/>
      <w:r>
        <w:rPr/>
        <w:t>3</w:t>
      </w:r>
      <w:r>
        <w:rPr>
          <w:rtl w:val="true"/>
        </w:rPr>
        <w:t xml:space="preserve">. </w:t>
      </w:r>
      <w:r>
        <w:rPr>
          <w:rtl w:val="true"/>
        </w:rPr>
        <w:t>الأمر بين الأمرين في الروايات</w:t>
      </w:r>
      <w:bookmarkEnd w:id="264"/>
    </w:p>
    <w:p>
      <w:pPr>
        <w:pStyle w:val="BookText"/>
        <w:rPr/>
      </w:pPr>
      <w:r>
        <w:rPr>
          <w:rFonts w:ascii="Amiri" w:hAnsi="Amiri" w:eastAsia="Amiri" w:cs="Amiri"/>
          <w:color w:val="111111"/>
          <w:sz w:val="28"/>
          <w:sz w:val="28"/>
          <w:szCs w:val="28"/>
          <w:rtl w:val="true"/>
          <w:lang w:bidi="ar-SA"/>
        </w:rPr>
        <w:t xml:space="preserve">لقد تضافرت الروايات عن 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فعل الإنسان فيما يثاب به ويعاقب عليه ، بانّه أمر بين الأمرين ، وقد جمع الصدوق القسم الأوفر من الروايات في توحيده ، والعلاّمة المجلسي في بحاره ، ونحن نذكر رواية واحدة ذكرها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مأخوذة عن رسالة كتبها الإمام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نفي الجبر والتفويض ، ومما جاء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الجبر الذي يلزم من دان به الخطأ ، فهو قول من زعم انّ الله عزّ وجلّ أجبر العباد على المعاصي وعاقبهم عليها ، ومن قال بهذا القول فقد ظلم الله في حكمه وكذّبه وردّ عليه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يَظْلِمُ رَبُّكَ أَحَداً</w:t>
      </w:r>
      <w:r>
        <w:rPr>
          <w:rFonts w:eastAsia="Amiri" w:cs="Amiri" w:ascii="Amiri" w:hAnsi="Amiri"/>
          <w:color w:val="111111"/>
          <w:sz w:val="28"/>
          <w:szCs w:val="28"/>
          <w:rtl w:val="true"/>
          <w:lang w:bidi="ar-SA"/>
        </w:rPr>
        <w:t xml:space="preserve">) </w:t>
      </w:r>
      <w:r>
        <w:rPr>
          <w:rStyle w:val="FootnoteAnchor"/>
          <w:rtl w:val="true"/>
        </w:rPr>
        <w:footnoteReference w:id="113"/>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بِما قَدَّمَتْ يَداكَ وَأَنَّ اللهَ لَيْسَ بِظَلاَّمٍ لِلْعَبِيدِ</w:t>
      </w:r>
      <w:r>
        <w:rPr>
          <w:rFonts w:eastAsia="Amiri" w:cs="Amiri" w:ascii="Amiri" w:hAnsi="Amiri"/>
          <w:color w:val="111111"/>
          <w:sz w:val="28"/>
          <w:szCs w:val="28"/>
          <w:rtl w:val="true"/>
          <w:lang w:bidi="ar-SA"/>
        </w:rPr>
        <w:t xml:space="preserve">) </w:t>
      </w:r>
      <w:r>
        <w:rPr>
          <w:rStyle w:val="FootnoteAnchor"/>
          <w:rtl w:val="true"/>
        </w:rPr>
        <w:footnoteReference w:id="114"/>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يَظْلِمُ النَّاسَ شَيْئاً وَلكِنَّ النَّاسَ أَنْفُسَهُمْ يَظْلِمُونَ</w:t>
      </w:r>
      <w:r>
        <w:rPr>
          <w:rFonts w:eastAsia="Amiri" w:cs="Amiri" w:ascii="Amiri" w:hAnsi="Amiri"/>
          <w:color w:val="111111"/>
          <w:sz w:val="28"/>
          <w:szCs w:val="28"/>
          <w:rtl w:val="true"/>
          <w:lang w:bidi="ar-SA"/>
        </w:rPr>
        <w:t xml:space="preserve">) </w:t>
      </w:r>
      <w:r>
        <w:rPr>
          <w:rStyle w:val="FootnoteAnchor"/>
          <w:rtl w:val="true"/>
        </w:rPr>
        <w:footnoteReference w:id="115"/>
      </w:r>
      <w:r>
        <w:rPr>
          <w:rFonts w:ascii="Amiri" w:hAnsi="Amiri" w:eastAsia="Amiri" w:cs="Amiri"/>
          <w:color w:val="111111"/>
          <w:sz w:val="28"/>
          <w:sz w:val="28"/>
          <w:szCs w:val="28"/>
          <w:rtl w:val="true"/>
          <w:lang w:bidi="ar-SA"/>
        </w:rPr>
        <w:t>فمن زعم انّه مجبر على المعاصي ، فقد أحال بذنبه على الله ، وقد ظلمه في عقوبته ، ومن ظلم الله فقد كذب كتابه ، ومن كذب كتابه فقد لزمه الكفر بإجماع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زعم انّ الله تعالى فوّض أمره ونهيه إلى عباده فقد أثبت عليه العجز</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خلق الخلق بقدرته ، وملّكهم استطاعة تعبّدهم بها ، فأمرهم ونهاهم بما أراد ، وهذا ، هو القول بين القولين ليس بجبر ولا تفويض</w:t>
      </w:r>
      <w:r>
        <w:rPr>
          <w:rFonts w:eastAsia="Amiri" w:cs="Amiri" w:ascii="Amiri" w:hAnsi="Amiri"/>
          <w:color w:val="111111"/>
          <w:sz w:val="28"/>
          <w:szCs w:val="28"/>
          <w:rtl w:val="true"/>
          <w:lang w:bidi="ar-SA"/>
        </w:rPr>
        <w:t xml:space="preserve">. </w:t>
      </w:r>
      <w:bookmarkStart w:id="265" w:name="pg11047_102609"/>
    </w:p>
    <w:p>
      <w:pPr>
        <w:pStyle w:val="Heading2"/>
        <w:numPr>
          <w:ilvl w:val="1"/>
          <w:numId w:val="1"/>
        </w:numPr>
        <w:rPr/>
      </w:pPr>
      <w:bookmarkStart w:id="266" w:name="__RefHeading___Toc1391107_1067777946"/>
      <w:bookmarkStart w:id="267" w:name="_Toc103"/>
      <w:bookmarkEnd w:id="265"/>
      <w:bookmarkEnd w:id="266"/>
      <w:r>
        <w:rPr>
          <w:rtl w:val="true"/>
        </w:rPr>
        <w:t>الفصل الثالث</w:t>
      </w:r>
      <w:r>
        <w:rPr>
          <w:rtl w:val="true"/>
        </w:rPr>
        <w:t xml:space="preserve">: </w:t>
      </w:r>
      <w:r>
        <w:rPr>
          <w:rtl w:val="true"/>
        </w:rPr>
        <w:t>نظرية الكسب في أفعال العباد</w:t>
      </w:r>
      <w:bookmarkEnd w:id="267"/>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8" w:name="__RefHeading___Toc1391109_1067777946"/>
      <w:bookmarkStart w:id="269" w:name="_Toc104"/>
      <w:bookmarkEnd w:id="268"/>
      <w:r>
        <w:rPr>
          <w:rtl w:val="true"/>
        </w:rPr>
        <w:t>اشارة</w:t>
      </w:r>
      <w:bookmarkEnd w:id="269"/>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0" w:name="pg11047_102611"/>
      <w:bookmarkStart w:id="271" w:name="pg11047_102611"/>
      <w:bookmarkEnd w:id="271"/>
    </w:p>
    <w:p>
      <w:pPr>
        <w:pStyle w:val="Heading3"/>
        <w:numPr>
          <w:ilvl w:val="2"/>
          <w:numId w:val="1"/>
        </w:numPr>
        <w:rPr/>
      </w:pPr>
      <w:bookmarkStart w:id="272" w:name="pg11047_102611"/>
      <w:bookmarkStart w:id="273" w:name="__RefHeading___Toc1391111_1067777946"/>
      <w:bookmarkStart w:id="274" w:name="_Toc105"/>
      <w:bookmarkEnd w:id="272"/>
      <w:bookmarkEnd w:id="273"/>
      <w:r>
        <w:rPr>
          <w:rtl w:val="true"/>
        </w:rPr>
        <w:t>نظرية الله خالق والعبد كاسب في الميزان</w:t>
      </w:r>
      <w:bookmarkEnd w:id="274"/>
    </w:p>
    <w:p>
      <w:pPr>
        <w:pStyle w:val="BookText"/>
        <w:rPr/>
      </w:pPr>
      <w:r>
        <w:rPr>
          <w:rFonts w:ascii="Amiri" w:hAnsi="Amiri" w:eastAsia="Amiri" w:cs="Amiri"/>
          <w:color w:val="111111"/>
          <w:sz w:val="28"/>
          <w:sz w:val="28"/>
          <w:szCs w:val="28"/>
          <w:rtl w:val="true"/>
          <w:lang w:bidi="ar-SA"/>
        </w:rPr>
        <w:t>قد اشتهر بين الأشاعرة ، انّ الله سبحانه خالق ، والعبد كاسب يريدون بذلك انّ الخلق والايجاد من الله سبحانه ، والكسب والاكتساب من العبد ، والثواب والعقاب ، ليس لخلق العقل وايجاده ، وإنّما هو لكسب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القول بنظرية الكسب نابعاً من القول بالتوحيد في الخالقية وحصرها في الله سبحانه بالمعنى الذي اختاره أهل الحديث ، يجب تبيين نظريتهم في هذا الأصل ، ثمّ تبيين نظرية الكسب التي تبنّاها الأشعري وغيره لدفع وصمة الجبر عن أفعال العباد ، وإيضاح المراحل التي مرّت على النظرية عبْر قرون</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فتبيين الحقّ في عامّة جوانب الموضوع يأتي ضمن فصول </w:t>
      </w:r>
      <w:r>
        <w:rPr>
          <w:rFonts w:eastAsia="Amiri" w:cs="Amiri" w:ascii="Amiri" w:hAnsi="Amiri"/>
          <w:color w:val="111111"/>
          <w:sz w:val="28"/>
          <w:szCs w:val="28"/>
          <w:rtl w:val="true"/>
          <w:lang w:bidi="ar-SA"/>
        </w:rPr>
        <w:t xml:space="preserve">: </w:t>
      </w:r>
      <w:bookmarkStart w:id="275" w:name="pg11047_102612"/>
    </w:p>
    <w:p>
      <w:pPr>
        <w:pStyle w:val="Heading3"/>
        <w:numPr>
          <w:ilvl w:val="2"/>
          <w:numId w:val="1"/>
        </w:numPr>
        <w:rPr/>
      </w:pPr>
      <w:bookmarkStart w:id="276" w:name="__RefHeading___Toc1391113_1067777946"/>
      <w:bookmarkStart w:id="277" w:name="_Toc106"/>
      <w:bookmarkEnd w:id="275"/>
      <w:bookmarkEnd w:id="276"/>
      <w:r>
        <w:rPr/>
        <w:t>1</w:t>
      </w:r>
      <w:r>
        <w:rPr>
          <w:rtl w:val="true"/>
        </w:rPr>
        <w:t xml:space="preserve">- </w:t>
      </w:r>
      <w:r>
        <w:rPr>
          <w:rtl w:val="true"/>
        </w:rPr>
        <w:t>التوحيد في الخالقية عند أهل الحديث</w:t>
      </w:r>
      <w:bookmarkEnd w:id="277"/>
    </w:p>
    <w:p>
      <w:pPr>
        <w:pStyle w:val="BookText"/>
        <w:rPr/>
      </w:pPr>
      <w:r>
        <w:rPr>
          <w:rFonts w:ascii="Amiri" w:hAnsi="Amiri" w:eastAsia="Amiri" w:cs="Amiri"/>
          <w:color w:val="111111"/>
          <w:sz w:val="28"/>
          <w:sz w:val="28"/>
          <w:szCs w:val="28"/>
          <w:rtl w:val="true"/>
          <w:lang w:bidi="ar-SA"/>
        </w:rPr>
        <w:t xml:space="preserve">إنّ من الأُصول المسلَّمة عند أهل الحديث </w:t>
      </w:r>
      <w:r>
        <w:rPr>
          <w:rStyle w:val="FootnoteAnchor"/>
          <w:rtl w:val="true"/>
        </w:rPr>
        <w:footnoteReference w:id="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وتبعهم الإمام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أفعال العباد مخلوقة لله سبحانه وليس للإنسان أيُّ دور في إيجاد أفعاله وإنشائها ، بل كلّ ما في الكون من الجواهر والأعراض مخلوق لله سبحانه بالمباشرة ، وليس بينه سبحانه وعالم الكون أيّ واسطة في الإيجاد والإفاضة حتّى على نحو الظلِّية والتبعيَّة ولو بإذن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صفحة الوجود مؤثّر أصلي وتبعي ، ذاتي وظلّي إلاّ الله سبحانه ، وهو تعالى اسمُه ، قائم مكان عامّة العلل التي تتصوّرها الفلاسفة والمتكلّمون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وأخصُّ بالذكر علماء 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عللاً مؤثّرة ولو بإذنه تعالى ولا يشذُّ منه فعل الإنسان فهو مخلوق لله سبحانه ، خلقاً مباشرياً ويعبّر عنه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الأفعال</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انتقل الإمام أبو الحسن علي بن إسماعيل الأشعري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الاعتزال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قضى أربعة عقود من عمره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منهج أهل السنّة وبالأخص منهج الإمام أحمد ابن حنبل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دخل جامع البصرة وارتقى كرسياً ونادى بأعلى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عرفني فقد عرفني ومن لم يعرفني فأنا أعرفه بنفسي ، أنا فلان بن فلان ؛ كنت أقول بخلق القرآن ، وانّ الله لا تراه الأبصار ، وانّ أفعال الشر أنا أفعلها ؛ وأنا تائب مقلع ، معتقد للرد على المعتزلة مخرج لفضائحهم ومعايبهم</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ولأجل إيقاف القارئ الكريم على حقيقة التوحيد في الخالقية بالمعنى الذي تبنّاه الإمام أحمد وبعده الإمام الأشعري نأتي ببعض نصوصهم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الأشعري في الباب الثاني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عقائد أهل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لا خالق إلاّ الله ، وإنّ أعمال العبد مخلوقة لله ومقدورة كما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خَلَقَكُمْ وَما تَعْمَلُونَ</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العباد لا يقدرون أن يخلقوا شيئاً وهم يُخْلَقون ، كما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مِنْ خالِقٍ غَيْرُ اللهِ</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مقالات الإسلاميّين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نقل عقائد أهل الحديث وأهل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خالق إلاّ الله ، وانّ سيئات العباد يخلقها الله ، وانّ أعمال العباد يخلقها الله عزّ وجلّ ، وانّ العباد لا يقدرون أن يخلقوا منها شيئاً</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زعمتم أنّ أكساب العباد مخلوقة لله تعالى؟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ذلك لأنّ الله تعالى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خَلَقَكُمْ وَما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 بِما 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كان الجزاء واقعاً على أعمالهم كان الخالق لأعمالهم</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 xml:space="preserve">وترى لِدَة هذه العبارات في غير واحد من الرسائل التي أُلّفت لبيان عقيدة أهل الحديث والأشاعرة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اشتُقَّت من أهل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ننقل منها ما يتعلّق بالمتأخرين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السيد الشريف الجرجاني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المواقف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أفعال العباد الاختيارية ، واقعة بقدرة الله سبحانه وحدها وليس لقدرتهم تأثير فيها ، والله سبحانه أجرى عادته بأن يوجد في العبد قدرة واختياراً ، فإذا لم يكن هناك مانع أوجد فيه فعله المقدور مقارناً لهما ، فيكون فعل العبد مخلوقاً لله إبداعاً وإحداثاً ومكسوباً للعبد ، والمراد بكسبه إيّاه ، مقارنته لقدرته وإرادته من غير أن يكون هناك من تأثير ومدْخل في وجوده ، سوى كونه محلاً له ، وهذا مذهب الشيخ أبي الحسن الأشعري</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الزبيدي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إتحاف السادة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الإله ، هو الذي لا يمانعه شيء ، وإنّ نسبة الأشياء إليه على السويّة ، وبهذا بطل قول المجوس وكلّ من أثبت مؤثراً غير الله من علّة أو طبع أو ملك أو إنس أو جن ، ولذلك لم يتوقف علماء ما وراء النهر في تكفير المعتزلة حيث جعلوا التأثير للإنسان</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 xml:space="preserve">وهذا المقدار من النصوص يكفي فيما هو المقصود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أبعد بينه وبين ما يمرّ عليك من ابن تيميّة من أنّ أكثر أهل السنّة يعترفون بالعلل الطبيعية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تلك العقيدة هو إنكار الأسباب والمسبّبات في صحيفة الوجود </w:t>
      </w:r>
    </w:p>
    <w:p>
      <w:pPr>
        <w:pStyle w:val="BookText"/>
        <w:rPr/>
      </w:pPr>
      <w:r>
        <w:rPr>
          <w:rFonts w:ascii="Amiri" w:hAnsi="Amiri" w:eastAsia="Amiri" w:cs="Amiri"/>
          <w:color w:val="111111"/>
          <w:sz w:val="28"/>
          <w:sz w:val="28"/>
          <w:szCs w:val="28"/>
          <w:rtl w:val="true"/>
          <w:lang w:bidi="ar-SA"/>
        </w:rPr>
        <w:t>عامّة ، فليس هنا إلاّ خالق واحد هو الله سبحانه وما سواه مخلوق ، وليس بين الخالق وعامّة المخلوقات أيُّ سبب تبعي أو علّة يؤثر بإذنه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ضوء هذا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أنكروا العلّيّة والمعلولية والتأثير والتأثّر بين الموجودات الإمكانية ، فزعموا انّ آثار الظواهر الطبيعية كلّها مفاضة منه سبحانه من دون أن يكون هناك رابطة بين الظاهرة المادية وآثارها ، فعلى مذهبهم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 حارّة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انّه جرت سنّة الله على إيجاد الحرارة عند وجود النار مباشرة من دون أن تكون هناك علقة بين النار وحرارتها ، والشمس وإضاءتها ، والقمر وإنارته ، بل عادة الله سبحانه جرت على إيجاد الضوء والنور مباشرة عقيب وجود الشمس والقمر دون أن يكون هناك نظام وقانون تكويني باسم العلّيّة والمعلولية ، وعلى ذلك فليس في صفحة الوجود إلاّ علّة واحدة ، ومؤثر واحد ، يؤثّر بقدرته وسلطانه في كلّ الأشياء من دون أن يُعمل سبحانه قدرته ويظهر سلطانه عن طريق إيجاد الأسباب والمؤثرات ، بل هو بنفسه شخصياً قائم مقام جميع ما يُتصور من العلل والأسباب التي كشف عنها العلم طيلة قرون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سادت هذه الفكرة على شرائح واسعة من العلماء والمفكّرين طيلة عصور متمادية ، فيقولون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جرت عادة الله على خلق هذا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خلق الحرارة بعد النار والبرودة بعد الماء ، وقد بلغ إصرارهم على إنكار أصل العلّيّة حداً كفّروا من يتفوّه بالعلّيّة أو مقتضى 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نقله الزبيدي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الأزهر كان يُدرّس فيها قول الناظم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يقل بالطبع أو بالعلّة</w:t>
      </w:r>
    </w:p>
    <w:p>
      <w:pPr>
        <w:pStyle w:val="BookText"/>
        <w:rPr/>
      </w:pPr>
      <w:r>
        <w:rPr>
          <w:rFonts w:ascii="Amiri" w:hAnsi="Amiri" w:eastAsia="Amiri" w:cs="Amiri"/>
          <w:color w:val="111111"/>
          <w:sz w:val="28"/>
          <w:sz w:val="28"/>
          <w:szCs w:val="28"/>
          <w:rtl w:val="true"/>
          <w:lang w:bidi="ar-SA"/>
        </w:rPr>
        <w:t>فذاك كفر عند أهل الملّة</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ظهر في الآونة الأخيرة مفكِّرون آثروا اتّباع الحقّ على تقليد الأئمة وأصحروا بالحقيقة كما تأتي أسماؤهم ونصوصهم فانتظر</w:t>
      </w:r>
      <w:r>
        <w:rPr>
          <w:rFonts w:eastAsia="Amiri" w:cs="Amiri" w:ascii="Amiri" w:hAnsi="Amiri"/>
          <w:color w:val="111111"/>
          <w:sz w:val="28"/>
          <w:szCs w:val="28"/>
          <w:rtl w:val="true"/>
          <w:lang w:bidi="ar-SA"/>
        </w:rPr>
        <w:t xml:space="preserve">. </w:t>
      </w:r>
      <w:bookmarkStart w:id="278" w:name="pg11047_102616"/>
    </w:p>
    <w:p>
      <w:pPr>
        <w:pStyle w:val="Heading3"/>
        <w:numPr>
          <w:ilvl w:val="2"/>
          <w:numId w:val="1"/>
        </w:numPr>
        <w:rPr/>
      </w:pPr>
      <w:bookmarkStart w:id="279" w:name="__RefHeading___Toc1391115_1067777946"/>
      <w:bookmarkStart w:id="280" w:name="_Toc107"/>
      <w:bookmarkEnd w:id="278"/>
      <w:bookmarkEnd w:id="279"/>
      <w:r>
        <w:rPr/>
        <w:t>2</w:t>
      </w:r>
      <w:r>
        <w:rPr>
          <w:rtl w:val="true"/>
        </w:rPr>
        <w:t xml:space="preserve">- </w:t>
      </w:r>
      <w:r>
        <w:rPr>
          <w:rtl w:val="true"/>
        </w:rPr>
        <w:t>التوحيد في الخالقية عند الإماميّة</w:t>
      </w:r>
      <w:bookmarkEnd w:id="280"/>
    </w:p>
    <w:p>
      <w:pPr>
        <w:pStyle w:val="BookText"/>
        <w:rPr/>
      </w:pPr>
      <w:r>
        <w:rPr>
          <w:rFonts w:ascii="Amiri" w:hAnsi="Amiri" w:eastAsia="Amiri" w:cs="Amiri"/>
          <w:color w:val="111111"/>
          <w:sz w:val="28"/>
          <w:sz w:val="28"/>
          <w:szCs w:val="28"/>
          <w:rtl w:val="true"/>
          <w:lang w:bidi="ar-SA"/>
        </w:rPr>
        <w:t xml:space="preserve">التوحيد في الخالقية عند الإماميّة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 xml:space="preserve">اتّفق أهل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شذّ كالمعتزلة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التوحيد في الخالقية وانّه لا خالق إلاّ الله سبحانه ، وقد قامت الإمامية منهم بتفسيره بوجه لا ينافي القول بنظام الأسباب والمسبّبات والعلل الطبيعية ومعاليلها ، وإليك حاصل نظريتهم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الخالقية المستقلّة النابعة من الذات ، غير المعتمدة على شيء منحصرة بالله سبحانه ولا يشاركه فيها شيء ، وأمّا غيره سبحانه فإنّما يقوم بأمر الخلق والإيجاد بإذن منه وتسبيب ، ويعدّ الكلّ جنوداً لله سبحانه ، يعملون بتمكين منه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هذا المعنى من ملاحظة الأُمور التالية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يشك المتدبّر في الذكر الحكيم في أنّه كثيراً ما يُسنِد آثاراً إلى الموضوعات الخارجية والأشياء الواقعة في دار المادة ، كالسماء وكواكبها ونجومها والأرض وجبالها وبحارها وبراريها وعناصرها ومعادنها والسحاب والرعد والبرق والصواعق والماء والأعشاب والأشجار والحيوان والإنسان إلى غير ذلك من </w:t>
      </w:r>
    </w:p>
    <w:p>
      <w:pPr>
        <w:pStyle w:val="BookText"/>
        <w:rPr/>
      </w:pPr>
      <w:r>
        <w:rPr>
          <w:rFonts w:ascii="Amiri" w:hAnsi="Amiri" w:eastAsia="Amiri" w:cs="Amiri"/>
          <w:color w:val="111111"/>
          <w:sz w:val="28"/>
          <w:sz w:val="28"/>
          <w:szCs w:val="28"/>
          <w:rtl w:val="true"/>
          <w:lang w:bidi="ar-SA"/>
        </w:rPr>
        <w:t>الموضوعات الواردة في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أنكر إسناد القرآن آثار تلك الأشياء إلى أنفسها فإنّما أنكره باللسان ، وقلبه مطمئن بخلافه ، وسيوافيك في الفصل التالي شيء من الآيات الناصّة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القرآن يُسند إلى الإنسان أفعالاً لا يقوم بها إلاّ هو ، ولا يصحّ إسنادها إلى الله سبحانه بلا واسطة ، كأكله وشربه ومشيه وقعوده ونكاحه وحربه وجداله وصلاته وصيامه ، فهذه أفعال قائمة بالإنسان مستندة إليه ، فهو الذي يأكل ويشرب ويحارب ويجادل ويفهم ويصلّي ويصوم وهو سبحانه منزّه عن هذه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سبحانه أمر الإنسان بالطاعة أمر إلزام ، ونهاه عن المعصية نهيَ تحريم ، فيجزيه بالطاعة ، ويعاقبه بالمعصية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يكن للإنسان دور في ذلك المجال ، وتأثير في الطاعة والعصيان فما هي الغاية من الأمر والنهي ، وما معنى الجزاء والعقوبة؟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الأُمور الثلاثة إذا قارنها الباحث إلى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 خالِقُ كُلِّ شَيْءٍ وَهُوَ الْواحِدُ الْقَهَّارُ</w:t>
      </w:r>
      <w:r>
        <w:rPr>
          <w:rFonts w:eastAsia="Amiri" w:cs="Amiri" w:ascii="Amiri" w:hAnsi="Amiri"/>
          <w:color w:val="111111"/>
          <w:sz w:val="28"/>
          <w:szCs w:val="28"/>
          <w:rtl w:val="true"/>
          <w:lang w:bidi="ar-SA"/>
        </w:rPr>
        <w:t xml:space="preserve">) </w:t>
      </w:r>
      <w:r>
        <w:rPr>
          <w:rStyle w:val="FootnoteAnchor"/>
          <w:rtl w:val="true"/>
        </w:rPr>
        <w:footnoteReference w:id="126"/>
      </w:r>
      <w:r>
        <w:rPr>
          <w:rFonts w:ascii="Amiri" w:hAnsi="Amiri" w:eastAsia="Amiri" w:cs="Amiri"/>
          <w:color w:val="111111"/>
          <w:sz w:val="28"/>
          <w:sz w:val="28"/>
          <w:szCs w:val="28"/>
          <w:rtl w:val="true"/>
          <w:lang w:bidi="ar-SA"/>
        </w:rPr>
        <w:t xml:space="preserve">الذي يدلّ على بسط فاعليته وعلّيته على كلّ شيء ، يستنتج منها انّ النظام الإمكاني على اختلاف هويّاته وأنواعه ، فعّال ومؤثر في آثاره ، لكن بتقديره سبحانه ومشيئته وإذنه وهو القائل جلّ وعلا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أَعْطى كُلَّ شَيْءٍ خَلْقَهُ ثُمَّ هَدى</w:t>
      </w:r>
      <w:r>
        <w:rPr>
          <w:rFonts w:eastAsia="Amiri" w:cs="Amiri" w:ascii="Amiri" w:hAnsi="Amiri"/>
          <w:color w:val="111111"/>
          <w:sz w:val="28"/>
          <w:szCs w:val="28"/>
          <w:rtl w:val="true"/>
          <w:lang w:bidi="ar-SA"/>
        </w:rPr>
        <w:t xml:space="preserve">) </w:t>
      </w:r>
      <w:r>
        <w:rPr>
          <w:rStyle w:val="FootnoteAnchor"/>
          <w:rtl w:val="true"/>
        </w:rPr>
        <w:footnoteReference w:id="127"/>
      </w:r>
      <w:r>
        <w:rPr>
          <w:rFonts w:ascii="Amiri" w:hAnsi="Amiri" w:eastAsia="Amiri" w:cs="Amiri"/>
          <w:color w:val="111111"/>
          <w:sz w:val="28"/>
          <w:sz w:val="28"/>
          <w:szCs w:val="28"/>
          <w:rtl w:val="true"/>
          <w:lang w:bidi="ar-SA"/>
        </w:rPr>
        <w:t xml:space="preserve">والقائل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قَدَّرَ فَهَدى</w:t>
      </w:r>
      <w:r>
        <w:rPr>
          <w:rFonts w:eastAsia="Amiri" w:cs="Amiri" w:ascii="Amiri" w:hAnsi="Amiri"/>
          <w:color w:val="111111"/>
          <w:sz w:val="28"/>
          <w:szCs w:val="28"/>
          <w:rtl w:val="true"/>
          <w:lang w:bidi="ar-SA"/>
        </w:rPr>
        <w:t xml:space="preserve">) </w:t>
      </w:r>
      <w:r>
        <w:rPr>
          <w:rStyle w:val="FootnoteAnchor"/>
          <w:rtl w:val="true"/>
        </w:rPr>
        <w:footnoteReference w:id="128"/>
      </w:r>
      <w:r>
        <w:rPr>
          <w:rFonts w:ascii="Amiri" w:hAnsi="Amiri" w:eastAsia="Amiri" w:cs="Amiri"/>
          <w:color w:val="111111"/>
          <w:sz w:val="28"/>
          <w:sz w:val="28"/>
          <w:szCs w:val="28"/>
          <w:rtl w:val="true"/>
          <w:lang w:bidi="ar-SA"/>
        </w:rPr>
        <w:t>، وأنّ مظاهر الكون وأعمالها وآثارها وحركاتها وسكناتها تنتهي إلى قضائه وتقديره وهدايته وإجرائه نظام الأسباب والمسببات في صحيفة الكون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فعلى هذا فالأشياء في جواهرها وذواتها وحدود وجودها وخصوصياتها تنتهي إلى الخلقة الإلهية ، كما أنّ أفعالها التي تصدر عنها في ظل تلك الخصوصيات تنتهي إليه أيضاً وليس العالم ومجموع الكون إلاّ مجموعة متوحّدة يتّصل بعضها ببعض ويتلاءم بعضها مع بعض ، ويؤثر بعضها في بعض ، والله سبحانه وراء هذا النظام ومعه وبعده ولا خالق ولا مدبّر حقيقة وبالأصالة إلاّ هو كما لا حول ولا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التدبر في الآيات الواردة في التوحيد في الخالقية إذا فسّرت على نحو التفسير الموضوعي </w:t>
      </w: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أنّ آثار الموجودات الإمكانية آثار لها ، وفي الوقت نفسه تنتهي الأسباب إلى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فجميع هذه الأسباب والمسببات يرتبط بعضها ببعض ويؤثر بعضها في بعض ، وفي الوقت نفسه مرتبطة بالله سبحانه وإليه ينتهي النظام الإمكاني والعلل والمعاليل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السبب منقطعاً عن الله ، وفي الوقت نفسه ليس المسبب فعلاً مباشرياً له سبحانه فبذلك يجمع بين القول بحصر الخالقية في الله سبحانه ، والقول بنظام العلل والمعاليل المنتهية إليه والقائمة به ، فالخالقية المستقلة النابعة من الذات ، منحصرة بالله سبحانه ، والخالقية الظلية والتبعية ، النابعة من قدرته سبحانه من خصائص النظام الإمكاني ، ولنعم قول القائل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فالفعل فعل الله وهو فعلنا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العوالم الممكنة من عاليها إلى سافلها متساوية النسبة إلى قدرته سبحانه ، فالجليل والحقير ، والثقيل والخفيف عنده سواسية ، لكن ليس </w:t>
      </w:r>
    </w:p>
    <w:p>
      <w:pPr>
        <w:pStyle w:val="BookText"/>
        <w:rPr/>
      </w:pP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قيامه تعالى بكلّ شيء مباشرة ، وخلع التأثير عن الأسباب والعلل ، بل يعني أنّ الله سبحانه يُظهر قدرته وسلطانه عن طريق خلق الأسباب ، وبعث العلل نحو المسببات والمعاليل ، والكلّ مخلوق له ، ومظاهر قدرته وحوله ، ولا حول ولا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فالأشعري ، خلع الأسباب والعلل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جنود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مقام التأثير والإيجاد ، كما أنّ المعتزلي </w:t>
      </w:r>
      <w:r>
        <w:rPr>
          <w:rStyle w:val="FootnoteAnchor"/>
          <w:rtl w:val="true"/>
        </w:rPr>
        <w:footnoteReference w:id="130"/>
      </w:r>
      <w:r>
        <w:rPr>
          <w:rFonts w:ascii="Amiri" w:hAnsi="Amiri" w:eastAsia="Amiri" w:cs="Amiri"/>
          <w:color w:val="111111"/>
          <w:sz w:val="28"/>
          <w:sz w:val="28"/>
          <w:szCs w:val="28"/>
          <w:rtl w:val="true"/>
          <w:lang w:bidi="ar-SA"/>
        </w:rPr>
        <w:t xml:space="preserve">عزل سلطانه عن ملكه وجعل بعضاً منه في سلطان غيره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العبد في سلطانه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الذي عليه البرهان ويصدّقه الكتاب هو كون الفعل موجوداً بقدرتين ، لكن لا بقدرتين متساويتين ، ولا بمعنى علّتين تامّتين ، بل بمعنى كون الثانية من مظاهر القدرة الأُولى وشئونها وجنودها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يَعْلَمُ جُنُودَ رَبِّكَ إِلاَّ هُوَ</w:t>
      </w:r>
      <w:r>
        <w:rPr>
          <w:rFonts w:eastAsia="Amiri" w:cs="Amiri" w:ascii="Amiri" w:hAnsi="Amiri"/>
          <w:color w:val="111111"/>
          <w:sz w:val="28"/>
          <w:szCs w:val="28"/>
          <w:rtl w:val="true"/>
          <w:lang w:bidi="ar-SA"/>
        </w:rPr>
        <w:t xml:space="preserve">) </w:t>
      </w:r>
      <w:r>
        <w:rPr>
          <w:rStyle w:val="FootnoteAnchor"/>
          <w:rtl w:val="true"/>
        </w:rPr>
        <w:footnoteReference w:id="131"/>
      </w:r>
      <w:r>
        <w:rPr>
          <w:rFonts w:ascii="Amiri" w:hAnsi="Amiri" w:eastAsia="Amiri" w:cs="Amiri"/>
          <w:color w:val="111111"/>
          <w:sz w:val="28"/>
          <w:sz w:val="28"/>
          <w:szCs w:val="28"/>
          <w:rtl w:val="true"/>
          <w:lang w:bidi="ar-SA"/>
        </w:rPr>
        <w:t xml:space="preserve">وقد جرت سنّة الله تعالى على خلق الأشياء بأسبابها ، فجعل لكلّ شيء سبباً ، وللسبب سبباً ، إلى أن ينتهي إليه سبحانه ، والمجموع من الأسباب الطولية علّة واحدة تامّة كافية لإيجاد الفعل ، والتفصيل يطلب من محله ، ونكتفي في المقام بكلمة عن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أبى الله أن يجري الأشياء إلاّ بأسباب ، فجعل لكلّ شيء سبباً وجعل لكلّ سبب شرحاً</w:t>
      </w:r>
      <w:r>
        <w:rPr>
          <w:rFonts w:eastAsia="Amiri" w:cs="Amiri" w:ascii="Amiri" w:hAnsi="Amiri"/>
          <w:color w:val="111111"/>
          <w:sz w:val="28"/>
          <w:szCs w:val="28"/>
          <w:rtl w:val="true"/>
          <w:lang w:bidi="ar-SA"/>
        </w:rPr>
        <w:t xml:space="preserve">». </w:t>
      </w:r>
      <w:r>
        <w:rPr>
          <w:rStyle w:val="FootnoteAnchor"/>
          <w:rtl w:val="true"/>
        </w:rPr>
        <w:footnoteReference w:id="132"/>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وبهذه النظرية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نظرية كون العالم مخلوقاً على النظام السببي والمسببي وانّ فيه فواعل اضطرارية كما أنّ فيه فواعل اختيارية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تتناسق الأُمور الثلاثة الماضية </w:t>
      </w:r>
      <w:r>
        <w:rPr>
          <w:rStyle w:val="FootnoteAnchor"/>
          <w:rtl w:val="true"/>
        </w:rPr>
        <w:footnoteReference w:id="133"/>
      </w:r>
      <w:r>
        <w:rPr>
          <w:rFonts w:ascii="Amiri" w:hAnsi="Amiri" w:eastAsia="Amiri" w:cs="Amiri"/>
          <w:color w:val="111111"/>
          <w:sz w:val="28"/>
          <w:sz w:val="28"/>
          <w:szCs w:val="28"/>
          <w:rtl w:val="true"/>
          <w:lang w:bidi="ar-SA"/>
        </w:rPr>
        <w:t>وتتوحّد نتائجها ، وهذا بخلاف ما إذا قلنا بالنظرية الأُولى فانّها توجب التضاد بين الأُمور الثلاثة المسلمة</w:t>
      </w:r>
      <w:r>
        <w:rPr>
          <w:rFonts w:eastAsia="Amiri" w:cs="Amiri" w:ascii="Amiri" w:hAnsi="Amiri"/>
          <w:color w:val="111111"/>
          <w:sz w:val="28"/>
          <w:szCs w:val="28"/>
          <w:rtl w:val="true"/>
          <w:lang w:bidi="ar-SA"/>
        </w:rPr>
        <w:t xml:space="preserve">. </w:t>
      </w:r>
      <w:bookmarkStart w:id="281" w:name="pg11047_102621"/>
    </w:p>
    <w:p>
      <w:pPr>
        <w:pStyle w:val="Heading3"/>
        <w:numPr>
          <w:ilvl w:val="2"/>
          <w:numId w:val="1"/>
        </w:numPr>
        <w:rPr/>
      </w:pPr>
      <w:bookmarkStart w:id="282" w:name="__RefHeading___Toc1391117_1067777946"/>
      <w:bookmarkStart w:id="283" w:name="_Toc108"/>
      <w:bookmarkEnd w:id="281"/>
      <w:bookmarkEnd w:id="282"/>
      <w:r>
        <w:rPr/>
        <w:t>3</w:t>
      </w:r>
      <w:r>
        <w:rPr>
          <w:rtl w:val="true"/>
        </w:rPr>
        <w:t xml:space="preserve">- </w:t>
      </w:r>
      <w:r>
        <w:rPr>
          <w:rtl w:val="true"/>
        </w:rPr>
        <w:t>مضاعفات حصر الخالقية في الله على ضوء التفسير الأشعري</w:t>
      </w:r>
      <w:bookmarkEnd w:id="283"/>
    </w:p>
    <w:p>
      <w:pPr>
        <w:pStyle w:val="Heading4"/>
        <w:numPr>
          <w:ilvl w:val="3"/>
          <w:numId w:val="1"/>
        </w:numPr>
        <w:rPr/>
      </w:pPr>
      <w:bookmarkStart w:id="284" w:name="__RefHeading___Toc1391119_1067777946"/>
      <w:bookmarkStart w:id="285" w:name="_Toc109"/>
      <w:bookmarkEnd w:id="284"/>
      <w:r>
        <w:rPr>
          <w:rtl w:val="true"/>
        </w:rPr>
        <w:t>اشارة</w:t>
      </w:r>
      <w:bookmarkEnd w:id="285"/>
    </w:p>
    <w:p>
      <w:pPr>
        <w:pStyle w:val="BookText"/>
        <w:rPr/>
      </w:pPr>
      <w:r>
        <w:rPr>
          <w:rFonts w:ascii="Amiri" w:hAnsi="Amiri" w:eastAsia="Amiri" w:cs="Amiri"/>
          <w:color w:val="111111"/>
          <w:sz w:val="28"/>
          <w:sz w:val="28"/>
          <w:szCs w:val="28"/>
          <w:rtl w:val="true"/>
          <w:lang w:bidi="ar-SA"/>
        </w:rPr>
        <w:t xml:space="preserve">قد تقدّم انّ المسلمين إلاّ من شذّ تبعاً للذكر الحكيم والبراهين العقلية اتّفقوا على حصر الخالقية في الله سبحانه وعدُّوه من مراتب التوحيد ولا يصحّ الحصر ولا ينسجم مع سائر الأُصول إلاّ إذا فسر على النحو الذي مرّ آنفاً ، فالقول بهذا الحصر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فسرنا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الإيمان بالعلل والأسباب الطولية والنظام السائد على العالم من العلّية والمعلولية ، المنتهي إلى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انّ الإمام الأشعري ومن تبعه أخذوا بظواهر بعض الآيات فأنكروا أصل التأثير حتّى الظلي والتبعي في غيره سبحانه ولم يعترفوا إلاّ بعلة واحدة وهي الله سبحانه ، القائم مكان عامة العلل ، فجعلوا الظواهر كلّها مخلوقة لله بالمباشرة وبلا توسط سبب وكأنّ من أنكر ذلك التفسير فقد أنكر التوحيد في الخالقية ، غير انّ ذلك التفسير مردود من جهات نشير إلى بعضها</w:t>
      </w:r>
      <w:r>
        <w:rPr>
          <w:rFonts w:eastAsia="Amiri" w:cs="Amiri" w:ascii="Amiri" w:hAnsi="Amiri"/>
          <w:color w:val="111111"/>
          <w:sz w:val="28"/>
          <w:szCs w:val="28"/>
          <w:rtl w:val="true"/>
          <w:lang w:bidi="ar-SA"/>
        </w:rPr>
        <w:t>.</w:t>
      </w:r>
    </w:p>
    <w:p>
      <w:pPr>
        <w:pStyle w:val="Heading4"/>
        <w:numPr>
          <w:ilvl w:val="3"/>
          <w:numId w:val="1"/>
        </w:numPr>
        <w:rPr/>
      </w:pPr>
      <w:bookmarkStart w:id="286" w:name="__RefHeading___Toc1391121_1067777946"/>
      <w:bookmarkStart w:id="287" w:name="_Toc110"/>
      <w:bookmarkEnd w:id="286"/>
      <w:r>
        <w:rPr>
          <w:rtl w:val="true"/>
        </w:rPr>
        <w:t xml:space="preserve">الأُولى </w:t>
      </w:r>
      <w:r>
        <w:rPr>
          <w:rtl w:val="true"/>
        </w:rPr>
        <w:t xml:space="preserve">: </w:t>
      </w:r>
      <w:r>
        <w:rPr>
          <w:rtl w:val="true"/>
        </w:rPr>
        <w:t>تصريح القرآن بتأثير العلل الطبيعية</w:t>
      </w:r>
      <w:bookmarkEnd w:id="287"/>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القرآن الكريم يصرح بوضوح كامل بتأثير بعض الأشياء في بعض ويكشف عن نظام سائد على العالم نظاماً عليّاً ومعلولياً ، سببياً ومسببياً ، ونحن </w:t>
      </w:r>
    </w:p>
    <w:p>
      <w:pPr>
        <w:pStyle w:val="BookText"/>
        <w:rPr/>
      </w:pPr>
      <w:r>
        <w:rPr>
          <w:rFonts w:ascii="Amiri" w:hAnsi="Amiri" w:eastAsia="Amiri" w:cs="Amiri"/>
          <w:color w:val="111111"/>
          <w:sz w:val="28"/>
          <w:sz w:val="28"/>
          <w:szCs w:val="28"/>
          <w:rtl w:val="true"/>
          <w:lang w:bidi="ar-SA"/>
        </w:rPr>
        <w:t xml:space="preserve">نذكر في المقام بعض الآيات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الْأَرْضِ قِطَعٌ مُتَجاوِراتٌ وَجَنَّاتٌ مِنْ أَعْنابٍ وَزَرْعٌ وَنَخِيلٌ صِنْوانٌ وَغَيْرُ صِنْوانٍ يُسْقى بِماءٍ واحِدٍ وَنُفَضِّلُ بَعْضَها عَلى بَعْضٍ فِي الْأُكُلِ إِنَّ فِي ذلِكَ لَآياتٍ لِقَوْمٍ يَعْقِلُونَ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يُسْقى بِماءٍ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كاشفة عن دور الماء وأثره في إنبات النباتات ونمو الأشجار ، ومع ذلك يفضل بعض الثمار على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وأوضح دليل على ذلك قوله تعالى في الآيتين التاليتين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 مِنَ السَّماءِ ماءً فَأَخْرَجَ بِهِ مِنَ الثَّمَراتِ رِزْقاً لَكُمْ</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يَرَوْا أَنَّا نَسُوقُ الْماءَ إِلَى الْأَرْضِ الْجُرُزِ فَنُخْرِجُ بِهِ زَرْعاً تَأْكُلُ مِنْهُ أَنْعامُهُمْ وَأَنْفُسُهُمْ أَفَلا يُبْصِرُونَ</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 xml:space="preserve">ففي هاتين الآيتين يصرح الكتاب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بتأثير الماء في الزرع ، إذ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تفيد السببية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تعلم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أَنَّ اللهَ يُزْجِي سَحاباً ثُمَّ يُؤَلِّفُ بَيْنَهُ ثُمَّ يَجْعَلُهُ رُكاماً فَتَرَى الْوَدْقَ يَخْرُجُ مِنْ خِلالِهِ وَيُنَزِّلُ مِنَ السَّماءِ مِنْ جِبالٍ فِيها مِنْ بَرَدٍ فَيُصِيبُ بِهِ مَنْ يَشاءُ وَيَصْرِفُهُ عَنْ مَنْ يَشاءُ يَكادُ سَنا بَرْقِهِ يَذْهَبُ بِالْأَبْصارِ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هذه الآية نرى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أمعنا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بيّن القرآن الكريم المقدّمات الطبيعية لنزول المطر والثلج من السماء من قبل أن يعرفها العلم الحديث ويطّلع عليها بالوسائل التي يستخدمها لدراسة الظواهر الطبيعية واكتشاف عللها ومقدّماتها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فقبل أن يتوصل العلم الحديث إلى معرفة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بزمن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القرآن إلى بيان تلك المقدّمات في عبارات هي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يزجي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سحاباً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يؤلّف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يجعله ركاماً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كتلة متراكمة متكاثفة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فينسب هذه المراحل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فترى الودق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خلاله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يكاد سنا برقه يذهب بالأبصار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يصرح الله سبحانه بتأثير الأسباب والعلل الطبيعية في المرحلتين الأخيرتين ، غاية ما هنالك أنّ تأثير هذه العلل والأسباب بإذن الله ومشيئته بحيث إذا لم يشأ هو سبحانه لتعطلت هذه العلل عن التأثير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الَّذِي يُرْسِلُ الرِّياحَ فَتُثِيرُ سَحاباً فَيَبْسُطُهُ فِي السَّماءِ كَيْفَ يَشاءُ وَيَجْعَلُهُ كِسَفاً فَتَرَى الْوَدْقَ يَخْرُجُ مِنْ خِلالِهِ فَإِذا أَصابَ بِهِ مَنْ يَشاءُ مِنْ عِبادِهِ إِذا هُمْ يَسْتَبْشِرُونَ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وأيّة جملة أوضح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فَتُثِيرُ سَحاباً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الرياح ، فالرياح في نظر القرآن هي التي تثير السحاب وتسوقه من جانب إلى جانب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الإمعان في عبارات هذه الآية يهدينا إلى نظرية القرآن ورأيه الصريح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تأثير العلل الطبيعية بإذن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هذه الجمل جاء التصريح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بتأثير الرياح في نزول المطر</w:t>
      </w:r>
      <w:r>
        <w:rPr>
          <w:rFonts w:eastAsia="Amiri" w:cs="Amiri" w:ascii="Amiri" w:hAnsi="Amiri"/>
          <w:color w:val="111111"/>
          <w:sz w:val="28"/>
          <w:szCs w:val="28"/>
          <w:rtl w:val="true"/>
          <w:lang w:bidi="ar-SA"/>
        </w:rPr>
        <w:t>.</w:t>
      </w:r>
      <w:bookmarkStart w:id="288" w:name="pg11047_102624"/>
    </w:p>
    <w:p>
      <w:pPr>
        <w:pStyle w:val="BookText"/>
        <w:rPr/>
      </w:pPr>
      <w:bookmarkEnd w:id="288"/>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وتأثير الرياح في تحريك السحب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جاء التصريح بانتساب انبساط السحب في السماء إلى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وتجمع السحب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شكل قطع متراكمة إلى الله سبحانه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نزول المطر بعد هذه التفاعلات والمقدمات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ينسب القرآن هذين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يبسط السحاب في السماء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يجعله كسفاً ، فإنّما يقصد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وراء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التنبيه إلى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 الأفعالي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يعبّر عنه بالتوحيد في الخالقية ، وفي الوقت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منافاة بين هذه النسبة والقول بتأثير العلل الطبيعية في بسط السحب وجمعها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الآيات التي تؤكد على دور العلل الطبيعية وتأثيرها المباشر وتعتبر العالم مجموعة من الأسباب للمسببات التي تعمل بإرادة الله وإذنه ، وتكون فاعليتها فرعاً من فاعليته سبحانه ، أكثر من أن ينقل في المقام ، وفيما ذكرنا من الآيات كفاية لمن تدبّر</w:t>
      </w:r>
      <w:r>
        <w:rPr>
          <w:rFonts w:eastAsia="Amiri" w:cs="Amiri" w:ascii="Amiri" w:hAnsi="Amiri"/>
          <w:color w:val="111111"/>
          <w:sz w:val="28"/>
          <w:szCs w:val="28"/>
          <w:rtl w:val="true"/>
          <w:lang w:bidi="ar-SA"/>
        </w:rPr>
        <w:t>.</w:t>
      </w:r>
    </w:p>
    <w:p>
      <w:pPr>
        <w:pStyle w:val="Heading4"/>
        <w:numPr>
          <w:ilvl w:val="3"/>
          <w:numId w:val="1"/>
        </w:numPr>
        <w:rPr/>
      </w:pPr>
      <w:bookmarkStart w:id="289" w:name="__RefHeading___Toc1391123_1067777946"/>
      <w:bookmarkStart w:id="290" w:name="_Toc111"/>
      <w:bookmarkEnd w:id="289"/>
      <w:r>
        <w:rPr>
          <w:rtl w:val="true"/>
        </w:rPr>
        <w:t xml:space="preserve">الثانية </w:t>
      </w:r>
      <w:r>
        <w:rPr>
          <w:rtl w:val="true"/>
        </w:rPr>
        <w:t xml:space="preserve">: </w:t>
      </w:r>
      <w:r>
        <w:rPr>
          <w:rtl w:val="true"/>
        </w:rPr>
        <w:t>انتفاء الغاية من إيجاد القدرة في الإنسان</w:t>
      </w:r>
      <w:bookmarkEnd w:id="290"/>
    </w:p>
    <w:p>
      <w:pPr>
        <w:pStyle w:val="BookText"/>
        <w:rPr/>
      </w:pPr>
      <w:r>
        <w:rPr>
          <w:rFonts w:ascii="Amiri" w:hAnsi="Amiri" w:eastAsia="Amiri" w:cs="Amiri"/>
          <w:color w:val="111111"/>
          <w:sz w:val="28"/>
          <w:sz w:val="28"/>
          <w:szCs w:val="28"/>
          <w:rtl w:val="true"/>
          <w:lang w:bidi="ar-SA"/>
        </w:rPr>
        <w:t>إذا صحّ تقسيم الفاعل إلى فاعل قادر مختار ، يتوصّل إلى مقاصده بالمشيئة وإعمال القدرة ؛ وفاعل مضطرّ ، يقع مصدراً للآثار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دون إرادة وإعمال القدرة ، فالإنسان من مصاديق القسم الأوّل بل من أفضل مصاديقه ، فهو يصدر عن فكر ورويّة وميل واشتياق ، وعزم وجزم ، وإعمال للقدرة التي وهبها الله سبحانه له ، وهذا شيء يدركه وجدان كلّ إنسان حرّ التفكير ولا يبطله أي دليل وبرهان حتّى أنّ الشيخ الأشعري استدلّ على كون الإنسان مختاراً في فعله ، بالفرق بين الحركتين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الاكتسابية والاضطرارية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كانت حركة المرتعش من الفالج والمرتعد من </w:t>
      </w:r>
    </w:p>
    <w:p>
      <w:pPr>
        <w:pStyle w:val="BookText"/>
        <w:rPr/>
      </w:pPr>
      <w:r>
        <w:rPr>
          <w:rFonts w:ascii="Amiri" w:hAnsi="Amiri" w:eastAsia="Amiri" w:cs="Amiri"/>
          <w:color w:val="111111"/>
          <w:sz w:val="28"/>
          <w:sz w:val="28"/>
          <w:szCs w:val="28"/>
          <w:rtl w:val="true"/>
          <w:lang w:bidi="ar-SA"/>
        </w:rPr>
        <w:t>الحمى حركة اضطرارية ، وإذا كانت الحركة الأُخرى بخلاف هذا الوصف لم يكن اضطراراً ، لأنّ الإنسان في ذهابه ومجيئه ، وإقباله وإدباره بخلاف المرتعش من الفالج والمرتعِد من الحمى ، يعلم الإنسان التفرقة بين الحالين من نفسه وغيره علمَ اضطرار لا يجوز معه الشك</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فإذا كان هذا حال الإنسان وهذه مواهبه وعطاياه ، فما هي الغاية من خلق القدرة في الإنسان التي لا دور لها في الإنشاء والإيجاد ، سوى حديث المقارنة ، مقارنة القدرة مع الحادثة من دون أن يكون بين قدرة العبد وفعله أي 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إبعاد قدرة العبد عن التأثير في مصير الإنسان ، يضادّ وجدانَ كلّ فاعل ، أوّلاً ، ويُضفي على تزويد الإنسان بها ، شأن اللغوية ثانياً ، ويُعرِّف خالق القدرة لاعباً ثالثاً ،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خَلَقْنَا السَّماءَ وَالْأَرْضَ وَما بَيْنَهُما لاعِبِينَ</w:t>
      </w:r>
      <w:r>
        <w:rPr>
          <w:rFonts w:eastAsia="Amiri" w:cs="Amiri" w:ascii="Amiri" w:hAnsi="Amiri"/>
          <w:color w:val="111111"/>
          <w:sz w:val="28"/>
          <w:szCs w:val="28"/>
          <w:rtl w:val="true"/>
          <w:lang w:bidi="ar-SA"/>
        </w:rPr>
        <w:t xml:space="preserve">). </w:t>
      </w:r>
      <w:r>
        <w:rPr>
          <w:rStyle w:val="FootnoteAnchor"/>
          <w:rtl w:val="true"/>
        </w:rPr>
        <w:footnoteReference w:id="137"/>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التوحيد في الخالقية ، من المعارف العليا القرآنية والتي لم يصل إليها حتى الأوحدي من الفلاسفة إلاّ عن طريق التدبّر في آيات الذكر الحكيم ، ومن خالفه من المعتزلة فإنّما خالفه بزعم انّه يخالف عدلَه وتنزيهه سبحانه غير انّ الذي يخالف عدله ، ويضاد تنزيهه ، هو حصر الخالقية بالمعنى الذي تبنّاه أهل الحديث والأشاعرة ، فانّه يضاد كونه حكيماً ، عادلاً ، نزيهاً عن اللغو واللعب حيث خلق في الإنسان القدرة التي لا دور لها في حياته في عاجله وآجله ، وأمّا تفسيره على النهج الذي عرفت وقد سار عليه أئمة أهل البيت فهو يدعم كونه سبحانه حكيماً ، عادلاً ، نزيهاً من اللغو والعبث</w:t>
      </w:r>
      <w:r>
        <w:rPr>
          <w:rFonts w:eastAsia="Amiri" w:cs="Amiri" w:ascii="Amiri" w:hAnsi="Amiri"/>
          <w:color w:val="111111"/>
          <w:sz w:val="28"/>
          <w:szCs w:val="28"/>
          <w:rtl w:val="true"/>
          <w:lang w:bidi="ar-SA"/>
        </w:rPr>
        <w:t xml:space="preserve">. </w:t>
      </w:r>
      <w:bookmarkStart w:id="291" w:name="pg11047_102626"/>
    </w:p>
    <w:p>
      <w:pPr>
        <w:pStyle w:val="BookText"/>
        <w:rPr/>
      </w:pPr>
      <w:bookmarkEnd w:id="291"/>
      <w:r>
        <w:rPr>
          <w:rFonts w:ascii="Amiri" w:hAnsi="Amiri" w:eastAsia="Amiri" w:cs="Amiri"/>
          <w:color w:val="111111"/>
          <w:sz w:val="28"/>
          <w:sz w:val="28"/>
          <w:szCs w:val="28"/>
          <w:rtl w:val="true"/>
          <w:lang w:bidi="ar-SA"/>
        </w:rPr>
        <w:t xml:space="preserve">وكم من عائب قولاً صحيحاً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وآفته من الفهم السقيم</w:t>
      </w:r>
    </w:p>
    <w:p>
      <w:pPr>
        <w:pStyle w:val="Heading4"/>
        <w:numPr>
          <w:ilvl w:val="3"/>
          <w:numId w:val="1"/>
        </w:numPr>
        <w:rPr/>
      </w:pPr>
      <w:bookmarkStart w:id="292" w:name="__RefHeading___Toc1391125_1067777946"/>
      <w:bookmarkStart w:id="293" w:name="_Toc112"/>
      <w:bookmarkEnd w:id="292"/>
      <w:r>
        <w:rPr>
          <w:rtl w:val="true"/>
        </w:rPr>
        <w:t xml:space="preserve">الثالثة </w:t>
      </w:r>
      <w:r>
        <w:rPr>
          <w:rtl w:val="true"/>
        </w:rPr>
        <w:t xml:space="preserve">: </w:t>
      </w:r>
      <w:r>
        <w:rPr>
          <w:rtl w:val="true"/>
        </w:rPr>
        <w:t>كلّ فاعل مسئول عن فعله</w:t>
      </w:r>
      <w:bookmarkEnd w:id="293"/>
    </w:p>
    <w:p>
      <w:pPr>
        <w:pStyle w:val="BookText"/>
        <w:rPr/>
      </w:pPr>
      <w:r>
        <w:rPr>
          <w:rFonts w:ascii="Amiri" w:hAnsi="Amiri" w:eastAsia="Amiri" w:cs="Amiri"/>
          <w:color w:val="111111"/>
          <w:sz w:val="28"/>
          <w:sz w:val="28"/>
          <w:szCs w:val="28"/>
          <w:rtl w:val="true"/>
          <w:lang w:bidi="ar-SA"/>
        </w:rPr>
        <w:t xml:space="preserve">إنّ العقلاء قاطبة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أهل الحديث والأشاعرة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الإنسان مسئولاً عن فعله وعمله ، وليس المحسِن والمسيء عندهم سواسية ، بل يُثاب الأوّل ، ويُعاقب الثاني ، كلّ وفقَ عمله ، ومدى مسئوليته ، وهذا فرع أن يكون للفاعل دور في فعله ، وعمله ، ولو أصاب رأسه حجر فأدماه ، فيحمّل مسئولية الإدماء على عاتق الرامي ، دون الحجر ، وذلك لأنّ له شعوراً وارادة ، دون الآخر ، وعلى ضوء ذلك يصف الذكر الحكيم بأنّ الإنسانَ مسئول عن عمله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وَقِفُوهُمْ إِنَّهُمْ مَسْؤُلُونَ</w:t>
      </w:r>
      <w:r>
        <w:rPr>
          <w:rFonts w:eastAsia="Amiri" w:cs="Amiri" w:ascii="Amiri" w:hAnsi="Amiri"/>
          <w:color w:val="111111"/>
          <w:sz w:val="28"/>
          <w:szCs w:val="28"/>
          <w:rtl w:val="true"/>
          <w:lang w:bidi="ar-SA"/>
        </w:rPr>
        <w:t xml:space="preserve">) </w:t>
      </w:r>
      <w:r>
        <w:rPr>
          <w:rStyle w:val="FootnoteAnchor"/>
          <w:rtl w:val="true"/>
        </w:rPr>
        <w:footnoteReference w:id="138"/>
      </w:r>
      <w:r>
        <w:rPr>
          <w:rFonts w:ascii="Amiri" w:hAnsi="Amiri" w:eastAsia="Amiri" w:cs="Amiri"/>
          <w:color w:val="111111"/>
          <w:sz w:val="28"/>
          <w:sz w:val="28"/>
          <w:szCs w:val="28"/>
          <w:rtl w:val="true"/>
          <w:lang w:bidi="ar-SA"/>
        </w:rPr>
        <w:t xml:space="preserve">بل يعد أدوات المعرفة أيضاً ، مسئولة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السَّمْعَ وَالْبَصَرَ وَالْفُؤادَ كُلُّ أُولئِكَ كانَ عَنْهُ مَسْؤُلاً</w:t>
      </w:r>
      <w:r>
        <w:rPr>
          <w:rFonts w:eastAsia="Amiri" w:cs="Amiri" w:ascii="Amiri" w:hAnsi="Amiri"/>
          <w:color w:val="111111"/>
          <w:sz w:val="28"/>
          <w:szCs w:val="28"/>
          <w:rtl w:val="true"/>
          <w:lang w:bidi="ar-SA"/>
        </w:rPr>
        <w:t xml:space="preserve">) </w:t>
      </w:r>
      <w:r>
        <w:rPr>
          <w:rStyle w:val="FootnoteAnchor"/>
          <w:rtl w:val="true"/>
        </w:rPr>
        <w:footnoteReference w:id="139"/>
      </w:r>
      <w:r>
        <w:rPr>
          <w:rFonts w:ascii="Amiri" w:hAnsi="Amiri" w:eastAsia="Amiri" w:cs="Amiri"/>
          <w:color w:val="111111"/>
          <w:sz w:val="28"/>
          <w:sz w:val="28"/>
          <w:szCs w:val="28"/>
          <w:rtl w:val="true"/>
          <w:lang w:bidi="ar-SA"/>
        </w:rPr>
        <w:t>، وذلك لأنّها بيد الإنسان ، أداة طيّعة يستخدمها كيف 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هذا لسانَ العقل والعقلاء وصريحَ الذكر الحكيم فلو كانت أفعاله وأعماله ، مخلوقة لله ، على نحو تفقد صلتها بالإنسان ، فما معنى كونه مسئولاً عن عمل ، قام به غيره ، أو مجزياً بفعل غيره ، وليس لجسمه أو روحه دور ، سوى كونه ظرفاً ووعاءً لفعل الغير يخلقه فيه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كيف يثاب أو يعاقب على ما ليس له فيه 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يكون معاقباً وقد جنى غيره وفق قول القائل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غيري جنى وأنا المعاقَبُ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فكأنني سبّابة المتندم</w:t>
      </w:r>
    </w:p>
    <w:p>
      <w:pPr>
        <w:pStyle w:val="BookText"/>
        <w:rPr/>
      </w:pPr>
      <w:r>
        <w:rPr>
          <w:rFonts w:ascii="Amiri" w:hAnsi="Amiri" w:eastAsia="Amiri" w:cs="Amiri"/>
          <w:color w:val="111111"/>
          <w:sz w:val="28"/>
          <w:sz w:val="28"/>
          <w:szCs w:val="28"/>
          <w:rtl w:val="true"/>
          <w:lang w:bidi="ar-SA"/>
        </w:rPr>
        <w:t xml:space="preserve">إنّ هذه التوالي الفاسدة التي يدركها كلّ إنسان واع ووجدان حرّ دفعت الشيخ الأشعري ، ومن لفّ لفّه إلى الخروج عن هذا المأزق باختراع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نظرية الكسب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يتخلّصوا ممّا يترتب على خلق الأعمال من التوالي الفاسدة ، فإذا 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يُثاب المرء أو يُعاقب على عمل لم يوجده هو؟ وكيف يتفق هذا مع ما هو مقرّر في عدالة الله وحكمته في تكليف خلقه؟</w:t>
      </w:r>
    </w:p>
    <w:p>
      <w:pPr>
        <w:pStyle w:val="BookText"/>
        <w:rPr/>
      </w:pPr>
      <w:r>
        <w:rPr>
          <w:rFonts w:ascii="Amiri" w:hAnsi="Amiri" w:eastAsia="Amiri" w:cs="Amiri"/>
          <w:color w:val="111111"/>
          <w:sz w:val="28"/>
          <w:sz w:val="28"/>
          <w:szCs w:val="28"/>
          <w:rtl w:val="true"/>
          <w:lang w:bidi="ar-SA"/>
        </w:rPr>
        <w:t xml:space="preserve">أجابوا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العباد وإن لم يكونوا خالقين لأعمالهم لكنّهم كاسبون لها ، وهذا الكسب هو مناط التكليف ومدار الثواب والعقاب وبه يتحقّق عدل الله وحكمته فيما شرّع للمكلّفين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هنا نصوصاً تثبت بأنّه لا خالق إلاّ هو ،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خالِقُ كُلِّ شَيْءٍ</w:t>
      </w:r>
      <w:r>
        <w:rPr>
          <w:rFonts w:eastAsia="Amiri" w:cs="Amiri" w:ascii="Amiri" w:hAnsi="Amiri"/>
          <w:color w:val="111111"/>
          <w:sz w:val="28"/>
          <w:szCs w:val="28"/>
          <w:rtl w:val="true"/>
          <w:lang w:bidi="ar-SA"/>
        </w:rPr>
        <w:t xml:space="preserve">) </w:t>
      </w:r>
      <w:r>
        <w:rPr>
          <w:rStyle w:val="FootnoteAnchor"/>
          <w:rtl w:val="true"/>
        </w:rPr>
        <w:footnoteReference w:id="14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خالِقٍ غَيْرُ اللهِ يَرْزُقُكُمْ مِنَ السَّماءِ وَالْأَرْضِ</w:t>
      </w:r>
      <w:r>
        <w:rPr>
          <w:rFonts w:eastAsia="Amiri" w:cs="Amiri" w:ascii="Amiri" w:hAnsi="Amiri"/>
          <w:color w:val="111111"/>
          <w:sz w:val="28"/>
          <w:szCs w:val="28"/>
          <w:rtl w:val="true"/>
          <w:lang w:bidi="ar-SA"/>
        </w:rPr>
        <w:t xml:space="preserve">) </w:t>
      </w:r>
      <w:r>
        <w:rPr>
          <w:rStyle w:val="FootnoteAnchor"/>
          <w:rtl w:val="true"/>
        </w:rPr>
        <w:footnoteReference w:id="141"/>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وبجانب هذا توجد نصوص ، تَنسب أعمال العباد إليهم ، وتُعلّق رضوان الله للمحسنين منهم وتعلّق غضبه للمسيئين منهم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صالِحاً فَلِنَفْسِهِ وَمَنْ أَساءَ فَعَلَيْها</w:t>
      </w:r>
      <w:r>
        <w:rPr>
          <w:rFonts w:eastAsia="Amiri" w:cs="Amiri" w:ascii="Amiri" w:hAnsi="Amiri"/>
          <w:color w:val="111111"/>
          <w:sz w:val="28"/>
          <w:szCs w:val="28"/>
          <w:rtl w:val="true"/>
          <w:lang w:bidi="ar-SA"/>
        </w:rPr>
        <w:t xml:space="preserve">) </w:t>
      </w:r>
      <w:r>
        <w:rPr>
          <w:rStyle w:val="FootnoteAnchor"/>
          <w:rtl w:val="true"/>
        </w:rPr>
        <w:footnoteReference w:id="14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أَحْسَنْتُمْ أَحْسَنْتُمْ لِأَنْفُسِكُمْ وَإِنْ أَسَأْتُمْ فَلَها</w:t>
      </w:r>
      <w:r>
        <w:rPr>
          <w:rFonts w:eastAsia="Amiri" w:cs="Amiri" w:ascii="Amiri" w:hAnsi="Amiri"/>
          <w:color w:val="111111"/>
          <w:sz w:val="28"/>
          <w:szCs w:val="28"/>
          <w:rtl w:val="true"/>
          <w:lang w:bidi="ar-SA"/>
        </w:rPr>
        <w:t xml:space="preserve">) </w:t>
      </w:r>
      <w:r>
        <w:rPr>
          <w:rStyle w:val="FootnoteAnchor"/>
          <w:rtl w:val="true"/>
        </w:rPr>
        <w:footnoteReference w:id="143"/>
      </w:r>
      <w:r>
        <w:rPr>
          <w:rFonts w:ascii="Amiri" w:hAnsi="Amiri" w:eastAsia="Amiri" w:cs="Amiri"/>
          <w:color w:val="111111"/>
          <w:sz w:val="28"/>
          <w:sz w:val="28"/>
          <w:szCs w:val="28"/>
          <w:rtl w:val="true"/>
          <w:lang w:bidi="ar-SA"/>
        </w:rPr>
        <w:t>إلى غير ذلك من الآيات</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فحملوا النصوص الأُولى على الخلق ، وحملوا الثانية على الكسب جمعاً بين الأدلّة ، فإذا قيل ما هذا الكسب؟ وما يراد به؟ وهل هو أيضاً موجود أو معدوم؟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فمالوا يميناً ويساراً حتّى يأتوا به تفسيراً معقولاً مع أنّه مضت على النظرية قرون عشرة لكنّها بقيت في محاق الإبهام ، بل دخلت أخيراً في مدحرة الإنكار ، وهذا هو الذي ندرسه في الفصول المقبلة بعد مقدّمة موجزة</w:t>
      </w:r>
      <w:r>
        <w:rPr>
          <w:rFonts w:eastAsia="Amiri" w:cs="Amiri" w:ascii="Amiri" w:hAnsi="Amiri"/>
          <w:color w:val="111111"/>
          <w:sz w:val="28"/>
          <w:szCs w:val="28"/>
          <w:rtl w:val="true"/>
          <w:lang w:bidi="ar-SA"/>
        </w:rPr>
        <w:t xml:space="preserve">. </w:t>
      </w:r>
      <w:bookmarkStart w:id="294" w:name="pg11047_102629"/>
    </w:p>
    <w:p>
      <w:pPr>
        <w:pStyle w:val="Heading3"/>
        <w:numPr>
          <w:ilvl w:val="2"/>
          <w:numId w:val="1"/>
        </w:numPr>
        <w:rPr/>
      </w:pPr>
      <w:bookmarkStart w:id="295" w:name="__RefHeading___Toc1391127_1067777946"/>
      <w:bookmarkStart w:id="296" w:name="_Toc113"/>
      <w:bookmarkEnd w:id="294"/>
      <w:bookmarkEnd w:id="295"/>
      <w:r>
        <w:rPr/>
        <w:t>4</w:t>
      </w:r>
      <w:r>
        <w:rPr>
          <w:rtl w:val="true"/>
        </w:rPr>
        <w:t xml:space="preserve">- </w:t>
      </w:r>
      <w:r>
        <w:rPr>
          <w:rtl w:val="true"/>
        </w:rPr>
        <w:t>نظرية الكسب بين التفسير ، والتكامل ، والإبطال</w:t>
      </w:r>
      <w:bookmarkEnd w:id="296"/>
    </w:p>
    <w:p>
      <w:pPr>
        <w:pStyle w:val="Heading4"/>
        <w:numPr>
          <w:ilvl w:val="3"/>
          <w:numId w:val="1"/>
        </w:numPr>
        <w:rPr/>
      </w:pPr>
      <w:bookmarkStart w:id="297" w:name="__RefHeading___Toc1391129_1067777946"/>
      <w:bookmarkStart w:id="298" w:name="_Toc114"/>
      <w:bookmarkEnd w:id="297"/>
      <w:r>
        <w:rPr>
          <w:rtl w:val="true"/>
        </w:rPr>
        <w:t>اشارة</w:t>
      </w:r>
      <w:bookmarkEnd w:id="298"/>
    </w:p>
    <w:p>
      <w:pPr>
        <w:pStyle w:val="BookText"/>
        <w:rPr/>
      </w:pPr>
      <w:r>
        <w:rPr>
          <w:rFonts w:ascii="Amiri" w:hAnsi="Amiri" w:eastAsia="Amiri" w:cs="Amiri"/>
          <w:color w:val="111111"/>
          <w:sz w:val="28"/>
          <w:sz w:val="28"/>
          <w:szCs w:val="28"/>
          <w:rtl w:val="true"/>
          <w:lang w:bidi="ar-SA"/>
        </w:rPr>
        <w:t xml:space="preserve">قد تعرفت على أنّ القول بالتوحيد في الخالقية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يعبّر عنه اليوم بعموم القدرة والإرادة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بالتفسير الذي قام به أهل الحديث والأشاعرة ، صار ذا مضاعفات عديدة ، أهمها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الإنسان مجبوراً لا مختاراً ، مسيّراً لا مخيّراً ، غير مسئول عن عمله وفعله ، لأنّ الفعل فعل الله لا فعله ، وهو خالقه وموجده وليس له دور ، سوى كونه وعاءً لفعل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تعرّفت على أنّ الشيخ الأشعري قد وقف على ما يترتب على تفسيره من النتائج الفاسدة ، حاول أن يتخلّص من ذلك المأزق بطرح نظرية الكسب حتّى يكون للإنسان دور في مجال أفعاله وأعماله فصار سهم الخالق هو الإيجاد والإنشاء وسهم الإنسان هو الكسب والاكتساب ، والثواب والعقاب على الكسب</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مرّت على النظرية مراحل مختلفة عبر أجيال ، وذلك لأنّ باذر الفكرة وغارسها مرّ عليها بإجمال دون أن يفسّرها ويبيّنها ، فأخذ روّاد منهج الأشعري بتبيينها وتفسيرها تارة ، وتطويرها وإكمالها ثانياً ، إلى أن وصلت النوبة إلى العقول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الحرّة ، فأنكروها وأبطلوها وصرّحوا بأنّها نظرية لا تسمن ولا تغني من جوع وانّ المضاعفات والتوالي الفاسدة باقية بحالها ، فها نحن نشرح كلّ واحد من هذه المراحل في فصل خاص حتى تسهل الإحاطة بها</w:t>
      </w:r>
      <w:r>
        <w:rPr>
          <w:rFonts w:eastAsia="Amiri" w:cs="Amiri" w:ascii="Amiri" w:hAnsi="Amiri"/>
          <w:color w:val="111111"/>
          <w:sz w:val="28"/>
          <w:szCs w:val="28"/>
          <w:rtl w:val="true"/>
          <w:lang w:bidi="ar-SA"/>
        </w:rPr>
        <w:t xml:space="preserve">. </w:t>
      </w:r>
      <w:bookmarkStart w:id="299" w:name="pg11047_102631"/>
    </w:p>
    <w:p>
      <w:pPr>
        <w:pStyle w:val="Heading4"/>
        <w:numPr>
          <w:ilvl w:val="3"/>
          <w:numId w:val="1"/>
        </w:numPr>
        <w:rPr/>
      </w:pPr>
      <w:bookmarkStart w:id="300" w:name="__RefHeading___Toc1391131_1067777946"/>
      <w:bookmarkStart w:id="301" w:name="_Toc115"/>
      <w:bookmarkEnd w:id="299"/>
      <w:bookmarkEnd w:id="300"/>
      <w:r>
        <w:rPr>
          <w:rtl w:val="true"/>
        </w:rPr>
        <w:t>المرحلة الأُولى</w:t>
      </w:r>
      <w:r>
        <w:rPr>
          <w:rtl w:val="true"/>
        </w:rPr>
        <w:t xml:space="preserve">: </w:t>
      </w:r>
      <w:r>
        <w:rPr>
          <w:rtl w:val="true"/>
        </w:rPr>
        <w:t>في تبيين النظرية وتفسيرها</w:t>
      </w:r>
      <w:bookmarkEnd w:id="301"/>
    </w:p>
    <w:p>
      <w:pPr>
        <w:pStyle w:val="Heading5"/>
        <w:numPr>
          <w:ilvl w:val="4"/>
          <w:numId w:val="1"/>
        </w:numPr>
        <w:rPr/>
      </w:pPr>
      <w:bookmarkStart w:id="302" w:name="__RefHeading___Toc1391133_1067777946"/>
      <w:bookmarkStart w:id="303" w:name="_Toc116"/>
      <w:bookmarkEnd w:id="302"/>
      <w:r>
        <w:rPr>
          <w:rtl w:val="true"/>
        </w:rPr>
        <w:t>اشارة</w:t>
      </w:r>
      <w:bookmarkEnd w:id="303"/>
    </w:p>
    <w:p>
      <w:pPr>
        <w:pStyle w:val="BookText"/>
        <w:rPr/>
      </w:pPr>
      <w:r>
        <w:rPr>
          <w:rFonts w:ascii="Amiri" w:hAnsi="Amiri" w:eastAsia="Amiri" w:cs="Amiri"/>
          <w:color w:val="111111"/>
          <w:sz w:val="28"/>
          <w:sz w:val="28"/>
          <w:szCs w:val="28"/>
          <w:rtl w:val="true"/>
          <w:lang w:bidi="ar-SA"/>
        </w:rPr>
        <w:t xml:space="preserve">يظهر من غير واحد من كُتّاب تاريخ العقائد والمناهج الكلامية انّ الإمام الأشعري لم يكن مبتكراً لنظرية الكسب ، بل لها جذور في كلمات من سبق عليه كجهم بن صفوان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وضرار بن عمرو العيني الذي يعدّ من رجال منتصف القرن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القاضي عبد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جهم بن صفوان ذهب إلى أنّ أفعال العباد لا تتعلّق بنا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نحن كالظروف لها ، حتى أنّ ما خلق فينا كان وإن لم يخلق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ضرار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متعلّقة بنا ومحتاجة إلينا ، ولكن جهة الحاجة إنّما هي الكسب ، فقد شارك جهماً في المذهب وزاد عليه في الإحالة</w:t>
      </w:r>
      <w:r>
        <w:rPr>
          <w:rFonts w:eastAsia="Amiri" w:cs="Amiri" w:ascii="Amiri" w:hAnsi="Amiri"/>
          <w:color w:val="111111"/>
          <w:sz w:val="28"/>
          <w:szCs w:val="28"/>
          <w:rtl w:val="true"/>
          <w:lang w:bidi="ar-SA"/>
        </w:rPr>
        <w:t xml:space="preserve">. </w:t>
      </w:r>
      <w:r>
        <w:rPr>
          <w:rStyle w:val="FootnoteAnchor"/>
          <w:rtl w:val="true"/>
        </w:rPr>
        <w:footnoteReference w:id="144"/>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الشيخ الأشعري نقل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مقالات الإسلاميّين واختلاف المصلّين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ضرار بن عمرو ممّن كان يذهب إلى أنّ العبد كاسب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فارق ضرار بن عمرو به المعتزلة ،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أعمال العباد مخلوقة وانّ فعلاً واحداً لفاعلين أحدهما خَلَقَه وهو الله ، والآخر اكتسبه وهو العبد ، وانّ الله عزّ وجلّ فاعل لأفعال العباد في </w:t>
      </w:r>
      <w:bookmarkStart w:id="304" w:name="pg11047_102632"/>
    </w:p>
    <w:p>
      <w:pPr>
        <w:pStyle w:val="BookText"/>
        <w:rPr/>
      </w:pPr>
      <w:bookmarkEnd w:id="304"/>
      <w:r>
        <w:rPr>
          <w:rFonts w:ascii="Amiri" w:hAnsi="Amiri" w:eastAsia="Amiri" w:cs="Amiri"/>
          <w:color w:val="111111"/>
          <w:sz w:val="28"/>
          <w:sz w:val="28"/>
          <w:szCs w:val="28"/>
          <w:rtl w:val="true"/>
          <w:lang w:bidi="ar-SA"/>
        </w:rPr>
        <w:t>الحقيقة ، وهم فاعلون لها في الحقيقة</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وقد نقل العلاّمة الحلّي نظرية الكسب عمّن تقدّم على الشيخ الأشعري كالنجّار وحفص الفرد</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فسواء أكانت النظرية للإمام الأشعري أم لغيره ، فقد مرّت عليها مراحل أُولاها ، مرحلة التبيين والتفسير حتى تخرج عن الإبهام والغموض</w:t>
      </w:r>
      <w:r>
        <w:rPr>
          <w:rFonts w:eastAsia="Amiri" w:cs="Amiri" w:ascii="Amiri" w:hAnsi="Amiri"/>
          <w:color w:val="111111"/>
          <w:sz w:val="28"/>
          <w:szCs w:val="28"/>
          <w:rtl w:val="true"/>
          <w:lang w:bidi="ar-SA"/>
        </w:rPr>
        <w:t>.</w:t>
      </w:r>
    </w:p>
    <w:p>
      <w:pPr>
        <w:pStyle w:val="Heading5"/>
        <w:numPr>
          <w:ilvl w:val="4"/>
          <w:numId w:val="1"/>
        </w:numPr>
        <w:rPr/>
      </w:pPr>
      <w:bookmarkStart w:id="305" w:name="__RefHeading___Toc1391135_1067777946"/>
      <w:bookmarkStart w:id="306" w:name="_Toc117"/>
      <w:bookmarkEnd w:id="305"/>
      <w:r>
        <w:rPr>
          <w:rtl w:val="true"/>
        </w:rPr>
        <w:t>مرحلة التبيين</w:t>
      </w:r>
      <w:bookmarkEnd w:id="306"/>
    </w:p>
    <w:p>
      <w:pPr>
        <w:pStyle w:val="BookText"/>
        <w:rPr/>
      </w:pPr>
      <w:r>
        <w:rPr>
          <w:rFonts w:ascii="Amiri" w:hAnsi="Amiri" w:eastAsia="Amiri" w:cs="Amiri"/>
          <w:color w:val="111111"/>
          <w:sz w:val="28"/>
          <w:sz w:val="28"/>
          <w:szCs w:val="28"/>
          <w:rtl w:val="true"/>
          <w:lang w:bidi="ar-SA"/>
        </w:rPr>
        <w:t xml:space="preserve">قد حاول غير واحد من أعيان الأشاعرة ، أن يرفع النقاب عن وجه النظرية منهم الغزالي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مشاهير الأشاعرة في أواخر القرن الخامس وأوائل القرن السادس فقام بإيضاحها بكلام مبسوط يتلخّص في العنوان التالي </w:t>
      </w:r>
      <w:r>
        <w:rPr>
          <w:rFonts w:eastAsia="Amiri" w:cs="Amiri" w:ascii="Amiri" w:hAnsi="Amiri"/>
          <w:color w:val="111111"/>
          <w:sz w:val="28"/>
          <w:szCs w:val="28"/>
          <w:rtl w:val="true"/>
          <w:lang w:bidi="ar-SA"/>
        </w:rPr>
        <w:t>:</w:t>
      </w:r>
    </w:p>
    <w:p>
      <w:pPr>
        <w:pStyle w:val="Heading5"/>
        <w:numPr>
          <w:ilvl w:val="4"/>
          <w:numId w:val="1"/>
        </w:numPr>
        <w:rPr/>
      </w:pPr>
      <w:bookmarkStart w:id="307" w:name="__RefHeading___Toc1391137_1067777946"/>
      <w:bookmarkStart w:id="308" w:name="_Toc118"/>
      <w:bookmarkEnd w:id="307"/>
      <w:r>
        <w:rPr/>
        <w:t>1</w:t>
      </w:r>
      <w:r>
        <w:rPr>
          <w:rtl w:val="true"/>
        </w:rPr>
        <w:t xml:space="preserve">. </w:t>
      </w:r>
      <w:r>
        <w:rPr>
          <w:rtl w:val="true"/>
        </w:rPr>
        <w:t>الكسب صدور الفعل من الله ، عند حدوث القدرة في العبد</w:t>
      </w:r>
      <w:bookmarkEnd w:id="308"/>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المجبرة إلى إنكار قدرة العبد فلزمها إنكار ضرورة التفرقة بين حركة الرعدة ، والحركة الاختيارية ، ولزمها أيضاً استحالة تكاليف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وذهبت المعتزلة إلى إنكار تعلّق قدرة الله تعالى بأفعال العباد من الحيوانات والملائكة والجن والإنس والشياطين ، وزعمت أنّ جميع ما يصدر منها ، من خلق العباد واختراعهم ، لا قدرة الله تعالى عليها بنفي ولا إيجاب ، فلزمتها شناعتان عظيمتان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ما أطبق عليه السلف من أنّه لا خالق إلاّ الله ، ولا مخترع سواه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الاختراع والخلق إلى قدرة من لا يعلم ما خلقه ، كأعمال النحل والعنكبوت وغيرهما من الحيوانات التي تقوم بأعاجيب الأعمال وغرائبها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الحقّ إثبات القدرتين على فعل واحد ، والقول بمقدور منسوب إلى قادرين ، فلا يبقى إلاّ استبعاد توارد القدرتين على فعل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إنّما يبعد إذا كان تعلّق القدرتين على وجه واحد ، فإن اختلفت القدرتان ، واختلف وجه تعلّقهما فتوارد التعلّقين على شيء واحد غير محال ، كما نبيّنه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حاول بيان تغاير الجهتين ، وحاصل ما أفاد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الجهة الموجودة في تعلّق قدرته سبحانه على الفعل غير الجهة الموجودة في تعلّق قدرة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والجهة في الأُولى جهة إيجادية تكون نتيجتُها وقوعَ الفعل في الخارج ، وحصوله في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والجهة في القدرة الثانية جهة أُخرى ، وهي صدور الفعل من الله سبحانه عند حدوث القدرة في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فلأجل ذلك تُسمّى الأُولى خالقاً ومخترعاً ، دون الثانية ، فاستعير لهذا النمط من النسبة اسم الكسب تيمّناً بكتاب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توضيح مرامه وإليك نصّ عبارته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كانت القدرة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قدرة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والمقدور جميعاً بقدرة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خالقاً ومخترعاً ، ولمّا لم يكن المقدور بقدرة العبد وإن كان معه ، فلم يسمّ خالقاً ولا مخترعاً</w:t>
      </w:r>
      <w:r>
        <w:rPr>
          <w:rFonts w:eastAsia="Amiri" w:cs="Amiri" w:ascii="Amiri" w:hAnsi="Amiri"/>
          <w:color w:val="111111"/>
          <w:sz w:val="28"/>
          <w:szCs w:val="28"/>
          <w:rtl w:val="true"/>
          <w:lang w:bidi="ar-SA"/>
        </w:rPr>
        <w:t xml:space="preserve">. </w:t>
      </w:r>
      <w:r>
        <w:rPr>
          <w:rStyle w:val="FootnoteAnchor"/>
          <w:rtl w:val="true"/>
        </w:rPr>
        <w:footnoteReference w:id="147"/>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اعترض على نفسه بما هذا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تصحّ تسمية القدرة المخلوقة في العبد قدرة ، إذا لم يكن لها تعلّق بالمقدور ، فإنّ تعلق القدرة بالمقدور ليس إلاّ من جهة التأثير والإيجاد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وحصول المقدور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التعلّق ليس مقصوراً على الوقوع بها ، بل هناك تعلّق آخر غير الوقوع ، نظير تعلّق الإرادة بالمراد ، </w:t>
      </w:r>
    </w:p>
    <w:p>
      <w:pPr>
        <w:pStyle w:val="BookText"/>
        <w:rPr/>
      </w:pPr>
      <w:r>
        <w:rPr>
          <w:rFonts w:ascii="Amiri" w:hAnsi="Amiri" w:eastAsia="Amiri" w:cs="Amiri"/>
          <w:color w:val="111111"/>
          <w:sz w:val="28"/>
          <w:sz w:val="28"/>
          <w:szCs w:val="28"/>
          <w:rtl w:val="true"/>
          <w:lang w:bidi="ar-SA"/>
        </w:rPr>
        <w:t>والعلم بالمعلوم ، فإنّهما يتعلّقان بمتعلّقهما بتعلّق ، غير الوقوع ضرورة أنّ العلم ليس علّة للمعلوم ، فإذا لا بدّ من إثبات أمر آخر من التعلّق سوى الوقوع</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 xml:space="preserve">وقد قام التفتازاني بتفسير الجهتين في شرح مقاصده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بطل الجبر المحض بالضرورة ، وكون العبد خالقاً لأفعاله بالدليل ، وجب الاقتصاد في الاعتقاد ، وهو انّها مقدورة بقدرة الله تعالى اختراعاً وبقدرة العبد على وجه آخر من التعلّق يعبّر عنه بالاكتساب وليس من ضرورة ، تعلّق القدرة بالمقدور أن يكون على وجه الاختراع</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 xml:space="preserve">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الغزالي لم يأت في تفسير نظرية الكسب بأمر جديد ولم يزد التفتازاني شيئاً على بيانه ، وحاصله يتلخّص في كلمتين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دور قدرة العبد ليس إلاّ دور المقارنة ، فعند حدوث القدرة في العبد يقوم سبحانه بخلق الفعل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للتعلّق أنواعاً ولا تنحصر في الإيجاد والوجود ، والإيقاع والوقوع ، بل هناك جهة أُخرى يُعبّر عنها بالكسب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فالعبد مصدر لهذه الجهة ، وبذلك يسمّى كاسباً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هذا التطويل فالإشكال باق بحاله ، فإنّ وقوع الفعل مقارناً لقدرة العبد ، لا يُصحّح نسبة الفعل إلى العبد ، ولا تحمّل مسئوليته ، فإنّ نسبة المقارن إلى المقارن كنسبة تكلم الإنسان إلى نزول المطر في الصحراء ، فإذا لم يكن لقدرة العبد تأثير في وقوع الفعل ، كيف يصحّ في منطق العقل التفكيك بين الحركة الاختيارية ، والحركة الاضطرارية؟ والغزالي بكلامه هذا نقض ما ذكره في صدر البحث حيث </w:t>
      </w:r>
      <w:bookmarkStart w:id="309" w:name="pg11047_102635"/>
    </w:p>
    <w:p>
      <w:pPr>
        <w:pStyle w:val="BookText"/>
        <w:rPr/>
      </w:pPr>
      <w:bookmarkEnd w:id="309"/>
      <w:r>
        <w:rPr>
          <w:rFonts w:ascii="Amiri" w:hAnsi="Amiri" w:eastAsia="Amiri" w:cs="Amiri"/>
          <w:color w:val="111111"/>
          <w:sz w:val="28"/>
          <w:sz w:val="28"/>
          <w:szCs w:val="28"/>
          <w:rtl w:val="true"/>
          <w:lang w:bidi="ar-SA"/>
        </w:rPr>
        <w:t>ردّ على المجبّرة بوجدان الفرق بين الحركتين ، وهذا الفرق لا يتعقّل إلاّ في ظل تأثير قدرة العبد على الوقوع والوجود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وأضعف من ذلك تنزيل تعلّق قدرة العبد بتعلّق العلم على المعلوم ، مع أنّ واقعية العلم وماهيته هي الكشف التابع للمكشوف ، فلا يصحّ أن يكون مؤثّراً في المعلوم وموجداً له ، ولكن واقعية القدرة والسلطة ، واقعية الإفاضة والإيجاد ، فلا يتصوّر خلعها عن التأثير مع فرضه قدرة كاملة وبصورة علّة تامّة</w:t>
      </w:r>
      <w:r>
        <w:rPr>
          <w:rFonts w:eastAsia="Amiri" w:cs="Amiri" w:ascii="Amiri" w:hAnsi="Amiri"/>
          <w:color w:val="111111"/>
          <w:sz w:val="28"/>
          <w:szCs w:val="28"/>
          <w:rtl w:val="true"/>
          <w:lang w:bidi="ar-SA"/>
        </w:rPr>
        <w:t>.</w:t>
      </w:r>
    </w:p>
    <w:p>
      <w:pPr>
        <w:pStyle w:val="Heading5"/>
        <w:numPr>
          <w:ilvl w:val="4"/>
          <w:numId w:val="1"/>
        </w:numPr>
        <w:rPr/>
      </w:pPr>
      <w:bookmarkStart w:id="310" w:name="__RefHeading___Toc1391139_1067777946"/>
      <w:bookmarkStart w:id="311" w:name="_Toc119"/>
      <w:bookmarkEnd w:id="310"/>
      <w:r>
        <w:rPr/>
        <w:t>2</w:t>
      </w:r>
      <w:r>
        <w:rPr>
          <w:rtl w:val="true"/>
        </w:rPr>
        <w:t xml:space="preserve">. </w:t>
      </w:r>
      <w:r>
        <w:rPr>
          <w:rtl w:val="true"/>
        </w:rPr>
        <w:t xml:space="preserve">الكسب </w:t>
      </w:r>
      <w:r>
        <w:rPr>
          <w:rtl w:val="true"/>
        </w:rPr>
        <w:t xml:space="preserve">: </w:t>
      </w:r>
      <w:r>
        <w:rPr>
          <w:rtl w:val="true"/>
        </w:rPr>
        <w:t>توجه قدرة العبد صوب الفعل عند صدوره من الله</w:t>
      </w:r>
      <w:bookmarkEnd w:id="311"/>
    </w:p>
    <w:p>
      <w:pPr>
        <w:pStyle w:val="BookText"/>
        <w:rPr/>
      </w:pPr>
      <w:r>
        <w:rPr>
          <w:rFonts w:ascii="Amiri" w:hAnsi="Amiri" w:eastAsia="Amiri" w:cs="Amiri"/>
          <w:color w:val="111111"/>
          <w:sz w:val="28"/>
          <w:sz w:val="28"/>
          <w:szCs w:val="28"/>
          <w:rtl w:val="true"/>
          <w:lang w:bidi="ar-SA"/>
        </w:rPr>
        <w:t xml:space="preserve">قام التفتازاني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792712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العقائد النسفية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بتفسير الكسب بالوجه التالي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صرف العبد قدرته وإرادته إلى الفعل كسب ، وإيجاد الله تعالى الفعلَ عقيب ذلك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والمقدور الواحد داخل تحت قدرتين ، لكن بجهتين مختلفتين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فالفعل مقدور الله تعالى بجهة الإيجاد ، ومقدور العبد بجهة الكسب ، وهذا القدر من المعنى ضروري وإن لم نقدر على أزيد من ذلك في تلخيص العبارة المفصحة عن تحقيق كون فعل العبد بخلق الله تعالى وإيجاده ، مع ما فيه للعبد من القدرة والاختيار</w:t>
      </w:r>
      <w:r>
        <w:rPr>
          <w:rFonts w:eastAsia="Amiri" w:cs="Amiri" w:ascii="Amiri" w:hAnsi="Amiri"/>
          <w:color w:val="111111"/>
          <w:sz w:val="28"/>
          <w:szCs w:val="28"/>
          <w:rtl w:val="true"/>
          <w:lang w:bidi="ar-SA"/>
        </w:rPr>
        <w:t xml:space="preserve">. </w:t>
      </w:r>
      <w:r>
        <w:rPr>
          <w:rStyle w:val="FootnoteAnchor"/>
          <w:rtl w:val="true"/>
        </w:rPr>
        <w:footnoteReference w:id="150"/>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ويقرب من ذلك ما في متن المواقف للعضدي وشرحه للشريف الجرجاني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التكليف والتأديب والبعثة والدعوة فانّها قد تكون دواعي للعبد ، إلى الفعل واختياره ، فيخلق الله الفعل عقيبها عادة وباعتبار ذلك الاختيار المترتب على الدواعي يصير الفعل طاعة إذا وافق ما دعاه الشرع إليه ومعصية إذا خالفه ويصير علامة للثواب والعقاب</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 xml:space="preserve">ويرد على ما ذكروه انّ العزم والإرادة والاختيار من الأُمور الوجودية الممكنة فمن خالقها أهو الله سبحانه ، أم العبد؟ وعلى الأوّل يلزم الجبر وعلى الثاني ينتقص القاعدة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في الخالقية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نظرية الكسب بلغت من الإبهام إلى حد أنّ القمة من مشايخ الأشاعرة كالتفتازاني يعترف بعجزه عن تفسيرها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لم نقدر على أزيد من ذلك في تلخيص العبارة المفصحة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هنا تمت المرحلة الأُولى من المراحل </w:t>
      </w:r>
      <w:r>
        <w:rPr>
          <w:rStyle w:val="FootnoteAnchor"/>
          <w:rtl w:val="true"/>
        </w:rPr>
        <w:footnoteReference w:id="152"/>
      </w:r>
      <w:r>
        <w:rPr>
          <w:rFonts w:ascii="Amiri" w:hAnsi="Amiri" w:eastAsia="Amiri" w:cs="Amiri"/>
          <w:color w:val="111111"/>
          <w:sz w:val="28"/>
          <w:sz w:val="28"/>
          <w:szCs w:val="28"/>
          <w:rtl w:val="true"/>
          <w:lang w:bidi="ar-SA"/>
        </w:rPr>
        <w:t xml:space="preserve">التي مرّت على نظرية الكسب ، وهنا من سلك مسلك العلمين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الغزالي والتفتازاني في تفسير النظرية ، أعرضنا عن نقله روماً للاختصار ، وحان وقت الانتقال إلى المرحلة الثانية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التطوير والتكامل</w:t>
      </w:r>
      <w:r>
        <w:rPr>
          <w:rFonts w:eastAsia="Amiri" w:cs="Amiri" w:ascii="Amiri" w:hAnsi="Amiri"/>
          <w:color w:val="111111"/>
          <w:sz w:val="28"/>
          <w:szCs w:val="28"/>
          <w:rtl w:val="true"/>
          <w:lang w:bidi="ar-SA"/>
        </w:rPr>
        <w:t xml:space="preserve">. </w:t>
      </w:r>
      <w:bookmarkStart w:id="312" w:name="pg11047_102637"/>
    </w:p>
    <w:p>
      <w:pPr>
        <w:pStyle w:val="Heading4"/>
        <w:numPr>
          <w:ilvl w:val="3"/>
          <w:numId w:val="1"/>
        </w:numPr>
        <w:rPr/>
      </w:pPr>
      <w:bookmarkStart w:id="313" w:name="__RefHeading___Toc1391141_1067777946"/>
      <w:bookmarkStart w:id="314" w:name="_Toc120"/>
      <w:bookmarkEnd w:id="312"/>
      <w:bookmarkEnd w:id="313"/>
      <w:r>
        <w:rPr>
          <w:rtl w:val="true"/>
        </w:rPr>
        <w:t>المرحلة الثانية</w:t>
      </w:r>
      <w:r>
        <w:rPr>
          <w:rtl w:val="true"/>
        </w:rPr>
        <w:t xml:space="preserve">: </w:t>
      </w:r>
      <w:r>
        <w:rPr>
          <w:rtl w:val="true"/>
        </w:rPr>
        <w:t>مرحلة التطوير والتكامل</w:t>
      </w:r>
      <w:bookmarkEnd w:id="314"/>
    </w:p>
    <w:p>
      <w:pPr>
        <w:pStyle w:val="Heading5"/>
        <w:numPr>
          <w:ilvl w:val="4"/>
          <w:numId w:val="1"/>
        </w:numPr>
        <w:rPr/>
      </w:pPr>
      <w:bookmarkStart w:id="315" w:name="__RefHeading___Toc1391143_1067777946"/>
      <w:bookmarkStart w:id="316" w:name="_Toc121"/>
      <w:bookmarkEnd w:id="315"/>
      <w:r>
        <w:rPr>
          <w:rtl w:val="true"/>
        </w:rPr>
        <w:t>اشارة</w:t>
      </w:r>
      <w:bookmarkEnd w:id="316"/>
    </w:p>
    <w:p>
      <w:pPr>
        <w:pStyle w:val="BookText"/>
        <w:rPr/>
      </w:pPr>
      <w:r>
        <w:rPr>
          <w:rFonts w:ascii="Amiri" w:hAnsi="Amiri" w:eastAsia="Amiri" w:cs="Amiri"/>
          <w:color w:val="111111"/>
          <w:sz w:val="28"/>
          <w:sz w:val="28"/>
          <w:szCs w:val="28"/>
          <w:rtl w:val="true"/>
          <w:lang w:bidi="ar-SA"/>
        </w:rPr>
        <w:t xml:space="preserve">قد يرى الباحث في كلمات الأشاعرة في هذه المرحلة معاني ومفاهيم جديدة حول نظرية الكسب على وجه يخرجها عن الإبهام الذي كان يصحب النظرية في المرحلة الأُولى ، حتى كانت النظرية موصوفة باللغز كما في قول القائل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ممّا يقال ولا حقيقة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معقولة تدنو إلى الأفهام</w:t>
      </w:r>
    </w:p>
    <w:p>
      <w:pPr>
        <w:pStyle w:val="BookText"/>
        <w:rPr/>
      </w:pPr>
      <w:r>
        <w:rPr>
          <w:rFonts w:ascii="Amiri" w:hAnsi="Amiri" w:eastAsia="Amiri" w:cs="Amiri"/>
          <w:color w:val="111111"/>
          <w:sz w:val="28"/>
          <w:sz w:val="28"/>
          <w:szCs w:val="28"/>
          <w:rtl w:val="true"/>
          <w:lang w:bidi="ar-SA"/>
        </w:rPr>
        <w:t xml:space="preserve">الكسب عند الأشعري والحال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البهشمي وطفرة النظام </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 xml:space="preserve">فعدّ الشاعرُ نظريةَ الكسب في إحاطة الإبهام بها في عداد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أبي هاشم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دليل على قصور النظرية وعدم كفايتها لحلّ العقدة ، وهناك كلام متين للقاضي عبد الجبار نأتي بنصه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فساد المذهب قد يكون بأحد طريقين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يُبيّن فساده بالدلالة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يُبيّن أنّه غير معقول في نفسه ، وإذا ثبت أنّه غير معقول في </w:t>
      </w:r>
    </w:p>
    <w:p>
      <w:pPr>
        <w:pStyle w:val="BookText"/>
        <w:rPr/>
      </w:pPr>
      <w:r>
        <w:rPr>
          <w:rFonts w:ascii="Amiri" w:hAnsi="Amiri" w:eastAsia="Amiri" w:cs="Amiri"/>
          <w:color w:val="111111"/>
          <w:sz w:val="28"/>
          <w:sz w:val="28"/>
          <w:szCs w:val="28"/>
          <w:rtl w:val="true"/>
          <w:lang w:bidi="ar-SA"/>
        </w:rPr>
        <w:t xml:space="preserve">نفسه ، كفيت نفسَك مئونة الكلام عليه ، لأنّ الكلام على ما لا يعقل لا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يبيّن لك صحّة ما نقوله أنّه لو كان معقولاً لكان يجب أن يعقله مخالفو المجبّرة في ذلك ، من الزيدية والمعتزلة والخوارج والإمامية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دواعيهم متوافرة ، وحرصهم شديد في البحث عن هذا المعنى ، فلمّا لم يوجد في واحد من هذه الطوائف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مذاهبهم ، وتنائي ديارهم ، وتباعد أوطانهم ، وطول مجادلتهم في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ادّعى أنّه عقل هذا المعنى أو ظنّه أو توهّمه ، دلّ على أنّ ذلك ممّا لا يمكن اعتقاده والإخبار عنه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وأحد ما يدلّ على أنّ الكسب غير معقول ، هو أنّه لو كان معقولاً لوجب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عقله أهل اللغة وعبروا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يعقله غيرهم من أرباب اللغات ، وأن يضعوا له عبارة تُنبئ عن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لم يوجد شيء من اللغات ما يفيد هذه الفائدة ، دلّ على أنّه غير معقول</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 xml:space="preserve">قال الشيخ المفيد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ثلاثة أشياء لا تُعقل ، وقد اجتهد المتكلّمون في تحصيل معانيها من معتقديها بكلّ حيلة فلم يظفروا منهم إلاّ بعبارات يتناقض المعنى فيها على مفهوم الكلام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اتحاد النصرانية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كسب النجارية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أحوال البهشمية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ارتاب فيما ذكرناه في هذا الباب فليتوصل إلى إيراد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واحد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معقول ، والفرق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بينها في التناقض والفساد ، ليعلم أنّ </w:t>
      </w:r>
    </w:p>
    <w:p>
      <w:pPr>
        <w:pStyle w:val="BookText"/>
        <w:rPr/>
      </w:pPr>
      <w:r>
        <w:rPr>
          <w:rFonts w:ascii="Amiri" w:hAnsi="Amiri" w:eastAsia="Amiri" w:cs="Amiri"/>
          <w:color w:val="111111"/>
          <w:sz w:val="28"/>
          <w:sz w:val="28"/>
          <w:szCs w:val="28"/>
          <w:rtl w:val="true"/>
          <w:lang w:bidi="ar-SA"/>
        </w:rPr>
        <w:t>خلاف ما حكمنا به هو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وهيهات</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 xml:space="preserve">ولأجل وجود هذا النقص الواضح حول النظرية حاول بعض روّاد الأشاعرة الذين قامت بهم خيمة هذا المنهج وأشادوا بنيانه ، ورفعوا قوائمه ، ان يُفسّر النظرية مزيجة بشيء من التطوير والإكمال حتّى يخرج عن عداد الأحوال لأبي هاشم أو الطفرة للنظام ، واذكر منهم الأقطاب الثلاثة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بكر محمد الطيب القاضي المعروف بابن الباقلاني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القاضي الباقلاني من أئمّة الأشاعرة ، فقد بذل وسعه في دعم المنهج الأشعري والذب عنه بحماس ولو لا القاضي وبعض أترابه ، كابن فورك الاصفهاني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للمنهج الأشعري نصيب من السعة والشمول ، وقد اعتنقه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يومنا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عامّة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أهل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أضفى القاضي على نظرية الكسب مفهوماً جديداً ، صحّ أن يعبر عنه بالتطوير ، وقال ما هذا حاصله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قد قام على أنّ القدرة الحادثة لا تصلح للإيجاد ، لكن ليست الأفعال أو وجوهها واعتباراتها تقتصر على وجهة الحدوث فقط ، بل هاهنا وجوه أُخرى هي وراء الحدوث</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عدّة من الجهات والاعتبارات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يفرّق فرقاً ضرورياً بين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أوجد ، وبين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وصام وقعد وقام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لا يجوز أن تضاف إلى الباري تعالى جهة ما يضاف إلى العبد ، فكذلك لا يجوز أن تضاف إلى العبد ، جهة </w:t>
      </w:r>
    </w:p>
    <w:p>
      <w:pPr>
        <w:pStyle w:val="BookText"/>
        <w:rPr/>
      </w:pPr>
      <w:r>
        <w:rPr>
          <w:rFonts w:ascii="Amiri" w:hAnsi="Amiri" w:eastAsia="Amiri" w:cs="Amiri"/>
          <w:color w:val="111111"/>
          <w:sz w:val="28"/>
          <w:sz w:val="28"/>
          <w:szCs w:val="28"/>
          <w:rtl w:val="true"/>
          <w:lang w:bidi="ar-SA"/>
        </w:rPr>
        <w:t>ما يضاف إلى الباري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فأثبت القاضي تأثيراً للقدرة الحادثة ، وأثرها هو الحالة الخاصة ، وهو جهة من جهات الفعل ، حصلت نتيجة تعلّق القدرة الحادثة بالفعل ، وتلك الجهة هي المتعيّنة لأن تكون مقابلة بالثواب والعقاب ، فإنّ الوجود من حيث هو وجود لا يُستحق عليه ثواب وعقاب ، خصوصاً على أصل المعتزلة ، فإنّ جهة الحسن والقبح هي التي تقابل بالجزاء ، والحسن والقبح صفتان ذاتيتان وراء الوجود ، فالوجود من حيث هو وجود ليس بحسن ولا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جاز لكم إثبات صفتين هما حالتان ، جاز لي إثبات حالة هي متعلّق القدرة الحادثة ، ومن قال هي حالة مجهولة ، فبيّنا بقدر الإمكان جهتها ، وعرفنا أي شيء هي ، ومثلناها كيف هي</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 xml:space="preserve">وحاصل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قمنا بتلخيصه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أنّ للقدرة الحادثة تأثيراً في حدوث العناوين والخصوصيات التي هي ملاك الثواب والعقاب ، وهذه العناوين وليدة قدرة العبد ، حادثة بها ، وإن كان وجود الفعل حادثاً بقدرته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فوجود الفعل مخلوق لله سبحانه ، لكن تعنونه بعنوان الصوم والصلاة والأكل والشرب راجع إلى العبد والقدرة الحادثة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العناوين والجهات التي صارت ملاكاً للطاعة والعصيان لا تخلو من صورتين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تكون من الأُمور الوجودية وعندئذ تكون مخلوقة لله سبحانه حسب الأصل المسلم</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وإمّا أن تكون من الأُمور العدمية فعندئذ لا تكون للكسب واقعية خارجية ، بل يكون أمراً ذهنياً غنياً عن الإيجاد والقدرة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ذلك كيف يكون ملاكاً للثواب </w:t>
      </w:r>
      <w:bookmarkStart w:id="317" w:name="pg11047_102641"/>
    </w:p>
    <w:p>
      <w:pPr>
        <w:pStyle w:val="BookText"/>
        <w:rPr/>
      </w:pPr>
      <w:bookmarkEnd w:id="317"/>
      <w:r>
        <w:rPr>
          <w:rFonts w:ascii="IRNazanin" w:hAnsi="IRNazanin" w:eastAsia="IRNazanin"/>
          <w:color w:val="111111"/>
          <w:sz w:val="28"/>
          <w:sz w:val="28"/>
          <w:szCs w:val="28"/>
          <w:rtl w:val="true"/>
          <w:lang w:bidi="fa-IR"/>
        </w:rPr>
        <w:t>والعقاب؟</w:t>
      </w:r>
    </w:p>
    <w:p>
      <w:pPr>
        <w:pStyle w:val="BookText"/>
        <w:rPr/>
      </w:pPr>
      <w:r>
        <w:rPr>
          <w:rFonts w:ascii="Amiri" w:hAnsi="Amiri" w:eastAsia="Amiri" w:cs="Amiri"/>
          <w:color w:val="111111"/>
          <w:sz w:val="28"/>
          <w:sz w:val="28"/>
          <w:szCs w:val="28"/>
          <w:rtl w:val="true"/>
          <w:lang w:bidi="ar-SA"/>
        </w:rPr>
        <w:t xml:space="preserve">وباختصار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واقعية الكسب إمّا واقعية خارجية موصوفة بالوجود فحينئذ يكون مخلوقاً لله سبحانه ، ولا يكون للعبد نصيب في الفعل ، أو لا تكون له تلك الواقعية بل يكون أمراً وهمياً ذهنياً ، فحينئذ لا يكون العبد مصدراً لشيء حتّى يثاب عليه أو يعاقب</w:t>
      </w:r>
      <w:r>
        <w:rPr>
          <w:rFonts w:eastAsia="Amiri" w:cs="Amiri" w:ascii="Amiri" w:hAnsi="Amiri"/>
          <w:color w:val="111111"/>
          <w:sz w:val="28"/>
          <w:szCs w:val="28"/>
          <w:rtl w:val="true"/>
          <w:lang w:bidi="ar-SA"/>
        </w:rPr>
        <w:t>.</w:t>
      </w:r>
    </w:p>
    <w:p>
      <w:pPr>
        <w:pStyle w:val="Heading5"/>
        <w:numPr>
          <w:ilvl w:val="4"/>
          <w:numId w:val="1"/>
        </w:numPr>
        <w:rPr/>
      </w:pPr>
      <w:bookmarkStart w:id="318" w:name="__RefHeading___Toc1391145_1067777946"/>
      <w:bookmarkStart w:id="319" w:name="_Toc122"/>
      <w:bookmarkEnd w:id="318"/>
      <w:r>
        <w:rPr/>
        <w:t>2</w:t>
      </w:r>
      <w:r>
        <w:rPr>
          <w:rtl w:val="true"/>
        </w:rPr>
        <w:t xml:space="preserve">. </w:t>
      </w:r>
      <w:r>
        <w:rPr>
          <w:rtl w:val="true"/>
        </w:rPr>
        <w:t xml:space="preserve">كمال الدين بن همام </w:t>
      </w:r>
      <w:r>
        <w:rPr>
          <w:rtl w:val="true"/>
        </w:rPr>
        <w:t>(</w:t>
      </w:r>
      <w:r>
        <w:rPr/>
        <w:t>861789</w:t>
      </w:r>
      <w:r>
        <w:rPr>
          <w:rtl w:val="true"/>
        </w:rPr>
        <w:t xml:space="preserve"> </w:t>
      </w:r>
      <w:r>
        <w:rPr>
          <w:rtl w:val="true"/>
        </w:rPr>
        <w:t>ه</w:t>
      </w:r>
      <w:r>
        <w:rPr>
          <w:rtl w:val="true"/>
        </w:rPr>
        <w:t>)</w:t>
      </w:r>
      <w:bookmarkEnd w:id="319"/>
    </w:p>
    <w:p>
      <w:pPr>
        <w:pStyle w:val="BookText"/>
        <w:rPr/>
      </w:pPr>
      <w:r>
        <w:rPr>
          <w:rFonts w:ascii="Amiri" w:hAnsi="Amiri" w:eastAsia="Amiri" w:cs="Amiri"/>
          <w:color w:val="111111"/>
          <w:sz w:val="28"/>
          <w:sz w:val="28"/>
          <w:szCs w:val="28"/>
          <w:rtl w:val="true"/>
          <w:lang w:bidi="ar-SA"/>
        </w:rPr>
        <w:t xml:space="preserve">إنّ كمال الدين محمد بن همام الدين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المسايرة في العقائد المنجية في الآخرة</w:t>
      </w:r>
      <w:r>
        <w:rPr>
          <w:rFonts w:eastAsia="Amiri" w:cs="Amiri" w:ascii="Amiri" w:hAnsi="Amiri"/>
          <w:color w:val="111111"/>
          <w:sz w:val="28"/>
          <w:szCs w:val="28"/>
          <w:rtl w:val="true"/>
          <w:lang w:bidi="ar-SA"/>
        </w:rPr>
        <w:t xml:space="preserve">» </w:t>
      </w:r>
      <w:r>
        <w:rPr>
          <w:rStyle w:val="FootnoteAnchor"/>
          <w:rtl w:val="true"/>
        </w:rPr>
        <w:footnoteReference w:id="157"/>
      </w:r>
      <w:r>
        <w:rPr>
          <w:rFonts w:ascii="Amiri" w:hAnsi="Amiri" w:eastAsia="Amiri" w:cs="Amiri"/>
          <w:color w:val="111111"/>
          <w:sz w:val="28"/>
          <w:sz w:val="28"/>
          <w:szCs w:val="28"/>
          <w:rtl w:val="true"/>
          <w:lang w:bidi="ar-SA"/>
        </w:rPr>
        <w:t xml:space="preserve">تخلّص من المأزق بالقول بتخصيص ما دلّ على حصر الخالقية بالله ، بعزم العبد وقصده ، فكلّ شيء مخلوق لله سبحانه وهو خالقه إلاّ عزم العبد على الطاعة والعصيان فالخالق هو العبد ، وإليك نصّه في ذلك المجال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انّه تعالى خلق للعبد قدرة على الأفعال ، ولذا يدرك تفرقة ضرورية بين الحركة المقدورة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براهين وجوب استناد كلّ الحوادث ، إلى القدرة القديمة بالإيجاد ، إنّما تلجئ إلى القول بتعلّق القدرة بالفعل بلا تأثير ، لو لم تكن عمومات تحتمل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إذا وجد ما يوجب التخصيص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الأمر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المخصّص أمر عقلي ، هو أنّ إرادة العموم فيها يستلزم الجبر المحض ، المستلزم لضياع التكليف وبطلان الأمر والنهي</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أوضح ذلك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عرّف الله تعالى العبد العاقل أفعالَ الخير والشر ، ثمّ خلق له قدرة أمكنه بها من الفعل والترك ، ثمّ كلّفه بالإتيان بالخير ووعده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وترك الشر وأوعده عليه ، بناء على ذلك الإقدار لم يوجب ذلك نقصاً في الألوهية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غاية ما فيه أنّه أقدره على بعض مقدوراته لحكمة صحّة التكليف واتجاه الأمر والنهي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السمع ورد بما يقتضي نسبة الكلّ إليه تعالى بالإيجاد وقطعها عن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فلنفي الجبر المحض وصحّة التكليف وجب التخصيص ، وهو لا يتوقّف على نسبة جميع أفعال العباد إليهم بالإيجاد ، بل يكفي لنفيه أن يقال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جميع ما يتوقف عليه أفعال الجوارح من الحركات ، وكذا التروك التي هي أفعال النفس من الميل والداعية التي تدعو والاختيار ، بخلق الله تعالى ، لا تأثير لقدرة العبد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محلّ قدرته ، عزمه عقيب خلق الله تعالى هذه الأُمور في باطنه عزماً مصمّماً بلا تردّد ، فإذا أوجد العبد ذلك العزم ، خلق الله تعالى له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منسوباً إليه تعالى من حيث هو حرّكه ، وإلى العبد من حيث هو زنى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ذلك العزم الكائن بقدرة العبد المخلوقة لله تعالى ، صحّ تكليفه وثوابه وعقابه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وكفى في التخصيص تصحيح التكليف هذا الأمر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العزم المصمّم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سواه ممّا لا يحصى من الأفعال الجزئية والتروك كلّها مخلوقة لله تعالى ومتأثّرة عن قدرته ابتداءً بلا واسطة القدرة الحادثة</w:t>
      </w:r>
      <w:r>
        <w:rPr>
          <w:rFonts w:eastAsia="Amiri" w:cs="Amiri" w:ascii="Amiri" w:hAnsi="Amiri"/>
          <w:color w:val="111111"/>
          <w:sz w:val="28"/>
          <w:szCs w:val="28"/>
          <w:rtl w:val="true"/>
          <w:lang w:bidi="ar-SA"/>
        </w:rPr>
        <w:t xml:space="preserve">. </w:t>
      </w:r>
      <w:r>
        <w:rPr>
          <w:rStyle w:val="FootnoteAnchor"/>
          <w:rtl w:val="true"/>
        </w:rPr>
        <w:footnoteReference w:id="158"/>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المجيب تصوّر أنّ القول بانحصار الخلق بالله سبحانه يستند إلى دليل سمعي قابل للتخصيص كسائر عمومات الكتاب والسنّة في الأحكام الشرعية والسنن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القول به يستند إلى برهان عقلي غير قابل للتخصيص ، وهو أنّ الممكن في ذاته وفعله قائم بالله سبحانه ، متدلّ به ، وليس يملك لنفسه ذاتاً ولا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ذلك بين الأفعال الخارجية والأفعال القلبية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العزم والجزم فالكلّ ممكن ، والممكن يحتاج إلى واجب في وجوده </w:t>
      </w:r>
      <w:bookmarkStart w:id="320" w:name="pg11047_102643"/>
    </w:p>
    <w:p>
      <w:pPr>
        <w:pStyle w:val="BookText"/>
        <w:rPr/>
      </w:pPr>
      <w:bookmarkEnd w:id="320"/>
      <w:r>
        <w:rPr>
          <w:rFonts w:ascii="Amiri" w:hAnsi="Amiri" w:eastAsia="Amiri" w:cs="Amiri"/>
          <w:color w:val="111111"/>
          <w:sz w:val="28"/>
          <w:sz w:val="28"/>
          <w:szCs w:val="28"/>
          <w:rtl w:val="true"/>
          <w:lang w:bidi="ar-SA"/>
        </w:rPr>
        <w:t>وتحقّقه ، فينتج أنّ العزم والجزم في وجوده وتحقّقه محتاج إلى الواجب ومعلول لوجوده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كان صاحب المسايرة وأساتذته وتلامذته ممّن يفرقون بين الخلقين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على وجه الاستقلال وخلق على النحو التبعي لما صعب عليهم المقام</w:t>
      </w:r>
      <w:r>
        <w:rPr>
          <w:rFonts w:eastAsia="Amiri" w:cs="Amiri" w:ascii="Amiri" w:hAnsi="Amiri"/>
          <w:color w:val="111111"/>
          <w:sz w:val="28"/>
          <w:szCs w:val="28"/>
          <w:rtl w:val="true"/>
          <w:lang w:bidi="ar-SA"/>
        </w:rPr>
        <w:t>.</w:t>
      </w:r>
    </w:p>
    <w:p>
      <w:pPr>
        <w:pStyle w:val="Heading5"/>
        <w:numPr>
          <w:ilvl w:val="4"/>
          <w:numId w:val="1"/>
        </w:numPr>
        <w:rPr/>
      </w:pPr>
      <w:bookmarkStart w:id="321" w:name="__RefHeading___Toc1391147_1067777946"/>
      <w:bookmarkStart w:id="322" w:name="_Toc123"/>
      <w:bookmarkEnd w:id="321"/>
      <w:r>
        <w:rPr/>
        <w:t>3</w:t>
      </w:r>
      <w:r>
        <w:rPr>
          <w:rtl w:val="true"/>
        </w:rPr>
        <w:t xml:space="preserve">. </w:t>
      </w:r>
      <w:r>
        <w:rPr>
          <w:rtl w:val="true"/>
        </w:rPr>
        <w:t xml:space="preserve">ابن الخطيب </w:t>
      </w:r>
      <w:r>
        <w:rPr>
          <w:rtl w:val="true"/>
        </w:rPr>
        <w:t>«</w:t>
      </w:r>
      <w:r>
        <w:rPr>
          <w:rtl w:val="true"/>
        </w:rPr>
        <w:t>قدرة الله مانعة عن قدرة العبد</w:t>
      </w:r>
      <w:r>
        <w:rPr>
          <w:rtl w:val="true"/>
        </w:rPr>
        <w:t>»</w:t>
      </w:r>
      <w:bookmarkEnd w:id="322"/>
    </w:p>
    <w:p>
      <w:pPr>
        <w:pStyle w:val="BookText"/>
        <w:rPr/>
      </w:pPr>
      <w:r>
        <w:rPr>
          <w:rFonts w:ascii="Amiri" w:hAnsi="Amiri" w:eastAsia="Amiri" w:cs="Amiri"/>
          <w:color w:val="111111"/>
          <w:sz w:val="28"/>
          <w:sz w:val="28"/>
          <w:szCs w:val="28"/>
          <w:rtl w:val="true"/>
          <w:lang w:bidi="ar-SA"/>
        </w:rPr>
        <w:t xml:space="preserve">إنّ لسان الدين ابن الخطيب يرى أنّ الكسب فعل يخلقه الله في العبد ، كما يخلق القدرة والإرادة والعلم فيضاف الفعل إلى الله خلقاً لأنّه خالقه ، وإلى العبد كسباً لأنّه محله الذي قام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الطاعة والمعصية للعبد من حيث الكسب ، ولا طاعة ولا معصية من حيث الخلق ، والخلق لا يصحّ أن يضاف إلى العبد ، لأنّه إيجاد من عدم والفعل موجود بالقدرة القديمة لعموم تعلّق القدرة الحادثة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فالقدرة الحادثة تتعلق ولا تؤثّر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القدرة الحادثة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تصلح للتأثير لو لا المانع وهو وجود القدرة القديمة ، لأنّهما إذا تواردتا لم يكن للقدرة الحادثة تأثير</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 xml:space="preserve">وحاصل هذه النظرية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لقدرة العبد شأناً في التأثير لو لا المانع ، ولكن وجود القدرة القديمة مانع عن تأثير قدرة العبد الحادثة ، ولو لا سبق القدرة القديمة لكان المجال للقدرة الحادثة مفتوحاً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يلاحظ عليه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دور الإنسان في مجال أفعاله دور الظرف والمحل ، فلا معنى </w:t>
      </w:r>
    </w:p>
    <w:p>
      <w:pPr>
        <w:pStyle w:val="BookText"/>
        <w:rPr/>
      </w:pPr>
      <w:r>
        <w:rPr>
          <w:rFonts w:ascii="Amiri" w:hAnsi="Amiri" w:eastAsia="Amiri" w:cs="Amiri"/>
          <w:color w:val="111111"/>
          <w:sz w:val="28"/>
          <w:sz w:val="28"/>
          <w:szCs w:val="28"/>
          <w:rtl w:val="true"/>
          <w:lang w:bidi="ar-SA"/>
        </w:rPr>
        <w:t>لإلقاء المسئولية في الشرائع السماوية والأنظمة البشرية على عاتقه ، لأنّ مكان الفعل لا يكون مسئولاً عن الفعل المحقّق فيه ، وقد صرح صاحب النظرية بكون الإنسان محلاً لإعمال قدرته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جاء في هذا البيان يغاير ما عليه الأشعري وأتباعه ، فإنّهم لا يقيمون لقدرة الإنسان وزناً ولا قيمة ، ولكن ابن الخطيب يعتقد بكونها قابلة للتأثير لو لا سبق المانع وهو القدرة القديمة ، ومع ذلك ليس بتام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لأنّ فرض المانعية لإحدى القدرتين بالنسبة إلى الأُخرى إنّما يتم لو قلنا بأنّه سبحانه هو الفاعل المباشر لكلّ ما ظهر على صفحة الوجود الإمكاني ، فعند ذاك يصحّ جميع ما تصوّر من أنّ قدرة الإنسان مغلوبة لقدرة الخالق ، ولكنّه لم يثبت ، بل الثابت خلافه ، وأنّ النظام الإمكاني نظام مؤلف من أسباب ومسببات ، وكلّ مسبب يستمد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بإذنه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تقدّمه من السبب تقدّماً زمانياً أو تقدّماً رتبياً وكمالياً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ذاك الأصل يسقط حديث مانعية إحدى القدرتين ، بل تُصبح قدرة العبد بالنسبة إلى قدرته تعالى ، مجلى لإرادته ومظهراً لمشيئته ، كيف وقد تعلّقت مشيئته بصدور فعل كلّ فاعل عن مباديه التي أفاضها عليه ، حتّى تكون النار مبدأً للحرارة عن إجبار واضطرار ، والإنسان مصدراً لأفعاله عن قدرة واختيار ، فلو قام كلّ بفعله فقد قام في الجهة الموافقة لإرادة الله لا المضادّة والمخالفة ، فقيام هؤلاء أشبه بقيام الجنود بأمر آمرهم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جُنُودُ السَّماواتِ وَالْأَرْضِ وَكانَ اللهُ عَلِيماً حَكِيماً</w:t>
      </w:r>
      <w:r>
        <w:rPr>
          <w:rFonts w:eastAsia="Amiri" w:cs="Amiri" w:ascii="Amiri" w:hAnsi="Amiri"/>
          <w:color w:val="111111"/>
          <w:sz w:val="28"/>
          <w:szCs w:val="28"/>
          <w:rtl w:val="true"/>
          <w:lang w:bidi="ar-SA"/>
        </w:rPr>
        <w:t xml:space="preserve">) </w:t>
      </w:r>
      <w:r>
        <w:rPr>
          <w:rStyle w:val="FootnoteAnchor"/>
          <w:rtl w:val="true"/>
        </w:rPr>
        <w:footnoteReference w:id="16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يَعْلَمُ جُنُودَ رَبِّكَ إِلاَّ هُوَ</w:t>
      </w:r>
      <w:r>
        <w:rPr>
          <w:rFonts w:eastAsia="Amiri" w:cs="Amiri" w:ascii="Amiri" w:hAnsi="Amiri"/>
          <w:color w:val="111111"/>
          <w:sz w:val="28"/>
          <w:szCs w:val="28"/>
          <w:rtl w:val="true"/>
          <w:lang w:bidi="ar-SA"/>
        </w:rPr>
        <w:t xml:space="preserve">). </w:t>
      </w:r>
      <w:r>
        <w:rPr>
          <w:rStyle w:val="FootnoteAnchor"/>
          <w:rtl w:val="true"/>
        </w:rPr>
        <w:footnoteReference w:id="161"/>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المحاولات والتمحّلات ناشئة عن تصوير القدرتين في عرض </w:t>
      </w:r>
    </w:p>
    <w:p>
      <w:pPr>
        <w:pStyle w:val="BookText"/>
        <w:rPr/>
      </w:pPr>
      <w:r>
        <w:rPr>
          <w:rFonts w:ascii="Amiri" w:hAnsi="Amiri" w:eastAsia="Amiri" w:cs="Amiri"/>
          <w:color w:val="111111"/>
          <w:sz w:val="28"/>
          <w:sz w:val="28"/>
          <w:szCs w:val="28"/>
          <w:rtl w:val="true"/>
          <w:lang w:bidi="ar-SA"/>
        </w:rPr>
        <w:t>واحد ، فلأجل ذلك يتصوّر تارة كون قدرته سبحانه مانعاً عن تأثير قدرة العبد ، وأُخرى بأنّه لو تعلّقت قدرة العبد على ما تعلّقت به قدرته ، يلزم توارد القدرتين على مقدور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الحقّ كون فعل العبد مقدوراً ومتعلّقاً بهما ، ولا يلزم من ذلك أيّ واحد من المحذورين ، لا محذور التزاحم والتمانع ، ولا محذور اجتماع القدرتين التامتين على مقدور واحد ، وذلك لأنّ قدرة العبد في طول قدرة الله سبحانه ، فالله سبحانه بقدرته الواسعة أوجد العبد وأودع في كيانه القدرة ، وأعطاه الإرادة والحرية والاختيار ، فلو اختار أحد الجانبين فقد أوجده بقدرة مكتسبة من الله سبحانه ، واختيار نابع عن ذاته ، وحريّة هي نفس واقعيته وشخصيته ، فالفعل منتسب إلى الله لكون العبد مع قدرته وإرادته ، وما يحفّ به من الخصوصيات ، قائم بذاته سبحانه ، متدلّية بها ، كما أنّه منتسب إلى الإنسان لكونه باختياره الذاتي وحريته النابعة من نفسه ، اختار أحد الجانبين وصرف قدرته المكتسبة في تحقّقه ، كما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رَمَيْتَ إِذْ رَمَيْتَ وَلكِنَّ اللهَ رَمى</w:t>
      </w:r>
      <w:r>
        <w:rPr>
          <w:rFonts w:eastAsia="Amiri" w:cs="Amiri" w:ascii="Amiri" w:hAnsi="Amiri"/>
          <w:color w:val="111111"/>
          <w:sz w:val="28"/>
          <w:szCs w:val="28"/>
          <w:rtl w:val="true"/>
          <w:lang w:bidi="ar-SA"/>
        </w:rPr>
        <w:t xml:space="preserve">) </w:t>
      </w:r>
      <w:r>
        <w:rPr>
          <w:rStyle w:val="FootnoteAnchor"/>
          <w:rtl w:val="true"/>
        </w:rPr>
        <w:footnoteReference w:id="16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تَشاؤُنَ إِلاَّ أَنْ يَشاءَ اللهُ</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فنفى عنه الرمي بعد إثباته له ، وأثبت له المشيئة في ظل المشيئة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جاء في هذه الآيات من المعارف الإلهية لا يصل إليها إلاّ المتأمّل في آي الذكر الحكيم ، وما نشر عن 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حولها ، وعليه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فالفعل فعل الله وهو فعلنا</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نفسه ، وإذا ثبت أنّه غير معقول في</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لنا والفعل فعل الله وهو فعلنا</w:t>
      </w:r>
      <w:bookmarkStart w:id="323" w:name="pg11047_102646"/>
    </w:p>
    <w:p>
      <w:pPr>
        <w:pStyle w:val="Heading3"/>
        <w:numPr>
          <w:ilvl w:val="2"/>
          <w:numId w:val="1"/>
        </w:numPr>
        <w:rPr/>
      </w:pPr>
      <w:bookmarkStart w:id="324" w:name="__RefHeading___Toc1391149_1067777946"/>
      <w:bookmarkStart w:id="325" w:name="_Toc124"/>
      <w:bookmarkEnd w:id="323"/>
      <w:bookmarkEnd w:id="324"/>
      <w:r>
        <w:rPr>
          <w:rtl w:val="true"/>
        </w:rPr>
        <w:t>المرحلة الثالثة</w:t>
      </w:r>
      <w:r>
        <w:rPr>
          <w:rtl w:val="true"/>
        </w:rPr>
        <w:t xml:space="preserve">: </w:t>
      </w:r>
      <w:r>
        <w:rPr>
          <w:rtl w:val="true"/>
        </w:rPr>
        <w:t>مرحلة الإنكار والإبطال</w:t>
      </w:r>
      <w:bookmarkEnd w:id="325"/>
    </w:p>
    <w:p>
      <w:pPr>
        <w:pStyle w:val="Heading4"/>
        <w:numPr>
          <w:ilvl w:val="3"/>
          <w:numId w:val="1"/>
        </w:numPr>
        <w:rPr/>
      </w:pPr>
      <w:bookmarkStart w:id="326" w:name="__RefHeading___Toc1391151_1067777946"/>
      <w:bookmarkStart w:id="327" w:name="_Toc125"/>
      <w:bookmarkEnd w:id="326"/>
      <w:r>
        <w:rPr>
          <w:rtl w:val="true"/>
        </w:rPr>
        <w:t>اشارة</w:t>
      </w:r>
      <w:bookmarkEnd w:id="327"/>
    </w:p>
    <w:p>
      <w:pPr>
        <w:pStyle w:val="BookText"/>
        <w:rPr/>
      </w:pPr>
      <w:r>
        <w:rPr>
          <w:rFonts w:ascii="Amiri" w:hAnsi="Amiri" w:eastAsia="Amiri" w:cs="Amiri"/>
          <w:color w:val="111111"/>
          <w:sz w:val="28"/>
          <w:sz w:val="28"/>
          <w:szCs w:val="28"/>
          <w:rtl w:val="true"/>
          <w:lang w:bidi="ar-SA"/>
        </w:rPr>
        <w:t xml:space="preserve">قد تعرّفت على المرحلتين المتقدّمتين اللتين مرّتا على نظرية الكسب وهي فيهما بين التبيين والتطوير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مشايخ الأشاعرة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عفا الله عنّا وعنهم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بذلوا جهودهم الحثيثة لإيضاحها وتطويرها ، ولكنّهم لم يأتوا بشيء يسمن ويغني من جوع ، أو يروي الغليل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الأمر على هذه الحالة إلى أن بعث الله رجالاً أبطالاً أدركوا خطورة الموقف ، وجفاف النظرية ومضاعفاتها السيّئة ، فنفضوا غبار التقليد عن عقولهم ، وتفكّراتهم ، ونظروا إلى الموضوع نظر متحرّر عن كلّ رأي مسبق ، فجعلوا لقدرة الإنسان نصيباً في أفعاله وأعماله ، منهم </w:t>
      </w:r>
      <w:r>
        <w:rPr>
          <w:rFonts w:eastAsia="Amiri" w:cs="Amiri" w:ascii="Amiri" w:hAnsi="Amiri"/>
          <w:color w:val="111111"/>
          <w:sz w:val="28"/>
          <w:szCs w:val="28"/>
          <w:rtl w:val="true"/>
          <w:lang w:bidi="ar-SA"/>
        </w:rPr>
        <w:t>:</w:t>
      </w:r>
    </w:p>
    <w:p>
      <w:pPr>
        <w:pStyle w:val="Heading4"/>
        <w:numPr>
          <w:ilvl w:val="3"/>
          <w:numId w:val="1"/>
        </w:numPr>
        <w:rPr/>
      </w:pPr>
      <w:bookmarkStart w:id="328" w:name="__RefHeading___Toc1391153_1067777946"/>
      <w:bookmarkStart w:id="329" w:name="_Toc126"/>
      <w:bookmarkEnd w:id="328"/>
      <w:r>
        <w:rPr/>
        <w:t>1</w:t>
      </w:r>
      <w:r>
        <w:rPr>
          <w:rtl w:val="true"/>
        </w:rPr>
        <w:t xml:space="preserve">. </w:t>
      </w:r>
      <w:r>
        <w:rPr>
          <w:rtl w:val="true"/>
        </w:rPr>
        <w:t xml:space="preserve">إمام الحرمين الجويني </w:t>
      </w:r>
      <w:r>
        <w:rPr>
          <w:rtl w:val="true"/>
        </w:rPr>
        <w:t>(</w:t>
      </w:r>
      <w:r>
        <w:rPr>
          <w:rtl w:val="true"/>
        </w:rPr>
        <w:t xml:space="preserve">المتوفّى </w:t>
      </w:r>
      <w:r>
        <w:rPr/>
        <w:t>478</w:t>
      </w:r>
      <w:r>
        <w:rPr>
          <w:rtl w:val="true"/>
        </w:rPr>
        <w:t xml:space="preserve"> </w:t>
      </w:r>
      <w:r>
        <w:rPr>
          <w:rtl w:val="true"/>
        </w:rPr>
        <w:t>ه</w:t>
      </w:r>
      <w:r>
        <w:rPr>
          <w:rtl w:val="true"/>
        </w:rPr>
        <w:t xml:space="preserve">) </w:t>
      </w:r>
      <w:r>
        <w:rPr>
          <w:rtl w:val="true"/>
        </w:rPr>
        <w:t>نسبة الفعل إلى قدرة العبد حقيقة</w:t>
      </w:r>
      <w:bookmarkEnd w:id="329"/>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أبا المعالي المعروف بإمام الحرمين ، ذهب إلى أنّ لقدرة العباد تأثيراً في أفعالهم ، وأنّ قدرتهم ستنتهي إلى قدرة الله سبحانه وإقداره ، وأنّ عالم الكون مجموعة من الأسباب والمسبّبات ، وكلّ مسبّب يستمد من سببه المقدّم عليه ، وفي الوقت نفسه ، ذاك السبب يستمد من آخر ، إلى أن يصل إلى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وإليك نص عبارته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نفي هذه القدرة والاستطاعة ممّا يأباه العقل والحس ، وأمّا إثبات قدرة لا أثر لها بوجه ، فهو كنفي القدرة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إثبات تأثير في حالة لا يفعل ، فهو كنفي التأثير ، فلا بدّ إذاً من نسبة فعل العبد إلى قدرته حقيقة لا على وجه الإحداث والخلق ، فإنّ الخلق يشعر باستقلال إيجاده من العدم ، والإنسان كما يحسُّ من نفسه الاقتدار ، يحسّ من نفسه أيضاً عدم الاستقلال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فالفعل يستند وجوده إلى القدرة ، والقدرة يستند وجودها إلى سبب آخر تكون نسبة القدرة إلى ذلك السبب ، كنسبة الفعل إلى القدرة ، وكذلك يستند سبب إلى سبب آخر حتّى ينتهي إلى مسبب الأسباب ، وهو الخالق للأسباب ، ومسبباتها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المستغني على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 سبب مهما استغنى من وجه ، محتاج من وجه ، والباري تعالى هو الغني المطلق الذي لا حاجة له ولا فقر</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 xml:space="preserve">قال الشهرستاني بعد ما نقل كلامه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الرأي إنّما أخذه من الحكماء الإلهيّين ، وأبرزه في معرض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تختص نسبة السبب إلى المسبّب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بالفعل والقدرة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قدرة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كلّ ما يوجد من الحوادث فذلك حكمة ، وحينئذ يلزم القول بالطبع وتأثير الأجسام في الأجسام إيجاداً ، وتأثير الطبائع في الطبائع إحداثاً ، وليس ذلك مذهب الإسلاميّين ، كيف ، ورأي المحقّقين من العلماء أنّ الجسم لا يؤثر في الجسم</w:t>
      </w:r>
      <w:r>
        <w:rPr>
          <w:rFonts w:eastAsia="Amiri" w:cs="Amiri" w:ascii="Amiri" w:hAnsi="Amiri"/>
          <w:color w:val="111111"/>
          <w:sz w:val="28"/>
          <w:szCs w:val="28"/>
          <w:rtl w:val="true"/>
          <w:lang w:bidi="ar-SA"/>
        </w:rPr>
        <w:t xml:space="preserve">. </w:t>
      </w:r>
      <w:r>
        <w:rPr>
          <w:rStyle w:val="FootnoteAnchor"/>
          <w:rtl w:val="true"/>
        </w:rPr>
        <w:footnoteReference w:id="166"/>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ما علّقه الشهرستاني على كلام إمام الحرمين وآخذه عليه ، وهو غير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المراد من العلّية الطبيعية بين الأجسام والمظاهر المادية ، ليس هو الإيجاد والإحداث من كتم العدم ، بل المراد هو تفاعل الأجسام والطبائع ، بعضها </w:t>
      </w:r>
    </w:p>
    <w:p>
      <w:pPr>
        <w:pStyle w:val="BookText"/>
        <w:rPr/>
      </w:pPr>
      <w:r>
        <w:rPr>
          <w:rFonts w:ascii="Amiri" w:hAnsi="Amiri" w:eastAsia="Amiri" w:cs="Amiri"/>
          <w:color w:val="111111"/>
          <w:sz w:val="28"/>
          <w:sz w:val="28"/>
          <w:szCs w:val="28"/>
          <w:rtl w:val="true"/>
          <w:lang w:bidi="ar-SA"/>
        </w:rPr>
        <w:t>مع بعض بإذنه سبحانه ، كانقلاب الماء إلى البخار ، والمواد الأرضية إلى الأزهار والأشجار ، وغير ذلك ممّا كشف عنه الحسّ والعلم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الصور الطارئة على الطبائع عند التفاعل والانقلاب كصور الزَّهْر والشجر ، فليست مستندة إلى نفس الطبائع ، بل الطبائع معدات وممهدات لنزول هذه الصور من علل عليا ، كشف عنها الذكر الحكيم عند ما صرح بأنّ لعالم الكون مدبرات يدبرونه بإذنه سبحانه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فَالْمُدَبِّراتِ أَمْراً</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 xml:space="preserve">إنّ كون العبد فاعلاً لفعله ، وعالم الطبائع مؤثراً في آثاره فإنّما هو بمعنى كونهما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به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منه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وكم من فرق بين التعبيرين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اعترف بالتأثير فقد اعترف بالمعنى الأوّل والسببية الناقصة ، لا بالمعنى الثاني ، أعني إفاضة الوجود ، والخلق بالمعنى القائم بالله سبحانه ، فإنّ الخلق فيض يُبتدئ منه سبحانه ، ويجري في القوابل والقوالب فيتجلّى في كلّ مورد بصورة وشكل ، والإنسان بما أنّه مجبول على الاختيار ، يصرف باختياره ما أُفيض عليه في مكان دون مكان وفي صورة دون 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ليس لغيره من الطبائع إلاّ طريق واحد وتجلّ فارد</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وأظن أنّ الشهرستاني لو وقف على الفرق بين الفاعلين ، لما اعترض على كلام إمام الحرمين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ليس من مذهب الإسلاميين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ليس من مذاهب الحنابلة والأشاعرة ، وأمّا العدلية بعامة طوائفها فهم قائلون بذلك ، وقد عرفت قضاء القرآن والعقل في ذاك المجال</w:t>
      </w:r>
      <w:r>
        <w:rPr>
          <w:rFonts w:eastAsia="Amiri" w:cs="Amiri" w:ascii="Amiri" w:hAnsi="Amiri"/>
          <w:color w:val="111111"/>
          <w:sz w:val="28"/>
          <w:szCs w:val="28"/>
          <w:rtl w:val="true"/>
          <w:lang w:bidi="ar-SA"/>
        </w:rPr>
        <w:t xml:space="preserve">. </w:t>
      </w:r>
      <w:bookmarkStart w:id="330" w:name="pg11047_102649"/>
    </w:p>
    <w:p>
      <w:pPr>
        <w:pStyle w:val="Heading4"/>
        <w:numPr>
          <w:ilvl w:val="3"/>
          <w:numId w:val="1"/>
        </w:numPr>
        <w:rPr/>
      </w:pPr>
      <w:bookmarkStart w:id="331" w:name="__RefHeading___Toc1391155_1067777946"/>
      <w:bookmarkStart w:id="332" w:name="_Toc127"/>
      <w:bookmarkEnd w:id="330"/>
      <w:bookmarkEnd w:id="331"/>
      <w:r>
        <w:rPr/>
        <w:t>2</w:t>
      </w:r>
      <w:r>
        <w:rPr>
          <w:rtl w:val="true"/>
        </w:rPr>
        <w:t xml:space="preserve">. </w:t>
      </w:r>
      <w:r>
        <w:rPr>
          <w:rtl w:val="true"/>
        </w:rPr>
        <w:t xml:space="preserve">أحمد بن تيمية </w:t>
      </w:r>
      <w:r>
        <w:rPr>
          <w:rtl w:val="true"/>
        </w:rPr>
        <w:t>(</w:t>
      </w:r>
      <w:r>
        <w:rPr/>
        <w:t>662</w:t>
      </w:r>
      <w:r>
        <w:rPr>
          <w:rtl w:val="true"/>
        </w:rPr>
        <w:t xml:space="preserve"> - </w:t>
      </w:r>
      <w:r>
        <w:rPr/>
        <w:t>728</w:t>
      </w:r>
      <w:r>
        <w:rPr>
          <w:rtl w:val="true"/>
        </w:rPr>
        <w:t xml:space="preserve"> </w:t>
      </w:r>
      <w:r>
        <w:rPr>
          <w:rtl w:val="true"/>
        </w:rPr>
        <w:t>ه</w:t>
      </w:r>
      <w:r>
        <w:rPr>
          <w:rtl w:val="true"/>
        </w:rPr>
        <w:t xml:space="preserve">) </w:t>
      </w:r>
      <w:r>
        <w:rPr>
          <w:rtl w:val="true"/>
        </w:rPr>
        <w:t>يعترف بتأثر قدرة العبد</w:t>
      </w:r>
      <w:bookmarkEnd w:id="332"/>
    </w:p>
    <w:p>
      <w:pPr>
        <w:pStyle w:val="BookText"/>
        <w:rPr/>
      </w:pPr>
      <w:r>
        <w:rPr>
          <w:rFonts w:ascii="Amiri" w:hAnsi="Amiri" w:eastAsia="Amiri" w:cs="Amiri"/>
          <w:color w:val="111111"/>
          <w:sz w:val="28"/>
          <w:sz w:val="28"/>
          <w:szCs w:val="28"/>
          <w:rtl w:val="true"/>
          <w:lang w:bidi="ar-SA"/>
        </w:rPr>
        <w:t>إنّ أحمد بن تيمية من دعاة السلفية في القرن الثامن ، وهو الذي أحيا مذهب السلف ، بعد اندراسه ، ودعا إليه بحماس وخالف الرأي العام في مسائل عديدة في العقائد والفقه ، وأخذ برأي أهل الحديث في عامّة الموارد ، حتّى في إجلاسه سبحانه فوق عرشه ، ووصفه بأنّ له أطيطاً كأطيط الرحل ، إلاّ أنّه خالفهم في تأثير العلل الطبيعية وقدرة العبد واستطاعته ، وأنّما عدل عن آرائهم في هذا الموضوع وأخذ برأي العدلية من الإمامية والمعتزلة لأجل قوة البراهين التي أقامها العلاّمة الحلي رداً على قول الأشاعرة بأنّه لا دور للعبد في أفعاله ، وذلك لأنّ مقالة مثل هذه تستلزم أشياء شنيعة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يجد ابن تيمية محيصاً إلاّ العدول عن رأي أهل الحديث والانسلاك في صفوف العدلية ، وممّا يقضى به العجب انّه نسب مختاره إلى جمهور أهل السنّة المثبتين للقدر ، وكأنّ الإمام أحمد أو الإمام الأشعري ليسا من أئمة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تقدير ، فهذا نصّ كلامه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جمهور أهل السنّة المثبتين للقدر ، لا يقولون بما ذكره ، بل جمهورهم يقولون بأنّ العبد فاعل حقيقة ، وأنّ له قدرة حقيقية واستطاعة حقيقية ، وهم لا ينكرون تأثير الأسباب الطبيعية بل يقرّون بما دلّ عليه العقل من أنّ الله تعالى يخلق السحاب بالرياح ، ويُنزّل الماء بالسحاب ويُنبِت النباتَ بالماء ، ولا يقولون بأنّ قوى الطبائع الموجودة في المخلوقات لا تأثير لها ، بل يقرون أنّ لها تأثيراً لفظاً ومعنى</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هذا القول الذي حكاه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بعض المثبتة للقدر كالأشعري ومن وافقه من الفقهاء من أصحاب مالك والشافعي وأحمد ، حيث لا </w:t>
      </w:r>
      <w:bookmarkStart w:id="333" w:name="pg11047_102650"/>
    </w:p>
    <w:p>
      <w:pPr>
        <w:pStyle w:val="BookText"/>
        <w:rPr/>
      </w:pPr>
      <w:bookmarkEnd w:id="333"/>
      <w:r>
        <w:rPr>
          <w:rFonts w:ascii="Amiri" w:hAnsi="Amiri" w:eastAsia="Amiri" w:cs="Amiri"/>
          <w:color w:val="111111"/>
          <w:sz w:val="28"/>
          <w:sz w:val="28"/>
          <w:szCs w:val="28"/>
          <w:rtl w:val="true"/>
          <w:lang w:bidi="ar-SA"/>
        </w:rPr>
        <w:t xml:space="preserve">يثبتون في المخلوقات قوى الطبائع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فعل عندها لا بها ،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قدرة العبد لا تأثير لها في الفعل ، وأبلغ من ذلك قول الأشعري بأنّ الله فاعل فعل العبد ، وأنّ عمل العبد ليس فعلاً للعبد ، بل كسب له ، وإنّما هو فعل الله ، وجمهور الناس من أهل السنّة من جميع الطوائف على خلاف ذلك ، وأنّ العبد فاعل لفعله حقيقة</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في العقائد لدى أهل السنّة ، هو الإمام أحمد ، وبعده الإمام الأشعري ، والمفروض أنّهم لا يقولون بتأثير قدرة العبد في فعله ، ومعه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أن ينسب إلى أهل السنّة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ابن تيمية من رماة القول على عواهنه فيقضي ويبرم وينقض من دون أن يصدر من مصدر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انّه ينسب إلى أهل السنّة بأنّهم لا ينكرون تأثير الأسباب الطبيعية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يقول ذلك والأزهر والأزهريون يردّدون في ألسنتهم قول القائل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يقل بالطبع أو بالعلة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كفر عند أهل الملة</w:t>
      </w:r>
    </w:p>
    <w:p>
      <w:pPr>
        <w:pStyle w:val="Heading4"/>
        <w:numPr>
          <w:ilvl w:val="3"/>
          <w:numId w:val="1"/>
        </w:numPr>
        <w:rPr/>
      </w:pPr>
      <w:bookmarkStart w:id="334" w:name="__RefHeading___Toc1391157_1067777946"/>
      <w:bookmarkStart w:id="335" w:name="_Toc128"/>
      <w:bookmarkEnd w:id="334"/>
      <w:r>
        <w:rPr/>
        <w:t>3</w:t>
      </w:r>
      <w:r>
        <w:rPr>
          <w:rtl w:val="true"/>
        </w:rPr>
        <w:t xml:space="preserve">. </w:t>
      </w:r>
      <w:r>
        <w:rPr>
          <w:rtl w:val="true"/>
        </w:rPr>
        <w:t xml:space="preserve">نظرية الشعراني </w:t>
      </w:r>
      <w:r>
        <w:rPr>
          <w:rtl w:val="true"/>
        </w:rPr>
        <w:t>(</w:t>
      </w:r>
      <w:r>
        <w:rPr/>
        <w:t>973911</w:t>
      </w:r>
      <w:r>
        <w:rPr>
          <w:rtl w:val="true"/>
        </w:rPr>
        <w:t xml:space="preserve"> </w:t>
      </w:r>
      <w:r>
        <w:rPr>
          <w:rtl w:val="true"/>
        </w:rPr>
        <w:t>ه</w:t>
      </w:r>
      <w:r>
        <w:rPr>
          <w:rtl w:val="true"/>
        </w:rPr>
        <w:t xml:space="preserve">) </w:t>
      </w:r>
      <w:r>
        <w:rPr>
          <w:rtl w:val="true"/>
        </w:rPr>
        <w:t>وتأثير قدرة العبد في فعله</w:t>
      </w:r>
      <w:bookmarkEnd w:id="335"/>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الشيخ الشعراني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اليواقيت والجواهر في بيان عقائد الأكابر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أقطاب الحديث والكلام والتصوف ، فقد أدرك بصفاء ذهنه انّ الاعتقاد بالكسب لا يتفارق الجبر قدر شعرة ، فحاول أن يعالج المسألة من طريق </w:t>
      </w:r>
    </w:p>
    <w:p>
      <w:pPr>
        <w:pStyle w:val="BookText"/>
        <w:rPr/>
      </w:pPr>
      <w:r>
        <w:rPr>
          <w:rFonts w:ascii="Amiri" w:hAnsi="Amiri" w:eastAsia="Amiri" w:cs="Amiri"/>
          <w:color w:val="111111"/>
          <w:sz w:val="28"/>
          <w:sz w:val="28"/>
          <w:szCs w:val="28"/>
          <w:rtl w:val="true"/>
          <w:lang w:bidi="ar-SA"/>
        </w:rPr>
        <w:t xml:space="preserve">الكشف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يا أخي أنّ هذه المسألة من أدقّ مسائل الأُصول وأغمضها ، ولا يُزيل إشكالها إلاّ الكشف الصوفي ، أمّا أرباب العقول من الفِرَق فهم تائهون في إدراكها ، وآراؤهم فيها مضطربة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كان أبو الحسن الأشعري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للقدرة الحادثة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قدرة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 وإنّما تعلّقها بالمقدور مثل تعلّق العلم بالمعلوم في عدم التأثير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اعترض عليه بأنّ القدرة الحادثة إذا لم يكن لها أثر فوجودها وعدمها سواء ، فإنّ قدرة لا يقع بها المقدور ، بمثابة العجز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ولقوة هذا الاعتراض لجأ أصحاب الأشعري إلى القول بالجبر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آخرون إنّ لها تأثيراً ما ، وهو اختيار الباقلاني ، لكنّه لما سئل عن كيفية هذا التأثير في حين التزامه باستقلال القدرة القديمة في خلق الأفعال ، لم يجد جواباً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نلتزم بالكسب لأنّه ثابت بالدليل ، غير أنّي لا يمكنني الإفصاح عنه بعبارة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وتمثل الشيخ أبو طاهر بقول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لم يكن إلاّ الأسنّة مركباً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رأي للمضطر إلاّ ركوبها</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ملخص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زعم أنّه لا عمل للعبد ، فقد عاند ، ومن زعم أنّه مستبد بالعمل ، فقد أشرك ؛ فلا بدّ من القول بأنّه مضطر على الاختيار</w:t>
      </w:r>
      <w:r>
        <w:rPr>
          <w:rFonts w:eastAsia="Amiri" w:cs="Amiri" w:ascii="Amiri" w:hAnsi="Amiri"/>
          <w:color w:val="111111"/>
          <w:sz w:val="28"/>
          <w:szCs w:val="28"/>
          <w:rtl w:val="true"/>
          <w:lang w:bidi="ar-SA"/>
        </w:rPr>
        <w:t xml:space="preserve">. </w:t>
      </w:r>
      <w:r>
        <w:rPr>
          <w:rStyle w:val="FootnoteAnchor"/>
          <w:rtl w:val="true"/>
        </w:rPr>
        <w:footnoteReference w:id="169"/>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 وقد أحسن الشيخ في نقد الكسب ولكن الإحالة إلى الكشف الصوفي إحالة إلى المجهول ، أو إحالة إلى إدراك شخصي لا يكون حجّة للغير</w:t>
      </w:r>
      <w:r>
        <w:rPr>
          <w:rFonts w:eastAsia="Amiri" w:cs="Amiri" w:ascii="Amiri" w:hAnsi="Amiri"/>
          <w:color w:val="111111"/>
          <w:sz w:val="28"/>
          <w:szCs w:val="28"/>
          <w:rtl w:val="true"/>
          <w:lang w:bidi="ar-SA"/>
        </w:rPr>
        <w:t xml:space="preserve">. </w:t>
      </w:r>
      <w:bookmarkStart w:id="336" w:name="pg11047_102652"/>
    </w:p>
    <w:p>
      <w:pPr>
        <w:pStyle w:val="Heading4"/>
        <w:numPr>
          <w:ilvl w:val="3"/>
          <w:numId w:val="1"/>
        </w:numPr>
        <w:rPr/>
      </w:pPr>
      <w:bookmarkStart w:id="337" w:name="__RefHeading___Toc1391159_1067777946"/>
      <w:bookmarkStart w:id="338" w:name="_Toc129"/>
      <w:bookmarkEnd w:id="336"/>
      <w:bookmarkEnd w:id="337"/>
      <w:r>
        <w:rPr/>
        <w:t>4</w:t>
      </w:r>
      <w:r>
        <w:rPr>
          <w:rtl w:val="true"/>
        </w:rPr>
        <w:t xml:space="preserve">. </w:t>
      </w:r>
      <w:r>
        <w:rPr>
          <w:rtl w:val="true"/>
        </w:rPr>
        <w:t xml:space="preserve">الشيخ عبده </w:t>
      </w:r>
      <w:r>
        <w:rPr>
          <w:rtl w:val="true"/>
        </w:rPr>
        <w:t>(</w:t>
      </w:r>
      <w:r>
        <w:rPr/>
        <w:t>13231266</w:t>
      </w:r>
      <w:r>
        <w:rPr>
          <w:rtl w:val="true"/>
        </w:rPr>
        <w:t xml:space="preserve"> </w:t>
      </w:r>
      <w:r>
        <w:rPr>
          <w:rtl w:val="true"/>
        </w:rPr>
        <w:t>ه</w:t>
      </w:r>
      <w:r>
        <w:rPr>
          <w:rtl w:val="true"/>
        </w:rPr>
        <w:t xml:space="preserve">) </w:t>
      </w:r>
      <w:r>
        <w:rPr>
          <w:rtl w:val="true"/>
        </w:rPr>
        <w:t>، وتأثير قدرة العبد في فعله</w:t>
      </w:r>
      <w:bookmarkEnd w:id="338"/>
    </w:p>
    <w:p>
      <w:pPr>
        <w:pStyle w:val="BookText"/>
        <w:rPr/>
      </w:pPr>
      <w:r>
        <w:rPr>
          <w:rFonts w:ascii="Amiri" w:hAnsi="Amiri" w:eastAsia="Amiri" w:cs="Amiri"/>
          <w:color w:val="111111"/>
          <w:sz w:val="28"/>
          <w:sz w:val="28"/>
          <w:szCs w:val="28"/>
          <w:rtl w:val="true"/>
          <w:lang w:bidi="ar-SA"/>
        </w:rPr>
        <w:t xml:space="preserve">لم نجد بين رحيل الشيخ الشعراني عام </w:t>
      </w: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عصر مفتي الديار المصرية من ينفض غبار التقليد عن تفكيره ، ولعلّ في هذه الفترة رجالاً أحراراً في التفكير ، وصلوا إلى ما وصل إليه إمام الحرمين ومن جاء بعده ، وعلى كلّ تقدير فقد خالف الشيخ محمد عبده ، الرأي السائد على الأزهر والأزهريين وقام بوجههم وصرح بتأثير قدرة العبد في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العقيدة الإسلامية في مصر تتجلّى في المذهب الأشعري وكان إنكار العلّية والمعلولية والرابطة الطبيعية بين الطبائع وآثارها من أبرز سمات ذاك المذهب ، وكان التفوّه بخلافه ، آية الإلحاد والكفر ، وقد شنّ الماديون على هذه العقيدة أُموراً ملئوا بها صحفهم وكتبهم ، منها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الإلهيّين لا يعترفون بناموس العلّية والمعلولية ، وينكرون الروابط الطبيعية بين الأشياء وآثارها ، مع أنّ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بأساليبه التجريبية المختلفة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ذلك بوضوح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الإلهيّين يعترفون بعلّة واحدة وهي الله تعالى ، وهم يقيمونه مقام جميع العلل ، وينسبون كلّ ظاهرة مادية إليه سبحانه ، وأحياناً إلى العوالم العِلْوية التي يعبّر عنها بالملك والجن والروح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الإلهيّين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قولهم بأنّ أفعال العباد مخلوقة 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يعتقدون بدور للإنسان في حياته وعيشه ، فهو مجبور في السير على الخط الذي يرسمه له خالقه ، ومكتوف الأيدي أمام تلاطم أمواج الحوادث ، فلأجل ذلك لا يؤثّر في الإنسان شيء من الأساليب التربوية ولا يغيره إلى حال</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غير ذلك من الإشكالات والمضاعفات والتوالي الفاسدة ، التي لا تقف </w:t>
      </w:r>
    </w:p>
    <w:p>
      <w:pPr>
        <w:pStyle w:val="BookText"/>
        <w:rPr/>
      </w:pPr>
      <w:r>
        <w:rPr>
          <w:rFonts w:ascii="Amiri" w:hAnsi="Amiri" w:eastAsia="Amiri" w:cs="Amiri"/>
          <w:color w:val="111111"/>
          <w:sz w:val="28"/>
          <w:sz w:val="28"/>
          <w:szCs w:val="28"/>
          <w:rtl w:val="true"/>
          <w:lang w:bidi="ar-SA"/>
        </w:rPr>
        <w:t>عند 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وقف الشيخ عبده على خطورة الموقف ، وأنّه ممّا يستحقّ أن يشتري لنفسه اللومَ والذمَ ، بل الأمرَ الأشد من ذلك ، في سبيل إظهاره الحقيقة ، حتّى يدفع الهجمات الشعواء عن وجه الإسلام والمسلمين بقوة ورصانة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قد أثّر في تفكير الشيخ عبده وأوجد فيه هذا الحافز والاندفاع ، عاملان كبيران ، كان لهما الأثر البالغ في بناء شخصيته الفكرية والفلسفية والاجتماعية والسياسية ، وهما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اطّلاعه على نهج البلاغة للإمام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منفاه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اتّصاله بالسيد المجاهد جمال الدين الأسدآبادي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ضوء هذين العاملين ، خالف الرأي العام في كثير من الموارد ، ومنها أفعال العباد ، فقال في رسالة التوحيد التي كتبها عام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للتدريس في المدارس الإسلامية في بيروت سنة إقصائه من مصر إليها وقد وقف على نهج البلاغة في منفاه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يشهد سليم العقل والحواسّ من نفسه أنّه موجود ولا يحتاج في ذلك إلى دليل يهديه ، ولا معلم يرشده ، كذلك يشهد أنّه مدرك لأعماله الاختيارية ، يزن نتائجها بعقله ، ويقدّرها بإرادته ، ثمّ يصدرها بقدرة ما فيه ، ويعد إنكار شيء من ذلك مساوياً لإنكار وجوده في مجافاته لبداهة العقل</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يشهد بذلك في نفسه يشهده أيضاً في بني نوعه كافة ، متى كانوا مثله في سلامة العقل والحواس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قامت الشرائع ، وبه استقامت التكاليف ، ومن أنكر شيئاً منه فقد أنكر مكان الإيمان من نفسه ، وهو عقله الذي شرفه الله بالخطاب في أوامره ونواهيه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أنّ الاعتقاد بكسب العبد</w:t>
      </w:r>
      <w:r>
        <w:rPr>
          <w:rFonts w:eastAsia="Amiri" w:cs="Amiri" w:ascii="Amiri" w:hAnsi="Amiri"/>
          <w:color w:val="111111"/>
          <w:sz w:val="28"/>
          <w:szCs w:val="28"/>
          <w:rtl w:val="true"/>
          <w:lang w:bidi="ar-SA"/>
        </w:rPr>
        <w:t xml:space="preserve">. </w:t>
      </w:r>
      <w:r>
        <w:rPr>
          <w:rStyle w:val="FootnoteAnchor"/>
          <w:rtl w:val="true"/>
        </w:rPr>
        <w:footnoteReference w:id="170"/>
      </w:r>
      <w:r>
        <w:rPr>
          <w:rFonts w:ascii="Amiri" w:hAnsi="Amiri" w:eastAsia="Amiri" w:cs="Amiri"/>
          <w:color w:val="111111"/>
          <w:sz w:val="28"/>
          <w:sz w:val="28"/>
          <w:szCs w:val="28"/>
          <w:rtl w:val="true"/>
          <w:lang w:bidi="ar-SA"/>
        </w:rPr>
        <w:t xml:space="preserve">لأفعاله يؤدي إلى الإشراك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الظلم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من لم يلتفت إلى معنى الإشراك على ما جاء به الكتاب والسنّة ، فالإشراك اعتقاد أنّ لغير الله أثراً فوق ما وهبه الله من الأسباب الظاهرة ، وأنّ لشيء من الأشياء سلطاناً على ما خرج عن قدرة المخلوقين ، وهو اعتقاد من يعظِّم سوى الله مستعيناً به في ما لا يقدر العبد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جاءت الشريعة لتقرير أمرين عظيمين ، هما ركنا السعادة وقوام الأعمال البشرية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يكسب بإرادته وقدرته ما هو وسيلة لسعادته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قدرة الله هي مرجع لجميع الكائنات ، وإنّ من آثارها ما يحول بين العبد وبين إنفاذ ما يريده ، وإنّ لا شيء سوى الله يمكن له أن يمدّ العبد بالمعونة فيما لم يبلغه كسبه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كلّفه سبحانه أن يرفع همّته إلى استمداد العون منه وحده ، بعد أن يكون قد أفرغ ما عنده من الجهد في تصحيح الفكر وإجادة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الذي قرّرناه قد اهتدى إليه سلف الأُمّة ، فقاموا من الأعمال بما عجبت له الأُمم ، وعوّل عليه من متأخّري أهل النظر إمام الحرمين الجويني ، وإن أنكر عليه بعض من لم يفهمه</w:t>
      </w:r>
      <w:r>
        <w:rPr>
          <w:rFonts w:eastAsia="Amiri" w:cs="Amiri" w:ascii="Amiri" w:hAnsi="Amiri"/>
          <w:color w:val="111111"/>
          <w:sz w:val="28"/>
          <w:szCs w:val="28"/>
          <w:rtl w:val="true"/>
          <w:lang w:bidi="ar-SA"/>
        </w:rPr>
        <w:t xml:space="preserve">. </w:t>
      </w:r>
      <w:r>
        <w:rPr>
          <w:rStyle w:val="FootnoteAnchor"/>
          <w:rtl w:val="true"/>
        </w:rPr>
        <w:footnoteReference w:id="171"/>
      </w:r>
      <w:bookmarkStart w:id="339" w:name="pg11047_102655"/>
    </w:p>
    <w:p>
      <w:pPr>
        <w:pStyle w:val="Heading4"/>
        <w:numPr>
          <w:ilvl w:val="3"/>
          <w:numId w:val="1"/>
        </w:numPr>
        <w:rPr/>
      </w:pPr>
      <w:bookmarkStart w:id="340" w:name="__RefHeading___Toc1391161_1067777946"/>
      <w:bookmarkStart w:id="341" w:name="_Toc130"/>
      <w:bookmarkEnd w:id="339"/>
      <w:bookmarkEnd w:id="340"/>
      <w:r>
        <w:rPr/>
        <w:t>5</w:t>
      </w:r>
      <w:r>
        <w:rPr>
          <w:rtl w:val="true"/>
        </w:rPr>
        <w:t xml:space="preserve">. </w:t>
      </w:r>
      <w:r>
        <w:rPr>
          <w:rtl w:val="true"/>
        </w:rPr>
        <w:t>الزرقاني والجمع بين النصوص</w:t>
      </w:r>
      <w:bookmarkEnd w:id="341"/>
    </w:p>
    <w:p>
      <w:pPr>
        <w:pStyle w:val="BookText"/>
        <w:rPr/>
      </w:pPr>
      <w:r>
        <w:rPr>
          <w:rFonts w:ascii="Amiri" w:hAnsi="Amiri" w:eastAsia="Amiri" w:cs="Amiri"/>
          <w:color w:val="111111"/>
          <w:sz w:val="28"/>
          <w:sz w:val="28"/>
          <w:szCs w:val="28"/>
          <w:rtl w:val="true"/>
          <w:lang w:bidi="ar-SA"/>
        </w:rPr>
        <w:t xml:space="preserve">إنّ الشيخ محمد بن عبد العظيم الزرقاني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مناهل العرفان في علوم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المحقّقين في العلوم القرآنية ، وكتابه هذا ، يدلّ على سعة باعه واطّلاعه ونزاهة قلمه ودماثة خلقه مع المخالفين ، فقد طرح في كتابه مسألة خلق الأفعال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ولنعلم أنّ المتخالفين في ذلك ما زالوا مع خلافهم ، إخواناً مسلمين ، تظلّهم راية القرآن ويضمّهم لواء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القرآن الكريم والسنّة النبوية نصوص كثيرة على أنّ الله تعالى خالق كلّ شيء ، وانّ مرجع كلّ شيء إليه وحده ، وانّ هداية الخلق وضلالهم بيده سبحانه ، ثمّ ذكر شيئاً من الآيات والروايات الواردة في هذا الصدد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بجانب هذا توجد نصوص كثيرة أيضاً من الكتاب والسنّة ، تنسب أعمال العباد إليهم وتعلن رضوان الله وحبّه للمحسنين فيها ، كما تعلن غضبه وبغضه للمسيئين ، ثمّ ذكر قسماً من الآيات والروايات الدالّة على ذلك ، ثمّ خرج بالنتيجة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أهل السنّة بهرتهم النصوص الأُولى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لا يخلق أفعالَ نفسه الاختيارية وإنّما هي خلق الله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يثاب المرء أو يعاقب على عمل لم يوجده هو؟ وكيف يتّفق هذا وما هو مقرر من عدالة الله وحكمته في تكليف خلقه؟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يكونوا خالقين لأعمالهم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كاسبون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الكسب هو مناط التكليف ومدار الثواب والعقاب ، وبه يتحقّق عدل الله وحكمته فيما شرع للمكلّفين</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حملوا النصوص الأُولى على الخلق وحملوا الثانية على </w:t>
      </w:r>
    </w:p>
    <w:p>
      <w:pPr>
        <w:pStyle w:val="BookText"/>
        <w:rPr/>
      </w:pPr>
      <w:r>
        <w:rPr>
          <w:rFonts w:ascii="Amiri" w:hAnsi="Amiri" w:eastAsia="Amiri" w:cs="Amiri"/>
          <w:color w:val="111111"/>
          <w:sz w:val="28"/>
          <w:sz w:val="28"/>
          <w:szCs w:val="28"/>
          <w:rtl w:val="true"/>
          <w:lang w:bidi="ar-SA"/>
        </w:rPr>
        <w:t>الكسب جمعاً بين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المعتزلة فقد بهرتهم النصوصُ الثانية وما يظاهرها من برهان العقل فرجّحوها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يخلق أفعال نفسه الاختيارية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الله خالق كلّ شيء ومنها أعمال العبد؟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إنّه خالق كلّ شيء حتّى أعمال عباده الاختيارية ، بيد أنّه خلق بعض الأشياء بلا واسطة وخلق بعضها الآخر بواسطة ، وأعمال المكلّفين من القبيل الثاني ، خلقها الله بوساطة خلق آلاتها فيه ، وآلاتها هي القدرة الكلية والإرادة الكلية الصالحتان للتعلق بكلّ من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لنا من حول ولا قوة سوى أنّنا استعملناها على أحد وجهيها ، إمّا بحسن الاختيار وإمّا بسوء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مانع عندنا من القول بأنّه سبحانه خالق لأفعال عباده ، ولكن على سبيل المجاز ، باعتبار أنّه خالق أسبابها ووسائلها</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كان سلفنا الصالح يؤمنون بوحدانية الله وعدله ، ويؤمنون بقدره وأمره ، ويؤمنون بهذه النصوص وتلك النصوص ، ويؤمنون بأنّ العبد يعمل ما يعمل وأنّ الله خالق كلّ شيء ، ويؤمنون بأنّه تعالى تنزّه في قدره عن أن يكون مغلوباً أو عاجزاً ، وتنزّه في أمره وتكليفه عن أن يكون ظالماً أو عابثاً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 ذلك يصمتون ، فلا يخوضون في تحديد نصيب عمل الإنسان الاختياري من قدرة الله ، ونصيبه من قدرة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يتعرّضون لبيان مدى ما يبلغ فعل الله في قدره ، ولا لبيان مدى ما يبلغ فعل العبد في امتثال أمره ، ذلك ما لم يعلموه ولم يحاولوه ، لأنّهم لم يكلّفوه ، وكان سبحانه أرحم بعباده من أن يكلّفهم إيّاه ، لأنّه من أسرار القدر أو يكاد ، والعقل البشري محدود التفكير ضعيف الاستعداد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شره العقول طلب ما لا سبيل لها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أُوتِيتُمْ مِنَ الْعِلْمِ إِلاَّ قَلِيلاً</w:t>
      </w:r>
      <w:r>
        <w:rPr>
          <w:rFonts w:eastAsia="Amiri" w:cs="Amiri" w:ascii="Amiri" w:hAnsi="Amiri"/>
          <w:color w:val="111111"/>
          <w:sz w:val="28"/>
          <w:szCs w:val="28"/>
          <w:rtl w:val="true"/>
          <w:lang w:bidi="ar-SA"/>
        </w:rPr>
        <w:t xml:space="preserve">). </w:t>
      </w:r>
      <w:bookmarkStart w:id="342" w:name="pg11047_102657"/>
    </w:p>
    <w:p>
      <w:pPr>
        <w:pStyle w:val="BookText"/>
        <w:rPr/>
      </w:pPr>
      <w:bookmarkEnd w:id="342"/>
      <w:r>
        <w:rPr>
          <w:rFonts w:ascii="Amiri" w:hAnsi="Amiri" w:eastAsia="Amiri" w:cs="Amiri"/>
          <w:color w:val="111111"/>
          <w:sz w:val="28"/>
          <w:sz w:val="28"/>
          <w:szCs w:val="28"/>
          <w:rtl w:val="true"/>
          <w:lang w:bidi="ar-SA"/>
        </w:rPr>
        <w:t xml:space="preserve">لم يمتحنّا بما تعيا العقولُ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حرصاً علينا فلم نرتب ولم نهمِ</w:t>
      </w:r>
      <w:r>
        <w:rPr>
          <w:rStyle w:val="FootnoteAnchor"/>
          <w:rtl w:val="true"/>
        </w:rPr>
        <w:footnoteReference w:id="172"/>
      </w:r>
    </w:p>
    <w:p>
      <w:pPr>
        <w:pStyle w:val="Heading4"/>
        <w:numPr>
          <w:ilvl w:val="3"/>
          <w:numId w:val="1"/>
        </w:numPr>
        <w:rPr/>
      </w:pPr>
      <w:bookmarkStart w:id="343" w:name="__RefHeading___Toc1391163_1067777946"/>
      <w:bookmarkStart w:id="344" w:name="_Toc131"/>
      <w:bookmarkEnd w:id="343"/>
      <w:r>
        <w:rPr/>
        <w:t>6</w:t>
      </w:r>
      <w:r>
        <w:rPr>
          <w:rtl w:val="true"/>
        </w:rPr>
        <w:t xml:space="preserve">. </w:t>
      </w:r>
      <w:r>
        <w:rPr>
          <w:rtl w:val="true"/>
        </w:rPr>
        <w:t xml:space="preserve">الشيخ شلتوت </w:t>
      </w:r>
      <w:r>
        <w:rPr>
          <w:rtl w:val="true"/>
        </w:rPr>
        <w:t>(</w:t>
      </w:r>
      <w:r>
        <w:rPr/>
        <w:t>13831310</w:t>
      </w:r>
      <w:r>
        <w:rPr>
          <w:rtl w:val="true"/>
        </w:rPr>
        <w:t xml:space="preserve"> </w:t>
      </w:r>
      <w:r>
        <w:rPr>
          <w:rtl w:val="true"/>
        </w:rPr>
        <w:t>ه</w:t>
      </w:r>
      <w:r>
        <w:rPr>
          <w:rtl w:val="true"/>
        </w:rPr>
        <w:t xml:space="preserve">) </w:t>
      </w:r>
      <w:r>
        <w:rPr>
          <w:rtl w:val="true"/>
        </w:rPr>
        <w:t>العبد فاعل بإرادته وقدرته</w:t>
      </w:r>
      <w:bookmarkEnd w:id="344"/>
    </w:p>
    <w:p>
      <w:pPr>
        <w:pStyle w:val="Heading5"/>
        <w:numPr>
          <w:ilvl w:val="4"/>
          <w:numId w:val="1"/>
        </w:numPr>
        <w:rPr/>
      </w:pPr>
      <w:bookmarkStart w:id="345" w:name="__RefHeading___Toc1391165_1067777946"/>
      <w:bookmarkStart w:id="346" w:name="_Toc132"/>
      <w:bookmarkEnd w:id="345"/>
      <w:r>
        <w:rPr>
          <w:rtl w:val="true"/>
        </w:rPr>
        <w:t>اشارة</w:t>
      </w:r>
      <w:bookmarkEnd w:id="346"/>
    </w:p>
    <w:p>
      <w:pPr>
        <w:pStyle w:val="BookText"/>
        <w:rPr/>
      </w:pPr>
      <w:r>
        <w:rPr>
          <w:rFonts w:ascii="Amiri" w:hAnsi="Amiri" w:eastAsia="Amiri" w:cs="Amiri"/>
          <w:color w:val="111111"/>
          <w:sz w:val="28"/>
          <w:sz w:val="28"/>
          <w:szCs w:val="28"/>
          <w:rtl w:val="true"/>
          <w:lang w:bidi="ar-SA"/>
        </w:rPr>
        <w:t xml:space="preserve">إنّ الشيخ شلتوت أحد المجتهدين الأحرار في القرن الماضي لا تأخذه في الله لومة لائم ، فإذا شاهد الحق أجهر به ، ولا يطلب رضى أحد ، ولا يخاف غضب آخر ، فهو ممّن اعترف بحرية الإنسان في مجال العمل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تناول علماء الكلام في القديم والحديث هذه المسألة ، وعُرِفت عندهم بمسألة الهدى والضلال ، أو بمسألة الجبر والاختيار ، أو بمسألة خلق الأفعال ، وكان لهم فيها آراء فرّقوا بها كلمة المسلمين ، وزلزلوا بها عقائد الموحدين العاملين ، وصرفوا الناس بنقاشهم في المذاهب والآراء عن العمل الذي طلبه الله من عباده ، وأخذوا يتقاذفون فيما بينهم بالإلحاد والزندقة ، والتكفير والتفسيق ، وما كان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وآياته بينات واضحات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ليقيم لهم وزناً فيما وقفوا عنده ، وداروا حوله ، ودفعوا الناس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ذلك العيلم بعد ما ذكر آراء السلف المختلفة قال </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نراه كما قلنا أنّ للعبد قدرة وإرادة ولم يخلقهما الله فيه عبثاً ، بل خلقهما ليكونا مناط التكليف ومناط الجزاء وأساس نسبة الأفعال إلى العبد نسبة حقيقية ، والله يترك عبده وما يختار لنفسه ، فإن اختار الخير تركه فيه </w:t>
      </w:r>
      <w:bookmarkStart w:id="347" w:name="pg11047_102658"/>
    </w:p>
    <w:p>
      <w:pPr>
        <w:pStyle w:val="BookText"/>
        <w:rPr/>
      </w:pPr>
      <w:bookmarkEnd w:id="347"/>
      <w:r>
        <w:rPr>
          <w:rFonts w:ascii="Amiri" w:hAnsi="Amiri" w:eastAsia="Amiri" w:cs="Amiri"/>
          <w:color w:val="111111"/>
          <w:sz w:val="28"/>
          <w:sz w:val="28"/>
          <w:szCs w:val="28"/>
          <w:rtl w:val="true"/>
          <w:lang w:bidi="ar-SA"/>
        </w:rPr>
        <w:t>يدعوه سابقه إلى لاحقه ، ولا يمنعه بقدرته الإلهية عن استمراره فيه ؛ وإن اختار الشر ، تركه فيه يدعوه سابقه إلى لاحقه ، ولا يمنعه بقدرته الإلهية عن استمراره فيه ، والعبد وقدرته واختياره كل ذلك بمشيئة الله وقدرته وتحت قهره ، ولو شاء لسلب قوة الخير فكان العبد شرّاً بطبعه لا خير فيه ، ولو شاء لسلبه قوة الشر فكان خيراً بطبعه لا شر فيه ، ولكن حكمته الإلهية في التكليف والابتلاء ، قضت بما رسم ، وكان فضل الله على الناس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يتبين أنّ العبد ليس مجبوراً ، لا ظاهراً ولا باطناً ، ولا مجزياً على ضلاله بإضلال الله إياه ، فإنّ هذا أمر تأباه حكمة الحكيم وعدل العادل ، وتمنع تصوّرَه</w:t>
      </w:r>
      <w:r>
        <w:rPr>
          <w:rFonts w:eastAsia="Amiri" w:cs="Amiri" w:ascii="Amiri" w:hAnsi="Amiri"/>
          <w:color w:val="111111"/>
          <w:sz w:val="28"/>
          <w:szCs w:val="28"/>
          <w:rtl w:val="true"/>
          <w:lang w:bidi="ar-SA"/>
        </w:rPr>
        <w:t>.</w:t>
      </w:r>
    </w:p>
    <w:p>
      <w:pPr>
        <w:pStyle w:val="Heading5"/>
        <w:numPr>
          <w:ilvl w:val="4"/>
          <w:numId w:val="1"/>
        </w:numPr>
        <w:rPr/>
      </w:pPr>
      <w:bookmarkStart w:id="348" w:name="__RefHeading___Toc1391167_1067777946"/>
      <w:bookmarkStart w:id="349" w:name="_Toc133"/>
      <w:bookmarkEnd w:id="348"/>
      <w:r>
        <w:rPr>
          <w:rtl w:val="true"/>
        </w:rPr>
        <w:t>القضاء والقدر لا يستلزمان الجبر</w:t>
      </w:r>
      <w:bookmarkEnd w:id="349"/>
    </w:p>
    <w:p>
      <w:pPr>
        <w:pStyle w:val="BookText"/>
        <w:rPr/>
      </w:pPr>
      <w:r>
        <w:rPr>
          <w:rFonts w:ascii="Amiri" w:hAnsi="Amiri" w:eastAsia="Amiri" w:cs="Amiri"/>
          <w:color w:val="111111"/>
          <w:sz w:val="28"/>
          <w:sz w:val="28"/>
          <w:szCs w:val="28"/>
          <w:rtl w:val="true"/>
          <w:lang w:bidi="ar-SA"/>
        </w:rPr>
        <w:t>وبهذا يكون المؤمنون عمليّين ، لا يعتذر الواحد منهم عن تقصير في واجب بالقضاء والقدر ، فليس في القضاء والقدر إلاّ العدل المطلق ، والحكمة الشاملة العامة ، ليس فيهما إلاّ الحكم والترتيب ، وربط الأسباب بالمسببات على سنّة دائمة مطّردة ، هي أصل الخلق كلّه ، وهي أساس الشرائع كلّها ، وهي أساس الحساب والجزاء عند الله ، وليس فيهما شيء من معاني الإكراه والإلزام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معناهما الحكم والترتيب ، فقضى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وأمر ، وقدر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رتب ونظم ، وعلم الله بما سيكون من العبد باختياره وطوعه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شأن المحيط علمُه بكلّ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معنى إلزام العبد بما علم الله أنّه سيكون منه ، وإنّما هو العلم الكامل الذي لا يقصر عن شيء في الأرض ولا في السماء ، ولا فيما كان وما يكون</w:t>
      </w:r>
      <w:r>
        <w:rPr>
          <w:rFonts w:eastAsia="Amiri" w:cs="Amiri" w:ascii="Amiri" w:hAnsi="Amiri"/>
          <w:color w:val="111111"/>
          <w:sz w:val="28"/>
          <w:szCs w:val="28"/>
          <w:rtl w:val="true"/>
          <w:lang w:bidi="ar-SA"/>
        </w:rPr>
        <w:t xml:space="preserve">. </w:t>
      </w:r>
      <w:r>
        <w:rPr>
          <w:rStyle w:val="FootnoteAnchor"/>
          <w:rtl w:val="true"/>
        </w:rPr>
        <w:footnoteReference w:id="173"/>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تمت المراحل التي مرّت على نظرية الكسب التي شغلت بالَ </w:t>
      </w:r>
    </w:p>
    <w:p>
      <w:pPr>
        <w:pStyle w:val="BookText"/>
        <w:rPr/>
      </w:pPr>
      <w:r>
        <w:rPr>
          <w:rFonts w:ascii="Amiri" w:hAnsi="Amiri" w:eastAsia="Amiri" w:cs="Amiri"/>
          <w:color w:val="111111"/>
          <w:sz w:val="28"/>
          <w:sz w:val="28"/>
          <w:szCs w:val="28"/>
          <w:rtl w:val="true"/>
          <w:lang w:bidi="ar-SA"/>
        </w:rPr>
        <w:t>المفكّرين عدة قرون وتركتْ بصماتِها على ثقافة المسلمين وعلى حياتهم بحجة انّ الإنسان مكتوف اليد ، ليس له ولا لقدرته وإرادته أيُّ أثر في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أحمد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غالت المعتزلة ، بحرية الإرادة ، وغلوا فيها أمام قوم ، سلَبُوا الانسانَ إرادتَه ، حتّى جعلوه كالريشة في مهب الريح ، أو كالخشبة في اليمّ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وعندي انّ الخطأ في القول بسلطان العقل ، وحرية الإرادة ، والغلوّ فيهما ، خير من الغلوّ في أضدادهما ، وفي رأيي انّه لو سادت تعاليم المعتزلة إلى اليوم كان للمسلمين موقف آخر في التاريخ غير موقفهم الحالي ، وقد أعجزهم التسليمُ وشلّهم الجبرُ ، وقعد بهم التواكل</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ولو كان الكاتب واقفاً على منهج أئمّة أهل البيت في حرية الإنسان ، وحدود سلطان العقل لأذعن بأنّ المنهج في تحديد الحرية ، خال عن الغلوّ ، وانّه أعطى لكلّ حقّه ، فما عاقه القول بالتوحيد في الخالقية ، عن القول بحرية الإنسان ، وانّ مصيره من حيث السعادة والشقاء بيده ، كما لم يمنعه القول بتأثير قدرة العبد في انتخابه واختياره عن القول بالتوحيد في الأفعال ، وانّ كلّ ما في الكون من دقيق وجليل قائم به سبحانه ، ومفاض منه عبر العلل والأسباب</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يزل النقاش والجدال قائماً بين الأشاعرة والمعتزلة على قدم وساق ، وكلّ يتهم الآخر بأشنع التهم ، فالأشعري يتّهم المعتزلي بالشرك وانّ القول باستقلال الإنسان في فعله يستلزم أن يكون لله شركاء بعدد الإنسان وهم عباده المكلّفون ، وهذا يناقض عقيدة التوحيد ، وبرهان الوحدانية ؛ كما أنّ المعتزلة تتّهم الأشاعرة بأنّ قولهم بخلق الأعمال لا يتّفق مع القول بعدله وحكمته سبحانه ، إذ كيف يثاب المرء أو يعاقب على عمل لم يوجده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رجع روّاد المنهجين ، إلى منهج أئمّة أهل البيت لوقفوا على الحقّ الصراح ، وانّ القول بالتوحيد في الخالقية لا يزاحم القول بالعدل والحكمة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أن يفسر على النهج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بين الأصلين كمال التلاؤم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انّ القاضي عبد الجبار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دارَ الصاحب بن عباد فرأى فيه أبا إسحاق الأسفرائيني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من تنزّه عن الفحشاء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بذلك انّ القول بخلق الاعمال يستلزم انّه سبحانه خلق الفحشاء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فأجابه أبو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لا يجري في ملكه إلاّ ما شاء ، ويريد انّ القول بوقوع أفعال العباد بلا مشيئة منه سبحانه يستلزم القول بتحقّق أُمور خارجة عن سلطانه</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 xml:space="preserve">ولو تتلمذ عميدا المعتزلة والأشاعرة على خريجي منهج 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لوقفا على أنّ الشعارين غير متزاحمين ، فالله سبحانه في الوقت الذي تنزّه عن الفحشاء لا يجري في ملكه إلاّ ما شاء ، فَجعْلُ كلّ من الشعارين مقابلاً للآخر رهن الجمود على القول بعموم الخلقة على التفسير الذي سار عليه الأشعري ، وعلى انقطاع فعل العبد عن قدرته سبحانه على النحو الذي سار عليه المعتزلة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حول نظرية الكسب ، ومراحلها التي مرّت بها وما لها من التوالي والمضاعفات</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بقيت هنا عدّة أُمور نذكرها تباعاً في خاتمة المطاف</w:t>
      </w:r>
      <w:r>
        <w:rPr>
          <w:rFonts w:eastAsia="Amiri" w:cs="Amiri" w:ascii="Amiri" w:hAnsi="Amiri"/>
          <w:color w:val="111111"/>
          <w:sz w:val="28"/>
          <w:szCs w:val="28"/>
          <w:rtl w:val="true"/>
          <w:lang w:bidi="ar-SA"/>
        </w:rPr>
        <w:t xml:space="preserve">. </w:t>
      </w:r>
      <w:bookmarkStart w:id="350" w:name="pg11047_102661"/>
    </w:p>
    <w:p>
      <w:pPr>
        <w:pStyle w:val="Heading3"/>
        <w:numPr>
          <w:ilvl w:val="2"/>
          <w:numId w:val="1"/>
        </w:numPr>
        <w:rPr/>
      </w:pPr>
      <w:bookmarkStart w:id="351" w:name="__RefHeading___Toc1391169_1067777946"/>
      <w:bookmarkStart w:id="352" w:name="_Toc134"/>
      <w:bookmarkEnd w:id="350"/>
      <w:bookmarkEnd w:id="351"/>
      <w:r>
        <w:rPr/>
        <w:t>5</w:t>
      </w:r>
      <w:r>
        <w:rPr>
          <w:rtl w:val="true"/>
        </w:rPr>
        <w:t xml:space="preserve">- </w:t>
      </w:r>
      <w:r>
        <w:rPr>
          <w:rtl w:val="true"/>
        </w:rPr>
        <w:t>خاتمة المطاف</w:t>
      </w:r>
      <w:bookmarkEnd w:id="352"/>
    </w:p>
    <w:p>
      <w:pPr>
        <w:pStyle w:val="Heading4"/>
        <w:numPr>
          <w:ilvl w:val="3"/>
          <w:numId w:val="1"/>
        </w:numPr>
        <w:rPr/>
      </w:pPr>
      <w:bookmarkStart w:id="353" w:name="__RefHeading___Toc1391171_1067777946"/>
      <w:bookmarkStart w:id="354" w:name="_Toc135"/>
      <w:bookmarkEnd w:id="353"/>
      <w:r>
        <w:rPr>
          <w:rtl w:val="true"/>
        </w:rPr>
        <w:t>اشارة</w:t>
      </w:r>
      <w:bookmarkEnd w:id="354"/>
    </w:p>
    <w:p>
      <w:pPr>
        <w:pStyle w:val="BookText"/>
        <w:rPr/>
      </w:pPr>
      <w:r>
        <w:rPr>
          <w:rFonts w:ascii="Amiri" w:hAnsi="Amiri" w:eastAsia="Amiri" w:cs="Amiri"/>
          <w:color w:val="111111"/>
          <w:sz w:val="28"/>
          <w:sz w:val="28"/>
          <w:szCs w:val="28"/>
          <w:rtl w:val="true"/>
          <w:lang w:bidi="ar-SA"/>
        </w:rPr>
        <w:t xml:space="preserve">وفيها أُمور </w:t>
      </w:r>
      <w:r>
        <w:rPr>
          <w:rFonts w:eastAsia="Amiri" w:cs="Amiri" w:ascii="Amiri" w:hAnsi="Amiri"/>
          <w:color w:val="111111"/>
          <w:sz w:val="28"/>
          <w:szCs w:val="28"/>
          <w:rtl w:val="true"/>
          <w:lang w:bidi="ar-SA"/>
        </w:rPr>
        <w:t>:</w:t>
      </w:r>
    </w:p>
    <w:p>
      <w:pPr>
        <w:pStyle w:val="Heading4"/>
        <w:numPr>
          <w:ilvl w:val="3"/>
          <w:numId w:val="1"/>
        </w:numPr>
        <w:rPr/>
      </w:pPr>
      <w:bookmarkStart w:id="355" w:name="__RefHeading___Toc1391173_1067777946"/>
      <w:bookmarkStart w:id="356" w:name="_Toc136"/>
      <w:bookmarkEnd w:id="355"/>
      <w:r>
        <w:rPr>
          <w:rtl w:val="true"/>
        </w:rPr>
        <w:t>الأمر الأوّل</w:t>
      </w:r>
      <w:r>
        <w:rPr>
          <w:rtl w:val="true"/>
        </w:rPr>
        <w:t xml:space="preserve">: </w:t>
      </w:r>
      <w:r>
        <w:rPr>
          <w:rtl w:val="true"/>
        </w:rPr>
        <w:t>نسبة فعل العبد إلى الله فوق التسبيب</w:t>
      </w:r>
      <w:bookmarkEnd w:id="356"/>
    </w:p>
    <w:p>
      <w:pPr>
        <w:pStyle w:val="BookText"/>
        <w:rPr/>
      </w:pPr>
      <w:r>
        <w:rPr>
          <w:rFonts w:ascii="Amiri" w:hAnsi="Amiri" w:eastAsia="Amiri" w:cs="Amiri"/>
          <w:color w:val="111111"/>
          <w:sz w:val="28"/>
          <w:sz w:val="28"/>
          <w:szCs w:val="28"/>
          <w:rtl w:val="true"/>
          <w:lang w:bidi="ar-SA"/>
        </w:rPr>
        <w:t xml:space="preserve">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نسبة فعل العبد إلى الله سبحانه نسبةُ المسبَّب إلى السبب ، والله سبحانه خلق الإنسان وزوّده بالقدرة فهو يفعل بقدرته سبحانه ، وبما انّ العبد والقدرة من أفعاله سبحانه ، يكون الصادر عن قدرة العبد فعلاً له سبحانه تسبيباً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حديث التسبيب هو متلقّى النظر الساذج وكفى في النجاة الاعتقاد بذلك</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النظرة الدقيقة فانّ نسبة فعل العبد إلى الله سبحانه فوق ذلك ، لأنّ العالم الإمكاني بجواهره وأعراضه وطبائعه ومجرداته فقير بالذات لا يملك لنفسه شيئاً من الوجود ، فالجميع قائم بالله سبحانه قيام المعنى الحرفي بالمعنى الاسمي ، فلا يُمكن الفصل بين الوجود الإمكاني ووجود الواجب ، فانّ الفصل آية الغناء ، وهو يلازم الوجوب والمفروض انّه فقير بالذات حدوثاً وبقاء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وأفضل جملة تعبر عن هذه العلقة الوثيقة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مَعَكُمْ أَيْنَ ما كُنْتُمْ</w:t>
      </w:r>
      <w:r>
        <w:rPr>
          <w:rFonts w:eastAsia="Amiri" w:cs="Amiri" w:ascii="Amiri" w:hAnsi="Amiri"/>
          <w:color w:val="111111"/>
          <w:sz w:val="28"/>
          <w:szCs w:val="28"/>
          <w:rtl w:val="true"/>
          <w:lang w:bidi="ar-SA"/>
        </w:rPr>
        <w:t xml:space="preserve">) </w:t>
      </w:r>
      <w:r>
        <w:rPr>
          <w:rStyle w:val="FootnoteAnchor"/>
          <w:rtl w:val="true"/>
        </w:rPr>
        <w:footnoteReference w:id="176"/>
      </w: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يَكُونُ مِنْ نَجْوى ثَلاثَةٍ إِلاَّ هُوَ رابِعُهُمْ وَلا خَمْسَةٍ إِلاَّ هُوَ سادِسُهُمْ وَلا أَدْنى مِنْ ذلِكَ وَلا أَكْثَرَ إِلاَّ هُوَ مَعَهُمْ أَيْنَ ما كانُوا</w:t>
      </w:r>
      <w:r>
        <w:rPr>
          <w:rFonts w:eastAsia="Amiri" w:cs="Amiri" w:ascii="Amiri" w:hAnsi="Amiri"/>
          <w:color w:val="111111"/>
          <w:sz w:val="28"/>
          <w:szCs w:val="28"/>
          <w:rtl w:val="true"/>
          <w:lang w:bidi="ar-SA"/>
        </w:rPr>
        <w:t xml:space="preserve">) </w:t>
      </w:r>
      <w:r>
        <w:rPr>
          <w:rStyle w:val="FootnoteAnchor"/>
          <w:rtl w:val="true"/>
        </w:rPr>
        <w:footnoteReference w:id="177"/>
      </w:r>
      <w:r>
        <w:rPr>
          <w:rFonts w:ascii="Amiri" w:hAnsi="Amiri" w:eastAsia="Amiri" w:cs="Amiri"/>
          <w:color w:val="111111"/>
          <w:sz w:val="28"/>
          <w:sz w:val="28"/>
          <w:szCs w:val="28"/>
          <w:rtl w:val="true"/>
          <w:lang w:bidi="ar-SA"/>
        </w:rPr>
        <w:t>ومفاد هاتين الآيتين هو كونه سبحانه مع كلّ موجود إمكاني من دون فرق بين الإنسان وفعله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المراد من المعية هو حلوله سبحانه في ذوات الأشياء وآثارها ، بل المراد هو المعية القيومية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صدر المتألّهين تمثيلاً في المقام ، وإليك بيانه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أردت التمثيل لتبيين كون الفعل الواحد فعلاً لشخصين على الحقيقة ، فلاحظ النفس الإنسانية ، وقواها ، فالله سبحانه خلقها مثالاً ، ذاتاً وصفة وفعلاً ، لذاته وصفاته وأفعاله ،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الْأَرْضِ آياتٌ لِلْمُوقِنِينَ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أَنْفُسِكُمْ أَفَلا تُبْصِرُونَ</w:t>
      </w:r>
      <w:r>
        <w:rPr>
          <w:rFonts w:eastAsia="Amiri" w:cs="Amiri" w:ascii="Amiri" w:hAnsi="Amiri"/>
          <w:color w:val="111111"/>
          <w:sz w:val="28"/>
          <w:szCs w:val="28"/>
          <w:rtl w:val="true"/>
          <w:lang w:bidi="ar-SA"/>
        </w:rPr>
        <w:t xml:space="preserve">). </w:t>
      </w:r>
      <w:r>
        <w:rPr>
          <w:rStyle w:val="FootnoteAnchor"/>
          <w:rtl w:val="true"/>
        </w:rPr>
        <w:footnoteReference w:id="178"/>
      </w:r>
      <w:r>
        <w:rPr>
          <w:rFonts w:ascii="Amiri" w:hAnsi="Amiri" w:eastAsia="Amiri" w:cs="Amiri"/>
          <w:color w:val="111111"/>
          <w:sz w:val="28"/>
          <w:sz w:val="28"/>
          <w:szCs w:val="28"/>
          <w:rtl w:val="true"/>
          <w:lang w:bidi="ar-SA"/>
        </w:rPr>
        <w:t xml:space="preserve">وقد أُثر عن النبي والوصي القول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نفسه ، عرف ربّه</w:t>
      </w:r>
      <w:r>
        <w:rPr>
          <w:rFonts w:eastAsia="Amiri" w:cs="Amiri" w:ascii="Amiri" w:hAnsi="Amiri"/>
          <w:color w:val="111111"/>
          <w:sz w:val="28"/>
          <w:szCs w:val="28"/>
          <w:rtl w:val="true"/>
          <w:lang w:bidi="ar-SA"/>
        </w:rPr>
        <w:t xml:space="preserve">». </w:t>
      </w:r>
      <w:r>
        <w:rPr>
          <w:rStyle w:val="FootnoteAnchor"/>
          <w:rtl w:val="true"/>
        </w:rPr>
        <w:footnoteReference w:id="179"/>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فعل كلّ حاسّة وقوة من حيث هو فعل تلك القوة ، فعل النفس أيضاً ، فالباصرة ليس لها شأن إلاّ إحضار الصورة المبصرة ، أو انفعال البصر منها ، وكذلك السامعة ، فشأنها إحضار الهيئة المسموعة أو انفعالها بها ، ومع ذلك فكلّ من الفعلين ، كما هو فعل القوة ، فعل النفس أيضاً ، لأنّها السميعة البصيرة في </w:t>
      </w:r>
    </w:p>
    <w:p>
      <w:pPr>
        <w:pStyle w:val="BookText"/>
        <w:rPr/>
      </w:pPr>
      <w:r>
        <w:rPr>
          <w:rFonts w:ascii="Amiri" w:hAnsi="Amiri" w:eastAsia="Amiri" w:cs="Amiri"/>
          <w:color w:val="111111"/>
          <w:sz w:val="28"/>
          <w:sz w:val="28"/>
          <w:szCs w:val="28"/>
          <w:rtl w:val="true"/>
          <w:lang w:bidi="ar-SA"/>
        </w:rPr>
        <w:t>الحقيقة ، وليس شأن النفس استخدام القوى بل هو فوق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إذا راجعنا إلى وجداننا نجد انّ نفوسنا بعينها الشاعرة في كلّ إدراك جزئي ، وشعور حسّي ، كما أنّها المتحركة بكلّ حركة طبيعية أو حيوانية منسوبة إلى قواها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يتّضح انّ النفس بنفسها في العين قوّة باصرة ، وفي الأُذن قوة سامعة ، وفي اليد قوة باطشة ، وفي الرِّجل قوّة ماشية ، وهكذا الأمر في سائر القوى التي في الأعضاء ، فبها تبصر العين وتسمع الأُذن وتمشي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فالنفس مع وحدتها وتجرّدها عن البدن وقواه وأعضائه ، لا يخلو منها عضو من الأعضاء عالياً كان أو سافلاً ، ولا تبائنها قوة من القوى مدركة كانت أو محركة ، حيوانية كانت أو طبيعية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 فاعلم أنّه كما ليس في الوجود شأن إلاّ وهو شأنه ، كذلك ليس في الوجود فعل إلاّ فعله ، لا بمعنى أنّ فعل زيد مثلاً ليس صادراً عنه ، بل بمعنى انّ فعل زيد مع أنّه فعله بالحقيقة دون المجاز فهو فعل الله بالحقيقة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وجود زيد بعينه أمر متحقّق في الواقع ، منسوب إلى زيد بالحقيقة لا بالمجاز ، وهو مع ذلك شأن من شئون الحقّ الأوّل ، فكذلك علمه وإرادته وحركته وسكونه وجميع ما يصدر عنه منسوب إليه بالحقيقة لا بالمجاز والكذب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فالإنسان فاعل لما يصدر عنه ومع ذلك ففعله أحد أفاعيل الحقّ الأوّل على الوجه اللائق بذاته سبحانه</w:t>
      </w:r>
      <w:r>
        <w:rPr>
          <w:rFonts w:eastAsia="Amiri" w:cs="Amiri" w:ascii="Amiri" w:hAnsi="Amiri"/>
          <w:color w:val="111111"/>
          <w:sz w:val="28"/>
          <w:szCs w:val="28"/>
          <w:rtl w:val="true"/>
          <w:lang w:bidi="ar-SA"/>
        </w:rPr>
        <w:t xml:space="preserve">. </w:t>
      </w:r>
      <w:r>
        <w:rPr>
          <w:rStyle w:val="FootnoteAnchor"/>
          <w:rtl w:val="true"/>
        </w:rPr>
        <w:footnoteReference w:id="180"/>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الحديث القدسي إلماع إلى هذا النوع من النسبة بين الخالق والمخلوق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آدم بمشيئتي كنتَ أنتَ الذي تشاء لنفسك ما تشاء ، وبقوتي أدّيتَ إليّ فرائضي ، وبنعمتي قويتَ على معصيتي ، جعلتك سميعاً بصيراً قوياً</w:t>
      </w:r>
      <w:r>
        <w:rPr>
          <w:rFonts w:eastAsia="Amiri" w:cs="Amiri" w:ascii="Amiri" w:hAnsi="Amiri"/>
          <w:color w:val="111111"/>
          <w:sz w:val="28"/>
          <w:szCs w:val="28"/>
          <w:rtl w:val="true"/>
          <w:lang w:bidi="ar-SA"/>
        </w:rPr>
        <w:t xml:space="preserve">». </w:t>
      </w:r>
      <w:r>
        <w:rPr>
          <w:rStyle w:val="FootnoteAnchor"/>
          <w:rtl w:val="true"/>
        </w:rPr>
        <w:footnoteReference w:id="181"/>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فالأشاعرة خلعوا الأسباب والعلل وهي جنود الله سبحانه ، عن مقام التأثير والإيجاد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المفوّضة عزلتْ سلطانَه عن ملكه وجعلت بعضاً منه في سلطان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الذي أيّده البرهان ويصدّقه الكتاب كون الفعل موجوداً بقدرتين ، لكن لا بقدرتين متساويتين ولا بمعنى علّتين تامّتين بل بمعنى كون الثانية من مظاهر القدرة الأُولى وشئونها وجنودها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يَعْلَمُ جُنُودَ رَبِّكَ إِلاَّ هُوَ</w:t>
      </w:r>
      <w:r>
        <w:rPr>
          <w:rFonts w:eastAsia="Amiri" w:cs="Amiri" w:ascii="Amiri" w:hAnsi="Amiri"/>
          <w:color w:val="111111"/>
          <w:sz w:val="28"/>
          <w:szCs w:val="28"/>
          <w:rtl w:val="true"/>
          <w:lang w:bidi="ar-SA"/>
        </w:rPr>
        <w:t xml:space="preserve">). </w:t>
      </w:r>
      <w:r>
        <w:rPr>
          <w:rStyle w:val="FootnoteAnchor"/>
          <w:rtl w:val="true"/>
        </w:rPr>
        <w:footnoteReference w:id="182"/>
      </w:r>
      <w:bookmarkStart w:id="357" w:name="pg11047_102665"/>
    </w:p>
    <w:p>
      <w:pPr>
        <w:pStyle w:val="Heading4"/>
        <w:numPr>
          <w:ilvl w:val="3"/>
          <w:numId w:val="1"/>
        </w:numPr>
        <w:rPr/>
      </w:pPr>
      <w:bookmarkStart w:id="358" w:name="__RefHeading___Toc1391175_1067777946"/>
      <w:bookmarkStart w:id="359" w:name="_Toc137"/>
      <w:bookmarkEnd w:id="357"/>
      <w:bookmarkEnd w:id="358"/>
      <w:r>
        <w:rPr>
          <w:rtl w:val="true"/>
        </w:rPr>
        <w:t>الأمر الثاني</w:t>
      </w:r>
      <w:r>
        <w:rPr>
          <w:rtl w:val="true"/>
        </w:rPr>
        <w:t xml:space="preserve">: </w:t>
      </w:r>
      <w:r>
        <w:rPr>
          <w:rtl w:val="true"/>
        </w:rPr>
        <w:t>تنمية العلم في ظلّ القول بنظام الأسباب والمسبّبات</w:t>
      </w:r>
      <w:bookmarkEnd w:id="359"/>
    </w:p>
    <w:p>
      <w:pPr>
        <w:pStyle w:val="BookText"/>
        <w:rPr/>
      </w:pPr>
      <w:r>
        <w:rPr>
          <w:rFonts w:ascii="Amiri" w:hAnsi="Amiri" w:eastAsia="Amiri" w:cs="Amiri"/>
          <w:color w:val="111111"/>
          <w:sz w:val="28"/>
          <w:sz w:val="28"/>
          <w:szCs w:val="28"/>
          <w:rtl w:val="true"/>
          <w:lang w:bidi="ar-SA"/>
        </w:rPr>
        <w:t xml:space="preserve">قد أوضحنا في محاضراتنا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الإلهيات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القول بأنّ المادة لم تزل أزلية ، ولو صارت ذات سنن وقوانين فإنّما هي وليدة الصدفة ، لا يدفع بالإنسان إلى التحقيق وسبر أغوار الطبيعة ، وذلك إذ لا علم له بوجود سنن وأنظمة في داخل العالم حتّى يبحث عنه الإنسان ، فلا محيص للباحث في سنن العالم والمستطلع للحقائق السائدة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الفحص عن السنن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اعتناق نظرية الخلقة وهي انّ العالَم مصنوع علم وقدرة واسعة ، أخرجه من العدم إلى الوجود وأجرى فيه سنناً وأنظمة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 يبعث الإنسان إلى الفحص عن النظم والسنن هو نظرية الإلهيّين وهو انّ العالم مخلوق موجود واجب عالم قد مر ، وأمّا النظرية الأُخرى أي عدم تدخّل علم وقدرة في النظم والسنن فيعرقل خُطى الباحث عن الغور في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الذي أوضحنا حاله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الإلهيات</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إنكار العلل والمعاليل والأسباب والمسبّبات والاعتقاد بعلّة واحدة مكان العلل نظير القول بأنّ النظام مخلوق صدفة ، وذلك لأنّ الذي يبعث الباحث عن الوجود وأسراره هو اعتقاده بأنّ كلّ ذرة في ذات هذا العالم مشتملة </w:t>
      </w:r>
      <w:bookmarkStart w:id="360" w:name="pg11047_102666"/>
    </w:p>
    <w:p>
      <w:pPr>
        <w:pStyle w:val="BookText"/>
        <w:rPr/>
      </w:pPr>
      <w:bookmarkEnd w:id="360"/>
      <w:r>
        <w:rPr>
          <w:rFonts w:ascii="Amiri" w:hAnsi="Amiri" w:eastAsia="Amiri" w:cs="Amiri"/>
          <w:color w:val="111111"/>
          <w:sz w:val="28"/>
          <w:sz w:val="28"/>
          <w:szCs w:val="28"/>
          <w:rtl w:val="true"/>
          <w:lang w:bidi="ar-SA"/>
        </w:rPr>
        <w:t>على قانون يريد أن يستكشفه ويفرغه في قالب العلم ، وأمّا إذا اعتقد خلاف ذلك وانّه ليس للعالم إلاّ علّة واحدة وأنكر الأنظمة والسنن فلا يجد في نفسه باعثاً نحو الفحص والتحقيق ، إذ لا علم له بوجود السنن والأنظمة حتّى يبحث عنها ، فدعامة العلم لا تقوم إلاّ بالقول بأنّه سبحانه تبارك وتعالى خلق العالم على نظام خاص وأجرى فيه شيئاً هو مظاهر علمه وقدرته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جرت سنّة الله تعالى على خلق الأشياء بأسبابها ، فجعل لكلّ شيء سبباً وللسبب سبباً إلى أن ينتهي إلى الله سبحانه ، والمجموع من الأسباب الطولية علّة واحدة تامّة كافية لايجاد الفعل ، ونكتفي في المقام بكلمة عن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أبى الله أن يجري الأشياء إلاّ بأسباب ، فجعل لكلّ شيء سبباً وجعل لكلّ سبب شرحاً</w:t>
      </w:r>
      <w:r>
        <w:rPr>
          <w:rFonts w:eastAsia="Amiri" w:cs="Amiri" w:ascii="Amiri" w:hAnsi="Amiri"/>
          <w:color w:val="111111"/>
          <w:sz w:val="28"/>
          <w:szCs w:val="28"/>
          <w:rtl w:val="true"/>
          <w:lang w:bidi="ar-SA"/>
        </w:rPr>
        <w:t xml:space="preserve">». </w:t>
      </w:r>
      <w:r>
        <w:rPr>
          <w:rStyle w:val="FootnoteAnchor"/>
          <w:rtl w:val="true"/>
        </w:rPr>
        <w:footnoteReference w:id="183"/>
      </w:r>
    </w:p>
    <w:p>
      <w:pPr>
        <w:pStyle w:val="Heading4"/>
        <w:numPr>
          <w:ilvl w:val="3"/>
          <w:numId w:val="1"/>
        </w:numPr>
        <w:rPr/>
      </w:pPr>
      <w:bookmarkStart w:id="361" w:name="__RefHeading___Toc1391177_1067777946"/>
      <w:bookmarkStart w:id="362" w:name="_Toc138"/>
      <w:bookmarkEnd w:id="361"/>
      <w:r>
        <w:rPr>
          <w:rtl w:val="true"/>
        </w:rPr>
        <w:t xml:space="preserve">الأمر الثالث نظرية </w:t>
      </w:r>
      <w:r>
        <w:rPr>
          <w:rtl w:val="true"/>
        </w:rPr>
        <w:t>«</w:t>
      </w:r>
      <w:r>
        <w:rPr>
          <w:rtl w:val="true"/>
        </w:rPr>
        <w:t>مالبرانس</w:t>
      </w:r>
      <w:r>
        <w:rPr>
          <w:rtl w:val="true"/>
        </w:rPr>
        <w:t>»</w:t>
      </w:r>
      <w:bookmarkEnd w:id="362"/>
    </w:p>
    <w:p>
      <w:pPr>
        <w:pStyle w:val="BookText"/>
        <w:rPr/>
      </w:pPr>
      <w:r>
        <w:rPr>
          <w:rFonts w:ascii="Amiri" w:hAnsi="Amiri" w:eastAsia="Amiri" w:cs="Amiri"/>
          <w:color w:val="111111"/>
          <w:sz w:val="28"/>
          <w:sz w:val="28"/>
          <w:szCs w:val="28"/>
          <w:rtl w:val="true"/>
          <w:lang w:bidi="ar-SA"/>
        </w:rPr>
        <w:t xml:space="preserve">إنّ المنقول عن الفيلسوف الفرنسي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مالبرانس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يتّحد مع نظرية الأشعري حرفاً بحرف ، ومن المظنون أنّه وقف على بعض الكتب الكلامية للأشاعرة ، فأفرغ نظرية الكسب حسب ما تلقّاه من تلك الكتب في كتابه ، وحاصل ما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كلّ فعل إنّما هو في الحقيقة لله ، ولكن يظهر على نحو ما يظهر ، إذا تحقّقت ظروف خاصة إنسانية أو غير إنسانية حتّى لكأنّها يخيّل للإنسان أنّ الظروف هي التي أوجدته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النظرية أولى بأن تسمّى بنظرية الاتّفاقية ، أو نظرية الظروف </w:t>
      </w:r>
    </w:p>
    <w:p>
      <w:pPr>
        <w:pStyle w:val="BookText"/>
        <w:rPr/>
      </w:pPr>
      <w:r>
        <w:rPr>
          <w:rFonts w:ascii="Amiri" w:hAnsi="Amiri" w:eastAsia="Amiri" w:cs="Amiri"/>
          <w:color w:val="111111"/>
          <w:sz w:val="28"/>
          <w:sz w:val="28"/>
          <w:szCs w:val="28"/>
          <w:rtl w:val="true"/>
          <w:lang w:bidi="ar-SA"/>
        </w:rPr>
        <w:t xml:space="preserve">والمناسبات ، وهي نفس نظرية الأشعري حيث يرى أنّه لا تأثير للقدرة الحادثة في الأحداث ، وإنّما جرت سنّة الله بأن يلازم بين الفعل المحدَث وبين القدرة المحدثة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إذا أراد العبد وتجرد له ، ويسمى هذا الفعل كسباً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خلقاً من الله ، وكسباً من العبد ، عند ما يقع في متناول قدرته واستطاعته ، من غير تعلّقه عليه</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 xml:space="preserve">وقد 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ذكاء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ذلك الفيلسوف الفرنسي في موسوعته الفلسفية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تبتني على إنكار قانون العلّية والمعلولية بين الأشياء ، وأنّ كلّ ما يعدّ علّة لشيء فهو من باب المقارنة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رأينا أنّ جسماً يحرك جسماً آخر ، فذلك إدراك سطحي ، والمُحْدِث هو الله سبحانه ، وتلاقي الجسمين ظرف لقيامه بالتحريك ، ومثله تحريك النفس عضواً من أعضاء البدن ، فالمحرّك هو الله سبحانه وإرادة النفس ظرف ومحلّ لظهور فعله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نعلّق على هذه النظرية سوى القول بأنّها مخالفة للبراهين الفلسفية القائمة على وحدة حقيقة الوجود في جميع المراتب ، واختلافها بالشدة والضعف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فعندئذ لا معنى لأن يختصّ التأثير ببعض المراتب دون آخر مع الوحدة في الحقيقية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إنكار التأثير على وجه الإطلاق بين الظواهر الطبيعية وما فوقها يخالف البرهان العقلي الفلسفي ، أوّلاً ؛ وصريح الذكر الحكيم ، ثانياً ؛ والفطرة السليمة الإنسانية ، ثالثاً ، والتفصيل في الجهات الثلاث موكول إلى محلّه</w:t>
      </w:r>
      <w:r>
        <w:rPr>
          <w:rFonts w:eastAsia="Amiri" w:cs="Amiri" w:ascii="Amiri" w:hAnsi="Amiri"/>
          <w:color w:val="111111"/>
          <w:sz w:val="28"/>
          <w:szCs w:val="28"/>
          <w:rtl w:val="true"/>
          <w:lang w:bidi="ar-SA"/>
        </w:rPr>
        <w:t xml:space="preserve">. </w:t>
      </w:r>
      <w:bookmarkStart w:id="363" w:name="pg11047_102668"/>
    </w:p>
    <w:p>
      <w:pPr>
        <w:pStyle w:val="Heading4"/>
        <w:numPr>
          <w:ilvl w:val="3"/>
          <w:numId w:val="1"/>
        </w:numPr>
        <w:rPr/>
      </w:pPr>
      <w:bookmarkStart w:id="364" w:name="__RefHeading___Toc1391179_1067777946"/>
      <w:bookmarkStart w:id="365" w:name="_Toc139"/>
      <w:bookmarkEnd w:id="363"/>
      <w:bookmarkEnd w:id="364"/>
      <w:r>
        <w:rPr>
          <w:rtl w:val="true"/>
        </w:rPr>
        <w:t>الأمر الرابع التفسير الخاطئ في قسم من الأُصول</w:t>
      </w:r>
      <w:bookmarkEnd w:id="365"/>
    </w:p>
    <w:p>
      <w:pPr>
        <w:pStyle w:val="BookText"/>
        <w:rPr/>
      </w:pPr>
      <w:r>
        <w:rPr>
          <w:rFonts w:ascii="Amiri" w:hAnsi="Amiri" w:eastAsia="Amiri" w:cs="Amiri"/>
          <w:color w:val="111111"/>
          <w:sz w:val="28"/>
          <w:sz w:val="28"/>
          <w:szCs w:val="28"/>
          <w:rtl w:val="true"/>
          <w:lang w:bidi="ar-SA"/>
        </w:rPr>
        <w:t>قد تعرّفت على التفسير الخاطئ للتوحيد في الخالقية وانّ هذه العقيدة القرآنية كيف فسِّرت بصورة مشوهة حتّى صارت سبباً لانتفاء الغاية من خلق القدرة في الإنسان إلى غير ذلك من المضاعفات التي تعرّفت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تاريخ العقائد نظائر لهذا الأصل ابتليت بتفاسير خاطئة استوجب توالي فاسدة ، نظير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القضاء والقدر وسعتها لأفعال البشر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علمه سبحانه بالكائنات وأفعال الإنسان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البداء وانّ للإنسان أن يغيّر مصيره بالأعمال الصالحة والطالحة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التقية التي هي سلاح الضعيف أمام من صادر حرياته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ونظائرها فانّ كلاً من هذه الأُصول لها دلائل ساطعة في القرآن الكريم والسنّة تعدّ من المعارف العليا في الإسلام ولكنّها مع الأسف الشديد وقعت في إطار تفاسير باطلة صارت سبباً للطعن والغمز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القضاء والقدر فقد فسّرا بنحو صارت نتيجته كون الإنسان مكتوف اليد ، أو كالريشة في مهب الريح ، أو كالخشبة في اليم ،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 فقد جعلوا علمه الوسيع سبباً للجبر وانّه ليس للخاطئ إلاّ ارتكاب الخطأ وإلاّ ينقلب علمه جهلاً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 ، فقد فسروه بظهور ما خفي عليه سبحانه ، وتعالى عن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الرابع ، فقد جعلوه من فروع النفاق</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فيجب على الباحث أن يستنطق الكتاب والسنة فيها مجرداً عن كلّ رأي </w:t>
      </w:r>
      <w:bookmarkStart w:id="366" w:name="pg11047_102669"/>
    </w:p>
    <w:p>
      <w:pPr>
        <w:pStyle w:val="BookText"/>
        <w:rPr/>
      </w:pPr>
      <w:bookmarkEnd w:id="366"/>
      <w:r>
        <w:rPr>
          <w:rFonts w:ascii="Amiri" w:hAnsi="Amiri" w:eastAsia="Amiri" w:cs="Amiri"/>
          <w:color w:val="111111"/>
          <w:sz w:val="28"/>
          <w:sz w:val="28"/>
          <w:szCs w:val="28"/>
          <w:rtl w:val="true"/>
          <w:lang w:bidi="ar-SA"/>
        </w:rPr>
        <w:t>مسبق حتّى يقف على حقائق تلك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انّه قد استوفينا الكلام في هذه الأُصول في عدة من مؤلّفاتنا فلا نجد حاجة إلى تكرارها ، ومن أراد فليرجع إلى الصفحة أدناه</w:t>
      </w:r>
      <w:r>
        <w:rPr>
          <w:rFonts w:eastAsia="Amiri" w:cs="Amiri" w:ascii="Amiri" w:hAnsi="Amiri"/>
          <w:color w:val="111111"/>
          <w:sz w:val="28"/>
          <w:szCs w:val="28"/>
          <w:rtl w:val="true"/>
          <w:lang w:bidi="ar-SA"/>
        </w:rPr>
        <w:t xml:space="preserve">. </w:t>
      </w:r>
      <w:r>
        <w:rPr>
          <w:rStyle w:val="FootnoteAnchor"/>
          <w:rtl w:val="true"/>
        </w:rPr>
        <w:footnoteReference w:id="185"/>
      </w:r>
    </w:p>
    <w:p>
      <w:pPr>
        <w:pStyle w:val="Heading4"/>
        <w:numPr>
          <w:ilvl w:val="3"/>
          <w:numId w:val="1"/>
        </w:numPr>
        <w:rPr/>
      </w:pPr>
      <w:bookmarkStart w:id="367" w:name="__RefHeading___Toc1391181_1067777946"/>
      <w:bookmarkStart w:id="368" w:name="_Toc140"/>
      <w:bookmarkEnd w:id="367"/>
      <w:r>
        <w:rPr>
          <w:rtl w:val="true"/>
        </w:rPr>
        <w:t>الأمر الخامس تغيير عنوان المسألة في كتب المتأخّرين</w:t>
      </w:r>
      <w:bookmarkEnd w:id="368"/>
    </w:p>
    <w:p>
      <w:pPr>
        <w:pStyle w:val="BookText"/>
        <w:rPr/>
      </w:pPr>
      <w:r>
        <w:rPr>
          <w:rFonts w:ascii="Amiri" w:hAnsi="Amiri" w:eastAsia="Amiri" w:cs="Amiri"/>
          <w:color w:val="111111"/>
          <w:sz w:val="28"/>
          <w:sz w:val="28"/>
          <w:szCs w:val="28"/>
          <w:rtl w:val="true"/>
          <w:lang w:bidi="ar-SA"/>
        </w:rPr>
        <w:t xml:space="preserve">إنّ العنوان الرائج في كتب القدماء هو خلق الأعمال والأفعال ولكن العنوان الموجود بين المتأخرين غير ذلك فهم يعبرون عن المسألة بالعنوان 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قادر على كلّ المقدورات أو انّ أفعال العباد الاختيارية واقعة بقدرة الله سبحانه وتعالى وحده</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ولعل التعبير الثاني أفضل ، وذلك لأنّ مادة الخلق لا تنسب إلى الفعل في لغة العرب ، فلا تجد في الكتاب والسنّة ولا عند شعراء العصر الجاهلي من ينسب الخلق إلى الفعل ويقول خلق الأكل أو الشرب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ورد في القرآن الكريم قول إبراهيم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تَعْبُدُونَ مِنْ دُونِ اللهِ أَوْثاناً وَتَخْلُقُونَ إِفْكاً</w:t>
      </w:r>
      <w:r>
        <w:rPr>
          <w:rFonts w:eastAsia="Amiri" w:cs="Amiri" w:ascii="Amiri" w:hAnsi="Amiri"/>
          <w:color w:val="111111"/>
          <w:sz w:val="28"/>
          <w:szCs w:val="28"/>
          <w:rtl w:val="true"/>
          <w:lang w:bidi="ar-SA"/>
        </w:rPr>
        <w:t xml:space="preserve">) </w:t>
      </w:r>
      <w:r>
        <w:rPr>
          <w:rStyle w:val="FootnoteAnchor"/>
          <w:rtl w:val="true"/>
        </w:rPr>
        <w:footnoteReference w:id="187"/>
      </w:r>
      <w:r>
        <w:rPr>
          <w:rFonts w:ascii="Amiri" w:hAnsi="Amiri" w:eastAsia="Amiri" w:cs="Amiri"/>
          <w:color w:val="111111"/>
          <w:sz w:val="28"/>
          <w:sz w:val="28"/>
          <w:szCs w:val="28"/>
          <w:rtl w:val="true"/>
          <w:lang w:bidi="ar-SA"/>
        </w:rPr>
        <w:t>فقد نسب الخلق إلى الإفك الذي هو يعدّ فعلاً للإنسان</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الإمعان في الآية يفسر لنا وجه هذه النسبة ، فانّ الإفك كناية عن الاعتقاد بكون الأصنام إلهاً يُعبد ، فقد صار هذا سبباً لنسبة الخلق إلى الفعل المتجسّم في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يتعلّق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 xml:space="preserve">». </w:t>
      </w:r>
      <w:bookmarkStart w:id="369" w:name="pg11047_102670"/>
    </w:p>
    <w:p>
      <w:pPr>
        <w:pStyle w:val="BookText"/>
        <w:rPr/>
      </w:pPr>
      <w:bookmarkEnd w:id="369"/>
      <w:r>
        <w:rPr>
          <w:rFonts w:ascii="Amiri" w:hAnsi="Amiri" w:eastAsia="Amiri" w:cs="Amiri"/>
          <w:color w:val="111111"/>
          <w:sz w:val="28"/>
          <w:sz w:val="28"/>
          <w:szCs w:val="28"/>
          <w:rtl w:val="true"/>
          <w:lang w:bidi="ar-SA"/>
        </w:rPr>
        <w:t>وهذا يعرب عن أنّ العنوان الواضح هو ما اختاره المتأخّرون من عمومية قدرته لأفعال العباد</w:t>
      </w:r>
      <w:r>
        <w:rPr>
          <w:rFonts w:eastAsia="Amiri" w:cs="Amiri" w:ascii="Amiri" w:hAnsi="Amiri"/>
          <w:color w:val="111111"/>
          <w:sz w:val="28"/>
          <w:szCs w:val="28"/>
          <w:rtl w:val="true"/>
          <w:lang w:bidi="ar-SA"/>
        </w:rPr>
        <w:t>.</w:t>
      </w:r>
    </w:p>
    <w:p>
      <w:pPr>
        <w:pStyle w:val="Heading4"/>
        <w:numPr>
          <w:ilvl w:val="3"/>
          <w:numId w:val="1"/>
        </w:numPr>
        <w:rPr/>
      </w:pPr>
      <w:bookmarkStart w:id="370" w:name="__RefHeading___Toc1391183_1067777946"/>
      <w:bookmarkStart w:id="371" w:name="_Toc141"/>
      <w:bookmarkEnd w:id="370"/>
      <w:r>
        <w:rPr>
          <w:rtl w:val="true"/>
        </w:rPr>
        <w:t>الأمر السادس في إيضاح الجهمية والنجارية والضرارية</w:t>
      </w:r>
      <w:bookmarkEnd w:id="371"/>
    </w:p>
    <w:p>
      <w:pPr>
        <w:pStyle w:val="BookText"/>
        <w:rPr/>
      </w:pPr>
      <w:r>
        <w:rPr>
          <w:rFonts w:ascii="Amiri" w:hAnsi="Amiri" w:eastAsia="Amiri" w:cs="Amiri"/>
          <w:color w:val="111111"/>
          <w:sz w:val="28"/>
          <w:sz w:val="28"/>
          <w:szCs w:val="28"/>
          <w:rtl w:val="true"/>
          <w:lang w:bidi="ar-SA"/>
        </w:rPr>
        <w:t>إنّ هذه الطوائف الثلاث من دُعاة القول بالجبر وخلق الأعمال وانّ نصيب العبد من الفعل هو الكسب ، ولذا حاولنا أن نقول فيهم كلمة للإيضاح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تنتسب الجهمية إلى جهم بن صفوان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تلميذ الجعد بن درهم الذي قتله خالد بن عبد الله القسري سنة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ويليهم في القول بالجبر النجارية وهم أصحاب الحسين بن محمد بن عبد الله النجار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مناظرات مع 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وعرفهم الشهرستاني بقوله بأنّهم يقولون إنّ الباري تعالى هو خالق أعمال العباد خيرها وشرها ، حسنها وقبيحها والعبد مكتسب لها ، ويثبتون تأثيراً للقدرة الحادثة ويسمّون ذلك كسباً</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 xml:space="preserve">الضرارية نسبة إلى ضرار بن عمرو ، وقد ظهر في أيام واصل بن عطاء ، وقد ألف قيس بن المعتمر كتاباً في الردّ على ضرار سمّاه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ضرار</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الطائفة أيضاً تقول بأنّ أفعال العباد مخلوقة لله حقيقة والعبد مكتسبها</w:t>
      </w:r>
      <w:r>
        <w:rPr>
          <w:rFonts w:eastAsia="Amiri" w:cs="Amiri" w:ascii="Amiri" w:hAnsi="Amiri"/>
          <w:color w:val="111111"/>
          <w:sz w:val="28"/>
          <w:szCs w:val="28"/>
          <w:rtl w:val="true"/>
          <w:lang w:bidi="ar-SA"/>
        </w:rPr>
        <w:t xml:space="preserve">. </w:t>
      </w:r>
      <w:r>
        <w:rPr>
          <w:rStyle w:val="FootnoteAnchor"/>
          <w:rtl w:val="true"/>
        </w:rPr>
        <w:footnoteReference w:id="189"/>
      </w:r>
      <w:bookmarkStart w:id="372" w:name="pg11047_102671"/>
    </w:p>
    <w:p>
      <w:pPr>
        <w:pStyle w:val="Heading2"/>
        <w:numPr>
          <w:ilvl w:val="1"/>
          <w:numId w:val="1"/>
        </w:numPr>
        <w:rPr/>
      </w:pPr>
      <w:bookmarkStart w:id="373" w:name="__RefHeading___Toc1391185_1067777946"/>
      <w:bookmarkStart w:id="374" w:name="_Toc142"/>
      <w:bookmarkEnd w:id="372"/>
      <w:bookmarkEnd w:id="373"/>
      <w:r>
        <w:rPr>
          <w:rtl w:val="true"/>
        </w:rPr>
        <w:t>الفصل الرابع</w:t>
      </w:r>
      <w:r>
        <w:rPr>
          <w:rtl w:val="true"/>
        </w:rPr>
        <w:t xml:space="preserve">: </w:t>
      </w:r>
      <w:r>
        <w:rPr>
          <w:rtl w:val="true"/>
        </w:rPr>
        <w:t>الإرادة الإلهية التكوينيّة والتشريعيّة</w:t>
      </w:r>
      <w:bookmarkEnd w:id="374"/>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5" w:name="__RefHeading___Toc1391187_1067777946"/>
      <w:bookmarkStart w:id="376" w:name="_Toc143"/>
      <w:bookmarkEnd w:id="375"/>
      <w:r>
        <w:rPr>
          <w:rtl w:val="true"/>
        </w:rPr>
        <w:t>اشارة</w:t>
      </w:r>
      <w:bookmarkEnd w:id="376"/>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7" w:name="pg11047_102673"/>
      <w:bookmarkStart w:id="378" w:name="pg11047_102673"/>
      <w:bookmarkEnd w:id="378"/>
    </w:p>
    <w:p>
      <w:pPr>
        <w:pStyle w:val="Heading3"/>
        <w:numPr>
          <w:ilvl w:val="2"/>
          <w:numId w:val="1"/>
        </w:numPr>
        <w:rPr/>
      </w:pPr>
      <w:bookmarkStart w:id="379" w:name="pg11047_102673"/>
      <w:bookmarkStart w:id="380" w:name="__RefHeading___Toc1391189_1067777946"/>
      <w:bookmarkStart w:id="381" w:name="_Toc144"/>
      <w:bookmarkEnd w:id="379"/>
      <w:bookmarkEnd w:id="380"/>
      <w:r>
        <w:rPr/>
        <w:t>1</w:t>
      </w:r>
      <w:r>
        <w:rPr>
          <w:rtl w:val="true"/>
        </w:rPr>
        <w:t xml:space="preserve">- </w:t>
      </w:r>
      <w:r>
        <w:rPr>
          <w:rtl w:val="true"/>
        </w:rPr>
        <w:t>في تقسيم صفاته</w:t>
      </w:r>
      <w:bookmarkEnd w:id="381"/>
    </w:p>
    <w:p>
      <w:pPr>
        <w:pStyle w:val="Heading4"/>
        <w:numPr>
          <w:ilvl w:val="3"/>
          <w:numId w:val="1"/>
        </w:numPr>
        <w:rPr/>
      </w:pPr>
      <w:bookmarkStart w:id="382" w:name="__RefHeading___Toc1391191_1067777946"/>
      <w:bookmarkStart w:id="383" w:name="_Toc145"/>
      <w:bookmarkEnd w:id="382"/>
      <w:r>
        <w:rPr>
          <w:rtl w:val="true"/>
        </w:rPr>
        <w:t>اشارة</w:t>
      </w:r>
      <w:bookmarkEnd w:id="383"/>
    </w:p>
    <w:p>
      <w:pPr>
        <w:pStyle w:val="BookText"/>
        <w:rPr/>
      </w:pPr>
      <w:r>
        <w:rPr>
          <w:rFonts w:ascii="Amiri" w:hAnsi="Amiri" w:eastAsia="Amiri" w:cs="Amiri"/>
          <w:color w:val="111111"/>
          <w:sz w:val="28"/>
          <w:sz w:val="28"/>
          <w:szCs w:val="28"/>
          <w:rtl w:val="true"/>
          <w:lang w:bidi="ar-SA"/>
        </w:rPr>
        <w:t xml:space="preserve">إنّ صفاته سبحانه تنقسم إلى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ثبوتية ، وسلبية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جمالية وجلالية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الصفة مثبتة لجمال وكمال في الموصوف ، وكانت مشيرة إلى واقعية في ذاته ، تسمّى ثبوتية ذاتية أو جمالية ؛ وإن كانت الصفة هادفة إلى نفي نقص وحاجة عنه سبحانه ، تسمّى سلبية أو جلالية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فالعلم والقدرة والحياة من الصفات الثبوتية التي تشير إلى وجود كمال وواقعية في الذات الإلهية ، كما أنّ نفي الجسمانية والتحيّز والحركة والتغيّر من الصفات السلبية التي تهدف إلى سلب ما يعدّ نقصاً في الموجود ، عن ساحته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وهذان الاصطلاحان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الجمالية والجلالية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قريبان ممّا ورد في الكتاب العزيز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تَبارَكَ اسْمُ رَبِّكَ ذِي الْجَلالِ وَالْإِكْرامِ</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فصفة الجلال تدلّ على ما جلّت ذاتُه عن التلبّس به ، وصفة الإكرام ما تكرّمت ذاتُه به وتجمّلت ، فيُوصف بالكمال ، ويُنزّه بالجلال</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علماء العقائد حصروا الصفات الجمالية في ثماني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 </w:t>
      </w:r>
      <w:bookmarkStart w:id="384" w:name="pg11047_102674"/>
    </w:p>
    <w:p>
      <w:pPr>
        <w:pStyle w:val="BookText"/>
        <w:rPr/>
      </w:pPr>
      <w:bookmarkEnd w:id="384"/>
      <w:r>
        <w:rPr>
          <w:rFonts w:ascii="Amiri" w:hAnsi="Amiri" w:eastAsia="Amiri" w:cs="Amiri"/>
          <w:color w:val="111111"/>
          <w:sz w:val="28"/>
          <w:sz w:val="28"/>
          <w:szCs w:val="28"/>
          <w:rtl w:val="true"/>
          <w:lang w:bidi="ar-SA"/>
        </w:rPr>
        <w:t xml:space="preserve">القدرة ، الحياة ، السمع ، البصر ، الإرادة ، التكلّم ، والغنى ؛ كما حصروا الصفات السلبية في سبع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تعالى ليس بجسم ، ولا جوهر ، ولا عرض ، وانّه غير مرئي ، ولا متحيّز ، ولا حالّ في غيره ، ولا يتّحد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 النظر الدقيق يقتضي عدم حصر الصفات في عدد معين ، فإنّ الحقّ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الملاك في الصفات الجمالية والجلالية هو أنّ كلّ وصف يعدّ كمالاً للوجود فالله موصوف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وصف يعتبر نقصاً وعجزاً وحاجة فهو منزّه عنه ، وليس علينا أن نُحصر الكمالية والجلالية في عدد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يمكن إرجاع جميع الصفات الثبوتية إلى وصف واحد ، والصفات السلبية إلى أمر واحد ، ويؤيّد ما ذكرناه انّ الأسماء والصفات التي وردت في القرآن الكريم تفوق بأضعاف المرّات العدَد الذي ذكره المتكلّمون</w:t>
      </w:r>
      <w:r>
        <w:rPr>
          <w:rFonts w:eastAsia="Amiri" w:cs="Amiri" w:ascii="Amiri" w:hAnsi="Amiri"/>
          <w:color w:val="111111"/>
          <w:sz w:val="28"/>
          <w:szCs w:val="28"/>
          <w:rtl w:val="true"/>
          <w:lang w:bidi="ar-SA"/>
        </w:rPr>
        <w:t>.</w:t>
      </w:r>
    </w:p>
    <w:p>
      <w:pPr>
        <w:pStyle w:val="Heading4"/>
        <w:numPr>
          <w:ilvl w:val="3"/>
          <w:numId w:val="1"/>
        </w:numPr>
        <w:rPr/>
      </w:pPr>
      <w:bookmarkStart w:id="385" w:name="__RefHeading___Toc1391193_1067777946"/>
      <w:bookmarkStart w:id="386" w:name="_Toc146"/>
      <w:bookmarkEnd w:id="385"/>
      <w:r>
        <w:rPr>
          <w:rtl w:val="true"/>
        </w:rPr>
        <w:t>تقسيم آخر</w:t>
      </w:r>
      <w:bookmarkEnd w:id="386"/>
    </w:p>
    <w:p>
      <w:pPr>
        <w:pStyle w:val="BookText"/>
        <w:rPr/>
      </w:pPr>
      <w:r>
        <w:rPr>
          <w:rFonts w:ascii="Amiri" w:hAnsi="Amiri" w:eastAsia="Amiri" w:cs="Amiri"/>
          <w:color w:val="111111"/>
          <w:sz w:val="28"/>
          <w:sz w:val="28"/>
          <w:szCs w:val="28"/>
          <w:rtl w:val="true"/>
          <w:lang w:bidi="ar-SA"/>
        </w:rPr>
        <w:t xml:space="preserve">قسّم المتكلّمون صفاته سبحانه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الذات ، وصفة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ما يكفي فرض الذات في حمل الوصف عليه كالعلم والحياة والقدرة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عالم ، حيّ ، قادر ؛ والثاني ما يتوقّف وصف الذات به على فرض شيء وراء الذات ، وهو فعله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فصفات الفعل هي المنتزعة من مقام الفعل ، بمعنى انّ الذات توصف بالصفة عند ملاحظة الذات مع الفعل ، وذلك كالخلق والرزق ونظائرهما من الصفات الفعلية الزائدة على الذات بحكم انتزاعها من مقام الفعل</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ومعنى انتزاعها انّا إذا لاحظنا النِّعَم التي يتنعّم بها الناس نسمّيه سبحانه </w:t>
      </w:r>
    </w:p>
    <w:p>
      <w:pPr>
        <w:pStyle w:val="BookText"/>
        <w:rPr/>
      </w:pPr>
      <w:r>
        <w:rPr>
          <w:rFonts w:ascii="Amiri" w:hAnsi="Amiri" w:eastAsia="Amiri" w:cs="Amiri"/>
          <w:color w:val="111111"/>
          <w:sz w:val="28"/>
          <w:sz w:val="28"/>
          <w:szCs w:val="28"/>
          <w:rtl w:val="true"/>
          <w:lang w:bidi="ar-SA"/>
        </w:rPr>
        <w:t>لأجل هذا الفعل رزاقاً ، كما نسمّيه رحيماً وغافراً لأجل رحمته لعباده وغفرانه لذنوبهم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 اختلفوا في بعض الصفات وانّه هل هو من صفات الذات أو من صفات الفعل كالإرادة والتكلّم؟ فأهل الحديث والمتكلّمون على أنّ الإرادة من صفات الفعل تنتزع من إعمال القدرة خلافاً للحكماء فإنّهم جعلوها من صفات الذات بالمعنى المناسب لذاته سبحانه ، نظير الاختلاف في الكلام فالأشاعرة على أنّه من صفات الذات ، والمعتزلة والإمامية على أنّه من صفات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وجه الاختلاف في الكلام فهو مذكور في محلّه وخارج عن هدف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وجه اختلافهم في الإرادة وذهاب بعض إلى أنّه من صفات الذات والبعض الآخر إلى أنّه من صفات الفعل ، فحاصله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جعلها من صفات الذات فباعتبار أنّ الإرادة من صفات الكمال بشهادة انّ الفاعل المريد أكمل من الفاعل غير المريد ، فسلبها عن الذات يستلزم كونه فاعلاً غير مريد ، وهو نقص في الفاعلية ، سواء أكانت مع الشعور أم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جعله من صفات الفعل فلأجل انّ الإرادة أمر تدريجي بالذات ، توجد بعد وجود مقدّمات من تصوّر الموضوع والتصديق بفائدته واشتياقاً إلى فعله إلى أن ينتهي إلى الجزم والتصميم ، والإرادة بهذا المعنى أمر حادث تعالى سبحانه عن أن تقع ذاته محلًّا للحوادث</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فلأجل هذين الأمرين اختلفت أنظارهم في أمر الإرادة وأنّها هل هي من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صفات الذات أو من صفات الفعل؟ فمن جانب انّ الإرادة وصف كمال لا يمكن خلو الذات عن ذلك الكمال ، ومن جانب آخر انّ حقيقة الإرادة حقيقة متجدّدة ، والتجدّد عين الحدوث ، والحدوث عين الفقر ، والله سبحانه منزّه عن ذلك</w:t>
      </w:r>
      <w:r>
        <w:rPr>
          <w:rFonts w:eastAsia="Amiri" w:cs="Amiri" w:ascii="Amiri" w:hAnsi="Amiri"/>
          <w:color w:val="111111"/>
          <w:sz w:val="28"/>
          <w:szCs w:val="28"/>
          <w:rtl w:val="true"/>
          <w:lang w:bidi="ar-SA"/>
        </w:rPr>
        <w:t xml:space="preserve">. </w:t>
      </w:r>
      <w:bookmarkStart w:id="387" w:name="pg11047_102677"/>
    </w:p>
    <w:p>
      <w:pPr>
        <w:pStyle w:val="Heading3"/>
        <w:numPr>
          <w:ilvl w:val="2"/>
          <w:numId w:val="1"/>
        </w:numPr>
        <w:rPr/>
      </w:pPr>
      <w:bookmarkStart w:id="388" w:name="__RefHeading___Toc1391195_1067777946"/>
      <w:bookmarkStart w:id="389" w:name="_Toc147"/>
      <w:bookmarkEnd w:id="387"/>
      <w:bookmarkEnd w:id="388"/>
      <w:r>
        <w:rPr/>
        <w:t>2</w:t>
      </w:r>
      <w:r>
        <w:rPr>
          <w:rtl w:val="true"/>
        </w:rPr>
        <w:t xml:space="preserve">- </w:t>
      </w:r>
      <w:r>
        <w:rPr>
          <w:rtl w:val="true"/>
        </w:rPr>
        <w:t>في حقيقة الإرادة الإنسانية</w:t>
      </w:r>
      <w:bookmarkEnd w:id="389"/>
    </w:p>
    <w:p>
      <w:pPr>
        <w:pStyle w:val="Heading4"/>
        <w:numPr>
          <w:ilvl w:val="3"/>
          <w:numId w:val="1"/>
        </w:numPr>
        <w:rPr/>
      </w:pPr>
      <w:bookmarkStart w:id="390" w:name="__RefHeading___Toc1391197_1067777946"/>
      <w:bookmarkStart w:id="391" w:name="_Toc148"/>
      <w:bookmarkEnd w:id="390"/>
      <w:r>
        <w:rPr>
          <w:rtl w:val="true"/>
        </w:rPr>
        <w:t>اشارة</w:t>
      </w:r>
      <w:bookmarkEnd w:id="391"/>
    </w:p>
    <w:p>
      <w:pPr>
        <w:pStyle w:val="BookText"/>
        <w:rPr/>
      </w:pPr>
      <w:r>
        <w:rPr>
          <w:rFonts w:ascii="Amiri" w:hAnsi="Amiri" w:eastAsia="Amiri" w:cs="Amiri"/>
          <w:color w:val="111111"/>
          <w:sz w:val="28"/>
          <w:sz w:val="28"/>
          <w:szCs w:val="28"/>
          <w:rtl w:val="true"/>
          <w:lang w:bidi="ar-SA"/>
        </w:rPr>
        <w:t>إنّ الإرادة والكراهة كيفيّتان نفسانيّتان كسائر الكيفيّات النفسانية ، يجدهما الإنسان بذاتهما بلا توسط شيء مثل اللّذة والألم وغيرهما من الأُمور الوجدانية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في المقام تحليل ذلك الأمر الوجداني وصياغته في قالب علمي ، وقد اختلفت أنظارهم في واقع الإرادة في الإنسان فضلاً عن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الآراء المطروحة في الإرادة الإنسانية</w:t>
      </w:r>
    </w:p>
    <w:p>
      <w:pPr>
        <w:pStyle w:val="Heading4"/>
        <w:numPr>
          <w:ilvl w:val="3"/>
          <w:numId w:val="1"/>
        </w:numPr>
        <w:rPr/>
      </w:pPr>
      <w:bookmarkStart w:id="392" w:name="__RefHeading___Toc1391199_1067777946"/>
      <w:bookmarkStart w:id="393" w:name="_Toc149"/>
      <w:bookmarkEnd w:id="392"/>
      <w:r>
        <w:rPr/>
        <w:t>1</w:t>
      </w:r>
      <w:r>
        <w:rPr>
          <w:rtl w:val="true"/>
        </w:rPr>
        <w:t xml:space="preserve">. </w:t>
      </w:r>
      <w:r>
        <w:rPr>
          <w:rtl w:val="true"/>
        </w:rPr>
        <w:t xml:space="preserve">نظرية المعتزلة </w:t>
      </w:r>
      <w:r>
        <w:rPr>
          <w:rtl w:val="true"/>
        </w:rPr>
        <w:t xml:space="preserve">: </w:t>
      </w:r>
      <w:r>
        <w:rPr>
          <w:rtl w:val="true"/>
        </w:rPr>
        <w:t>الاعتقاد بالنفع</w:t>
      </w:r>
      <w:bookmarkEnd w:id="393"/>
    </w:p>
    <w:p>
      <w:pPr>
        <w:pStyle w:val="BookText"/>
        <w:rPr/>
      </w:pPr>
      <w:r>
        <w:rPr>
          <w:rFonts w:ascii="Amiri" w:hAnsi="Amiri" w:eastAsia="Amiri" w:cs="Amiri"/>
          <w:color w:val="111111"/>
          <w:sz w:val="28"/>
          <w:sz w:val="28"/>
          <w:szCs w:val="28"/>
          <w:rtl w:val="true"/>
          <w:lang w:bidi="ar-SA"/>
        </w:rPr>
        <w:t xml:space="preserve">فسّرت المعتزلة الإرادة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اعتقاد النفع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والكراهة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اعتقاد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قائلين بأنّ نسبة القدرة إلى طرفي الفعل والترك متساوية ، فإذا حصل في النفس الاعتقاد بالنفع في أحد الطرفين ، يرجَّح بسببه ذلك الطرف ويصير الفاعل مؤثراً فيه</w:t>
      </w:r>
      <w:r>
        <w:rPr>
          <w:rFonts w:eastAsia="Amiri" w:cs="Amiri" w:ascii="Amiri" w:hAnsi="Amiri"/>
          <w:color w:val="111111"/>
          <w:sz w:val="28"/>
          <w:szCs w:val="28"/>
          <w:rtl w:val="true"/>
          <w:lang w:bidi="ar-SA"/>
        </w:rPr>
        <w:t xml:space="preserve">. </w:t>
      </w:r>
      <w:r>
        <w:rPr>
          <w:rStyle w:val="FootnoteAnchor"/>
          <w:rtl w:val="true"/>
        </w:rPr>
        <w:footnoteReference w:id="191"/>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مجرّد الاعتقاد بالنفع لا يكون مبدأ وباعثاً نحو المراد ، إذ كثيراً ما يعتقد الإنسان بوجود النفع في كثير من الأفعال ولا يريدها ، وربّما لا </w:t>
      </w:r>
      <w:bookmarkStart w:id="394" w:name="pg11047_102678"/>
    </w:p>
    <w:p>
      <w:pPr>
        <w:pStyle w:val="BookText"/>
        <w:rPr/>
      </w:pPr>
      <w:bookmarkEnd w:id="394"/>
      <w:r>
        <w:rPr>
          <w:rFonts w:ascii="Amiri" w:hAnsi="Amiri" w:eastAsia="Amiri" w:cs="Amiri"/>
          <w:color w:val="111111"/>
          <w:sz w:val="28"/>
          <w:sz w:val="28"/>
          <w:szCs w:val="28"/>
          <w:rtl w:val="true"/>
          <w:lang w:bidi="ar-SA"/>
        </w:rPr>
        <w:t>يعتقد بوجوده فيها ، بل يعتقد بوجود الضرر ومع ذلك يريدها لموافقتها لبعض القوى الحيوانية</w:t>
      </w:r>
      <w:r>
        <w:rPr>
          <w:rFonts w:eastAsia="Amiri" w:cs="Amiri" w:ascii="Amiri" w:hAnsi="Amiri"/>
          <w:color w:val="111111"/>
          <w:sz w:val="28"/>
          <w:szCs w:val="28"/>
          <w:rtl w:val="true"/>
          <w:lang w:bidi="ar-SA"/>
        </w:rPr>
        <w:t>.</w:t>
      </w:r>
    </w:p>
    <w:p>
      <w:pPr>
        <w:pStyle w:val="Heading4"/>
        <w:numPr>
          <w:ilvl w:val="3"/>
          <w:numId w:val="1"/>
        </w:numPr>
        <w:rPr/>
      </w:pPr>
      <w:bookmarkStart w:id="395" w:name="__RefHeading___Toc1391201_1067777946"/>
      <w:bookmarkStart w:id="396" w:name="_Toc150"/>
      <w:bookmarkEnd w:id="395"/>
      <w:r>
        <w:rPr/>
        <w:t>2</w:t>
      </w:r>
      <w:r>
        <w:rPr>
          <w:rtl w:val="true"/>
        </w:rPr>
        <w:t xml:space="preserve">. </w:t>
      </w:r>
      <w:r>
        <w:rPr>
          <w:rtl w:val="true"/>
        </w:rPr>
        <w:t xml:space="preserve">نظرية الأشاعرة </w:t>
      </w:r>
      <w:r>
        <w:rPr>
          <w:rtl w:val="true"/>
        </w:rPr>
        <w:t xml:space="preserve">: </w:t>
      </w:r>
      <w:r>
        <w:rPr>
          <w:rtl w:val="true"/>
        </w:rPr>
        <w:t>المخصّصة للقدرة بأحد المقدورين</w:t>
      </w:r>
      <w:bookmarkEnd w:id="396"/>
    </w:p>
    <w:p>
      <w:pPr>
        <w:pStyle w:val="BookText"/>
        <w:rPr/>
      </w:pPr>
      <w:r>
        <w:rPr>
          <w:rFonts w:ascii="Amiri" w:hAnsi="Amiri" w:eastAsia="Amiri" w:cs="Amiri"/>
          <w:color w:val="111111"/>
          <w:sz w:val="28"/>
          <w:sz w:val="28"/>
          <w:szCs w:val="28"/>
          <w:rtl w:val="true"/>
          <w:lang w:bidi="ar-SA"/>
        </w:rPr>
        <w:t>فسّرت الأشاعرة الإرادة بأنّها صفة مخصِّصة للقدرة بأحد المقدورين وهي مغايرة للعلم والقدرة ، لأنّ خاصية القدرة صحّة الإيجاد واللاإيجاد ، وذلك بالنسبة إلى جميع الأوقات وإلى طرفي الفعل والترك على السواء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تفسير الإرادة ، بما يخصّص القدرة بأحد المقدورين ، تفسير لها بأثرها ولازمها ، من دون إلماع إلى حقيقتها وواقعها ، إذ من آثار الإرادة هو تحديد القدرة وسوقها إلى صوب المراد ، ولكنّه غير واقع الإرادة الذي نحن بصدد بيانه</w:t>
      </w:r>
      <w:r>
        <w:rPr>
          <w:rFonts w:eastAsia="Amiri" w:cs="Amiri" w:ascii="Amiri" w:hAnsi="Amiri"/>
          <w:color w:val="111111"/>
          <w:sz w:val="28"/>
          <w:szCs w:val="28"/>
          <w:rtl w:val="true"/>
          <w:lang w:bidi="ar-SA"/>
        </w:rPr>
        <w:t>.</w:t>
      </w:r>
    </w:p>
    <w:p>
      <w:pPr>
        <w:pStyle w:val="Heading4"/>
        <w:numPr>
          <w:ilvl w:val="3"/>
          <w:numId w:val="1"/>
        </w:numPr>
        <w:rPr/>
      </w:pPr>
      <w:bookmarkStart w:id="397" w:name="__RefHeading___Toc1391203_1067777946"/>
      <w:bookmarkStart w:id="398" w:name="_Toc151"/>
      <w:bookmarkEnd w:id="397"/>
      <w:r>
        <w:rPr/>
        <w:t>3</w:t>
      </w:r>
      <w:r>
        <w:rPr>
          <w:rtl w:val="true"/>
        </w:rPr>
        <w:t xml:space="preserve">. </w:t>
      </w:r>
      <w:r>
        <w:rPr>
          <w:rtl w:val="true"/>
        </w:rPr>
        <w:t xml:space="preserve">النظرية المعروفة </w:t>
      </w:r>
      <w:r>
        <w:rPr>
          <w:rtl w:val="true"/>
        </w:rPr>
        <w:t xml:space="preserve">: </w:t>
      </w:r>
      <w:r>
        <w:rPr>
          <w:rtl w:val="true"/>
        </w:rPr>
        <w:t>الشوق النفساني</w:t>
      </w:r>
      <w:bookmarkEnd w:id="398"/>
    </w:p>
    <w:p>
      <w:pPr>
        <w:pStyle w:val="BookText"/>
        <w:rPr/>
      </w:pPr>
      <w:r>
        <w:rPr>
          <w:rFonts w:ascii="Amiri" w:hAnsi="Amiri" w:eastAsia="Amiri" w:cs="Amiri"/>
          <w:color w:val="111111"/>
          <w:sz w:val="28"/>
          <w:sz w:val="28"/>
          <w:szCs w:val="28"/>
          <w:rtl w:val="true"/>
          <w:lang w:bidi="ar-SA"/>
        </w:rPr>
        <w:t>وقد اشتهر بين المحصلين انّ الإرادة عبارة عن الشوق النفساني الذي يحصل في الإنسان تلو اعتقاده بالنفع</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 xml:space="preserve">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ربّما يوجد هذا الميل والشوق ، دون أن يكون هناك إرادة ، كما في الإنسان المتديّن بالنسبة للمحرمات</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يوجد الفعل بدون الشوق النفساني أو الشوق المؤكّد كما في الأفعال العادية من تحريك الأعضاء وكثير من الأفعال العبثية والجزافية ، وكما </w:t>
      </w:r>
      <w:bookmarkStart w:id="399" w:name="pg11047_102679"/>
    </w:p>
    <w:p>
      <w:pPr>
        <w:pStyle w:val="BookText"/>
        <w:rPr/>
      </w:pPr>
      <w:bookmarkEnd w:id="399"/>
      <w:r>
        <w:rPr>
          <w:rFonts w:ascii="Amiri" w:hAnsi="Amiri" w:eastAsia="Amiri" w:cs="Amiri"/>
          <w:color w:val="111111"/>
          <w:sz w:val="28"/>
          <w:sz w:val="28"/>
          <w:szCs w:val="28"/>
          <w:rtl w:val="true"/>
          <w:lang w:bidi="ar-SA"/>
        </w:rPr>
        <w:t>في تناول الأدوية غير المستساغة وغيرها ، فإنّ الإنسان يشرب الدواء المرّ عن إرادة لا عن شوق</w:t>
      </w:r>
      <w:r>
        <w:rPr>
          <w:rFonts w:eastAsia="Amiri" w:cs="Amiri" w:ascii="Amiri" w:hAnsi="Amiri"/>
          <w:color w:val="111111"/>
          <w:sz w:val="28"/>
          <w:szCs w:val="28"/>
          <w:rtl w:val="true"/>
          <w:lang w:bidi="ar-SA"/>
        </w:rPr>
        <w:t>.</w:t>
      </w:r>
    </w:p>
    <w:p>
      <w:pPr>
        <w:pStyle w:val="Heading4"/>
        <w:numPr>
          <w:ilvl w:val="3"/>
          <w:numId w:val="1"/>
        </w:numPr>
        <w:rPr/>
      </w:pPr>
      <w:bookmarkStart w:id="400" w:name="__RefHeading___Toc1391205_1067777946"/>
      <w:bookmarkStart w:id="401" w:name="_Toc152"/>
      <w:bookmarkEnd w:id="400"/>
      <w:r>
        <w:rPr/>
        <w:t>4</w:t>
      </w:r>
      <w:r>
        <w:rPr>
          <w:rtl w:val="true"/>
        </w:rPr>
        <w:t xml:space="preserve">. </w:t>
      </w:r>
      <w:r>
        <w:rPr>
          <w:rtl w:val="true"/>
        </w:rPr>
        <w:t xml:space="preserve">الإرادة </w:t>
      </w:r>
      <w:r>
        <w:rPr>
          <w:rtl w:val="true"/>
        </w:rPr>
        <w:t xml:space="preserve">: </w:t>
      </w:r>
      <w:r>
        <w:rPr>
          <w:rtl w:val="true"/>
        </w:rPr>
        <w:t>القصد والعزم</w:t>
      </w:r>
      <w:bookmarkEnd w:id="401"/>
    </w:p>
    <w:p>
      <w:pPr>
        <w:pStyle w:val="BookText"/>
        <w:rPr/>
      </w:pPr>
      <w:r>
        <w:rPr>
          <w:rFonts w:ascii="Amiri" w:hAnsi="Amiri" w:eastAsia="Amiri" w:cs="Amiri"/>
          <w:color w:val="111111"/>
          <w:sz w:val="28"/>
          <w:sz w:val="28"/>
          <w:szCs w:val="28"/>
          <w:rtl w:val="true"/>
          <w:lang w:bidi="ar-SA"/>
        </w:rPr>
        <w:t>الإرادة كيفية نفسانية متخلّلة بين العلم الجازم والفعل ويعبّر عنها بالقصد والعزم تارة ، وبالإجماع والتصميم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ذلك القصد من مقولة الشوق بقسميه المؤكّد وغير المؤكّد ، كما أنّه ليس من مقولة العلم رغم حضوره لدى النفس كسائر الكيفيات النفسانية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وباختصار ، حقيقة الإرادة هي العقد والميل القاطع نحو الفعل ، وهذا هو المختار ويشهد عليه 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فسواء أصحّت هذه التفاسير للإرادة الإنسانيّة أم لا ، لكن لا يمكن تفسير الإرادة الإلهية بهذه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أنّ تفسير الإرادة باعتقاد النفع ملازم لإنكار الإرادة مطلقاً في الموجودات الإمكانية فضلاً عن الله سبحانه ، وذلك لأنّ ملجأها إلى العلم بالنفع مع أنّا نجد في أنفسنا شيئاً وراء العلم والاعتقاد بالنفع ، ومن فسر الإرادة بالاعتقاد بالنفع فقد أثبت العلم وأنكر الإرادة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الإرادة بتخصيص القدرة بأحد المقدورين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يناسب شأنه سبحانه ، لأنّ التخصيص أمر حادث فتعالى أن تكون ذاته مركزاً للحوادث إلاّ أن يرجع إلى تفسير الإرادة الفعلية به دون الذاتية ، فالإرادة في مقام الفعل هو ما جاء في هذا التفسير ، وعلى هذا تكون الإرادة من صفات الفعل دون صفات الذات فيلزم خلوها عن ذلك الكمال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انّ الشوق من مقولة الانفعال تعالى عنه ، مضافاً إلى أنّ الشوق شأن الفاعل الناقص الذي يريد الخروج عن النقص إلى الكمال فيشتاق إليه شوقاً أكيداً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فسواء أفسّرت بالقصد والعزم أو الإجماع والتصميم فحقيقتها الحدوث بعد العدم ، والوجود بعد اللاوجود ، وهي بهذا المعنى يستحيل أن يوصف به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عدم مناسبة هذه التعاريف لذاته سبحانه صار المتألّهون على طائفتين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يحاول جعلها من صفات الذات ولكن يتصرف في معنى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يتصرف في نفي الإرادة ولكن يجعلها من صفات الفعل كالخلق والرزق ، فالجميع ينتزع من فعله سبحانه وإعمال 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 هذا القول قد أراحوا أنفسهم من الإشكالات المتوجهة إلى كون الإرادة من الصفات الذاتية لله سبحانه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وإليك الكلام حول هذين القولين في فصلين مختلفين</w:t>
      </w:r>
      <w:r>
        <w:rPr>
          <w:rFonts w:eastAsia="Amiri" w:cs="Amiri" w:ascii="Amiri" w:hAnsi="Amiri"/>
          <w:color w:val="111111"/>
          <w:sz w:val="28"/>
          <w:szCs w:val="28"/>
          <w:rtl w:val="true"/>
          <w:lang w:bidi="ar-SA"/>
        </w:rPr>
        <w:t xml:space="preserve">. </w:t>
      </w:r>
      <w:bookmarkStart w:id="402" w:name="pg11047_102681"/>
    </w:p>
    <w:p>
      <w:pPr>
        <w:pStyle w:val="Heading3"/>
        <w:numPr>
          <w:ilvl w:val="2"/>
          <w:numId w:val="1"/>
        </w:numPr>
        <w:rPr/>
      </w:pPr>
      <w:bookmarkStart w:id="403" w:name="__RefHeading___Toc1391207_1067777946"/>
      <w:bookmarkStart w:id="404" w:name="_Toc153"/>
      <w:bookmarkEnd w:id="402"/>
      <w:bookmarkEnd w:id="403"/>
      <w:r>
        <w:rPr/>
        <w:t>3</w:t>
      </w:r>
      <w:r>
        <w:rPr>
          <w:rtl w:val="true"/>
        </w:rPr>
        <w:t xml:space="preserve">- </w:t>
      </w:r>
      <w:r>
        <w:rPr>
          <w:rtl w:val="true"/>
        </w:rPr>
        <w:t>الإرادة الإلهية من صفات الذات</w:t>
      </w:r>
      <w:bookmarkEnd w:id="404"/>
    </w:p>
    <w:p>
      <w:pPr>
        <w:pStyle w:val="Heading4"/>
        <w:numPr>
          <w:ilvl w:val="3"/>
          <w:numId w:val="1"/>
        </w:numPr>
        <w:rPr/>
      </w:pPr>
      <w:bookmarkStart w:id="405" w:name="__RefHeading___Toc1391209_1067777946"/>
      <w:bookmarkStart w:id="406" w:name="_Toc154"/>
      <w:bookmarkEnd w:id="405"/>
      <w:r>
        <w:rPr>
          <w:rtl w:val="true"/>
        </w:rPr>
        <w:t>اشارة</w:t>
      </w:r>
      <w:bookmarkEnd w:id="406"/>
    </w:p>
    <w:p>
      <w:pPr>
        <w:pStyle w:val="BookText"/>
        <w:rPr/>
      </w:pPr>
      <w:r>
        <w:rPr>
          <w:rFonts w:ascii="Amiri" w:hAnsi="Amiri" w:eastAsia="Amiri" w:cs="Amiri"/>
          <w:color w:val="111111"/>
          <w:sz w:val="28"/>
          <w:sz w:val="28"/>
          <w:szCs w:val="28"/>
          <w:rtl w:val="true"/>
          <w:lang w:bidi="ar-SA"/>
        </w:rPr>
        <w:t xml:space="preserve">قد عرفت أنّ الإرادة بتفاسيرها المختلفة لا تليق أن تنسب إلى الله سبحانه ، ولذلك عاد القائلون بأنّ الإرادة من صفات الذات إلى تفسيرها بنحو يناسب ذاته سبحانه ، وإليك تفاسيرهم </w:t>
      </w:r>
      <w:r>
        <w:rPr>
          <w:rFonts w:eastAsia="Amiri" w:cs="Amiri" w:ascii="Amiri" w:hAnsi="Amiri"/>
          <w:color w:val="111111"/>
          <w:sz w:val="28"/>
          <w:szCs w:val="28"/>
          <w:rtl w:val="true"/>
          <w:lang w:bidi="ar-SA"/>
        </w:rPr>
        <w:t>:</w:t>
      </w:r>
    </w:p>
    <w:p>
      <w:pPr>
        <w:pStyle w:val="Heading4"/>
        <w:numPr>
          <w:ilvl w:val="3"/>
          <w:numId w:val="1"/>
        </w:numPr>
        <w:rPr/>
      </w:pPr>
      <w:bookmarkStart w:id="407" w:name="__RefHeading___Toc1391211_1067777946"/>
      <w:bookmarkStart w:id="408" w:name="_Toc155"/>
      <w:bookmarkEnd w:id="407"/>
      <w:r>
        <w:rPr>
          <w:rtl w:val="true"/>
        </w:rPr>
        <w:t xml:space="preserve">الأُولى </w:t>
      </w:r>
      <w:r>
        <w:rPr>
          <w:rtl w:val="true"/>
        </w:rPr>
        <w:t xml:space="preserve">: </w:t>
      </w:r>
      <w:r>
        <w:rPr>
          <w:rtl w:val="true"/>
        </w:rPr>
        <w:t>الإرادة هو العلم بالأصلح</w:t>
      </w:r>
      <w:bookmarkEnd w:id="408"/>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يظهر من صدر المتألّهين وغيره ، أنّ إرادته سبحانه عبارة عن العلم بالأصلح ، فقال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فثبت انّ إرادة الله ليست عبارة عن القصد ، بل الحقّ في كونه مريداً ، انّه سبحانه وتعالى يعقل ذاته ، ويعقل نظام الخير الموجود في الكلّ من ذاته ، وانّه كيف يكون؟ وذلك النظام يكون لا محالة كائناً مستفيضاً وهو غير مناف لذات المبدأ الأوّل جلّ اسمه ، لأنّ ذاته كلّ الخيرات الوجودية كما مرّ مراراً من أنّ البسيط الحق كلّ الأشياء الوجودية ، فالنظام الأكمل الكوني الإمكاني تابع للنظام الأشرف الواجبي الحقّي ، وهو عين العلم والإرادة فعلم </w:t>
      </w:r>
    </w:p>
    <w:p>
      <w:pPr>
        <w:pStyle w:val="BookText"/>
        <w:rPr/>
      </w:pPr>
      <w:r>
        <w:rPr>
          <w:rFonts w:ascii="Amiri" w:hAnsi="Amiri" w:eastAsia="Amiri" w:cs="Amiri"/>
          <w:color w:val="111111"/>
          <w:sz w:val="28"/>
          <w:sz w:val="28"/>
          <w:szCs w:val="28"/>
          <w:rtl w:val="true"/>
          <w:lang w:bidi="ar-SA"/>
        </w:rPr>
        <w:t>المبدأ بفيضان الأشياء عنه ، وانّه غير مناف لذاته ، هو إرادته لذلك ورضاه ، فهذه هي الإرادة الخالية عن النقص والإمكان</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تفسير الإرادة الإلهية بالعلم بالأصلح هو الظاهر من أكثر المتأخّرين بعد صدر المتألّهين ، وقد تلقّاه الحكيم السبزواري أصلاً مسلّماً ففسّرها به ، قال في منظومته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عقيب داع ، دركنا الملائما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شوقاً مؤكداً إرادة سما</w:t>
      </w:r>
    </w:p>
    <w:p>
      <w:pPr>
        <w:pStyle w:val="BookText"/>
        <w:rPr/>
      </w:pPr>
      <w:r>
        <w:rPr>
          <w:rFonts w:ascii="Amiri" w:hAnsi="Amiri" w:eastAsia="Amiri" w:cs="Amiri"/>
          <w:color w:val="111111"/>
          <w:sz w:val="28"/>
          <w:sz w:val="28"/>
          <w:szCs w:val="28"/>
          <w:rtl w:val="true"/>
          <w:lang w:bidi="ar-SA"/>
        </w:rPr>
        <w:t xml:space="preserve">وفيه عين الداع عين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نظام خير هو عين ذاته</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 xml:space="preserve">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تفسير الإرادة الإلهية بالعلم بالأصلح أو العلم العنائي وإن كان سليماً عن إشكال الحدوث والتدرّج حيث إنّ علمه سبحانه بذاته علم فعلي قديم منزّه عن وصمة الحدوث والتدرج ، إلاّ أنّ إرجاع الإرادة إلى العلم ، يلازم نفي واقع الإرادة عنه سبحانه ، لأنّ العلم والإرادة حقيقتان مختلفتان ، فتفسير الثانية بالأوّل ، إثبات لوصف العلم ، ونفي لوصف الإرادة ، فيُصبح سبحانه فاعلاً عالماً غير مريد ، مع أنّ الفاعل العالم المريد أفضل وأكمل من الفاعل العالم غير المريد</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نبّه بذلك بعض أئمّة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بكير بن أعين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علمه ومشيئته هما مختلفان أو متّفقان؟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العلم ليس هو المشيئة ، ألا ترى 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سأفعل كذا إن شاء الله ولا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سأفعل كذا </w:t>
      </w:r>
    </w:p>
    <w:p>
      <w:pPr>
        <w:pStyle w:val="BookText"/>
        <w:rPr/>
      </w:pPr>
      <w:r>
        <w:rPr>
          <w:rFonts w:ascii="Amiri" w:hAnsi="Amiri" w:eastAsia="Amiri" w:cs="Amiri"/>
          <w:color w:val="111111"/>
          <w:sz w:val="28"/>
          <w:sz w:val="28"/>
          <w:szCs w:val="28"/>
          <w:rtl w:val="true"/>
          <w:lang w:bidi="ar-SA"/>
        </w:rPr>
        <w:t xml:space="preserve">إن علم الله ، فقولك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دليل على أنّه لم يشأ ، فإذا شاء ، كان الذي شاء كما شاء وعلم الله السابق للمشيئة</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 xml:space="preserve">ثمّ إنّ العلاّمة الطباطبائي ممّن يسلّم انّ علمه بنظام الخير مبدأ له ، ومع ذلك يُنكر تسمية العلم بالأصلح والنظام الأتم إرادة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صدر المتألّهين وغيره من الحكماء المتقدّمين من أمر الإرادة الذاتية ، وأقاموا عليه البرهان ، فهو حقّ ، لكن الذي تثبته البراهين انّ ما سواه تعالى يستند إلى قدرته التي هي مبدئيته المطلقة للخير وعلمه بنظام الخير ، وأمّا تسمية العلم بالخير والأصلح ، إرادة أو انطباق مفهوم الإرادة بعد التجريد على العلم بالأصلح الذي هو عين الذات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قام البرهان على أنّه واجد لكلّ كمال وجودي ، وهذا لا يوجب تخصيص الإرادة من بينها بالذكر في ضمن الصفات الذاتية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ما ذكروه حق من حيث المعنى وإنّما الكلام في إطلاق لفظ الإرادة وانطباق ما جرّد من مفهومها ، على صفة العلم</w:t>
      </w:r>
      <w:r>
        <w:rPr>
          <w:rFonts w:eastAsia="Amiri" w:cs="Amiri" w:ascii="Amiri" w:hAnsi="Amiri"/>
          <w:color w:val="111111"/>
          <w:sz w:val="28"/>
          <w:szCs w:val="28"/>
          <w:rtl w:val="true"/>
          <w:lang w:bidi="ar-SA"/>
        </w:rPr>
        <w:t xml:space="preserve">. </w:t>
      </w:r>
      <w:r>
        <w:rPr>
          <w:rStyle w:val="FootnoteAnchor"/>
          <w:rtl w:val="true"/>
        </w:rPr>
        <w:footnoteReference w:id="196"/>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وليعلم أنّ القول باتّحاد صفاته سبحانه مع ذاته ليس بمعنى أنّ كلّ وصف عين الوصف الآخر كأن تكون الإرادة عين العلم ، بل المراد أنّ ذاته سبحانه كلّه علم وفي الوقت نفسه كلّه قدرة وكلّه حياة دون أن يشكّل العلم جزءاً من الذات والقدرة جزءاً آخر حتّى يلزم التركيب ، فلا يصحّ أن يقع القول بعينيّة صفاته مع الذات ، ذريعة لتفسير الإرادة بالعلم بالأصلح</w:t>
      </w:r>
      <w:r>
        <w:rPr>
          <w:rFonts w:eastAsia="Amiri" w:cs="Amiri" w:ascii="Amiri" w:hAnsi="Amiri"/>
          <w:color w:val="111111"/>
          <w:sz w:val="28"/>
          <w:szCs w:val="28"/>
          <w:rtl w:val="true"/>
          <w:lang w:bidi="ar-SA"/>
        </w:rPr>
        <w:t xml:space="preserve">. </w:t>
      </w:r>
      <w:bookmarkStart w:id="409" w:name="pg11047_102684"/>
    </w:p>
    <w:p>
      <w:pPr>
        <w:pStyle w:val="Heading4"/>
        <w:numPr>
          <w:ilvl w:val="3"/>
          <w:numId w:val="1"/>
        </w:numPr>
        <w:rPr/>
      </w:pPr>
      <w:bookmarkStart w:id="410" w:name="__RefHeading___Toc1391213_1067777946"/>
      <w:bookmarkStart w:id="411" w:name="_Toc156"/>
      <w:bookmarkEnd w:id="409"/>
      <w:bookmarkEnd w:id="410"/>
      <w:r>
        <w:rPr>
          <w:rtl w:val="true"/>
        </w:rPr>
        <w:t xml:space="preserve">الثانية </w:t>
      </w:r>
      <w:r>
        <w:rPr>
          <w:rtl w:val="true"/>
        </w:rPr>
        <w:t xml:space="preserve">: </w:t>
      </w:r>
      <w:r>
        <w:rPr>
          <w:rtl w:val="true"/>
        </w:rPr>
        <w:t>إرادته سبحانه هو ابتهاجه بذاته</w:t>
      </w:r>
      <w:bookmarkEnd w:id="411"/>
    </w:p>
    <w:p>
      <w:pPr>
        <w:pStyle w:val="BookText"/>
        <w:rPr/>
      </w:pPr>
      <w:r>
        <w:rPr>
          <w:rFonts w:ascii="Amiri" w:hAnsi="Amiri" w:eastAsia="Amiri" w:cs="Amiri"/>
          <w:color w:val="111111"/>
          <w:sz w:val="28"/>
          <w:sz w:val="28"/>
          <w:szCs w:val="28"/>
          <w:rtl w:val="true"/>
          <w:lang w:bidi="ar-SA"/>
        </w:rPr>
        <w:t xml:space="preserve">هذه هي النظرية الثانية التي اختارها بعض المحقّقين من مشايخ مشايخنا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أسرارهم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فسّر الإرادة بالابتهاج وجعل له مرحلتين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الابتهاج الذاتي وهو الإرادة في مقام الذات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الابتهاج الفعلي ينبعث من الابتهاج الأوّل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 أحب شيئاً أحبّ آثاره ، وهذه المحبة الفعلية هي الإرادة في مقام الفعل وأسماها بالإرادة الفعلية ، فقال في كلام مبسوط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ريب عند أهل النظر أنّ مفاهيم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يقتضيه طبعها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متفاوتة متخالفة ، لا متوافقة مترادفة ، وإن كان مطابَقها واحداً بالذات من جميع الجهات ، فكما أنّ مفهوم العلم غير مفهوم الذات وسائر الصفات ، وإن كان مطابَق مفهوم العلم والعالِم ، ذاته بذاته ؛ حيث إنّ حضور ذاته لذاته ، بوجدان ذاته لذاته ، وعدم غيبة ذاته عن ذاته ، كذلك ينبغي أن يكون مفهوم الإرادة بناء على كونها من صفات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كمفهوم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مبايناً مع الذات ومفهوم العلم ، لا أنّ لفظ الإرادة معناه العلم بالصلاح ، فانّ الرجوع الواجب هو الرجوع في المصداق ، لا رجوع مفهوم إلى 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البين أنّ مفهوم 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مختار الأكابر من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الابتهاج والرضا ، وما يقاربهما مفهوماً ، ويعبّر عنه بالشوق الأكيد فينا</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والسرّ في التعبير عنها بالشوق فينا ، وبصرف الابتهاج والرضا فيه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لمكان إمكاننا ناقصون غير تامّين في الفاعلية ، وفاعليتنا لكلّ شيء بالقوة ، فلذا نحتاج في الخروج من القوة إلى الفعل إلى أُمور زائدة على ذواتنا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تصوّر الفعل والتصديق بفائدته والشوق الأكيد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المميلة جميعاً للقوة الفاعلة </w:t>
      </w:r>
    </w:p>
    <w:p>
      <w:pPr>
        <w:pStyle w:val="BookText"/>
        <w:rPr/>
      </w:pPr>
      <w:r>
        <w:rPr>
          <w:rFonts w:ascii="Amiri" w:hAnsi="Amiri" w:eastAsia="Amiri" w:cs="Amiri"/>
          <w:color w:val="111111"/>
          <w:sz w:val="28"/>
          <w:sz w:val="28"/>
          <w:szCs w:val="28"/>
          <w:rtl w:val="true"/>
          <w:lang w:bidi="ar-SA"/>
        </w:rPr>
        <w:t xml:space="preserve">المحرّكة للعضلات ، بخلاف الواجب تعالى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لتقدّسه عن شوائب الإمكان وجهات القوة والنقصان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وجاعل بنفس ذاته العليمة المريدة ، وحيث إنّه صرف الوجود ، وصرف الوجود صرف الخير ، فهو مبتهج بذاته أتمّ ابتهاج ، وذاته مرضية لذاته أتمّ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وينبعث من هذا الابتهاج الذاتي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الإرادة الذاتية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ابتهاج في مرحلة الفعل ، فإنّ من أحبّ شيئاً أحبّ آثاره ، وهذه المحبّة الفعلية هي الإرادة في مرحلة الفعل ، وهي التي وردت الأخبار عن الأئمّة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بحدوثها </w:t>
      </w:r>
      <w:r>
        <w:rPr>
          <w:rStyle w:val="FootnoteAnchor"/>
          <w:rtl w:val="true"/>
        </w:rPr>
        <w:footnoteReference w:id="197"/>
      </w:r>
      <w:r>
        <w:rPr>
          <w:rFonts w:ascii="Amiri" w:hAnsi="Amiri" w:eastAsia="Amiri" w:cs="Amiri"/>
          <w:color w:val="111111"/>
          <w:sz w:val="28"/>
          <w:sz w:val="28"/>
          <w:szCs w:val="28"/>
          <w:rtl w:val="true"/>
          <w:lang w:bidi="ar-SA"/>
        </w:rPr>
        <w:t>؛ لوضوح أنّ المراد هو الإرادة التي هي غير المراد ، دون الإرادة الأزلية التي هو عين المراد ؛ حيث لا مراد في مرتبة ذاته إلاّ ذاته ، كما لا معلوم في مرتبة ذاته إلاّ ذاته</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 xml:space="preserve">ويظهر من الحكيم السبزواري ارتضاؤه ، قال في منظومته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مبتهج بذاته بنهجة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أقوى ومن له بشيء بهجة</w:t>
      </w:r>
    </w:p>
    <w:p>
      <w:pPr>
        <w:pStyle w:val="BookText"/>
        <w:rPr/>
      </w:pPr>
      <w:r>
        <w:rPr>
          <w:rFonts w:ascii="Amiri" w:hAnsi="Amiri" w:eastAsia="Amiri" w:cs="Amiri"/>
          <w:color w:val="111111"/>
          <w:sz w:val="28"/>
          <w:sz w:val="28"/>
          <w:szCs w:val="28"/>
          <w:rtl w:val="true"/>
          <w:lang w:bidi="ar-SA"/>
        </w:rPr>
        <w:t xml:space="preserve">مبتهج بما يصير مصدره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إنّه يكون أثره</w:t>
      </w:r>
    </w:p>
    <w:p>
      <w:pPr>
        <w:pStyle w:val="BookText"/>
        <w:rPr/>
      </w:pPr>
      <w:r>
        <w:rPr>
          <w:rFonts w:ascii="Amiri" w:hAnsi="Amiri" w:eastAsia="Amiri" w:cs="Amiri"/>
          <w:color w:val="111111"/>
          <w:sz w:val="28"/>
          <w:sz w:val="28"/>
          <w:szCs w:val="28"/>
          <w:rtl w:val="true"/>
          <w:lang w:bidi="ar-SA"/>
        </w:rPr>
        <w:t xml:space="preserve">كرابط لا شيء باستقلاله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حكم على حياله</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رضاؤه بالذات بالفعل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 الرضا إرادة لمن قضى</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 xml:space="preserve">يلاحظ على تلك النظرية بما مرّ في النظرية السابقة ، فإنّ تفسير الإرادة الإلهية بابتهاج الذات وإن كان يدفع مشكل التدريج والحدوث ، لكن الإشكال الآخر باق بحاله ، فإن واقع الابتهاج في الإنسان من مقولة الانفعال ، والإرادة أشبه بمقولة الفعل ، فتفسير الإرادة بالابتهاج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مع التجريد عن النقص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يستلزم نفي وصف الإرادة عنه سبحانه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الإرادة في الإنسان رمز الاختيار والحرية ، فالفاعل المريد ، مختار في فعله ، يوجده بإرادته ، وأين هي من تفسير الإرادة بالابتهاج الذي هو رمز كون الفعل ملائماً لذات الفاعل وطبعه؟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فتفسير أحدهما بالآخر نفي لواقع المفسَّر</w:t>
      </w:r>
      <w:r>
        <w:rPr>
          <w:rFonts w:eastAsia="Amiri" w:cs="Amiri" w:ascii="Amiri" w:hAnsi="Amiri"/>
          <w:color w:val="111111"/>
          <w:sz w:val="28"/>
          <w:szCs w:val="28"/>
          <w:rtl w:val="true"/>
          <w:lang w:bidi="ar-SA"/>
        </w:rPr>
        <w:t xml:space="preserve">. </w:t>
      </w:r>
      <w:bookmarkStart w:id="412" w:name="pg11047_102687"/>
    </w:p>
    <w:p>
      <w:pPr>
        <w:pStyle w:val="Heading3"/>
        <w:numPr>
          <w:ilvl w:val="2"/>
          <w:numId w:val="1"/>
        </w:numPr>
        <w:rPr/>
      </w:pPr>
      <w:bookmarkStart w:id="413" w:name="__RefHeading___Toc1391215_1067777946"/>
      <w:bookmarkStart w:id="414" w:name="_Toc157"/>
      <w:bookmarkEnd w:id="412"/>
      <w:bookmarkEnd w:id="413"/>
      <w:r>
        <w:rPr/>
        <w:t>4</w:t>
      </w:r>
      <w:r>
        <w:rPr>
          <w:rtl w:val="true"/>
        </w:rPr>
        <w:t xml:space="preserve">- </w:t>
      </w:r>
      <w:r>
        <w:rPr>
          <w:rtl w:val="true"/>
        </w:rPr>
        <w:t>الإرادة الإلهية من صفات الفعل</w:t>
      </w:r>
      <w:bookmarkEnd w:id="414"/>
    </w:p>
    <w:p>
      <w:pPr>
        <w:pStyle w:val="Heading4"/>
        <w:numPr>
          <w:ilvl w:val="3"/>
          <w:numId w:val="1"/>
        </w:numPr>
        <w:rPr/>
      </w:pPr>
      <w:bookmarkStart w:id="415" w:name="__RefHeading___Toc1391217_1067777946"/>
      <w:bookmarkStart w:id="416" w:name="_Toc158"/>
      <w:bookmarkEnd w:id="415"/>
      <w:r>
        <w:rPr>
          <w:rtl w:val="true"/>
        </w:rPr>
        <w:t>اشارة</w:t>
      </w:r>
      <w:bookmarkEnd w:id="416"/>
    </w:p>
    <w:p>
      <w:pPr>
        <w:pStyle w:val="BookText"/>
        <w:rPr/>
      </w:pPr>
      <w:r>
        <w:rPr>
          <w:rFonts w:ascii="Amiri" w:hAnsi="Amiri" w:eastAsia="Amiri" w:cs="Amiri"/>
          <w:color w:val="111111"/>
          <w:sz w:val="28"/>
          <w:sz w:val="28"/>
          <w:szCs w:val="28"/>
          <w:rtl w:val="true"/>
          <w:lang w:bidi="ar-SA"/>
        </w:rPr>
        <w:t>قد مضى في الفصل السابق بعض الأنظار الذي يفسر الإرادة الإلهية بأنّها من صفات الذات ، وحان وقت البحث عن الأنظار التي تعدّها من صفات الفعل ، فخصصنا هذا الفصل بهذا كما خصصنا الفصل السابق بالنظر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غير واحد من المحقّقين إلى أنّ الإرادة أشبه بصفة الفعل ، نظير الخلق والإيجاد والرحمة ، وقبل الخوض في بيانها نقدّم شيئاً ربّما مضى التنبيه عليه في صدر الرسالة ، وهو</w:t>
      </w:r>
    </w:p>
    <w:p>
      <w:pPr>
        <w:pStyle w:val="BookText"/>
        <w:rPr/>
      </w:pPr>
      <w:r>
        <w:rPr>
          <w:rFonts w:ascii="Amiri" w:hAnsi="Amiri" w:eastAsia="Amiri" w:cs="Amiri"/>
          <w:color w:val="111111"/>
          <w:sz w:val="28"/>
          <w:sz w:val="28"/>
          <w:szCs w:val="28"/>
          <w:rtl w:val="true"/>
          <w:lang w:bidi="ar-SA"/>
        </w:rPr>
        <w:t>أثبتت البراهين الفلسفية انّ كلّ كمال وجودي فإنّه موجود للواجب في حدّ ذاته ، وإلاّ يلزم تطرّق النقص إليه ، وفرض موجود أكمل منه ، لأنّ كون الفاعل وراء كونه عالماً ، مريداً مختاراً ، كمال للذات فلا يمكن سلبه عنه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جانب آخر انّ الإرادة كيفية نفسانية ، وماهية ممكنة والواجب منزّه عن الماهية والإمكان ، وليست الإرادة كالعلم فإنّه يصلح وصف الواجب به إذا جرّد عن النقص وبقى منه سوى الكشف ، وهذا بخلاف الإرادة فإنّها مهما جرّدت عن شوائب الإمكان والنقص لا يوصف بها الواجب ، لأنّ واقعيّة الإرادة </w:t>
      </w:r>
      <w:bookmarkStart w:id="417" w:name="pg11047_102688"/>
    </w:p>
    <w:p>
      <w:pPr>
        <w:pStyle w:val="BookText"/>
        <w:rPr/>
      </w:pPr>
      <w:bookmarkEnd w:id="417"/>
      <w:r>
        <w:rPr>
          <w:rFonts w:ascii="Amiri" w:hAnsi="Amiri" w:eastAsia="Amiri" w:cs="Amiri"/>
          <w:color w:val="111111"/>
          <w:sz w:val="28"/>
          <w:sz w:val="28"/>
          <w:szCs w:val="28"/>
          <w:rtl w:val="true"/>
          <w:lang w:bidi="ar-SA"/>
        </w:rPr>
        <w:t>هي الخروج من القوّة إلى الفعل ، ومن التصوّر إلى التصديق بالفائدة ومنه إلى الشوق ومنه إلى القصد والعزم ، وهذا المعنى مهما جرّد من النقص لا يصلح لأن يوصف به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هذين الأمرين صارا سبباً لذهاب جمع إلى أنّه من صفات الذات أخذاً بالأمر الأوّل وذهاب جمع آخر إلى أنّها من صفات الفعل ، منهم السيد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في تعاليقه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لفظه </w:t>
      </w:r>
      <w:r>
        <w:rPr>
          <w:rFonts w:eastAsia="Amiri" w:cs="Amiri" w:ascii="Amiri" w:hAnsi="Amiri"/>
          <w:color w:val="111111"/>
          <w:sz w:val="28"/>
          <w:szCs w:val="28"/>
          <w:rtl w:val="true"/>
          <w:lang w:bidi="ar-SA"/>
        </w:rPr>
        <w:t>:</w:t>
      </w:r>
    </w:p>
    <w:p>
      <w:pPr>
        <w:pStyle w:val="Heading4"/>
        <w:numPr>
          <w:ilvl w:val="3"/>
          <w:numId w:val="1"/>
        </w:numPr>
        <w:rPr/>
      </w:pPr>
      <w:bookmarkStart w:id="418" w:name="__RefHeading___Toc1391219_1067777946"/>
      <w:bookmarkStart w:id="419" w:name="_Toc159"/>
      <w:bookmarkEnd w:id="418"/>
      <w:r>
        <w:rPr/>
        <w:t>1</w:t>
      </w:r>
      <w:r>
        <w:rPr>
          <w:rtl w:val="true"/>
        </w:rPr>
        <w:t xml:space="preserve">. </w:t>
      </w:r>
      <w:r>
        <w:rPr>
          <w:rtl w:val="true"/>
        </w:rPr>
        <w:t>الإرادة صفة منتزعة من حضور العلّة التامّة للفعل</w:t>
      </w:r>
      <w:bookmarkEnd w:id="419"/>
    </w:p>
    <w:p>
      <w:pPr>
        <w:pStyle w:val="BookText"/>
        <w:rPr/>
      </w:pPr>
      <w:r>
        <w:rPr>
          <w:rFonts w:ascii="Amiri" w:hAnsi="Amiri" w:eastAsia="Amiri" w:cs="Amiri"/>
          <w:color w:val="111111"/>
          <w:sz w:val="28"/>
          <w:sz w:val="28"/>
          <w:szCs w:val="28"/>
          <w:rtl w:val="true"/>
          <w:lang w:bidi="ar-SA"/>
        </w:rPr>
        <w:t>لو كان بين كيفيّاتنا النفسانية ، كيفيّة متميّزة متخلّلة بين العلم الجازم والفعل ، باسم الإرادة فهو القصد ، وهو ميل نفساني نحو الفعل ، نظير ميل الجسم الطبيعي من مكان إلى مكان وليس من الشوق أو الشوق المؤكّد في شيء ، كما سيجيء ، وليس هو العلم وإن كانت الصفات والأحوال النفسانيّة كالحبّ والبغض والرضا والسخط والحزن والسرور وغيرها ، علميّة شعورية ، لأنّ الإرادة لو كانت أمراً متميّزاً في نفسها فهي متخلّلة بين العلم والفعل فليست فينا علماً</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يظهر أنّا لو جرّدناها من شوائب النقص وأجرينا وصفها عليه تعالى لم ينطبق على علمه تعالى ، لأنّ مفهومها غير مفهوم العلم ولا ينفع التجريد مع تغاير المفهومين ، بخلاف تجريد معنى العلم مثلاً ، فإنّه وإن تبدّلت خصوصيّاته وحدوده بالتجريد حتّى عاد وجوداً واجبياً منفياً عنه جميع خصائص الكيفية النفسانية الخاصة لكن معناه الأصلي وهو حضور شيء لشيء محفوظ باق بعد التجريد وعند الإجراء على ما كان عليه قبل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ويظهر أيضاً أنّ الإرادة لو أخذت صفة له تعالى بعد التجريد ، كانت صفة فعل نظير الخلق والإيجاد والرحمة ، منتزعة عن مقام الفعل ، فتماميّة الفعل من حيث السبب إذا نسب إلى الفعل سمّيت إرادة له ، فيكون الفعل مراداً له تعالى ، وإذا نسبت إلى الله كانت إرادة منه فهو مريد ، كما أنّ كلّ ما يستكمل به الشيء في بقائه رزق ، فالشيء مرزوق وهو تعالى رزّاق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الحكماء الإلهيون من أمر الإرادة الذاتية وأقاموا عليه البرهان ، فهو حقّ لكن الذي تثبته البراهين أنّ ما سواه تعالى يستند إلى قدرته التي هي مبدئيته المطلقة للخير وعلمه بنظام الخير ، وأمّا تسمية العلم بالخير والأصلح ، إرادة أو انطباق مفهوم الإرادة بعد التجريد على العلم بالأصلح الذي هو عين الذات فلا</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 xml:space="preserve">وقال في مقام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الإرادة منتزعة من مقام الفعل من حيث انتسابه إلى قدرته تعالى القاهرة أو من اجتماع الأسباب الموجبة عليه من حيث انتسابها إليه</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 xml:space="preserve">وقد ذكر عصارة نظريته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ينبغي أن تقاس الإرادة بالعلم الذي يقال إنّه كيفية نفسانية ثمّ يجرّد عن الماهية ويجعل حيثية وجودية عامة موجودة للواجب تعالى وصفاً ذاتياً هو عين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لأنّا ولو سلمنا أنّ بعض مصاديق العلم وهو العلم الحصوليّ كيف نفساني ، فبعض آخر من مصاديقه وهو العلم الحضوريّ جوهر أو غير ذلك ، وقد تحقّق أنّ المفهوم الصادق على أكثر من مقولة واحدة وصف </w:t>
      </w:r>
    </w:p>
    <w:p>
      <w:pPr>
        <w:pStyle w:val="BookText"/>
        <w:rPr/>
      </w:pPr>
      <w:r>
        <w:rPr>
          <w:rFonts w:ascii="Amiri" w:hAnsi="Amiri" w:eastAsia="Amiri" w:cs="Amiri"/>
          <w:color w:val="111111"/>
          <w:sz w:val="28"/>
          <w:sz w:val="28"/>
          <w:szCs w:val="28"/>
          <w:rtl w:val="true"/>
          <w:lang w:bidi="ar-SA"/>
        </w:rPr>
        <w:t>وجودي غير مندرج تحت مقولة ، منتزع عن الوجود بما هو وجود ، فللعلم معنى جامع يهدى إليه التحليل وهو حضور شيء 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الإرادة المنسوبة إليه تعالى فهي منتزعة من مقام الفعل ، إمّا من نفس الفعل الذي يوجد في الخارج ، فهو إرادة ثمّ إيجاب ، ثمّ وجوب ، ثمّ وجود ؛ وإمّا من حضور العلّة التامة للفعل كما يقال عند مشاهدة جمع الفاعل أسباب الفعل ليفعله ، أنّه يريد كذا فعلاً</w:t>
      </w:r>
      <w:r>
        <w:rPr>
          <w:rFonts w:eastAsia="Amiri" w:cs="Amiri" w:ascii="Amiri" w:hAnsi="Amiri"/>
          <w:color w:val="111111"/>
          <w:sz w:val="28"/>
          <w:szCs w:val="28"/>
          <w:rtl w:val="true"/>
          <w:lang w:bidi="ar-SA"/>
        </w:rPr>
        <w:t xml:space="preserve">. </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 xml:space="preserve">يلاحظ على النظرية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أنّ أكثر ما ذكره السيد الأُستاذ حقّ لا غبار عليه ، وقد مرّ بعض ما ذكره في البحوث السابقة ، أعني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ماهية الإرادة وواقعيتها غير واقعية العلم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الإرادة في الإنسان مهما جرّدت عن وصفة الإمكان لا يوصف به الواجب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الإرادة من صفات الكمال ، والموجود المريد أفضل من غير المريد فلا بدّ من وصفه سبحانه بأنّه مريد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كلّما ذكره من هذه الأُمور صحيح ، ولكن تفسير الإرادة بحضور العلّة التامة للفعل يناقض الأصل الثالث ، وقد صرّح به أيضاً في ثنايا كلامه ، حيث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قام البرهان بأنّه واجد لكلّ كمال وجودي ، ومع ذلك كيف يمكن خلوّ الذات عن هذا الكمال الوجودي وحصره في مقام الفعل</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كانت الإرادة منتزعة من حضور العلّة التامّة للفعل ، يلزم أن تكون الفواعل الطبيعية كلّها مريدة لحضورها عند آثارها</w:t>
      </w:r>
      <w:r>
        <w:rPr>
          <w:rFonts w:eastAsia="Amiri" w:cs="Amiri" w:ascii="Amiri" w:hAnsi="Amiri"/>
          <w:color w:val="111111"/>
          <w:sz w:val="28"/>
          <w:szCs w:val="28"/>
          <w:rtl w:val="true"/>
          <w:lang w:bidi="ar-SA"/>
        </w:rPr>
        <w:t xml:space="preserve">. </w:t>
      </w:r>
      <w:bookmarkStart w:id="420" w:name="pg11047_102691"/>
    </w:p>
    <w:p>
      <w:pPr>
        <w:pStyle w:val="BookText"/>
        <w:rPr/>
      </w:pPr>
      <w:bookmarkEnd w:id="420"/>
      <w:r>
        <w:rPr>
          <w:rFonts w:ascii="Amiri" w:hAnsi="Amiri" w:eastAsia="Amiri" w:cs="Amiri"/>
          <w:color w:val="111111"/>
          <w:sz w:val="28"/>
          <w:sz w:val="28"/>
          <w:szCs w:val="28"/>
          <w:rtl w:val="true"/>
          <w:lang w:bidi="ar-SA"/>
        </w:rPr>
        <w:t>وبالجملة تصوّر خلوّ الذات عن واقع الإرادة يلزم أن يكون سبحانه فاعلاً غير مريد ولا مختار ، وهذا نقص في الفاعل تعالى عنه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وسيوافيك ما هو الحقّ في معنى الإرادة الذاتية في الله سبحانه</w:t>
      </w:r>
      <w:r>
        <w:rPr>
          <w:rFonts w:eastAsia="Amiri" w:cs="Amiri" w:ascii="Amiri" w:hAnsi="Amiri"/>
          <w:color w:val="111111"/>
          <w:sz w:val="28"/>
          <w:szCs w:val="28"/>
          <w:rtl w:val="true"/>
          <w:lang w:bidi="ar-SA"/>
        </w:rPr>
        <w:t>.</w:t>
      </w:r>
    </w:p>
    <w:p>
      <w:pPr>
        <w:pStyle w:val="Heading4"/>
        <w:numPr>
          <w:ilvl w:val="3"/>
          <w:numId w:val="1"/>
        </w:numPr>
        <w:rPr/>
      </w:pPr>
      <w:bookmarkStart w:id="421" w:name="__RefHeading___Toc1391221_1067777946"/>
      <w:bookmarkStart w:id="422" w:name="_Toc160"/>
      <w:bookmarkEnd w:id="421"/>
      <w:r>
        <w:rPr/>
        <w:t>2</w:t>
      </w:r>
      <w:r>
        <w:rPr>
          <w:rtl w:val="true"/>
        </w:rPr>
        <w:t xml:space="preserve">. </w:t>
      </w:r>
      <w:r>
        <w:rPr>
          <w:rtl w:val="true"/>
        </w:rPr>
        <w:t>الإرادة إعمال القدرة</w:t>
      </w:r>
      <w:bookmarkEnd w:id="422"/>
    </w:p>
    <w:p>
      <w:pPr>
        <w:pStyle w:val="BookText"/>
        <w:rPr/>
      </w:pPr>
      <w:r>
        <w:rPr>
          <w:rFonts w:ascii="Amiri" w:hAnsi="Amiri" w:eastAsia="Amiri" w:cs="Amiri"/>
          <w:color w:val="111111"/>
          <w:sz w:val="28"/>
          <w:sz w:val="28"/>
          <w:szCs w:val="28"/>
          <w:rtl w:val="true"/>
          <w:lang w:bidi="ar-SA"/>
        </w:rPr>
        <w:t xml:space="preserve">إنّ المحقّق الخوئي بعد ما طرح تفسير الإرادة بالعلم والابتهاج والرضا ونقدهما بما مرّ ذكره ، حاول أن يفسّر الإرادة الإلهية بإعمال القدرة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الإرادة لا تخلو من أن تكون بمعنى إعمال القدرة ، أو بمعنى الشوق الأكيد ولا ثالث لهما ، وحيث إنّ الإرادة بالمعنى الثاني لا تعقل لذاته سبحانه ، يتعيّن الإرادة بالمعنى الأوّل له سبحانه وهو المشيئة وإعمال القدرة</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 xml:space="preserve">وقال 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أفعال العباد لا تقع تحت إرادته سبحانه وتعالى ومشيئته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ما تقدّم بشكل مفصّل ، من أنّ إرادته تعالى ، ليست من الصفات العليا الذاتية ، بل هي من الصفات الفعلية التي هي عبارة عن المشيئة وإعمال القدرة</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 xml:space="preserve">يلاحظ عليه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تفسير الإرادة بإعمال القدرة يرجع إلى كونها من صفات الفعل ، ومعنى ذلك خلوّ الذات عن ذلك الكمال الوجودي وهو يستلزم تصوّر الأكمل والأفضل من الواجب</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القول بأنّ أفعال العباد خارجة من متعلّق الإرادة الإلهية مخالف </w:t>
      </w:r>
      <w:bookmarkStart w:id="423" w:name="pg11047_102692"/>
    </w:p>
    <w:p>
      <w:pPr>
        <w:pStyle w:val="BookText"/>
        <w:rPr/>
      </w:pPr>
      <w:bookmarkEnd w:id="423"/>
      <w:r>
        <w:rPr>
          <w:rFonts w:ascii="Amiri" w:hAnsi="Amiri" w:eastAsia="Amiri" w:cs="Amiri"/>
          <w:color w:val="111111"/>
          <w:sz w:val="28"/>
          <w:sz w:val="28"/>
          <w:szCs w:val="28"/>
          <w:rtl w:val="true"/>
          <w:lang w:bidi="ar-SA"/>
        </w:rPr>
        <w:t>للبرهان ، فإنّ الفعل ممكن كذاته ، فكما أنّ الذّات تتعلّق به الإرادة الإلهية ، فهكذا الفعل وإلاّ يلزم تحديد سلطانه سبحانه ، وتحقّق بعض الأشياء بلا إرادة منه وهو كما ترى ، وقد ورد في غير واحد من الروايات الردّ على تلك الفكرة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هشام بن سالم ،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أكرم من أن يكلّف الناس ما لا يطيقون ، والله أعزّ من أن يكون في سلطانه ما لا يريد</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 xml:space="preserve">يقول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تَشاؤُنَ إِلاَّ أَنْ يَشاءَ اللهُ رَبُّ الْعالَمِينَ</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 xml:space="preserve">ويقول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لِنَفْسٍ أَنْ تُؤْمِنَ إِلاَّ بِإِذْنِ اللهِ</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إلى غير ذلك من الروايات والآيات الدالّة على أنّ أفعال العباد غير خارجة عن إرادته سبحانه بها ، وأمّا كيفيّة الجمع بين عموم إرادته والقول بالاختيار ، فسيوافيك بيانه</w:t>
      </w:r>
      <w:r>
        <w:rPr>
          <w:rFonts w:eastAsia="Amiri" w:cs="Amiri" w:ascii="Amiri" w:hAnsi="Amiri"/>
          <w:color w:val="111111"/>
          <w:sz w:val="28"/>
          <w:szCs w:val="28"/>
          <w:rtl w:val="true"/>
          <w:lang w:bidi="ar-SA"/>
        </w:rPr>
        <w:t>.</w:t>
      </w:r>
    </w:p>
    <w:p>
      <w:pPr>
        <w:pStyle w:val="Heading4"/>
        <w:numPr>
          <w:ilvl w:val="3"/>
          <w:numId w:val="1"/>
        </w:numPr>
        <w:rPr/>
      </w:pPr>
      <w:bookmarkStart w:id="424" w:name="__RefHeading___Toc1391223_1067777946"/>
      <w:bookmarkStart w:id="425" w:name="_Toc161"/>
      <w:bookmarkEnd w:id="424"/>
      <w:r>
        <w:rPr/>
        <w:t>3</w:t>
      </w:r>
      <w:r>
        <w:rPr>
          <w:rtl w:val="true"/>
        </w:rPr>
        <w:t xml:space="preserve">. </w:t>
      </w:r>
      <w:r>
        <w:rPr>
          <w:rtl w:val="true"/>
        </w:rPr>
        <w:t xml:space="preserve">الإرادة الإلهية في روايات أئمّة أهل البيت </w:t>
      </w:r>
      <w:r>
        <w:rPr>
          <w:rtl w:val="true"/>
        </w:rPr>
        <w:t xml:space="preserve">- </w:t>
      </w:r>
      <w:r>
        <w:rPr>
          <w:rtl w:val="true"/>
        </w:rPr>
        <w:t xml:space="preserve">عليهم السلام </w:t>
      </w:r>
      <w:r>
        <w:rPr>
          <w:rtl w:val="true"/>
        </w:rPr>
        <w:t>-</w:t>
      </w:r>
      <w:bookmarkEnd w:id="425"/>
    </w:p>
    <w:p>
      <w:pPr>
        <w:pStyle w:val="Heading5"/>
        <w:numPr>
          <w:ilvl w:val="4"/>
          <w:numId w:val="1"/>
        </w:numPr>
        <w:rPr/>
      </w:pPr>
      <w:bookmarkStart w:id="426" w:name="__RefHeading___Toc1391225_1067777946"/>
      <w:bookmarkStart w:id="427" w:name="_Toc162"/>
      <w:bookmarkEnd w:id="426"/>
      <w:r>
        <w:rPr>
          <w:rtl w:val="true"/>
        </w:rPr>
        <w:t>اشارة</w:t>
      </w:r>
      <w:bookmarkEnd w:id="427"/>
    </w:p>
    <w:p>
      <w:pPr>
        <w:pStyle w:val="BookText"/>
        <w:rPr/>
      </w:pPr>
      <w:r>
        <w:rPr>
          <w:rFonts w:ascii="Amiri" w:hAnsi="Amiri" w:eastAsia="Amiri" w:cs="Amiri"/>
          <w:color w:val="111111"/>
          <w:sz w:val="28"/>
          <w:sz w:val="28"/>
          <w:szCs w:val="28"/>
          <w:rtl w:val="true"/>
          <w:lang w:bidi="ar-SA"/>
        </w:rPr>
        <w:t xml:space="preserve">إنّ السابر في ما صدر عن 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الإرادة الإلهية يقف على أنّهم نظروا إليها من زوايا ثلاث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الإرادة الإلهيّة غير العلم والقدرة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من ظاهرة من الظواهر الكونية إلاّ وقد تعلّقت بها إرادته سبحانه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إرادته سبحانه من صفات الفعل لا من صفات الذات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فلنقتصر في كلّ من هذه المواضيع الثلاثة بالقليل عن الكثير</w:t>
      </w:r>
      <w:r>
        <w:rPr>
          <w:rFonts w:eastAsia="Amiri" w:cs="Amiri" w:ascii="Amiri" w:hAnsi="Amiri"/>
          <w:color w:val="111111"/>
          <w:sz w:val="28"/>
          <w:szCs w:val="28"/>
          <w:rtl w:val="true"/>
          <w:lang w:bidi="ar-SA"/>
        </w:rPr>
        <w:t xml:space="preserve">. </w:t>
      </w:r>
      <w:bookmarkStart w:id="428" w:name="pg11047_102693"/>
    </w:p>
    <w:p>
      <w:pPr>
        <w:pStyle w:val="Heading5"/>
        <w:numPr>
          <w:ilvl w:val="4"/>
          <w:numId w:val="1"/>
        </w:numPr>
        <w:rPr/>
      </w:pPr>
      <w:bookmarkStart w:id="429" w:name="__RefHeading___Toc1391227_1067777946"/>
      <w:bookmarkStart w:id="430" w:name="_Toc163"/>
      <w:bookmarkEnd w:id="428"/>
      <w:bookmarkEnd w:id="429"/>
      <w:r>
        <w:rPr>
          <w:rtl w:val="true"/>
        </w:rPr>
        <w:t xml:space="preserve">الف </w:t>
      </w:r>
      <w:r>
        <w:rPr>
          <w:rtl w:val="true"/>
        </w:rPr>
        <w:t xml:space="preserve">: </w:t>
      </w:r>
      <w:r>
        <w:rPr>
          <w:rtl w:val="true"/>
        </w:rPr>
        <w:t>إرادته غير علمه وقدرته</w:t>
      </w:r>
      <w:bookmarkEnd w:id="430"/>
    </w:p>
    <w:p>
      <w:pPr>
        <w:pStyle w:val="BookText"/>
        <w:rPr/>
      </w:pPr>
      <w:r>
        <w:rPr>
          <w:rFonts w:ascii="Amiri" w:hAnsi="Amiri" w:eastAsia="Amiri" w:cs="Amiri"/>
          <w:color w:val="111111"/>
          <w:sz w:val="28"/>
          <w:sz w:val="28"/>
          <w:szCs w:val="28"/>
          <w:rtl w:val="true"/>
          <w:lang w:bidi="ar-SA"/>
        </w:rPr>
        <w:t xml:space="preserve">قد ناظر الإمام علي بن موسى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المتكلّمين في 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المروزي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والمناظرة مبسَّطة نقتصر على ما له صلة بالمقام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إرادته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وعلى هذا فإذا علم الشيء فقد أراده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فإذا لم يرده ، لم يعلمه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أين قلنا ذلك وما الدليل على أنّ إرادته علمه ، وقد يعلم ما لا يريده أبداً؟</w:t>
      </w:r>
    </w:p>
    <w:p>
      <w:pPr>
        <w:pStyle w:val="BookText"/>
        <w:rPr/>
      </w:pPr>
      <w:r>
        <w:rPr>
          <w:rFonts w:ascii="Amiri" w:hAnsi="Amiri" w:eastAsia="Amiri" w:cs="Amiri"/>
          <w:color w:val="111111"/>
          <w:sz w:val="28"/>
          <w:sz w:val="28"/>
          <w:szCs w:val="28"/>
          <w:rtl w:val="true"/>
          <w:lang w:bidi="ar-SA"/>
        </w:rPr>
        <w:t xml:space="preserve">ذلك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شِئْنا لَنَذْهَبَنَّ بِالَّذِي أَوْحَيْنا إِلَيْكَ</w:t>
      </w:r>
      <w:r>
        <w:rPr>
          <w:rFonts w:eastAsia="Amiri" w:cs="Amiri" w:ascii="Amiri" w:hAnsi="Amiri"/>
          <w:color w:val="111111"/>
          <w:sz w:val="28"/>
          <w:szCs w:val="28"/>
          <w:rtl w:val="true"/>
          <w:lang w:bidi="ar-SA"/>
        </w:rPr>
        <w:t xml:space="preserve">) </w:t>
      </w:r>
      <w:r>
        <w:rPr>
          <w:rStyle w:val="FootnoteAnchor"/>
          <w:rtl w:val="true"/>
        </w:rPr>
        <w:footnoteReference w:id="208"/>
      </w:r>
      <w:r>
        <w:rPr>
          <w:rFonts w:ascii="Amiri" w:hAnsi="Amiri" w:eastAsia="Amiri" w:cs="Amiri"/>
          <w:color w:val="111111"/>
          <w:sz w:val="28"/>
          <w:sz w:val="28"/>
          <w:szCs w:val="28"/>
          <w:rtl w:val="true"/>
          <w:lang w:bidi="ar-SA"/>
        </w:rPr>
        <w:t>، فهو يعلم كيف يذهب ولا يذهب به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سبحانه قد فرغ من الأمر ، فليس يزيد فيه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هذا قول اليهود ، فكيف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 xml:space="preserve">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عنى بذلك أنّه قادر عليه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أفيعد ما لا يفي به؟ فكيف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يَزِيدُ فِي الْخَلْقِ ما يَشاءُ</w:t>
      </w:r>
      <w:r>
        <w:rPr>
          <w:rFonts w:eastAsia="Amiri" w:cs="Amiri" w:ascii="Amiri" w:hAnsi="Amiri"/>
          <w:color w:val="111111"/>
          <w:sz w:val="28"/>
          <w:szCs w:val="28"/>
          <w:rtl w:val="true"/>
          <w:lang w:bidi="ar-SA"/>
        </w:rPr>
        <w:t xml:space="preserve">) </w:t>
      </w:r>
      <w:r>
        <w:rPr>
          <w:rStyle w:val="FootnoteAnchor"/>
          <w:rtl w:val="true"/>
        </w:rPr>
        <w:footnoteReference w:id="210"/>
      </w:r>
      <w:r>
        <w:rPr>
          <w:rFonts w:ascii="Amiri" w:hAnsi="Amiri" w:eastAsia="Amiri" w:cs="Amiri"/>
          <w:color w:val="111111"/>
          <w:sz w:val="28"/>
          <w:sz w:val="28"/>
          <w:szCs w:val="28"/>
          <w:rtl w:val="true"/>
          <w:lang w:bidi="ar-SA"/>
        </w:rPr>
        <w:t xml:space="preserve">وقال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وَيُثْبِتُ وَعِنْدَهُ أُمُّ الْكِتابِ</w:t>
      </w:r>
      <w:r>
        <w:rPr>
          <w:rFonts w:eastAsia="Amiri" w:cs="Amiri" w:ascii="Amiri" w:hAnsi="Amiri"/>
          <w:color w:val="111111"/>
          <w:sz w:val="28"/>
          <w:szCs w:val="28"/>
          <w:rtl w:val="true"/>
          <w:lang w:bidi="ar-SA"/>
        </w:rPr>
        <w:t xml:space="preserve">) </w:t>
      </w:r>
      <w:r>
        <w:rPr>
          <w:rStyle w:val="FootnoteAnchor"/>
          <w:rtl w:val="true"/>
        </w:rPr>
        <w:footnoteReference w:id="211"/>
      </w:r>
      <w:r>
        <w:rPr>
          <w:rFonts w:ascii="IRNazanin" w:hAnsi="IRNazanin" w:eastAsia="IRNazanin"/>
          <w:color w:val="111111"/>
          <w:sz w:val="28"/>
          <w:sz w:val="28"/>
          <w:szCs w:val="28"/>
          <w:rtl w:val="true"/>
          <w:lang w:bidi="fa-IR"/>
        </w:rPr>
        <w:t xml:space="preserve">وقد </w:t>
      </w:r>
      <w:bookmarkStart w:id="431" w:name="pg11047_102694"/>
    </w:p>
    <w:p>
      <w:pPr>
        <w:pStyle w:val="BookText"/>
        <w:rPr/>
      </w:pPr>
      <w:bookmarkEnd w:id="431"/>
      <w:r>
        <w:rPr>
          <w:rFonts w:ascii="Amiri" w:hAnsi="Amiri" w:eastAsia="Amiri" w:cs="Amiri"/>
          <w:color w:val="111111"/>
          <w:sz w:val="28"/>
          <w:sz w:val="28"/>
          <w:szCs w:val="28"/>
          <w:rtl w:val="true"/>
          <w:lang w:bidi="ar-SA"/>
        </w:rPr>
        <w:t xml:space="preserve">فرغ من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يحر سليمان جواباً</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إنّ ما دار بين الإمام والمروزي كاف في نقد ما يتخيّل بأنّ إرادته سبحانه هي علمه بالأصلح</w:t>
      </w:r>
      <w:r>
        <w:rPr>
          <w:rFonts w:eastAsia="Amiri" w:cs="Amiri" w:ascii="Amiri" w:hAnsi="Amiri"/>
          <w:color w:val="111111"/>
          <w:sz w:val="28"/>
          <w:szCs w:val="28"/>
          <w:rtl w:val="true"/>
          <w:lang w:bidi="ar-SA"/>
        </w:rPr>
        <w:t>.</w:t>
      </w:r>
    </w:p>
    <w:p>
      <w:pPr>
        <w:pStyle w:val="Heading5"/>
        <w:numPr>
          <w:ilvl w:val="4"/>
          <w:numId w:val="1"/>
        </w:numPr>
        <w:rPr/>
      </w:pPr>
      <w:bookmarkStart w:id="432" w:name="__RefHeading___Toc1391229_1067777946"/>
      <w:bookmarkStart w:id="433" w:name="_Toc164"/>
      <w:bookmarkEnd w:id="432"/>
      <w:r>
        <w:rPr>
          <w:rtl w:val="true"/>
        </w:rPr>
        <w:t>ب</w:t>
      </w:r>
      <w:r>
        <w:rPr>
          <w:rtl w:val="true"/>
        </w:rPr>
        <w:t xml:space="preserve">. </w:t>
      </w:r>
      <w:r>
        <w:rPr>
          <w:rtl w:val="true"/>
        </w:rPr>
        <w:t>عموم إرادته سبحانه بكلّ ظاهرة كونية</w:t>
      </w:r>
      <w:bookmarkEnd w:id="433"/>
    </w:p>
    <w:p>
      <w:pPr>
        <w:pStyle w:val="BookText"/>
        <w:rPr/>
      </w:pPr>
      <w:r>
        <w:rPr>
          <w:rFonts w:ascii="Amiri" w:hAnsi="Amiri" w:eastAsia="Amiri" w:cs="Amiri"/>
          <w:color w:val="111111"/>
          <w:sz w:val="28"/>
          <w:sz w:val="28"/>
          <w:szCs w:val="28"/>
          <w:rtl w:val="true"/>
          <w:lang w:bidi="ar-SA"/>
        </w:rPr>
        <w:t xml:space="preserve">أمّا عموم إرادته سبحانه بكلّ ظاهرة كونية فهو يبتني على مقدّمات فلسفية ثابتة ، وإليك الإشارة إليها على وجه الإيجاز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سعة قدرته وخالقيته سبحانه ، وانّ كلّ ما في صفحة الكون من دقيق وجليل وذات وفعل مخلوق لله سبحانه لا على النحو الذي فسّر به الأشاعرة عموم قدرته بأن يكون الواجب الفاعل المباشري لكلّ ظاهرة مجردة أو مادية ، بل على النحو المختار لدى الإمامية</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كلّ ما في دار الإمكان ، قائم بالواجب غير مستغن عنه في شأن من شئونه لا في ذاته ولا في فعله ، وإنّ غناء فعل الإنسان عن الواجب يستلزم خروجه عن حدّ الإمكان وانقلابه موجوداً واجباً ، وهذا خلف ، فما في الكون يجب أن يكون منتهياً إلى الواجب قائماً به قيام المعنى الحرفي بالاسمي ، فالقول باستقلال الإنسان في فعله أشبه بمقالة الثنوية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شهادة الروايات على عموم قدرته ، ونقتصر على روايات ثلاث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الصدوق في توحيده بسنده عن حفص بن فرط ،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من زعم أنّ الله تعالى يأمر بالسوء والفحشاء فقد </w:t>
      </w:r>
      <w:bookmarkStart w:id="434" w:name="pg11047_102695"/>
    </w:p>
    <w:p>
      <w:pPr>
        <w:pStyle w:val="BookText"/>
        <w:rPr/>
      </w:pPr>
      <w:bookmarkEnd w:id="434"/>
      <w:r>
        <w:rPr>
          <w:rFonts w:ascii="Amiri" w:hAnsi="Amiri" w:eastAsia="Amiri" w:cs="Amiri"/>
          <w:color w:val="111111"/>
          <w:sz w:val="28"/>
          <w:sz w:val="28"/>
          <w:szCs w:val="28"/>
          <w:rtl w:val="true"/>
          <w:lang w:bidi="ar-SA"/>
        </w:rPr>
        <w:t>كذب على الله ، ومن زعم أنّ المعاصي من غير قوة الله ، فقد كذب على الله ، ومن كذب على الله أدخله النار</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البرقي في محاسنه عن هشام بن سالم ،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أكرم من أن يكلّف الناس ما لا يطيقون ، والله أعزّ من أن يكون في سلطانه ما لا يريد</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عن حمزة بن حمران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نقول إنّ الله لم يكلّف العباد إلاّ ما آتاهم وكلّ شيء لا يطيقونه فهو عنهم موضوع ، ولا يكون إلاّ ما شاء الله ، وقضى وقدر وأراد؟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إنّ هذا لديني ودين آبائي</w:t>
      </w:r>
      <w:r>
        <w:rPr>
          <w:rFonts w:eastAsia="Amiri" w:cs="Amiri" w:ascii="Amiri" w:hAnsi="Amiri"/>
          <w:color w:val="111111"/>
          <w:sz w:val="28"/>
          <w:szCs w:val="28"/>
          <w:rtl w:val="true"/>
          <w:lang w:bidi="ar-SA"/>
        </w:rPr>
        <w:t xml:space="preserve">». </w:t>
      </w:r>
      <w:r>
        <w:rPr>
          <w:rStyle w:val="FootnoteAnchor"/>
          <w:rtl w:val="true"/>
        </w:rPr>
        <w:footnoteReference w:id="216"/>
      </w:r>
    </w:p>
    <w:p>
      <w:pPr>
        <w:pStyle w:val="Heading5"/>
        <w:numPr>
          <w:ilvl w:val="4"/>
          <w:numId w:val="1"/>
        </w:numPr>
        <w:rPr/>
      </w:pPr>
      <w:bookmarkStart w:id="435" w:name="__RefHeading___Toc1391231_1067777946"/>
      <w:bookmarkStart w:id="436" w:name="_Toc165"/>
      <w:bookmarkEnd w:id="435"/>
      <w:r>
        <w:rPr>
          <w:rtl w:val="true"/>
        </w:rPr>
        <w:t xml:space="preserve">ج </w:t>
      </w:r>
      <w:r>
        <w:rPr>
          <w:rtl w:val="true"/>
        </w:rPr>
        <w:t xml:space="preserve">: </w:t>
      </w:r>
      <w:r>
        <w:rPr>
          <w:rtl w:val="true"/>
        </w:rPr>
        <w:t>الإرادة من صفات الفعل</w:t>
      </w:r>
      <w:bookmarkEnd w:id="436"/>
    </w:p>
    <w:p>
      <w:pPr>
        <w:pStyle w:val="Heading6"/>
        <w:numPr>
          <w:ilvl w:val="5"/>
          <w:numId w:val="1"/>
        </w:numPr>
        <w:rPr/>
      </w:pPr>
      <w:bookmarkStart w:id="437" w:name="__RefHeading___Toc1391233_1067777946"/>
      <w:bookmarkStart w:id="438" w:name="_Toc166"/>
      <w:bookmarkEnd w:id="437"/>
      <w:r>
        <w:rPr>
          <w:rtl w:val="true"/>
        </w:rPr>
        <w:t>اشارة</w:t>
      </w:r>
      <w:bookmarkEnd w:id="438"/>
    </w:p>
    <w:p>
      <w:pPr>
        <w:pStyle w:val="BookText"/>
        <w:rPr/>
      </w:pPr>
      <w:r>
        <w:rPr>
          <w:rFonts w:ascii="Amiri" w:hAnsi="Amiri" w:eastAsia="Amiri" w:cs="Amiri"/>
          <w:color w:val="111111"/>
          <w:sz w:val="28"/>
          <w:sz w:val="28"/>
          <w:szCs w:val="28"/>
          <w:rtl w:val="true"/>
          <w:lang w:bidi="ar-SA"/>
        </w:rPr>
        <w:t xml:space="preserve">من سبر فيما ورد عن 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مجال الرواية يقف على اهتمام الأئمّة بتوجيه أصحابهم إلى أنّ الإرادة من صفات الفعل لا من صفات الذات ، وقد عقد الشيخ الكليني باباً في ذلك المجال ننقل منه ما يلي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عاصم بن حميد ،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الله مريداً؟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المريد لا يكون إلاّ المراد معه ، لم يزل الله عالماً قادراً ثمّ أراد</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صفوان بن يحيى ، عن الإمام 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أخبرني عن الإرادة من الله ومن الخلق؟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الإرادة من الخلق الضمير ، وما يبدو لهم بعد ذلك من الفعل ، وأمّا من الله تعالى فإرادته إحداثه لا غير ذلك ، لأنّه لا يروِّي ولا يهمّ </w:t>
      </w:r>
      <w:bookmarkStart w:id="439" w:name="pg11047_102696"/>
    </w:p>
    <w:p>
      <w:pPr>
        <w:pStyle w:val="BookText"/>
        <w:rPr/>
      </w:pPr>
      <w:bookmarkEnd w:id="439"/>
      <w:r>
        <w:rPr>
          <w:rFonts w:ascii="Amiri" w:hAnsi="Amiri" w:eastAsia="Amiri" w:cs="Amiri"/>
          <w:color w:val="111111"/>
          <w:sz w:val="28"/>
          <w:sz w:val="28"/>
          <w:szCs w:val="28"/>
          <w:rtl w:val="true"/>
          <w:lang w:bidi="ar-SA"/>
        </w:rPr>
        <w:t xml:space="preserve">ولا يتفكّر ، وهذه الصفات منفية عنه وهي صفات الخلق ، فإرادة الله ، الفعل ، لا غير ذلك ،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فيكون بلا لفظ ولا نطق بلسان ولا همّة ولا تفكّر ولا كيف لذلك ، كما أنّه لا كيف له</w:t>
      </w:r>
      <w:r>
        <w:rPr>
          <w:rFonts w:eastAsia="Amiri" w:cs="Amiri" w:ascii="Amiri" w:hAnsi="Amiri"/>
          <w:color w:val="111111"/>
          <w:sz w:val="28"/>
          <w:szCs w:val="28"/>
          <w:rtl w:val="true"/>
          <w:lang w:bidi="ar-SA"/>
        </w:rPr>
        <w:t xml:space="preserve">». </w:t>
      </w:r>
      <w:r>
        <w:rPr>
          <w:rStyle w:val="FootnoteAnchor"/>
          <w:rtl w:val="true"/>
        </w:rPr>
        <w:footnoteReference w:id="21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محمد بن مسلم ،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المشيئة محدثة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440" w:name="__RefHeading___Toc1391235_1067777946"/>
      <w:bookmarkStart w:id="441" w:name="_Toc167"/>
      <w:bookmarkEnd w:id="440"/>
      <w:r>
        <w:rPr>
          <w:rtl w:val="true"/>
        </w:rPr>
        <w:t>تحليل الروايات الماضية</w:t>
      </w:r>
      <w:bookmarkEnd w:id="441"/>
    </w:p>
    <w:p>
      <w:pPr>
        <w:pStyle w:val="BookText"/>
        <w:rPr/>
      </w:pPr>
      <w:r>
        <w:rPr>
          <w:rFonts w:ascii="Amiri" w:hAnsi="Amiri" w:eastAsia="Amiri" w:cs="Amiri"/>
          <w:color w:val="111111"/>
          <w:sz w:val="28"/>
          <w:sz w:val="28"/>
          <w:szCs w:val="28"/>
          <w:rtl w:val="true"/>
          <w:lang w:bidi="ar-SA"/>
        </w:rPr>
        <w:t xml:space="preserve">لا يشكّ ذو مسكة في أنّ الروايات ظاهرة في كون الإرادة من صفات الفعل دون صفات الذات ، لما يترتّب على القول الثاني من قدم العالم وغيره ، ولما كان القول بكونها من صفات الفعل مخالفاً للأصل المبرهن في الفلسفة الإسلامية من أنّ الإرادة وصف كمال للموجود بما هو موجود ، حاول صدر المتألّهين تفسير الروايات بنحو يوافق أُصوله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والتحقيق انّ الإرادة تطلق بالاشتراك الصناعي على معنيين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يفهمه الجمهور وهو ضد الكراهة ، وهي التي تحصل فينا عقيب تصوّر الشيء الملائم ، وعقيب التردّد حتّى يترجح عندنا الأمر ، الداعي إلى الفعل أو الترك فيصدر أحدُهما منّا ، وهذا المعنى فينا من الصفات النفسانية ، وهي والكراهة فينا كالشهوة والغضب فينا وفي الحيوان ، ولا يجوز على الله ، بل إرادته نفس صدور الأفعال منه من جهة علمه بوجه الخير ، وكراهته عدم صدور الفعل القبيح عنه لعلمه بقبحه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ذاته بحيث يصدر عنه الأشياء لأجل علمه بنظام الخير فيها التابع لعلمه بذاته ، لا كاتّباع الضوء للمضيء والسخونة للمسخِّن ، ولا كفعل </w:t>
      </w:r>
      <w:bookmarkStart w:id="442" w:name="pg11047_102697"/>
    </w:p>
    <w:p>
      <w:pPr>
        <w:pStyle w:val="BookText"/>
        <w:rPr/>
      </w:pPr>
      <w:bookmarkEnd w:id="442"/>
      <w:r>
        <w:rPr>
          <w:rFonts w:ascii="Amiri" w:hAnsi="Amiri" w:eastAsia="Amiri" w:cs="Amiri"/>
          <w:color w:val="111111"/>
          <w:sz w:val="28"/>
          <w:sz w:val="28"/>
          <w:szCs w:val="28"/>
          <w:rtl w:val="true"/>
          <w:lang w:bidi="ar-SA"/>
        </w:rPr>
        <w:t xml:space="preserve">المجبورين والمسحّرين ، ولا كفعل المختارين بقصد زائد وإرادة ظنيّة يحتمل الطرف المقابل ، وقد تحقّقت انّ قيّوم الكلّ إنّما يفعل الكلّ عن علم هو نفس ذاته العليم الذي هو أتمّ العلوم ، فإذن هو سبحانه فاعل للأشياء كلّها بإرادة ترجع إلى علمه بذاته ، المستتبع لعلمه بغيره ، المقتضي لوجود غيره في الخارج لا لغرض زائد وجلب 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كان فهم الجمهور لا يصل إلى الإرادة بهذا المعنى ، بل إلى النحو الذي في الحيوان أو ضدّه الكراهة ويكون حادثاً عند حدوث المراد ، جعلها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صفات الأفعال ومن الصفات الإضافية المتجدّدة كخالقيته أو رازقيته</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 xml:space="preserve">وقال المولى محمد صالح المازندراني في شرحه على أُصول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الإرادة تطلق على معنيين كما صرّح به بعض الحكماء الإلهيّين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الإرادة الحادثة وهي الّتي فُسرت في الحديث بأنّها نفس الإيجاد واحداث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الإرادة التي هي من الصفات الذاتية التي لا توصف الذات بنقيضها أزلاً وأبداً ، وهي التي وقع النزاع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جماعة إلى أنّها نفس علمه الحق بالمصالح والخيرات وعين ذاته الأحدية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وذهبت الأشاعرة إلى أنّها صفة غير العلم</w:t>
      </w:r>
      <w:r>
        <w:rPr>
          <w:rFonts w:eastAsia="Amiri" w:cs="Amiri" w:ascii="Amiri" w:hAnsi="Amiri"/>
          <w:color w:val="111111"/>
          <w:sz w:val="28"/>
          <w:szCs w:val="28"/>
          <w:rtl w:val="true"/>
          <w:lang w:bidi="ar-SA"/>
        </w:rPr>
        <w:t xml:space="preserve">. </w:t>
      </w:r>
      <w:r>
        <w:rPr>
          <w:rStyle w:val="FootnoteAnchor"/>
          <w:rtl w:val="true"/>
        </w:rPr>
        <w:footnoteReference w:id="220"/>
      </w:r>
    </w:p>
    <w:p>
      <w:pPr>
        <w:pStyle w:val="Heading6"/>
        <w:numPr>
          <w:ilvl w:val="5"/>
          <w:numId w:val="1"/>
        </w:numPr>
        <w:rPr/>
      </w:pPr>
      <w:bookmarkStart w:id="443" w:name="__RefHeading___Toc1391237_1067777946"/>
      <w:bookmarkStart w:id="444" w:name="_Toc168"/>
      <w:bookmarkEnd w:id="443"/>
      <w:r>
        <w:rPr>
          <w:rtl w:val="true"/>
        </w:rPr>
        <w:t>نقد وتحليل</w:t>
      </w:r>
      <w:bookmarkEnd w:id="444"/>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التفسير للروايات يتمتع بنقاط قوّة ، وهي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الإرادة بمعنيين وهي بأحدهما صفة ذات وبالمعنى الآخر فهي صفة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الإرادة الإنسانية تمتنع أن تقع وصفاً لله سبحانه فلا محيص من إرجاع الإرادة بهذا المعنى في حقّه سبحانه إلى كونها صفة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الإرادة الذاتية بالمعنى المناسب لذاته كانت حقيقة لا تُدرك الأفهام الساذجة غورَها ، بل حتّى الأفهام الحادة كسليمان المروزي ، فلذلك لم يذكر الإمام من الإرادة إلاّ ما هو وصف للفعل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إصرار 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كون الإرادة من صفات الفعل للحيلولة دون وصف ذاته بالإرادة بهذا المعنى ، ولأجل ذلك ركزوا على أنّها من صفات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جعل الإرادة من صفات الذات كان مثاراً لشبهة قدم الإرادة بقدم الذات وبالتالي قدم العالم وعامّة مخلوقاته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الحيلولة دون طروء هذه الشبهة في الأذهان كان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يعدّون الإرادة من صفات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يعرب عن ذلك ما رواه سليمان بن جعفر الجعفري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المشيئة والإرادة من صفات الأفعال ، فمن زعم أنّ الله تعالى لم يزل مريداً شائياً فليس بموحّد</w:t>
      </w:r>
      <w:r>
        <w:rPr>
          <w:rFonts w:eastAsia="Amiri" w:cs="Amiri" w:ascii="Amiri" w:hAnsi="Amiri"/>
          <w:color w:val="111111"/>
          <w:sz w:val="28"/>
          <w:szCs w:val="28"/>
          <w:rtl w:val="true"/>
          <w:lang w:bidi="ar-SA"/>
        </w:rPr>
        <w:t xml:space="preserve">». </w:t>
      </w:r>
      <w:r>
        <w:rPr>
          <w:rStyle w:val="FootnoteAnchor"/>
          <w:rtl w:val="true"/>
        </w:rPr>
        <w:footnoteReference w:id="221"/>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نقاط القوة في هذا النوع من التفسير ، وعلى الرغم من ذلك فلا يخلو التفسير المذكور من ضعف ، وهو انّ إرجاع الإرادة الذاتية إلى العلم بالأصلح إنكار للإرادة والكمال المطلق للموجود</w:t>
      </w:r>
      <w:r>
        <w:rPr>
          <w:rFonts w:eastAsia="Amiri" w:cs="Amiri" w:ascii="Amiri" w:hAnsi="Amiri"/>
          <w:color w:val="111111"/>
          <w:sz w:val="28"/>
          <w:szCs w:val="28"/>
          <w:rtl w:val="true"/>
          <w:lang w:bidi="ar-SA"/>
        </w:rPr>
        <w:t xml:space="preserve">. </w:t>
      </w:r>
      <w:bookmarkStart w:id="445" w:name="pg11047_102699"/>
    </w:p>
    <w:p>
      <w:pPr>
        <w:pStyle w:val="Heading3"/>
        <w:numPr>
          <w:ilvl w:val="2"/>
          <w:numId w:val="1"/>
        </w:numPr>
        <w:rPr/>
      </w:pPr>
      <w:bookmarkStart w:id="446" w:name="__RefHeading___Toc1391239_1067777946"/>
      <w:bookmarkStart w:id="447" w:name="_Toc169"/>
      <w:bookmarkEnd w:id="445"/>
      <w:bookmarkEnd w:id="446"/>
      <w:r>
        <w:rPr/>
        <w:t>5</w:t>
      </w:r>
      <w:r>
        <w:rPr>
          <w:rtl w:val="true"/>
        </w:rPr>
        <w:t xml:space="preserve">- </w:t>
      </w:r>
      <w:r>
        <w:rPr>
          <w:rtl w:val="true"/>
        </w:rPr>
        <w:t>ما هو المختار في الإرادة الالهيّة؟</w:t>
      </w:r>
      <w:bookmarkEnd w:id="447"/>
    </w:p>
    <w:p>
      <w:pPr>
        <w:pStyle w:val="BookText"/>
        <w:rPr/>
      </w:pPr>
      <w:r>
        <w:rPr>
          <w:rFonts w:ascii="Amiri" w:hAnsi="Amiri" w:eastAsia="Amiri" w:cs="Amiri"/>
          <w:color w:val="111111"/>
          <w:sz w:val="28"/>
          <w:sz w:val="28"/>
          <w:szCs w:val="28"/>
          <w:rtl w:val="true"/>
          <w:lang w:bidi="ar-SA"/>
        </w:rPr>
        <w:t xml:space="preserve">قد مرّ آنفاً التفاسير المطروحة للإرادة الإلهية وعرفت وجوه الضعف فيها ، والذي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الإرادة تنقسم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في مقام الفعل ، وإرادة في مقام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فالإرادة في مقام الفعل هو ما مرّ تفسيره في الأحاديث وكلمات المحقّقين فلا نطيل ، ونظير الإرادة هو العلم فإنّه ينقسم إلى العلم في مقام الفعل والعلم في مقام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سوى الله علمه سبحانه في مقام الفعل ، فكلّ الأشياء بما انّه فعله وخلقه ، أيضاً علمه وعرفانه ، نظير الصور الذهنية المخلوقة للنفس فهي في حدّ كونها فعلاً للنفس ، علم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المستفاد من رواية 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ولكنّا لا نرى فيها ما يدلّ على نفي الإرادة الذاتية بالمعنى المتناسب لمقام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الإرادة في مقام الذات فبيانه رهن مقدّمة ، وهي انّ الفاعل من حيث العلم بفعله وإرادته واختياره ينقسم إلى أقسام أربعة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يفعل بلا شعور ، كالعلل الطبيعية مثل النار والحرارة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يفعل مع شعور دون أن يكون له إرادة واختيار ، كحركة يد المرتعش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يصدر عن الفاعل عن علم وإرادة ولكنّه ليس مختاراً بل مضطرّاً إلى الفعل ، وهذا كإرادة المكرَه ، فالمكرَه عندنا من أقسام المريد لكنّه ليس بمختار ، فانّه يرجح أحد المحذورين على الآخر بإرادته ، ولكنّه ليس في ترجيح هذا مختاراً ، ولو لم يكن هناك ضغط خارجي لترك العمل من 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يصدر عن علم وإرادة واختيار ، فهذا النوع من الفواعل أتمُّها وأفضلها ، لأنّ الفعل يصدر عن الفاعل من صميم ذاته فهو شاعر ، مقابل ما ليس بشاعر ، مريد ، في مقابل من ليس بمريد ، مختار في فعله دون أن يكون مكرهاً وعليه ضغط من خارج يبعثه إلى إرادة أحد العملين حتّى يرجح أقل المحذورين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أقسام الفواعل والأخير أفضلها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علمت ذلك فاعلم أنّ الفاعل المختار من جميع الجهات واجد لكمالات المراتب السابقة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والإرادة ، فانّ الغاية من العلم والإرادة هو جعل الفاعل فاعلاً مختاراً ، فإذا حصل الاختيار للفاعل وكان مختاراً في فعله ، والفعل صادراً عن صميم ذاته دون أن يكون هناك مكرَهاً فهو واجد لكمالات المراتب السابقة خصوصاً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ضوء ذلك انّه سبحانه تبارك وتعالى مريد بالذات فهو بهذا المعنى أي أنّه مختار والفاعل المختار واجد لكمال الإرادة وإن لم يكن واجداً لها بحدّها ، وهذا ما نسمّيه بالإرادة البسيطة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الإرادة التفصيلية التي تتألّف من تصوّر الفعل والتصديق </w:t>
      </w:r>
    </w:p>
    <w:p>
      <w:pPr>
        <w:pStyle w:val="BookText"/>
        <w:rPr/>
      </w:pPr>
      <w:r>
        <w:rPr>
          <w:rFonts w:ascii="Amiri" w:hAnsi="Amiri" w:eastAsia="Amiri" w:cs="Amiri"/>
          <w:color w:val="111111"/>
          <w:sz w:val="28"/>
          <w:sz w:val="28"/>
          <w:szCs w:val="28"/>
          <w:rtl w:val="true"/>
          <w:lang w:bidi="ar-SA"/>
        </w:rPr>
        <w:t>بالفائدة ورفع الموانع والشوق المؤكّد ثمّ الجزم والتصميم وإن لم تكن موجودة في الذات ولكن نتيجة الإرادة كون الفاعل مختاراً بالذات ، متحقّق في الذات وهي موصوفة بها ، فكونه مختاراً جامع لعامّة الكمالات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الإرادة صفة كمال لا لأجل كونها حادثة طارئة متقضّية بعد حدوث المراد ، وإنّما هي صفة كمال لكونها رمز الاختيار وسمة عدم المقهورية حتّى أنّ الفاعل المريد المكرَه له قسط من الاختيار ، حيث يختار أحد طرفي الفعل على الآخر تلو محاسبات عقلية فيرجّح الفعل على الضرر المتوعّد به ، فإذا كان الهدف والغاية من وصف الفاعل بالإرادة هو إثبات الاختيار وعدم المقهورية فوصفه سبحانه بكونه مختاراً غير مقهور في سلطانه ، غير مجبور في إعمال قدرته ، كاف في جري الإرادة عليه ، لأنّ المختار واجد لكمال الإرادة على النحو الأتم والأكمل</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ثبت في محلّه انّه يلزم في إجراء الصفات ترك المبادئ والأخذ بجهة الكمال ، فكمال الإرادة ليس في كونها طارئة زائلة عند إيجاد المراد أو كون الفاعل خارجاً بها عن القوة إلى الفعل أو من النقص إلى الكمال ، بل كمالها في كون صاحبها مختاراً مالكاً لفعله ، آخذاً بزمام عمله ، فلو كان هذا هو كمال الإرادة ، فالله سبحانه واجد له على النحو الأكمل ، إذ هو الفاعل المختار غير المقهور في سلطانه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غالِبٌ عَلى أَمْرِهِ</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3"/>
      </w:r>
      <w:bookmarkStart w:id="448" w:name="pg11047_102702"/>
    </w:p>
    <w:p>
      <w:pPr>
        <w:pStyle w:val="Heading3"/>
        <w:numPr>
          <w:ilvl w:val="2"/>
          <w:numId w:val="1"/>
        </w:numPr>
        <w:rPr/>
      </w:pPr>
      <w:bookmarkStart w:id="449" w:name="__RefHeading___Toc1391241_1067777946"/>
      <w:bookmarkStart w:id="450" w:name="_Toc170"/>
      <w:bookmarkEnd w:id="448"/>
      <w:bookmarkEnd w:id="449"/>
      <w:r>
        <w:rPr/>
        <w:t>6</w:t>
      </w:r>
      <w:r>
        <w:rPr>
          <w:rtl w:val="true"/>
        </w:rPr>
        <w:t xml:space="preserve">- </w:t>
      </w:r>
      <w:r>
        <w:rPr>
          <w:rtl w:val="true"/>
        </w:rPr>
        <w:t>الإرادة التكوينية والتشريعية</w:t>
      </w:r>
      <w:bookmarkEnd w:id="450"/>
    </w:p>
    <w:p>
      <w:pPr>
        <w:pStyle w:val="Heading4"/>
        <w:numPr>
          <w:ilvl w:val="3"/>
          <w:numId w:val="1"/>
        </w:numPr>
        <w:rPr/>
      </w:pPr>
      <w:bookmarkStart w:id="451" w:name="__RefHeading___Toc1391243_1067777946"/>
      <w:bookmarkStart w:id="452" w:name="_Toc171"/>
      <w:bookmarkEnd w:id="451"/>
      <w:r>
        <w:rPr>
          <w:rtl w:val="true"/>
        </w:rPr>
        <w:t>اشارة</w:t>
      </w:r>
      <w:bookmarkEnd w:id="452"/>
    </w:p>
    <w:p>
      <w:pPr>
        <w:pStyle w:val="BookText"/>
        <w:rPr/>
      </w:pPr>
      <w:r>
        <w:rPr>
          <w:rFonts w:ascii="Amiri" w:hAnsi="Amiri" w:eastAsia="Amiri" w:cs="Amiri"/>
          <w:color w:val="111111"/>
          <w:sz w:val="28"/>
          <w:sz w:val="28"/>
          <w:szCs w:val="28"/>
          <w:rtl w:val="true"/>
          <w:lang w:bidi="ar-SA"/>
        </w:rPr>
        <w:t>تنقسم الإرادة إلى تكوينية وتشريعية ، واختلفوا في تفسير هذا التقسيم إلى نظريات</w:t>
      </w:r>
    </w:p>
    <w:p>
      <w:pPr>
        <w:pStyle w:val="Heading4"/>
        <w:numPr>
          <w:ilvl w:val="3"/>
          <w:numId w:val="1"/>
        </w:numPr>
        <w:rPr/>
      </w:pPr>
      <w:bookmarkStart w:id="453" w:name="__RefHeading___Toc1391245_1067777946"/>
      <w:bookmarkStart w:id="454" w:name="_Toc172"/>
      <w:bookmarkEnd w:id="453"/>
      <w:r>
        <w:rPr>
          <w:rtl w:val="true"/>
        </w:rPr>
        <w:t xml:space="preserve">الأُولى </w:t>
      </w:r>
      <w:r>
        <w:rPr>
          <w:rtl w:val="true"/>
        </w:rPr>
        <w:t xml:space="preserve">: </w:t>
      </w:r>
      <w:r>
        <w:rPr>
          <w:rtl w:val="true"/>
        </w:rPr>
        <w:t>نظرية المحقّق الخراساني</w:t>
      </w:r>
      <w:bookmarkEnd w:id="454"/>
    </w:p>
    <w:p>
      <w:pPr>
        <w:pStyle w:val="BookText"/>
        <w:rPr/>
      </w:pPr>
      <w:r>
        <w:rPr>
          <w:rFonts w:ascii="Amiri" w:hAnsi="Amiri" w:eastAsia="Amiri" w:cs="Amiri"/>
          <w:color w:val="111111"/>
          <w:sz w:val="28"/>
          <w:sz w:val="28"/>
          <w:szCs w:val="28"/>
          <w:rtl w:val="true"/>
          <w:lang w:bidi="ar-SA"/>
        </w:rPr>
        <w:t xml:space="preserve">قال المحقّق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الإرادة التكوينية عبارة عن العلم بالنظام على النحو الكامل التام ، والإرادة التشريعية هو العلم بالمصلحة في فعل المكلّف</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 xml:space="preserve">وفسّرهما في موضع آخر بالعبارة التالية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محيص عن اتّحاد الإرادة والطلب وان يكون ذلك الشوق المؤكّد المستتبع لتحريك العضلات في إرادة فعله بالمباشرة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التكوينيّة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المستتبع لأمر عبيده به فيما لو أراده لا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بالمباشرة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مسمّى بالطلب والإرادة</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والعبارة الأُولى ناظرة إلى تفسير الإرادتين في حقّه سبحانه ، والثانية ناظرة إلى تفسيرهما في الإنسان</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فالإرادة التكوينية على التفسير الأوّل هو العلم بالنظام على النحو </w:t>
      </w:r>
      <w:bookmarkStart w:id="455" w:name="pg11047_102703"/>
    </w:p>
    <w:p>
      <w:pPr>
        <w:pStyle w:val="BookText"/>
        <w:rPr/>
      </w:pPr>
      <w:bookmarkEnd w:id="455"/>
      <w:r>
        <w:rPr>
          <w:rFonts w:ascii="Amiri" w:hAnsi="Amiri" w:eastAsia="Amiri" w:cs="Amiri"/>
          <w:color w:val="111111"/>
          <w:sz w:val="28"/>
          <w:sz w:val="28"/>
          <w:szCs w:val="28"/>
          <w:rtl w:val="true"/>
          <w:lang w:bidi="ar-SA"/>
        </w:rPr>
        <w:t>الكامل ، والإرادة التشريعية هو العلم بالمصلحة في فعل المكلّف ؛ ولكنّهما على التفسير الثاني عبارة عن الشوق المؤكّد المستتبع إمّا لتحريك العضلات فهي الإرادة التكوينية ، أو المستتبع لأمر العبيد به فهي التشريعية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ضعف التفسيرين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 فلأنّ تفسير الإرادة الإلهية التكوينية بالعلم بالنظام على النحو الكامل والتشريعية بالعلم بالمصلحة ، تفسير غير تام ، لما مرّ من أنّ واقع الإرادة غير واقع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التفسير الثاني ، فلأنّ تفسير الإرادة بالشوق المؤكّد الذي هو الجامع بين الإرادة التكوينية والتشريعية في الإرادة الإنسانية تفسير ضعيف ، إذ ليس الشوق من مبادئ الإرادة ولا نفس الإرادة بشهادة انّ الإنسان كثيراً ما يريد شيئاً ويفعله بلا شوق كشرب الدواء المرّ ، وربّما يشتاق ولا يفعله كما في المحرّمات</w:t>
      </w:r>
      <w:r>
        <w:rPr>
          <w:rFonts w:eastAsia="Amiri" w:cs="Amiri" w:ascii="Amiri" w:hAnsi="Amiri"/>
          <w:color w:val="111111"/>
          <w:sz w:val="28"/>
          <w:szCs w:val="28"/>
          <w:rtl w:val="true"/>
          <w:lang w:bidi="ar-SA"/>
        </w:rPr>
        <w:t>.</w:t>
      </w:r>
    </w:p>
    <w:p>
      <w:pPr>
        <w:pStyle w:val="Heading4"/>
        <w:numPr>
          <w:ilvl w:val="3"/>
          <w:numId w:val="1"/>
        </w:numPr>
        <w:rPr/>
      </w:pPr>
      <w:bookmarkStart w:id="456" w:name="__RefHeading___Toc1391247_1067777946"/>
      <w:bookmarkStart w:id="457" w:name="_Toc173"/>
      <w:bookmarkEnd w:id="456"/>
      <w:r>
        <w:rPr>
          <w:rtl w:val="true"/>
        </w:rPr>
        <w:t xml:space="preserve">الثانية </w:t>
      </w:r>
      <w:r>
        <w:rPr>
          <w:rtl w:val="true"/>
        </w:rPr>
        <w:t xml:space="preserve">: </w:t>
      </w:r>
      <w:r>
        <w:rPr>
          <w:rtl w:val="true"/>
        </w:rPr>
        <w:t>نظرية المحقّق الأصفهاني</w:t>
      </w:r>
      <w:bookmarkEnd w:id="457"/>
    </w:p>
    <w:p>
      <w:pPr>
        <w:pStyle w:val="BookText"/>
        <w:rPr/>
      </w:pPr>
      <w:r>
        <w:rPr>
          <w:rFonts w:ascii="Amiri" w:hAnsi="Amiri" w:eastAsia="Amiri" w:cs="Amiri"/>
          <w:color w:val="111111"/>
          <w:sz w:val="28"/>
          <w:sz w:val="28"/>
          <w:szCs w:val="28"/>
          <w:rtl w:val="true"/>
          <w:lang w:bidi="ar-SA"/>
        </w:rPr>
        <w:t>إنّ الإرادة التكوينية تتعلّق بفعل المريد نفسِه ، والتشريعية تتعلّق بفعل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في توضيح الثانية ما هذا نصّه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فعل الغير إذا كان ذا فائدة عائدة إلى الشخص ، ينبعث من الشوق إلى تلك الفائدة ، شوق إلى فعل الغير بملاحظة ترتّب تلك الفائدة العائدة إليه ، وحيث إنّ فعل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فعل اختياري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بلا واسطة مقدوراً للشخص ، بل يتبع البعث والتحريك إليه ، لحصول الداعي للغير فلا محالة ينبعث للشخص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شوق إلى ما يوجب حصول فعل الغير اختياراً وهو </w:t>
      </w:r>
    </w:p>
    <w:p>
      <w:pPr>
        <w:pStyle w:val="BookText"/>
        <w:rPr/>
      </w:pPr>
      <w:r>
        <w:rPr>
          <w:rFonts w:ascii="Amiri" w:hAnsi="Amiri" w:eastAsia="Amiri" w:cs="Amiri"/>
          <w:color w:val="111111"/>
          <w:sz w:val="28"/>
          <w:sz w:val="28"/>
          <w:szCs w:val="28"/>
          <w:rtl w:val="true"/>
          <w:lang w:bidi="ar-SA"/>
        </w:rPr>
        <w:t>تحريكه إلى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فالإرادة التشريعية ليست ما تعلّق بالتحريك والبعث فانّهما من أفعاله </w:t>
      </w:r>
      <w:r>
        <w:rPr>
          <w:rStyle w:val="FootnoteAnchor"/>
          <w:rtl w:val="true"/>
        </w:rPr>
        <w:footnoteReference w:id="226"/>
      </w:r>
      <w:r>
        <w:rPr>
          <w:rFonts w:ascii="Amiri" w:hAnsi="Amiri" w:eastAsia="Amiri" w:cs="Amiri"/>
          <w:color w:val="111111"/>
          <w:sz w:val="28"/>
          <w:sz w:val="28"/>
          <w:szCs w:val="28"/>
          <w:rtl w:val="true"/>
          <w:lang w:bidi="ar-SA"/>
        </w:rPr>
        <w:t>، فلا مقابلة بين التشريعية والتكوينية ، بل التشريعية من الشوق المتعلّق بفعل الغير اختياراً ، وأمّا إذا لم يكن لفعل الغير فائدة عائدة إلى الشخص فلا يعقل تعلّق الشوق به بداهة انّ الشوق النفساني لا يكون بلا داع</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 xml:space="preserve">ولمّا كان تفسير الإرادة التشريعية بالشوق المتعلّق بفعل الغير اختياراً ، موجباً لانتفاء الإرادة التشريعية في الله سبحانه ، لعدم تعقّل الشوق في ساحته تعالى ، حاول أن يفسّر الإرادة التشريعية بوجه ، يناسب ساحته تعالى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من جملة النظام التام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أتمّ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إنزال الكتب وإرسال الرسل والتحريك إلى ما فيه صلاح العباد ، والزجر عمّا فيه الفساد ، فالمراد بالإرادة الذاتيّة بالعرض لا بالذات ، هذه الأُمور دون متعلّقاتها فلا أثر للإرادة التشريعية في صفاته الذاتية ؛ كما في الخبر الشريف المروي في توحيد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لله إرادتين ومشيّتين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حتم وإرادة عزم ، ينهى وهو يشأ ، ويأمر وهو لا يشأ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 وهو ظاهر في أنّ الإرادة التشريعية حقيقتها الأمر والنهي ، وانّ حقيقة الإرادة والمشيئة هي الإرادة التكوينية</w:t>
      </w:r>
      <w:r>
        <w:rPr>
          <w:rFonts w:eastAsia="Amiri" w:cs="Amiri" w:ascii="Amiri" w:hAnsi="Amiri"/>
          <w:color w:val="111111"/>
          <w:sz w:val="28"/>
          <w:szCs w:val="28"/>
          <w:rtl w:val="true"/>
          <w:lang w:bidi="ar-SA"/>
        </w:rPr>
        <w:t xml:space="preserve">. </w:t>
      </w:r>
      <w:r>
        <w:rPr>
          <w:rStyle w:val="FootnoteAnchor"/>
          <w:rtl w:val="true"/>
        </w:rPr>
        <w:footnoteReference w:id="228"/>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الإرادة التكوينية وإن كانت تقابل الإرادة التشريعية </w:t>
      </w:r>
    </w:p>
    <w:p>
      <w:pPr>
        <w:pStyle w:val="BookText"/>
        <w:rPr/>
      </w:pPr>
      <w:r>
        <w:rPr>
          <w:rFonts w:ascii="Amiri" w:hAnsi="Amiri" w:eastAsia="Amiri" w:cs="Amiri"/>
          <w:color w:val="111111"/>
          <w:sz w:val="28"/>
          <w:sz w:val="28"/>
          <w:szCs w:val="28"/>
          <w:rtl w:val="true"/>
          <w:lang w:bidi="ar-SA"/>
        </w:rPr>
        <w:t xml:space="preserve">لكن التقابل لا يقتضي تفسير الأُولى بما يتعلّق بفعل المريد ، والأُخرى بما يتعلّق بفعل الغير ، بل يكفي وجود التغاير بينهما في خصوصيات المتعلّق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الإرادة مطلقاً في التكوينية والتشريعية تتعلّق بفعل النفس والمريد ؛ غاية الأمر انّه لو كان متعلّقها إيجاد شيء في الخارج كالأكل والشرب توصف بالتكوينية ، ولو كان متعلّقها بعث المكلّف إلى إيجاد شيء في الخارج تسمّى تشريعية ، وبذلك يظهر عدم صحّة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فالإرادة التشريعية ليست ما تتعلّق بالتحريك والبعث فانّهما من أفعاله فلا مقابلة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يلزم عدم المقابلة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الإرادتين ، لما عرفت من أنّه يكفي في التقابل ، وجود الاختلاف في خصوصيات المتعلّق بعد اشتراكهما في كون المتعلّق فيهما هو فعل المريد ، غاية الأمر ينقسم فعل المريد إلى قسمين ،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 تفسير التشريعية بالشوق إلى فعل الغير لما فيه فائدة عائدة إلى الشخص المريد ، هو كون الإرادة التكوينية أيضاً من مقولة الشوق ، وقد عرفت أنّ الإرادة ليست من مقولة الشوق ، وربّما يكون هنا شوق ولا إرادة كما تكون إرادة ولا يكون شوق</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تقسيم الإرادة إلى التكوينية والتشريعية في مورده سبحانه والإنسان بملاك واحد ، وهو إن تعلّقت الإرادة بإيجاد الشيء تكويناً ، فالإرادة تكوينية مطلقاً في المالك والمملوك ، وإن تعلّقت بالإنشاء والبعث فهي تشريعية كذلك ، وهذا بخلاف ما أفاده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فسّر الإرادة التكوينية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بحبه بذاته لذاته ، وحبه لأفعاله بالعرض ، وأمّا الإرادة التشريعية فهي عبارة عن إرسال الرسل وإنزال الكتب</w:t>
      </w:r>
      <w:r>
        <w:rPr>
          <w:rFonts w:eastAsia="Amiri" w:cs="Amiri" w:ascii="Amiri" w:hAnsi="Amiri"/>
          <w:color w:val="111111"/>
          <w:sz w:val="28"/>
          <w:szCs w:val="28"/>
          <w:rtl w:val="true"/>
          <w:lang w:bidi="ar-SA"/>
        </w:rPr>
        <w:t xml:space="preserve">. </w:t>
      </w:r>
      <w:bookmarkStart w:id="458" w:name="pg11047_102706"/>
    </w:p>
    <w:p>
      <w:pPr>
        <w:pStyle w:val="BookText"/>
        <w:rPr/>
      </w:pPr>
      <w:bookmarkEnd w:id="458"/>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إرسال الرسل وإنزال الكتب من مظاهر الإرادة التكوينية ، حيث إنّها عبارة عن ابتهاج الواجب ذاته بذاته وابتهاجه بأفعاله وما يدخل في دار الوجود ، بالعرض ، ومن أفعاله إرسال الرسل وإنزال الكتب ومعه كيف عدّهما من مظاهر الإرادة التشريعية؟</w:t>
      </w:r>
      <w:r>
        <w:rPr>
          <w:rFonts w:eastAsia="Amiri" w:cs="Amiri" w:ascii="Amiri" w:hAnsi="Amiri"/>
          <w:color w:val="111111"/>
          <w:sz w:val="28"/>
          <w:szCs w:val="28"/>
          <w:rtl w:val="true"/>
          <w:lang w:bidi="ar-SA"/>
        </w:rPr>
        <w:t>!</w:t>
      </w:r>
    </w:p>
    <w:p>
      <w:pPr>
        <w:pStyle w:val="Heading4"/>
        <w:numPr>
          <w:ilvl w:val="3"/>
          <w:numId w:val="1"/>
        </w:numPr>
        <w:rPr/>
      </w:pPr>
      <w:bookmarkStart w:id="459" w:name="__RefHeading___Toc1391249_1067777946"/>
      <w:bookmarkStart w:id="460" w:name="_Toc174"/>
      <w:bookmarkEnd w:id="459"/>
      <w:r>
        <w:rPr>
          <w:rtl w:val="true"/>
        </w:rPr>
        <w:t xml:space="preserve">الثالثة </w:t>
      </w:r>
      <w:r>
        <w:rPr>
          <w:rtl w:val="true"/>
        </w:rPr>
        <w:t xml:space="preserve">: </w:t>
      </w:r>
      <w:r>
        <w:rPr>
          <w:rtl w:val="true"/>
        </w:rPr>
        <w:t>نظرية العلاّمة الطباطبائي</w:t>
      </w:r>
      <w:bookmarkEnd w:id="460"/>
    </w:p>
    <w:p>
      <w:pPr>
        <w:pStyle w:val="BookText"/>
        <w:rPr/>
      </w:pPr>
      <w:r>
        <w:rPr>
          <w:rFonts w:ascii="Amiri" w:hAnsi="Amiri" w:eastAsia="Amiri" w:cs="Amiri"/>
          <w:color w:val="111111"/>
          <w:sz w:val="28"/>
          <w:sz w:val="28"/>
          <w:szCs w:val="28"/>
          <w:rtl w:val="true"/>
          <w:lang w:bidi="ar-SA"/>
        </w:rPr>
        <w:t>وحاصل النظرية عبارة عمّا ذكرناه في نقد نظرية المحقّق الأصفهاني من أنّه لا فرق بين الإرادة التكوينية والتشريعية في أنّ كليهما يتعلّقان بفعل المريد ، غاية الأمر إن تعلّقت بفعل المريد غير البعث والزجر فهي إرادة تكوينية ، وإن تعلّقت ببعث الغير وزجره عن الشيء فهي إرادة تشريعية ، فمتعلّق الإرادتين في الحقيقة فعل المريد ؛ غاية الأمر انّ المتعلّق إن كان الفعل الخارجي فهو إرادة تكوينية ، وإن تعلّقت بإنشاء البعث والزجر الذي هو أيضاً فعل المريد فالإرادة تشريعية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معلّقاً على قول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المستتبع لأمر عبيده به فيما لو أراده لا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الإرادة في استتباعها لأمر العبيد من قبيل إرادة الفعل بالمباشرة ، وأمّا بالنسبة إلى إرادة فعل العبد مثلاً فلا إرادة في النفس تتعلّق بفعل الغير ، بل إنّما هي إرادة إنشائية وتسميتها إرادة متعلّقة بفعل الغير مجاز أو مسامحة ، لمكان التلبّس الواقع بين الأمر والمأمور به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 يتبيّن انّ القول بتعلّق الإرادة بفعل المأمور به مسامحة أو خطأ واضح تابع من الاتّحاد المتوهّم بين الأمر والمأمور به ، وذلك انّ الإرادة حيثية حقيقية </w:t>
      </w:r>
    </w:p>
    <w:p>
      <w:pPr>
        <w:pStyle w:val="BookText"/>
        <w:rPr/>
      </w:pPr>
      <w:r>
        <w:rPr>
          <w:rFonts w:ascii="Amiri" w:hAnsi="Amiri" w:eastAsia="Amiri" w:cs="Amiri"/>
          <w:color w:val="111111"/>
          <w:sz w:val="28"/>
          <w:sz w:val="28"/>
          <w:szCs w:val="28"/>
          <w:rtl w:val="true"/>
          <w:lang w:bidi="ar-SA"/>
        </w:rPr>
        <w:t xml:space="preserve">رابطة بين الذات المريدة وفعلها القائم بها ، وأمّا النفس وفعل غيرها فلا رابطة بينهما حتّى يتوسط بينهما حيثية الإرادة ، فالإرادة المتعلّقة بفعل المأمور توهّماً متعلّقة بالحقيقة بأمره بالفعل فتنسب إلى نفس الفعل مجازاً ، أو انّ إرادة الأمر لتعلّقها بفعل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ارتباط بفعل المأمور تعد متعلّقة بنفس فعل المأمور تجوّزاً ،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الخبز وإنّما أراد أكله ، وهذا النحو من الاسناد أو النسبة كثير الدوران في الاستعمال</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 xml:space="preserve">وحاصل تلك النظرية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تقسيم الإرادة إلى التكوينية والتشريعية صرف اصطلاح نشأ من غرض خاص ، وإلاّ فالإرادة في كلا القسمين تتعلّق بفعل المريد ، إذ يمتنع أن تتعلّق الإرادة بفعل الغير ، لأنّها لا تتعلّق إلاّ بما كان تحت اختيار المريد وفعل الغير خارج عن اختياره فكيف تتعلّق إرادته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بعث السيد العلاّمة الطباطبائي إلى القول بأنّ كلا القسمين من نسيج واحد ، وإنّما الاختلاف في المراد ، فتارة يكون المراد أمراً تكوينياً ، وأُخرى أمراً اعتبارياً كإنشاء البعث المنتزع من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بما انّه طالب للكمال ربّما يقوم بالفعل بنفسه الذي يرى فيه الكمال وربّما يستخدم الغير لأجل تبسيط قدرته ونيل الكمال المطلوب عن طريقه ، فتكون الغاية من الإرادة التشريعية هو الوصول إلى الكمال المطلوب عن طريق استخدام الغير وبعثه نحو المراد</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هي الإرادة التشريعية الإنسانية ، وأمّا الإرادة التشريعية الإلهية فهي أجل من أن تكون لتلك الغاية ، لأنّه كمال مطلق لا يتطرّق إليه النقص ولا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يتصوّر فوقه كمال ، إنّما الغاية لأمره ونهيه هو إيصال المأمور إلى الكمال ، وعلى هذا فالإرادة التشريعية في عامّة المراتب بمعنى واحد غير أنّ الغاية تختلف في الإنسان وغيره ، فالغرض منها في الإنسان هو طلب الكمال لنفسه وفي حقّه سبحانه هو إيصال الغير إلى الكمال</w:t>
      </w:r>
      <w:r>
        <w:rPr>
          <w:rFonts w:eastAsia="Amiri" w:cs="Amiri" w:ascii="Amiri" w:hAnsi="Amiri"/>
          <w:color w:val="111111"/>
          <w:sz w:val="28"/>
          <w:szCs w:val="28"/>
          <w:rtl w:val="true"/>
          <w:lang w:bidi="ar-SA"/>
        </w:rPr>
        <w:t xml:space="preserve">. </w:t>
      </w:r>
      <w:bookmarkStart w:id="461" w:name="pg11047_102709"/>
    </w:p>
    <w:p>
      <w:pPr>
        <w:pStyle w:val="Heading2"/>
        <w:numPr>
          <w:ilvl w:val="1"/>
          <w:numId w:val="1"/>
        </w:numPr>
        <w:rPr/>
      </w:pPr>
      <w:bookmarkStart w:id="462" w:name="__RefHeading___Toc1391251_1067777946"/>
      <w:bookmarkStart w:id="463" w:name="_Toc175"/>
      <w:bookmarkEnd w:id="461"/>
      <w:bookmarkEnd w:id="462"/>
      <w:r>
        <w:rPr>
          <w:rtl w:val="true"/>
        </w:rPr>
        <w:t>الفصل الخامس</w:t>
      </w:r>
      <w:r>
        <w:rPr>
          <w:rtl w:val="true"/>
        </w:rPr>
        <w:t xml:space="preserve">: </w:t>
      </w:r>
      <w:r>
        <w:rPr>
          <w:rtl w:val="true"/>
        </w:rPr>
        <w:t>رؤية الله سبحانه</w:t>
      </w:r>
      <w:bookmarkEnd w:id="463"/>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64" w:name="__RefHeading___Toc1391253_1067777946"/>
      <w:bookmarkStart w:id="465" w:name="_Toc176"/>
      <w:bookmarkEnd w:id="464"/>
      <w:r>
        <w:rPr>
          <w:rtl w:val="true"/>
        </w:rPr>
        <w:t>اشارة</w:t>
      </w:r>
      <w:bookmarkEnd w:id="465"/>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6" w:name="pg11047_102711"/>
      <w:bookmarkStart w:id="467" w:name="pg11047_102711"/>
      <w:bookmarkEnd w:id="467"/>
    </w:p>
    <w:p>
      <w:pPr>
        <w:pStyle w:val="Heading3"/>
        <w:numPr>
          <w:ilvl w:val="2"/>
          <w:numId w:val="1"/>
        </w:numPr>
        <w:rPr/>
      </w:pPr>
      <w:bookmarkStart w:id="468" w:name="pg11047_102711"/>
      <w:bookmarkStart w:id="469" w:name="__RefHeading___Toc1391255_1067777946"/>
      <w:bookmarkStart w:id="470" w:name="_Toc177"/>
      <w:bookmarkEnd w:id="468"/>
      <w:bookmarkEnd w:id="469"/>
      <w:r>
        <w:rPr>
          <w:rtl w:val="true"/>
        </w:rPr>
        <w:t>تمهيد</w:t>
      </w:r>
      <w:bookmarkEnd w:id="470"/>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رؤية الله سبحانه في الدارين التي أثارت ضجة كبيرة في الأوساط الإسلامية ، فالمفكِّرون الواعون على تنزيهه سبحانه عن التجسيم والتشبيه والجهة والرؤية ، ومقلِّدة أخبار الآحاد والمخدوعون بالإسرائيليات على جواز الرؤية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ورائدنا في الرسالة ، الكتاب ، والسنّة الصحيحة ، والعقل الصريح الذي به عرفنا الله سبحانه وصفاته وأنبياءه ويأتي كلامنا فيها ضمن فصول </w:t>
      </w:r>
      <w:r>
        <w:rPr>
          <w:rFonts w:eastAsia="Amiri" w:cs="Amiri" w:ascii="Amiri" w:hAnsi="Amiri"/>
          <w:color w:val="111111"/>
          <w:sz w:val="28"/>
          <w:szCs w:val="28"/>
          <w:rtl w:val="true"/>
          <w:lang w:bidi="ar-SA"/>
        </w:rPr>
        <w:t xml:space="preserve">: </w:t>
      </w:r>
      <w:bookmarkStart w:id="471" w:name="pg11047_102712"/>
    </w:p>
    <w:p>
      <w:pPr>
        <w:pStyle w:val="Heading3"/>
        <w:numPr>
          <w:ilvl w:val="2"/>
          <w:numId w:val="1"/>
        </w:numPr>
        <w:rPr/>
      </w:pPr>
      <w:bookmarkStart w:id="472" w:name="__RefHeading___Toc1391257_1067777946"/>
      <w:bookmarkStart w:id="473" w:name="_Toc178"/>
      <w:bookmarkEnd w:id="471"/>
      <w:bookmarkEnd w:id="472"/>
      <w:r>
        <w:rPr/>
        <w:t>1</w:t>
      </w:r>
      <w:r>
        <w:rPr>
          <w:rtl w:val="true"/>
        </w:rPr>
        <w:t xml:space="preserve">- </w:t>
      </w:r>
      <w:r>
        <w:rPr>
          <w:rtl w:val="true"/>
        </w:rPr>
        <w:t>الرؤية فكرة يهودية مستوردة</w:t>
      </w:r>
      <w:bookmarkEnd w:id="473"/>
    </w:p>
    <w:p>
      <w:pPr>
        <w:pStyle w:val="BookText"/>
        <w:rPr/>
      </w:pPr>
      <w:r>
        <w:rPr>
          <w:rFonts w:ascii="Amiri" w:hAnsi="Amiri" w:eastAsia="Amiri" w:cs="Amiri"/>
          <w:color w:val="111111"/>
          <w:sz w:val="28"/>
          <w:sz w:val="28"/>
          <w:szCs w:val="28"/>
          <w:rtl w:val="true"/>
          <w:lang w:bidi="ar-SA"/>
        </w:rPr>
        <w:t>لما انتشر الإسلام في الجزيرة العربية وضرب بجرانه أراضيها ، ودخل الناس في الإسلام زرافات ووحداناً ، لم تجد اليهود والنصارى محيصاً إلاّ الاستسلام للأمر الواقع ، فدخلوا في الإسلام متظاهرين به غير معتقدين غالباً ، إلاّ من شملتهم العناية الإلهية منهم وكانوا قليلين ، ولكن الأغلبية الساحقة منهم خصوصاً الأحبار والرهبان بقوا على ما كانوا عليه من العقائد</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الأحبار والرهبان عارفين بما في العهدين من القصص والحكايات والأُصول والعقائد ، فعمدوا إلى نشرها بين المسلمين بخداع خاص وبطريقة علمية ، وكانت السذاجة سائدة على أكثر المسلمين فزعموهم علماء ربانيّين يحملون العلم ، فأخذوا منهم ما يلقون ، بقلب واع ونيّة صادقة ، فأوجد ذلك أرضية صالحة لنشر القصص الخرافية والعقائد الباطلة خصوصاً فيما يرجع إلى التجسيم والتشبيه وتحقير الأنبياء في أنظار المسلمين بإسناد المعاصي الموبقة إليهم ، ولم تكن رؤية الله بأقلّ ممّا سبق في تركيزهم عليها ، فما ترى في كتب الحديث قديماً وحديثاً من الأخبار الكثيرة حول التجسيم والتشبيه والرؤية ونسبة المعاصي إلى الأنبياء والتركيز على القدر والقضاء السالبين للاختيار ، فكلّها من آفات المستسلمة من </w:t>
      </w:r>
    </w:p>
    <w:p>
      <w:pPr>
        <w:pStyle w:val="BookText"/>
        <w:rPr/>
      </w:pPr>
      <w:r>
        <w:rPr>
          <w:rFonts w:ascii="Amiri" w:hAnsi="Amiri" w:eastAsia="Amiri" w:cs="Amiri"/>
          <w:color w:val="111111"/>
          <w:sz w:val="28"/>
          <w:sz w:val="28"/>
          <w:szCs w:val="28"/>
          <w:rtl w:val="true"/>
          <w:lang w:bidi="ar-SA"/>
        </w:rPr>
        <w:t>اليهود والنصارى ، فحسبها بعض السلف حقائق راهنة وقصصاً صادقة ، فتلقّوها بقبول حسن ونشروها بين الخلف ، ودام الأمر على ذلك حتّى يومنا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ويكفيك الحديث 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قصد الحنابلة الإمام العلاّمة محمد بن جرير الطبري يوم الجمعة في الجامع وسألوه عن حديث جلوسه سبحانه على العرش ، فقال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أحمد بن حنبل فلا يعدّ خلافه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ذكره العلماء في الاختلاف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رأيته روي عنه ، ولا رأيت له أصحاباً يعوّل عليهم ، وأمّا حديث الجلوس على العرش فمحال ، ثمّ 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من ليس له أنيس</w:t>
      </w:r>
    </w:p>
    <w:p>
      <w:pPr>
        <w:pStyle w:val="BookText"/>
        <w:rPr/>
      </w:pPr>
      <w:r>
        <w:rPr>
          <w:rFonts w:ascii="Amiri" w:hAnsi="Amiri" w:eastAsia="Amiri" w:cs="Amiri"/>
          <w:color w:val="111111"/>
          <w:sz w:val="28"/>
          <w:sz w:val="28"/>
          <w:szCs w:val="28"/>
          <w:rtl w:val="true"/>
          <w:lang w:bidi="ar-SA"/>
        </w:rPr>
        <w:t>ولا له في عرشه جليس</w:t>
      </w:r>
    </w:p>
    <w:p>
      <w:pPr>
        <w:pStyle w:val="BookText"/>
        <w:rPr/>
      </w:pPr>
      <w:r>
        <w:rPr>
          <w:rFonts w:ascii="Amiri" w:hAnsi="Amiri" w:eastAsia="Amiri" w:cs="Amiri"/>
          <w:color w:val="111111"/>
          <w:sz w:val="28"/>
          <w:sz w:val="28"/>
          <w:szCs w:val="28"/>
          <w:rtl w:val="true"/>
          <w:lang w:bidi="ar-SA"/>
        </w:rPr>
        <w:t xml:space="preserve">فلما سمعوا ذلك وثبوا فرموه بمحابرهم ، وقد كانت أُلوفاً ، فقام بنفسه ودخل داره فردموا داره بالحجارة حتّى صار على بابه كالتل العظيم ، وركب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نازوك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الشرطة في عشرات أُلوف من الجند يمنع عنه العامّة ، ووقف على بابه إلى الليل ، وأمر برفع الحجارة عنه ، وكان قد كتب على بابه البيت المتقدّم فأمر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نازوك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بمحو ذلك ، وكتب مكانه بعض أصحاب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لأحمدَ منزلٌ لا شكَّ 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وَافى إلى الرحمن وافِدْ</w:t>
      </w:r>
    </w:p>
    <w:p>
      <w:pPr>
        <w:pStyle w:val="BookText"/>
        <w:rPr/>
      </w:pPr>
      <w:r>
        <w:rPr>
          <w:rFonts w:ascii="Amiri" w:hAnsi="Amiri" w:eastAsia="Amiri" w:cs="Amiri"/>
          <w:color w:val="111111"/>
          <w:sz w:val="28"/>
          <w:sz w:val="28"/>
          <w:szCs w:val="28"/>
          <w:rtl w:val="true"/>
          <w:lang w:bidi="ar-SA"/>
        </w:rPr>
        <w:t xml:space="preserve">فيُدْنيه ويقعده كريماً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رغم لهم في أنفِ حاسِدْ</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عرشِ يُغَلِّفُهُ بطيب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الأكبادِ من بَاغ وعَانِدْ </w:t>
      </w:r>
    </w:p>
    <w:p>
      <w:pPr>
        <w:pStyle w:val="BookText"/>
        <w:rPr/>
      </w:pPr>
      <w:r>
        <w:rPr>
          <w:rFonts w:ascii="Amiri" w:hAnsi="Amiri" w:eastAsia="Amiri" w:cs="Amiri"/>
          <w:color w:val="111111"/>
          <w:sz w:val="28"/>
          <w:sz w:val="28"/>
          <w:szCs w:val="28"/>
          <w:rtl w:val="true"/>
          <w:lang w:bidi="ar-SA"/>
        </w:rPr>
        <w:t xml:space="preserve">له هذا المُقامُ يكونُ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رواه ليثٌ عن مُجَاهِد</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 xml:space="preserve">أهكذا يتعامل مع إمام كبير وفقيه عظيم ، ومحدّث بصير مثل الطبري ولا ذنب له إلاّ أنّه إمام مفكّر ، لا يؤمن بأساطير اليهود ، وإن تلقّاها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ونظراؤه حقيقة راهنة؟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العوامل التي فسحت المجال للأحبار والرهبان لنشر ما في العهدين بين المسلمين ، حظر تدوين حديث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ونشره ونقله والتحدّث به أكثر من مائة سنة ، فأوجد الفراغ الذي خلفه هذا العمل ، أرضية مناسبة لظهور بدع يهودية ونصرانية وسخافات مسيحية وأساطير يهودية خصوصاً من قبل كهنة اليهود ورهبان النصارى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الشهرستاني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كثير من اليهود الذين اعتنقوا الإسلام أحاديث متعدّدة في مسائل التجسيم والتشبيه ، وكلّها مستمدة من التوراة</w:t>
      </w:r>
      <w:r>
        <w:rPr>
          <w:rFonts w:eastAsia="Amiri" w:cs="Amiri" w:ascii="Amiri" w:hAnsi="Amiri"/>
          <w:color w:val="111111"/>
          <w:sz w:val="28"/>
          <w:szCs w:val="28"/>
          <w:rtl w:val="true"/>
          <w:lang w:bidi="ar-SA"/>
        </w:rPr>
        <w:t xml:space="preserve">. </w:t>
      </w:r>
      <w:r>
        <w:rPr>
          <w:rStyle w:val="FootnoteAnchor"/>
          <w:rtl w:val="true"/>
        </w:rPr>
        <w:footnoteReference w:id="231"/>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خلدون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العرب لم يكونوا أهل كتاب ولا علم وإنّما غلبت عليهم البداوة والأُمّية ، وإذا تشوّقوا إلى معرفة شيء ممّا تتوق إليه النفوس البشرية في أسباب المكوّنات وبدء الخليقة وأسرار الوجود فإنّما يسألون عنه أهل الكتاب قبلهم ، ويستفيدونه منهم وهم أهل التوراة من اليهود ومن تبع دينهم من النصارى مثل كعب الأحبار ووهب بن منبه وعبد الله بن سلام وأمثالهم </w:t>
      </w:r>
    </w:p>
    <w:p>
      <w:pPr>
        <w:pStyle w:val="BookText"/>
        <w:rPr/>
      </w:pPr>
      <w:r>
        <w:rPr>
          <w:rFonts w:ascii="Amiri" w:hAnsi="Amiri" w:eastAsia="Amiri" w:cs="Amiri"/>
          <w:color w:val="111111"/>
          <w:sz w:val="28"/>
          <w:sz w:val="28"/>
          <w:szCs w:val="28"/>
          <w:rtl w:val="true"/>
          <w:lang w:bidi="ar-SA"/>
        </w:rPr>
        <w:t>فامتلأت التفاسير من المنقولات عندهم ، وتساهل المفسرون في مثل ذلك وملئوا كتب التفسير بهذه المنقولات ، وأصلها كلّها كما قلنا من التوراة أو ممّا كانوا يفترون</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ومن أكابر أحبار اليهود الذين تظاهروا بالإسلام هو كعب الأحبار ، فقد خدع عقول المسلمين وحتى الخلفاء والمترجمين له من علماء الرجال ، وقد أسلم في زمن أبي بكر ، وقدم من اليمن في خلافة عمر فأخذ عنه الصحابة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الحبر الذي كان يهودياً فأسلم بعد وفاة النبيّ ، وقدم المدينة من اليمن في أيام عمر ، وجالس أصحاب محمد ، فكان يحدّثهم عن الكتب الإسرائيلية ويحفظ عجائب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 عنه أبو هريرة ومعاوية وابن عباس وذلك من قبيل رواية الصحابي عن تابعي وهو نادر عزيز ، وحدّث عنه أيضاً أسلم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وتبيع الحميري ابن امرأة كعب ، وروى عنه عدّة من التابعين كعطاء بن يسار وغيره مرسلاً ، وقع له رواية في سنن أبي داود والترمذي والنسائي</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وعرّفه الذهبي أيضاً في بعض كتبه بأنّه من أوعية العلم</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فقد وجد الحبر الماكر جوّاً ملائماً لنشر الأساطير والقصص الوهمية ، وبذلك بثّ سمومه القتّالة بين الصحابة والتابعين ، وقد تبعوه وهم يحسبون أنّهم يحسنون صنعاً</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تنبّه إلى جسامة الخسارة التي أحدثها ذلك الحبر ، لفيف من السابقين ، </w:t>
      </w:r>
    </w:p>
    <w:p>
      <w:pPr>
        <w:pStyle w:val="BookText"/>
        <w:rPr/>
      </w:pPr>
      <w:r>
        <w:rPr>
          <w:rFonts w:ascii="Amiri" w:hAnsi="Amiri" w:eastAsia="Amiri" w:cs="Amiri"/>
          <w:color w:val="111111"/>
          <w:sz w:val="28"/>
          <w:sz w:val="28"/>
          <w:szCs w:val="28"/>
          <w:rtl w:val="true"/>
          <w:lang w:bidi="ar-SA"/>
        </w:rPr>
        <w:t xml:space="preserve">منهم ابن كثير في تفسيره حيث إنّه بعد ما أورد طائفة من الأخبار في قصة ملكة سبأ مع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والأقرب في مثل هذه السياقات أنّها متلقّاة عن أهل الكتاب ، ممّا وجد في صحفهم كروايات كعب ووهب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سامحهما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نقلاه إلى هذه الأُمّة من أخبار بني إسرائيل من الأوابد والغرائب والعجائب ممّا كان وما لم يكن ، وممّا حُرِّف وبُدِّل ونُسِخَ ، وقد أغنانا الله سبحانه عن ذلك بما هو أصح منه وأنفع وأوضح وأبلغ</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 xml:space="preserve">والذي يدلّ على عمق مكره وخداعه لعقول المسلمين أنّه ربّما ينقل شيئاً من العهدين ، وفي الوقت ذاته نرى أنّ بعض الصحابة الذين تتلمذوا على يديه وأخذوا منه ، ينسب نفس ما نقله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والذي يبرّر ذلك العمل حسن ظنّهم وثقتهم به ، فحسبوا المنقول شيئاً صحيحاً ، فنسبوه إلى النبيّ ، زاعمين أنّه إذا كان كعب الأحبار عالماً به ، فالنبيّ أولى بالعلم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كنت في شكّ من ذلك فاقرأ نصّين في موضوع واحد أحدهما للإمام الطبري في تاريخه ينقله عن كعب الأحبار في حشر الشمس والقمر يوم القيامة ، والآخر للإمام ابن كثير صاحب التفسير ينقله عن أبي هريرة عن النبيّ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ومضمون الحديث ينادي بأعلى صوته بأنّه موضوع مجعول على لسان الوحي نشره الحبر الخادع وقَبِلَه الساذج من المسلمين ونسبه إلى نبي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عكرمة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ابن عباس ذات يوم جالس إذ جاءه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عباس سمعت العجب من كعب الحبر يذكر في الشمس والقمر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متّكئاً فاحتفر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يُجاء بالشمس والقمر يوم القيامة كأنّهما ثوران عقيران فيُقذفان في جهنم ، قال عكرمة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فطارت</w:t>
      </w:r>
    </w:p>
    <w:p>
      <w:pPr>
        <w:pStyle w:val="BookText"/>
        <w:rPr/>
      </w:pPr>
      <w:r>
        <w:rPr>
          <w:rFonts w:ascii="Amiri" w:hAnsi="Amiri" w:eastAsia="Amiri" w:cs="Amiri"/>
          <w:color w:val="111111"/>
          <w:sz w:val="28"/>
          <w:sz w:val="28"/>
          <w:szCs w:val="28"/>
          <w:rtl w:val="true"/>
          <w:lang w:bidi="ar-SA"/>
        </w:rPr>
        <w:t xml:space="preserve">من ابن عباس شفة ووقعت أُخرى غضباً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كعب ، كذب كعب ، كذب كعب ، ثلاث مرّات ، بل هذه يهودية يريد إدخالها في الإسلام ، الله أجلّ وأكرم من أن يعذّب على طاعته ، ألم تسمع قول الله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وَسَخَّرَ لَكُمُ الشَّمْسَ وَالْقَمَرَ دائِبَيْنِ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يعني دءوبهما في الطاعة ، فكيف يعذِّب عبدين يُثني عليهما أنّهما دائبان في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الله هذا الحبر وقبّح حبريته ، ما أجرأه على الله وأعظم فريته على هذين العبدين المطيعين 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استرجع مراراً</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البزار عن عبد العزيز بن المختار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سلمة بن عبد الرحمن في هذا المسجد مسجد الكوفة ، وجاء الحسن فجلس إليه فحدث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هريرة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الشمس والقمر ثوران في النار عقيران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ذنبهما؟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أُحدثك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أحسبه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ذنبهما؟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يروى عن أبي هريرة إلاّ من هذا الوجه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إنّ كعب الأحبار لمّا أسلم بعد رحيل الرسول لم يتمكّن من إسناد ما رواه من الأسطورة إلى النبيّ الأكرم ، ولو كان مدركاً لحياته وإن كان قليلاً لنسبها إليه ولكن حالت المشيئة الإلهية دون أمانيّه الباطلة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أبا هريرة لمّا صحب النبي واستحسن الظن بكعب الأحبار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أُستاذه في الأساطير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الرواية إلى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نموذج قدّمته إلى القارئ لكي يقف على دور الأحبار والرهبان في نشر البدع اليهودية والنصرانية بين المسلمين ، ولا يُحسن الظن بمجرّد النقل بلا تأكيد </w:t>
      </w:r>
    </w:p>
    <w:p>
      <w:pPr>
        <w:pStyle w:val="BookText"/>
        <w:rPr/>
      </w:pPr>
      <w:r>
        <w:rPr>
          <w:rFonts w:ascii="IRNazanin" w:hAnsi="IRNazanin" w:eastAsia="IRNazanin"/>
          <w:color w:val="111111"/>
          <w:sz w:val="28"/>
          <w:sz w:val="28"/>
          <w:szCs w:val="28"/>
          <w:rtl w:val="true"/>
          <w:lang w:bidi="fa-IR"/>
        </w:rPr>
        <w:t>من صحته</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غيض من فيض وقليل من كثير ممّا لعب به مستسلمة اليهود والنصارى في أحاديثنا وأُصولنا ، ولو لا أنّ الله سبحانه قيّض في كل آونة رجالاً مصلحين كافحوا هذه الخرافات وأيقظوا المسلمين من السبات ، لذهبت هذه الأساطير بروعة الإسلام وصفائه وجلاله</w:t>
      </w:r>
      <w:r>
        <w:rPr>
          <w:rFonts w:eastAsia="Amiri" w:cs="Amiri" w:ascii="Amiri" w:hAnsi="Amiri"/>
          <w:color w:val="111111"/>
          <w:sz w:val="28"/>
          <w:szCs w:val="28"/>
          <w:rtl w:val="true"/>
          <w:lang w:bidi="ar-SA"/>
        </w:rPr>
        <w:t xml:space="preserve">. </w:t>
      </w:r>
      <w:bookmarkStart w:id="474" w:name="pg11047_102719"/>
    </w:p>
    <w:p>
      <w:pPr>
        <w:pStyle w:val="Heading3"/>
        <w:numPr>
          <w:ilvl w:val="2"/>
          <w:numId w:val="1"/>
        </w:numPr>
        <w:rPr/>
      </w:pPr>
      <w:bookmarkStart w:id="475" w:name="__RefHeading___Toc1391259_1067777946"/>
      <w:bookmarkStart w:id="476" w:name="_Toc179"/>
      <w:bookmarkEnd w:id="474"/>
      <w:bookmarkEnd w:id="475"/>
      <w:r>
        <w:rPr/>
        <w:t>2</w:t>
      </w:r>
      <w:r>
        <w:rPr>
          <w:rtl w:val="true"/>
        </w:rPr>
        <w:t xml:space="preserve">- </w:t>
      </w:r>
      <w:r>
        <w:rPr>
          <w:rtl w:val="true"/>
        </w:rPr>
        <w:t>الرؤية في العهد القديم</w:t>
      </w:r>
      <w:bookmarkEnd w:id="476"/>
    </w:p>
    <w:p>
      <w:pPr>
        <w:pStyle w:val="BookText"/>
        <w:rPr/>
      </w:pPr>
      <w:r>
        <w:rPr>
          <w:rFonts w:ascii="Amiri" w:hAnsi="Amiri" w:eastAsia="Amiri" w:cs="Amiri"/>
          <w:color w:val="111111"/>
          <w:sz w:val="28"/>
          <w:sz w:val="28"/>
          <w:szCs w:val="28"/>
          <w:rtl w:val="true"/>
          <w:lang w:bidi="ar-SA"/>
        </w:rPr>
        <w:t>قد سبق انّ الرؤية فكرة مستوردة أدخلها مستسلمة أهل الكتاب بين المسلمين ونشروها بينهم حتّى صارت عقيدة إسلامية ربما يُكفّر من ينكرها ، وقد استمد الأحبار والرهبان في نشر تلك الفكرة من العهدين المتوافرين بين أيديهم ، وها نحن نذكر نصوصاً من العهد القديم حول الرؤية ليتّضح صدق ما قلناه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تقدر أن ترى وجهي لأنّ الإنسان لا يراني ويعيش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الرب هو ذا عندي مكان ، فتقف على الصخرة ، ويكون من اجتاز مجدي أني أضعك في نقرة من الصخرة وأترك بيدي حتّى أجتاز ، ثمّ أرفع يدي فتنظر ورائي وأمّا وجهي فلا 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سفر الخروج آخر الاصحاح الثالث والثلاثين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فالرب يُرى قفاه ولا يرى وجهه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رأيت السيد جالساً على كرسي 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ويل لي لأنّ عيني قد رأتا الملك رب الجنود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سفر أشعيا الاصحاح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والمقصود من السيد هو الله جلّ ذكره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كنت أرى انّه وضعت عروش وجلس القديم الأيام ، لباسه أبيض كالثلج وشعر رأسه كالصوف النقي وعرشه لهيب 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سفر دانيال الاصحاح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الفقرة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أنا فبالبرّ أنظر وجهك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مزامير داود الاصحاح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فغضب الرب على سليمان لأنّ قلبه مال عن الرب إله إسرائيل الذي تراءى له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سفر الملوك الأوّل الاصحاح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رأيت الرب جالساً على كرسيه وكلّ جند البحار وقوف 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سفر الملوك الأول الاصحاح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في سنة الثلاثين في الشهر الرابع في الخامس من الشهر وأنا بين المسبيين عند نهر خابور ، انّ السماوات انفتحت فرأيت رؤى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منظر شبه مجد الرب ، ولمّا رأيته خررت على وجهي وسمعت صوت 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سفر حزقيال الاصحاح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الفقرة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نماذج ممّا في العهد القديم حول الرؤية ، وعليه اعتمد الحبر الماكر في نشر أفكاره ، وقد كان يركّز على فكرتين يهوديتين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فكرة التجسيم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رؤية الله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في الفكرة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نظر إلى الأرض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واطئ على بعضك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فاستعلت إليه الجبال ، وتضعضعت له الصخرة ، فشكر لها ذلك فوضع </w:t>
      </w:r>
    </w:p>
    <w:p>
      <w:pPr>
        <w:pStyle w:val="BookText"/>
        <w:rPr/>
      </w:pPr>
      <w:r>
        <w:rPr>
          <w:rFonts w:ascii="Amiri" w:hAnsi="Amiri" w:eastAsia="Amiri" w:cs="Amiri"/>
          <w:color w:val="111111"/>
          <w:sz w:val="28"/>
          <w:sz w:val="28"/>
          <w:szCs w:val="28"/>
          <w:rtl w:val="true"/>
          <w:lang w:bidi="ar-SA"/>
        </w:rPr>
        <w:t xml:space="preserve">عليها قدمه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مقامي ، ومحشر خلقي وهذه جنتي وهذه ناري ، وهذا موضع ميزاني ، وأنا ديان الدين</w:t>
      </w:r>
      <w:r>
        <w:rPr>
          <w:rFonts w:eastAsia="Amiri" w:cs="Amiri" w:ascii="Amiri" w:hAnsi="Amiri"/>
          <w:color w:val="111111"/>
          <w:sz w:val="28"/>
          <w:szCs w:val="28"/>
          <w:rtl w:val="true"/>
          <w:lang w:bidi="ar-SA"/>
        </w:rPr>
        <w:t xml:space="preserve">. </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ففي هذه الكلمة من هذا الحبر تصريح على تجسيمه تعالى أوّلاً ، وتركيز على أنّ الجنة والنار والميزان ستكون على هذه الأرض ، ومركز سلطانها سيكون على الصخرة ، وهذا من صميم الدين اليهودي المحرّف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حول التجسيم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تركيزه على الرؤية فقد أشاع فكرة التقسيم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قسم كلامه ورؤيته بين موسى ومحمد ، ومنه انتشرت هذه الفكرة ، أي فكرة التقسيم بين المسلمين</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 xml:space="preserve">ومن أعظم الدواهي انّ الرجل تزلّف إلى الخلفاء في خلافة عمر وعثمان وحدّث عن الكثير من القصص الخرافية ، وبعد ما توفّي عثمان تزلّف إلى معاوية ونشر في عهده ما يؤيد به ملكه ودولته ، ومن كلماته في حقّ الدولة الأموية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 النبي بمكة ، وهجرته بطيبة ، وملكه بالشام</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وبذلك أضفى على الدولة الأموية صبغة شرعية ، وجعل ملكهم وسلطتهم امتداداً لملك النبي وسلطته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فكرة الرؤية تسرّبت إلى المسلمين من المتظاهرين بالإسلام كالأحبار والرهبان ، وصار ذلك سبباً لجرأة طوائف من المسلمين على جعلها في ضمن العقيدة الإسلامية </w:t>
      </w:r>
      <w:r>
        <w:rPr>
          <w:rStyle w:val="FootnoteAnchor"/>
          <w:rtl w:val="true"/>
        </w:rPr>
        <w:footnoteReference w:id="240"/>
      </w:r>
      <w:r>
        <w:rPr>
          <w:rFonts w:ascii="Amiri" w:hAnsi="Amiri" w:eastAsia="Amiri" w:cs="Amiri"/>
          <w:color w:val="111111"/>
          <w:sz w:val="28"/>
          <w:sz w:val="28"/>
          <w:szCs w:val="28"/>
          <w:rtl w:val="true"/>
          <w:lang w:bidi="ar-SA"/>
        </w:rPr>
        <w:t xml:space="preserve">، بحيث يكفر منكرها أحياناً ويفسق ، ولمّا صارت تلك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العقيدة راسخة في القرنين الثاني والثالث بين المسلمين ، عاد المتكلّمون المحقّقون للبرهنة والاستدلال على بطلان الفكرة من الكتاب أوّلاً والسنّة ثانياً ، ولو لا رسوخها بينهم لما تحمّلوا عبء الاستدلال وجهد البرهنة ، وسوف يوافيك انّ الكتاب العزيز يرد فكرة الرؤية ويستعظم أمرها وينكرها ويستفظعها بشدة وحماس ، وما استدلّ به على جواز الرؤية من الكتاب فلا مساس له بالموضوع ، فانتظر حتّى يأتيك البيان</w:t>
      </w:r>
      <w:r>
        <w:rPr>
          <w:rFonts w:eastAsia="Amiri" w:cs="Amiri" w:ascii="Amiri" w:hAnsi="Amiri"/>
          <w:color w:val="111111"/>
          <w:sz w:val="28"/>
          <w:szCs w:val="28"/>
          <w:rtl w:val="true"/>
          <w:lang w:bidi="ar-SA"/>
        </w:rPr>
        <w:t xml:space="preserve">. </w:t>
      </w:r>
      <w:bookmarkStart w:id="477" w:name="pg11047_102723"/>
    </w:p>
    <w:p>
      <w:pPr>
        <w:pStyle w:val="Heading3"/>
        <w:numPr>
          <w:ilvl w:val="2"/>
          <w:numId w:val="1"/>
        </w:numPr>
        <w:rPr/>
      </w:pPr>
      <w:bookmarkStart w:id="478" w:name="__RefHeading___Toc1391261_1067777946"/>
      <w:bookmarkStart w:id="479" w:name="_Toc180"/>
      <w:bookmarkEnd w:id="477"/>
      <w:bookmarkEnd w:id="478"/>
      <w:r>
        <w:rPr/>
        <w:t>3</w:t>
      </w:r>
      <w:r>
        <w:rPr>
          <w:rtl w:val="true"/>
        </w:rPr>
        <w:t xml:space="preserve">- </w:t>
      </w:r>
      <w:r>
        <w:rPr>
          <w:rtl w:val="true"/>
        </w:rPr>
        <w:t>الرؤية في منطق العلم والعقل</w:t>
      </w:r>
      <w:bookmarkEnd w:id="479"/>
    </w:p>
    <w:p>
      <w:pPr>
        <w:pStyle w:val="Heading4"/>
        <w:numPr>
          <w:ilvl w:val="3"/>
          <w:numId w:val="1"/>
        </w:numPr>
        <w:rPr/>
      </w:pPr>
      <w:bookmarkStart w:id="480" w:name="__RefHeading___Toc1391263_1067777946"/>
      <w:bookmarkStart w:id="481" w:name="_Toc181"/>
      <w:bookmarkEnd w:id="480"/>
      <w:r>
        <w:rPr>
          <w:rtl w:val="true"/>
        </w:rPr>
        <w:t>اشارة</w:t>
      </w:r>
      <w:bookmarkEnd w:id="481"/>
    </w:p>
    <w:p>
      <w:pPr>
        <w:pStyle w:val="BookText"/>
        <w:rPr/>
      </w:pPr>
      <w:r>
        <w:rPr>
          <w:rFonts w:ascii="Amiri" w:hAnsi="Amiri" w:eastAsia="Amiri" w:cs="Amiri"/>
          <w:color w:val="111111"/>
          <w:sz w:val="28"/>
          <w:sz w:val="28"/>
          <w:szCs w:val="28"/>
          <w:rtl w:val="true"/>
          <w:lang w:bidi="ar-SA"/>
        </w:rPr>
        <w:t xml:space="preserve">إنّ الرؤية في منطق العلم والعقل لا تتحقّق إلاّ إذا كان الشيء مقابلاً أو حالاً في المقابل ، من غير فرق بين تفسيرها حسب رأي القدماء أو حسب العلم الحديث ، فإنّ القدماء كانوا يفسرون الرؤية على النحو 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خروج الشعاع من العين وسقوطه على الأشياء ثمّ انعكاسه عن الأشياء فرجوعه إلى العين لكي تتحقق الرؤية ، ولكن العلم الحديث كشف بطلان هذا التفسير ،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عبارة عن صدور الأشعة من الأشياء ودخولها إلى العين عن طريق عدستها وسقوطها على شبكية العين فتتحقّق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تقدير فالضرورة قاضية على أنّ الإبصار بالعين متوقّف على حصول المقابلة بين العين والمرئي ، أو حكم المقابلة كما في رؤية الصور في المرآة ، وهذا أمر تحكم به الضرورة وإنكاره مكابرة واضحة ، فإذا كانت ماهية الرؤية هي ما ذكرناه فلا يمكن تحقّقها فيما إذا تنزّه الشيء عن المقابلة أو الحلول في المقابل</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العقل والنقل اتّفقا على كونه سبحانه ليس بجسم ولا </w:t>
      </w:r>
      <w:bookmarkStart w:id="482" w:name="pg11047_102724"/>
    </w:p>
    <w:p>
      <w:pPr>
        <w:pStyle w:val="BookText"/>
        <w:rPr/>
      </w:pPr>
      <w:bookmarkEnd w:id="482"/>
      <w:r>
        <w:rPr>
          <w:rFonts w:ascii="Amiri" w:hAnsi="Amiri" w:eastAsia="Amiri" w:cs="Amiri"/>
          <w:color w:val="111111"/>
          <w:sz w:val="28"/>
          <w:sz w:val="28"/>
          <w:szCs w:val="28"/>
          <w:rtl w:val="true"/>
          <w:lang w:bidi="ar-SA"/>
        </w:rPr>
        <w:t>جسماني ولا في جهة ، والرؤية فرع كون الشيء في جهة خاصة ، وما شأنه هذا لا يتعلّق إلاّ بالمحسوس لا المجرد</w:t>
      </w:r>
      <w:r>
        <w:rPr>
          <w:rFonts w:eastAsia="Amiri" w:cs="Amiri" w:ascii="Amiri" w:hAnsi="Amiri"/>
          <w:color w:val="111111"/>
          <w:sz w:val="28"/>
          <w:szCs w:val="28"/>
          <w:rtl w:val="true"/>
          <w:lang w:bidi="ar-SA"/>
        </w:rPr>
        <w:t>.</w:t>
      </w:r>
    </w:p>
    <w:p>
      <w:pPr>
        <w:pStyle w:val="Heading4"/>
        <w:numPr>
          <w:ilvl w:val="3"/>
          <w:numId w:val="1"/>
        </w:numPr>
        <w:rPr/>
      </w:pPr>
      <w:bookmarkStart w:id="483" w:name="__RefHeading___Toc1391265_1067777946"/>
      <w:bookmarkStart w:id="484" w:name="_Toc182"/>
      <w:bookmarkEnd w:id="483"/>
      <w:r>
        <w:rPr>
          <w:rtl w:val="true"/>
        </w:rPr>
        <w:t>المحاولة اليائسة في تجويز الرؤية</w:t>
      </w:r>
      <w:bookmarkEnd w:id="484"/>
    </w:p>
    <w:p>
      <w:pPr>
        <w:pStyle w:val="Heading5"/>
        <w:numPr>
          <w:ilvl w:val="4"/>
          <w:numId w:val="1"/>
        </w:numPr>
        <w:rPr/>
      </w:pPr>
      <w:bookmarkStart w:id="485" w:name="__RefHeading___Toc1391267_1067777946"/>
      <w:bookmarkStart w:id="486" w:name="_Toc183"/>
      <w:bookmarkEnd w:id="485"/>
      <w:r>
        <w:rPr>
          <w:rtl w:val="true"/>
        </w:rPr>
        <w:t>اشارة</w:t>
      </w:r>
      <w:bookmarkEnd w:id="486"/>
    </w:p>
    <w:p>
      <w:pPr>
        <w:pStyle w:val="BookText"/>
        <w:rPr/>
      </w:pPr>
      <w:r>
        <w:rPr>
          <w:rFonts w:ascii="Amiri" w:hAnsi="Amiri" w:eastAsia="Amiri" w:cs="Amiri"/>
          <w:color w:val="111111"/>
          <w:sz w:val="28"/>
          <w:sz w:val="28"/>
          <w:szCs w:val="28"/>
          <w:rtl w:val="true"/>
          <w:lang w:bidi="ar-SA"/>
        </w:rPr>
        <w:t xml:space="preserve">إنّ مفكّري الأشاعرة الذين لهم قدم راسخة في المسائل العقلية لمّا وقفوا أمام هذا الدليل ذهبوا يميناً ويساراً للجمع بين الرؤية والتنزيه ، وإليك بيان ذلك </w:t>
      </w:r>
      <w:r>
        <w:rPr>
          <w:rFonts w:eastAsia="Amiri" w:cs="Amiri" w:ascii="Amiri" w:hAnsi="Amiri"/>
          <w:color w:val="111111"/>
          <w:sz w:val="28"/>
          <w:szCs w:val="28"/>
          <w:rtl w:val="true"/>
          <w:lang w:bidi="ar-SA"/>
        </w:rPr>
        <w:t>:</w:t>
      </w:r>
    </w:p>
    <w:p>
      <w:pPr>
        <w:pStyle w:val="Heading5"/>
        <w:numPr>
          <w:ilvl w:val="4"/>
          <w:numId w:val="1"/>
        </w:numPr>
        <w:rPr/>
      </w:pPr>
      <w:bookmarkStart w:id="487" w:name="__RefHeading___Toc1391269_1067777946"/>
      <w:bookmarkStart w:id="488" w:name="_Toc184"/>
      <w:bookmarkEnd w:id="487"/>
      <w:r>
        <w:rPr/>
        <w:t>1</w:t>
      </w:r>
      <w:r>
        <w:rPr>
          <w:rtl w:val="true"/>
        </w:rPr>
        <w:t xml:space="preserve">. </w:t>
      </w:r>
      <w:r>
        <w:rPr>
          <w:rtl w:val="true"/>
        </w:rPr>
        <w:t>الرؤية بلا كيف</w:t>
      </w:r>
      <w:bookmarkEnd w:id="488"/>
    </w:p>
    <w:p>
      <w:pPr>
        <w:pStyle w:val="BookText"/>
        <w:rPr/>
      </w:pPr>
      <w:r>
        <w:rPr>
          <w:rFonts w:ascii="Amiri" w:hAnsi="Amiri" w:eastAsia="Amiri" w:cs="Amiri"/>
          <w:color w:val="111111"/>
          <w:sz w:val="28"/>
          <w:sz w:val="28"/>
          <w:szCs w:val="28"/>
          <w:rtl w:val="true"/>
          <w:lang w:bidi="ar-SA"/>
        </w:rPr>
        <w:t xml:space="preserve">هذا العنوان هو الذي يجده القارئ في كتب الأشاعرة وربّما يعبر عنه خصومهم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البلكفة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 انّ الله تعالى يُرى بلا كيف وانّ المؤمنين في الجنة يرونه بلا كيف ، أي منزّهاً عن المقابلة والجهة والمكان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تمنّي الرؤية بلا مقابلة ولا جهة ولا مكان ، أشبه برسم أسد بلا رأس ولا ذنب على جسم بطل ، فالرؤية التي لا يكون المرئي فيها مقابلاً للرائي ولا متحقّقاً في مكان ولا متحيزاً في جهة كيف تكون رؤية بالعيون والأبصار؟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انّ قول الأشاعرة كأهل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مهزلة لا يعتمد عليها ، فانّ الكيفية ربما تكون من مقوّمات الشيء ولولاها لما كان له أثر ، فمثلاً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يداً ورجلاً وعيناً وسمعاً بلا كيف ، ويصرحون بثبوت واقعيات هذه الصفات حسب معانيها اللغوية لله سبحانه لكن بلا كيفية</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كما ترى فأنّ اليد في اللغة العربية وضعت للجارحة حسب ما لها من الكيفية ، فإثبات اليد لله بالمعنى اللغوي مع حذف الكيفية ، يكون مساوياً لنفي معناها اللغوي ويكون راجعاً إلى تفسيرها بالمعاني المجازية التي يفرون منها فرار المزكوم من المسك ، ومثله القدم والوجه</w:t>
      </w:r>
      <w:r>
        <w:rPr>
          <w:rFonts w:eastAsia="Amiri" w:cs="Amiri" w:ascii="Amiri" w:hAnsi="Amiri"/>
          <w:color w:val="111111"/>
          <w:sz w:val="28"/>
          <w:szCs w:val="28"/>
          <w:rtl w:val="true"/>
          <w:lang w:bidi="ar-SA"/>
        </w:rPr>
        <w:t xml:space="preserve">. </w:t>
      </w:r>
      <w:bookmarkStart w:id="489" w:name="pg11047_102725"/>
    </w:p>
    <w:p>
      <w:pPr>
        <w:pStyle w:val="BookText"/>
        <w:rPr/>
      </w:pPr>
      <w:bookmarkEnd w:id="489"/>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الحنابلة والأشاعرة يصرّون على أنّ الصفات الخبرية كاليد والرجل والقدم والوجه في الكتاب والسنّة يجب ان تفسر بنفس معانيها اللغوية ، ولا يجوز لنا حملها على معانيها المجازية كالقدرة في اليد مثلاً ، ولمّا رأوا انّ ذلك يلازم التجسيم التجئوا إلى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بلا كيف أو وجه بلا كيف ، ولكنّهم ما دروا انّ الكيفية في اليد والوجه وغيرهما مقوّمة لمفاهيمها ، فنفي الكيفية يساوق نفي المعنى اللغوي ، فكيف يمكن الجمع بين المعنى اللغوي والحمل عليه بلا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يعلم حال الرؤية بالبصر والعين فإنّ التقابل مقوّم لمفهومها ، فإثباتها بلا كيف يلازم نفي أصل الرؤية ، والكلام في المقام إنّما هو النظر بالبصر والرؤية بالعين ، لا الرؤية بالقلب أو في النوم فانّها خارجة عن محط البحث</w:t>
      </w:r>
      <w:r>
        <w:rPr>
          <w:rFonts w:eastAsia="Amiri" w:cs="Amiri" w:ascii="Amiri" w:hAnsi="Amiri"/>
          <w:color w:val="111111"/>
          <w:sz w:val="28"/>
          <w:szCs w:val="28"/>
          <w:rtl w:val="true"/>
          <w:lang w:bidi="ar-SA"/>
        </w:rPr>
        <w:t>.</w:t>
      </w:r>
    </w:p>
    <w:p>
      <w:pPr>
        <w:pStyle w:val="Heading5"/>
        <w:numPr>
          <w:ilvl w:val="4"/>
          <w:numId w:val="1"/>
        </w:numPr>
        <w:rPr/>
      </w:pPr>
      <w:bookmarkStart w:id="490" w:name="__RefHeading___Toc1391271_1067777946"/>
      <w:bookmarkStart w:id="491" w:name="_Toc185"/>
      <w:bookmarkEnd w:id="490"/>
      <w:r>
        <w:rPr/>
        <w:t>2</w:t>
      </w:r>
      <w:r>
        <w:rPr>
          <w:rtl w:val="true"/>
        </w:rPr>
        <w:t xml:space="preserve">. </w:t>
      </w:r>
      <w:r>
        <w:rPr>
          <w:rtl w:val="true"/>
        </w:rPr>
        <w:t>اختلاف الأحكام باختلاف الظروف</w:t>
      </w:r>
      <w:bookmarkEnd w:id="491"/>
    </w:p>
    <w:p>
      <w:pPr>
        <w:pStyle w:val="BookText"/>
        <w:rPr/>
      </w:pPr>
      <w:r>
        <w:rPr>
          <w:rFonts w:ascii="Amiri" w:hAnsi="Amiri" w:eastAsia="Amiri" w:cs="Amiri"/>
          <w:color w:val="111111"/>
          <w:sz w:val="28"/>
          <w:sz w:val="28"/>
          <w:szCs w:val="28"/>
          <w:rtl w:val="true"/>
          <w:lang w:bidi="ar-SA"/>
        </w:rPr>
        <w:t>إنّ بعض المتّفقين من الجدد لمّا وجدوا انّ الرؤية لا تنفك عن الجهة التجئوا إلى القول بأنّ كلّ شيء في الآخرة غيره في الدنيا ، ولعلّ الرؤية تتحقّق في الآخرة بلا هذا اللازم السلبي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سمعته عن بعض المشايخ في دمشق</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رجم بالغيب ، فإن أرادوا من المغايرة بأنّ الآخرة ظرف للتكامل وانّ الأشياء توجد في الآخرة بأكمل وجودها وأمثلها ، فهذا لا مناقشة فيه ، يقول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رُزِقُوا مِنْها مِنْ ثَمَرَةٍ رِزْقاً قالُوا هذَا الَّذِي رُزِقْنا مِنْ قَبْلُ وَأُتُوا بِهِ مُتَشابِهاً</w:t>
      </w:r>
      <w:r>
        <w:rPr>
          <w:rFonts w:eastAsia="Amiri" w:cs="Amiri" w:ascii="Amiri" w:hAnsi="Amiri"/>
          <w:color w:val="111111"/>
          <w:sz w:val="28"/>
          <w:szCs w:val="28"/>
          <w:rtl w:val="true"/>
          <w:lang w:bidi="ar-SA"/>
        </w:rPr>
        <w:t xml:space="preserve">). </w:t>
      </w:r>
      <w:r>
        <w:rPr>
          <w:rStyle w:val="FootnoteAnchor"/>
          <w:rtl w:val="true"/>
        </w:rPr>
        <w:footnoteReference w:id="241"/>
      </w:r>
      <w:r>
        <w:rPr>
          <w:rFonts w:ascii="Amiri" w:hAnsi="Amiri" w:eastAsia="Amiri" w:cs="Amiri"/>
          <w:color w:val="111111"/>
          <w:sz w:val="28"/>
          <w:sz w:val="28"/>
          <w:szCs w:val="28"/>
          <w:rtl w:val="true"/>
          <w:lang w:bidi="ar-SA"/>
        </w:rPr>
        <w:t xml:space="preserve">وإن أرادوا انّ القضايا العقلية البديهية تتبدّل في الآخرة إلى نقيضها ، فهذا يوجب انهيار النّظم الكلامية والأساليب العلمية التي يعتمد عليها المفكّرون من أتباع الشرائع وغيرهم ، إذ معنى ذلك انّ النتائج المثبتة في جدول </w:t>
      </w:r>
      <w:bookmarkStart w:id="492" w:name="pg11047_102726"/>
    </w:p>
    <w:p>
      <w:pPr>
        <w:pStyle w:val="BookText"/>
        <w:rPr/>
      </w:pPr>
      <w:bookmarkEnd w:id="492"/>
      <w:r>
        <w:rPr>
          <w:rFonts w:ascii="Amiri" w:hAnsi="Amiri" w:eastAsia="Amiri" w:cs="Amiri"/>
          <w:color w:val="111111"/>
          <w:sz w:val="28"/>
          <w:sz w:val="28"/>
          <w:szCs w:val="28"/>
          <w:rtl w:val="true"/>
          <w:lang w:bidi="ar-SA"/>
        </w:rPr>
        <w:t xml:space="preserve">الضرب سوف تتبدّل في الآخرة إلى ما يباينها ، فتكون النتيجة ضرب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ممكن يحتاج إلى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يتبدّل في الآخرة إلى أنّ الممكن غني عن العلّة ، فعند ذلك لا يستقر حجر على حجر وتنهار جميع المناهج الفكرية ، ويصير الإنسان سوفسطائيا</w:t>
      </w:r>
      <w:r>
        <w:rPr>
          <w:rFonts w:eastAsia="Amiri" w:cs="Amiri" w:ascii="Amiri" w:hAnsi="Amiri"/>
          <w:color w:val="111111"/>
          <w:sz w:val="28"/>
          <w:szCs w:val="28"/>
          <w:rtl w:val="true"/>
          <w:lang w:bidi="ar-SA"/>
        </w:rPr>
        <w:t>.</w:t>
      </w:r>
    </w:p>
    <w:p>
      <w:pPr>
        <w:pStyle w:val="Heading5"/>
        <w:numPr>
          <w:ilvl w:val="4"/>
          <w:numId w:val="1"/>
        </w:numPr>
        <w:rPr/>
      </w:pPr>
      <w:bookmarkStart w:id="493" w:name="__RefHeading___Toc1391273_1067777946"/>
      <w:bookmarkStart w:id="494" w:name="_Toc186"/>
      <w:bookmarkEnd w:id="493"/>
      <w:r>
        <w:rPr/>
        <w:t>3</w:t>
      </w:r>
      <w:r>
        <w:rPr>
          <w:rtl w:val="true"/>
        </w:rPr>
        <w:t xml:space="preserve">. </w:t>
      </w:r>
      <w:r>
        <w:rPr>
          <w:rtl w:val="true"/>
        </w:rPr>
        <w:t>عدم المبالاة بإثبات الجهة</w:t>
      </w:r>
      <w:bookmarkEnd w:id="494"/>
    </w:p>
    <w:p>
      <w:pPr>
        <w:pStyle w:val="BookText"/>
        <w:rPr/>
      </w:pPr>
      <w:r>
        <w:rPr>
          <w:rFonts w:ascii="Amiri" w:hAnsi="Amiri" w:eastAsia="Amiri" w:cs="Amiri"/>
          <w:color w:val="111111"/>
          <w:sz w:val="28"/>
          <w:sz w:val="28"/>
          <w:szCs w:val="28"/>
          <w:rtl w:val="true"/>
          <w:lang w:bidi="ar-SA"/>
        </w:rPr>
        <w:t xml:space="preserve">إنّ أساتذة الجامعات الإسلامية في الرياض ومكة المكرمة والمدينة المنورة بدل أن يجهدوا أنفسهم في فهم المعارف ويتجردوا في مقام التحليل عن الآراء المسبقة ، نرى أنّهم يدعمون شباب الجامعات وخرّيجيها بدعم مالي وفكري ليجمعوا من هنا وهناك أُموراً حول الرؤية ، فخرجوا بنتيجة هي إثبات الجهة لله حتّى يتسنّى لهم إثبات الرؤية ، وهذا العمل أشبه بدفع الفاسد بالأفسد ، وإن كنت في شك من ذلك فاستمع لما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الدكتور أحمد بن محمد آل حمد خريج جامعة أُم القرى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إثبات رؤية حقيقية بالعيان من غير مقابلة أو جهة ، مكابرة عقلية لأنّ الجهة من لوازم الرؤية ، وإثبات اللزوم ونفي اللازم مغالطة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هذا الاعتراف تخلّص عن الالتزام بإثبات الجهة لله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إثبات صفة العلو لله تبارك وتعالى ورد في الكتاب والسنّة في مواضع كثيرة جدّاً ، فلا حرج في إثبات رؤية الله تعالى في هذا العلو الثابت له تبارك وتعالى ، ولا يقدح هذا في التنزيه ، لأنّ من أثبت هذا أعلم البشر بما يستحقّ الله تعالى من صفات الكمال</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لفظة الجهة فهي من الألفاظ المجملة التي لم يرد نفيها ولا إثباتها بالنص </w:t>
      </w:r>
      <w:bookmarkStart w:id="495" w:name="pg11047_102727"/>
    </w:p>
    <w:p>
      <w:pPr>
        <w:pStyle w:val="BookText"/>
        <w:rPr/>
      </w:pPr>
      <w:bookmarkEnd w:id="495"/>
      <w:r>
        <w:rPr>
          <w:rFonts w:ascii="Amiri" w:hAnsi="Amiri" w:eastAsia="Amiri" w:cs="Amiri"/>
          <w:color w:val="111111"/>
          <w:sz w:val="28"/>
          <w:sz w:val="28"/>
          <w:szCs w:val="28"/>
          <w:rtl w:val="true"/>
          <w:lang w:bidi="ar-SA"/>
        </w:rPr>
        <w:t>فنأخذ حكم مثل هذه الألفاظ</w:t>
      </w:r>
      <w:r>
        <w:rPr>
          <w:rFonts w:eastAsia="Amiri" w:cs="Amiri" w:ascii="Amiri" w:hAnsi="Amiri"/>
          <w:color w:val="111111"/>
          <w:sz w:val="28"/>
          <w:szCs w:val="28"/>
          <w:rtl w:val="true"/>
          <w:lang w:bidi="ar-SA"/>
        </w:rPr>
        <w:t xml:space="preserve">. </w:t>
      </w:r>
      <w:r>
        <w:rPr>
          <w:rStyle w:val="FootnoteAnchor"/>
          <w:rtl w:val="true"/>
        </w:rPr>
        <w:footnoteReference w:id="242"/>
      </w:r>
    </w:p>
    <w:p>
      <w:pPr>
        <w:pStyle w:val="Heading5"/>
        <w:numPr>
          <w:ilvl w:val="4"/>
          <w:numId w:val="1"/>
        </w:numPr>
        <w:rPr/>
      </w:pPr>
      <w:bookmarkStart w:id="496" w:name="__RefHeading___Toc1391275_1067777946"/>
      <w:bookmarkStart w:id="497" w:name="_Toc187"/>
      <w:bookmarkEnd w:id="496"/>
      <w:r>
        <w:rPr>
          <w:rtl w:val="true"/>
        </w:rPr>
        <w:t xml:space="preserve">يلاحظ عليه </w:t>
      </w:r>
      <w:r>
        <w:rPr>
          <w:rtl w:val="true"/>
        </w:rPr>
        <w:t>:</w:t>
      </w:r>
      <w:bookmarkEnd w:id="497"/>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ادّعى انّ الكتاب والسنّة أثبت العلو لله الذي هو مساوق للجهة ، فإن أراد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اسْتَوى عَلَى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حقّق في محلّه بأنّ استواءه على العرش كناية عن استيلائه على السماوات والأرض ، وعدم عجزه عن التدبير ، وأين هو من إثبات العلوّ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أوضحنا مفاد هذه الآيات في أسفارنا الكلامية</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 xml:space="preserve">وإن أراد ما جمعه ابن خزيمة وأضرابه من حشويات المجسّمة والمشبّهة ، فكلّها بدع يهودية أو مجوسية تسرّبت إلى المسلمين يرفضها القرآن الكريم وروايات 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افترضنا صحّة كونه موجوداً في جهة عالية ينظر إلى السماوات والأرض ، فكيف يكون محيطاً بكل شيء وموجوداً مع كلّ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مَعَكُمْ أَيْنَ ما كُنْتُمْ</w:t>
      </w:r>
      <w:r>
        <w:rPr>
          <w:rFonts w:eastAsia="Amiri" w:cs="Amiri" w:ascii="Amiri" w:hAnsi="Amiri"/>
          <w:color w:val="111111"/>
          <w:sz w:val="28"/>
          <w:szCs w:val="28"/>
          <w:rtl w:val="true"/>
          <w:lang w:bidi="ar-SA"/>
        </w:rPr>
        <w:t xml:space="preserve">) </w:t>
      </w:r>
      <w:r>
        <w:rPr>
          <w:rStyle w:val="FootnoteAnchor"/>
          <w:rtl w:val="true"/>
        </w:rPr>
        <w:footnoteReference w:id="244"/>
      </w:r>
      <w:r>
        <w:rPr>
          <w:rFonts w:ascii="Amiri" w:hAnsi="Amiri" w:eastAsia="Amiri" w:cs="Amiri"/>
          <w:color w:val="111111"/>
          <w:sz w:val="28"/>
          <w:sz w:val="28"/>
          <w:szCs w:val="28"/>
          <w:rtl w:val="true"/>
          <w:lang w:bidi="ar-SA"/>
        </w:rPr>
        <w:t xml:space="preserve">فإذا كان هذا معنى التنزيه فسلام الله على التجسيم ، ولعلّ شاعر المعرة تمنّى الموت أمام هذه الأقوال والآراء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موت زر إنّ الحياة ذميمة</w:t>
      </w:r>
    </w:p>
    <w:p>
      <w:pPr>
        <w:pStyle w:val="BookText"/>
        <w:rPr/>
      </w:pPr>
      <w:r>
        <w:rPr>
          <w:rFonts w:ascii="Amiri" w:hAnsi="Amiri" w:eastAsia="Amiri" w:cs="Amiri"/>
          <w:color w:val="111111"/>
          <w:sz w:val="28"/>
          <w:sz w:val="28"/>
          <w:szCs w:val="28"/>
          <w:rtl w:val="true"/>
          <w:lang w:bidi="ar-SA"/>
        </w:rPr>
        <w:t>ويا نفس جدي إنّ دهرك هازل</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تستهدفه رسالات السماء كان يتلخّص في توحيده سبحانه وأنّه واحد لا نظير له ولا مثيل أوّلاً ، وتنزيهه سبحانه عن مشابهة الممكنات </w:t>
      </w:r>
    </w:p>
    <w:p>
      <w:pPr>
        <w:pStyle w:val="BookText"/>
        <w:rPr/>
      </w:pPr>
      <w:r>
        <w:rPr>
          <w:rFonts w:ascii="Amiri" w:hAnsi="Amiri" w:eastAsia="Amiri" w:cs="Amiri"/>
          <w:color w:val="111111"/>
          <w:sz w:val="28"/>
          <w:sz w:val="28"/>
          <w:szCs w:val="28"/>
          <w:rtl w:val="true"/>
          <w:lang w:bidi="ar-SA"/>
        </w:rPr>
        <w:t>والموجودات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لفيفاً من أصحاب الحديث بعد رحيل الرسول توغّلوا في وحل الشرك والتجسيم وأبطلوا كلتا النتيجتين ؛ فقالوا بحماس بقدم القرآن وعدم حدوثه ، فأثبتوا بذلك مِثْلاً لله في الأزلية وكونه قديماً كقدمه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وأثبتوا لله سبحانه العلو والجهة اغتراراً ببعض الظواهر والأحاديث المستوردة ، فأبطلوا بذلك تنزيهه سبحانه وتعاليه عن مشابهة المخلوقات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فخالفوا رسالات السماء في موردين أصليّين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التوحيد ، بالقول بقدم القرآن</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التنزيه بإثبات الجهة والرؤية</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كَالَّتِي نَقَضَتْ غَزْلَها مِنْ بَعْدِ قُوَّةٍ أَنْكاثاً</w:t>
      </w:r>
      <w:r>
        <w:rPr>
          <w:rFonts w:eastAsia="Amiri" w:cs="Amiri" w:ascii="Amiri" w:hAnsi="Amiri"/>
          <w:color w:val="111111"/>
          <w:sz w:val="28"/>
          <w:szCs w:val="28"/>
          <w:rtl w:val="true"/>
          <w:lang w:bidi="ar-SA"/>
        </w:rPr>
        <w:t xml:space="preserve">). </w:t>
      </w:r>
      <w:r>
        <w:rPr>
          <w:rStyle w:val="FootnoteAnchor"/>
          <w:rtl w:val="true"/>
        </w:rPr>
        <w:footnoteReference w:id="246"/>
      </w:r>
      <w:bookmarkStart w:id="498" w:name="pg11047_102729"/>
    </w:p>
    <w:p>
      <w:pPr>
        <w:pStyle w:val="Heading3"/>
        <w:numPr>
          <w:ilvl w:val="2"/>
          <w:numId w:val="1"/>
        </w:numPr>
        <w:rPr/>
      </w:pPr>
      <w:bookmarkStart w:id="499" w:name="__RefHeading___Toc1391277_1067777946"/>
      <w:bookmarkStart w:id="500" w:name="_Toc188"/>
      <w:bookmarkEnd w:id="498"/>
      <w:bookmarkEnd w:id="499"/>
      <w:r>
        <w:rPr/>
        <w:t>4</w:t>
      </w:r>
      <w:r>
        <w:rPr>
          <w:rtl w:val="true"/>
        </w:rPr>
        <w:t xml:space="preserve">- </w:t>
      </w:r>
      <w:r>
        <w:rPr>
          <w:rtl w:val="true"/>
        </w:rPr>
        <w:t>موقف الذِّكر الحكيم من أمر الرؤية إجمالاً</w:t>
      </w:r>
      <w:bookmarkEnd w:id="500"/>
    </w:p>
    <w:p>
      <w:pPr>
        <w:pStyle w:val="BookText"/>
        <w:rPr/>
      </w:pPr>
      <w:r>
        <w:rPr>
          <w:rFonts w:ascii="Amiri" w:hAnsi="Amiri" w:eastAsia="Amiri" w:cs="Amiri"/>
          <w:color w:val="111111"/>
          <w:sz w:val="28"/>
          <w:sz w:val="28"/>
          <w:szCs w:val="28"/>
          <w:rtl w:val="true"/>
          <w:lang w:bidi="ar-SA"/>
        </w:rPr>
        <w:t xml:space="preserve">إنّ الذكر الحكيم يصف الله سبحانه بصفات تهدف جميعها إلى أنّه منزّه عن الجسم والجسمانية ، وأنّه ليس له مثل ولا نظير ، ولا ندّ ولا كفو ، وأنّه محيط بكل شيء ، ولا يحيطه شيء ، إلى غير ذلك من الصفات المنزّهة التي يقف عليها الباحث عند جمع الآيات الواردة في هذا المجال ، وبدورنا نشير إلى بعض منها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سبحانه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 السَّماواتِ وَالْأَرْضِ جَعَلَ لَكُمْ مِنْ أَنْفُسِكُمْ أَزْواجاً وَمِنَ الْأَنْعامِ أَزْواجاً يَذْرَؤُكُمْ فِيهِ لَيْسَ كَمِثْلِهِ شَيْءٌ وَهُوَ السَّمِيعُ الْبَصِيرُ</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يَلِدْ وَلَمْ يُولَدْ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لَهُ كُفُواً أَحَدٌ</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الْأَوَّلُ وَالْآخِرُ وَالظَّاهِرُ وَالْباطِنُ وَهُوَ بِكُلِّ شَيْءٍ عَلِيمٌ</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خَلَقَ السَّماواتِ وَالْأَرْضَ فِي سِتَّةِ أَيَّامٍ ثُمَّ اسْتَوى عَلَى الْعَرْشِ </w:t>
      </w:r>
    </w:p>
    <w:p>
      <w:pPr>
        <w:pStyle w:val="BookText"/>
        <w:rPr/>
      </w:pPr>
      <w:r>
        <w:rPr>
          <w:rFonts w:ascii="Amiri" w:hAnsi="Amiri" w:eastAsia="Amiri" w:cs="Amiri"/>
          <w:color w:val="111111"/>
          <w:sz w:val="28"/>
          <w:sz w:val="28"/>
          <w:szCs w:val="28"/>
          <w:rtl w:val="true"/>
          <w:lang w:bidi="ar-SA"/>
        </w:rPr>
        <w:t>يَعْلَمُ ما يَلِجُ فِي الْأَرْضِ وَما يَخْرُجُ مِنْها وَما يَنْزِلُ مِنَ السَّماءِ وَما يَعْرُجُ فِيها وَهُوَ مَعَكُمْ أَيْنَ ما كُنْتُمْ وَاللهُ بِما تَعْمَلُونَ بَصِيرٌ</w:t>
      </w:r>
      <w:r>
        <w:rPr>
          <w:rFonts w:eastAsia="Amiri" w:cs="Amiri" w:ascii="Amiri" w:hAnsi="Amiri"/>
          <w:color w:val="111111"/>
          <w:sz w:val="28"/>
          <w:szCs w:val="28"/>
          <w:rtl w:val="true"/>
          <w:lang w:bidi="ar-SA"/>
        </w:rPr>
        <w:t xml:space="preserve">). </w:t>
      </w:r>
      <w:r>
        <w:rPr>
          <w:rStyle w:val="FootnoteAnchor"/>
          <w:rtl w:val="true"/>
        </w:rPr>
        <w:footnoteReference w:id="25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 الَّذِي لا إِلهَ إِلاَّ هُوَ الْمَلِكُ الْقُدُّوسُ السَّلامُ الْمُؤْمِنُ الْمُهَيْمِنُ الْعَزِيزُ الْجَبَّارُ الْمُتَكَبِّرُ سُبْحانَ اللهِ عَمَّا يُشْرِكُونَ</w:t>
      </w:r>
      <w:r>
        <w:rPr>
          <w:rFonts w:eastAsia="Amiri" w:cs="Amiri" w:ascii="Amiri" w:hAnsi="Amiri"/>
          <w:color w:val="111111"/>
          <w:sz w:val="28"/>
          <w:szCs w:val="28"/>
          <w:rtl w:val="true"/>
          <w:lang w:bidi="ar-SA"/>
        </w:rPr>
        <w:t xml:space="preserve">). </w:t>
      </w:r>
      <w:r>
        <w:rPr>
          <w:rStyle w:val="FootnoteAnchor"/>
          <w:rtl w:val="true"/>
        </w:rPr>
        <w:footnoteReference w:id="25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 الْخالِقُ الْبارِئُ الْمُصَوِّرُ لَهُ الْأَسْماءُ الْحُسْنى يُسَبِّحُ لَهُ ما فِي السَّماواتِ وَالْأَرْضِ وَهُوَ الْعَزِيزُ الْحَكِيمُ</w:t>
      </w:r>
      <w:r>
        <w:rPr>
          <w:rFonts w:eastAsia="Amiri" w:cs="Amiri" w:ascii="Amiri" w:hAnsi="Amiri"/>
          <w:color w:val="111111"/>
          <w:sz w:val="28"/>
          <w:szCs w:val="28"/>
          <w:rtl w:val="true"/>
          <w:lang w:bidi="ar-SA"/>
        </w:rPr>
        <w:t xml:space="preserve">). </w:t>
      </w:r>
      <w:r>
        <w:rPr>
          <w:rStyle w:val="FootnoteAnchor"/>
          <w:rtl w:val="true"/>
        </w:rPr>
        <w:footnoteReference w:id="25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يَكُونُ مِنْ نَجْوى ثَلاثَةٍ إِلاَّ هُوَ رابِعُهُمْ وَلا خَمْسَةٍ إِلاَّ هُوَ سادِسُهُمْ وَلا أَدْنى مِنْ ذلِكَ وَلا أَكْثَرَ إِلاَّ هُوَ مَعَهُمْ أَيْنَ ما كانُوا ثُمَّ يُنَبِّئُهُمْ بِما عَمِلُوا يَوْمَ الْقِيامَةِ إِنَّ اللهَ بِكُلِّ شَيْءٍ عَلِيمٌ</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إِنَّهُمْ فِي مِرْيَةٍ مِنْ لِقاءِ رَبِّهِمْ أَلا إِنَّهُ بِكُلِّ شَيْءٍ مُحِيطٌ</w:t>
      </w:r>
      <w:r>
        <w:rPr>
          <w:rFonts w:eastAsia="Amiri" w:cs="Amiri" w:ascii="Amiri" w:hAnsi="Amiri"/>
          <w:color w:val="111111"/>
          <w:sz w:val="28"/>
          <w:szCs w:val="28"/>
          <w:rtl w:val="true"/>
          <w:lang w:bidi="ar-SA"/>
        </w:rPr>
        <w:t xml:space="preserve">). </w:t>
      </w:r>
      <w:r>
        <w:rPr>
          <w:rStyle w:val="FootnoteAnchor"/>
          <w:rtl w:val="true"/>
        </w:rPr>
        <w:footnoteReference w:id="254"/>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لا إِلهَ إِلاَّ هُوَ الْحَيُّ الْقَيُّومُ لا تَأْخُذُهُ سِنَةٌ وَلا نَوْمٌ لَهُ ما فِي السَّماواتِ وَما فِي الْأَرْضِ مَنْ ذَا الَّذِي يَشْفَعُ عِنْدَهُ إِلاَّ بِإِذْنِهِ يَعْلَمُ ما بَيْنَ أَيْدِيهِمْ وَما خَلْفَهُمْ وَلا يُحِيطُونَ بِشَيْءٍ مِنْ عِلْمِهِ إِلاَّ بِما شاءَ وَسِعَ كُرْسِيُّهُ السَّماواتِ وَالْأَرْضَ وَلا يَؤُدُهُ حِفْظُهُما وَهُوَ الْعَلِيُّ الْعَظِيمُ</w:t>
      </w:r>
      <w:r>
        <w:rPr>
          <w:rFonts w:eastAsia="Amiri" w:cs="Amiri" w:ascii="Amiri" w:hAnsi="Amiri"/>
          <w:color w:val="111111"/>
          <w:sz w:val="28"/>
          <w:szCs w:val="28"/>
          <w:rtl w:val="true"/>
          <w:lang w:bidi="ar-SA"/>
        </w:rPr>
        <w:t xml:space="preserve">). </w:t>
      </w:r>
      <w:r>
        <w:rPr>
          <w:rStyle w:val="FootnoteAnchor"/>
          <w:rtl w:val="true"/>
        </w:rPr>
        <w:footnoteReference w:id="255"/>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تُدْرِكُهُ الْأَبْصارُ وَهُوَ يُدْرِكُ الْأَبْصارَ وَهُوَ اللَّطِيفُ الْخَبِيرُ</w:t>
      </w:r>
      <w:r>
        <w:rPr>
          <w:rFonts w:eastAsia="Amiri" w:cs="Amiri" w:ascii="Amiri" w:hAnsi="Amiri"/>
          <w:color w:val="111111"/>
          <w:sz w:val="28"/>
          <w:szCs w:val="28"/>
          <w:rtl w:val="true"/>
          <w:lang w:bidi="ar-SA"/>
        </w:rPr>
        <w:t xml:space="preserve">). </w:t>
      </w:r>
      <w:r>
        <w:rPr>
          <w:rStyle w:val="FootnoteAnchor"/>
          <w:rtl w:val="true"/>
        </w:rPr>
        <w:footnoteReference w:id="256"/>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وحصيلة هذه الآيات أنّه لا يوجد في صفحة الوجود له مثل ، وهو أحد لا كفو له ، لم يلد ولم يولد بل هو أزليّ ، فبما أنّه أزليّ الوجود ، فوجوده قبل كل شيء أي </w:t>
      </w:r>
    </w:p>
    <w:p>
      <w:pPr>
        <w:pStyle w:val="BookText"/>
        <w:rPr/>
      </w:pPr>
      <w:r>
        <w:rPr>
          <w:rFonts w:ascii="Amiri" w:hAnsi="Amiri" w:eastAsia="Amiri" w:cs="Amiri"/>
          <w:color w:val="111111"/>
          <w:sz w:val="28"/>
          <w:sz w:val="28"/>
          <w:szCs w:val="28"/>
          <w:rtl w:val="true"/>
          <w:lang w:bidi="ar-SA"/>
        </w:rPr>
        <w:t>لا وجود قبله ، وبما أنّه أبديّ الوجود فهو آخر كل شيء إذ لا وجود بعده ، وبما أنّه خالق السماوات والأرض فالكون قائم بوجوده فهو باطن كل شيء ، كما أنّ النظام البديع دليل على وجوده فهو ظاهر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يحويه مكان لأنّه خالق السماوات والأرض وخالق الكون والمكان ، فكانَ قبل أن يكون أيّ مكان ، وبما أنّ العالم دقيقه وجليله ، فقير محتاج إليه قائم به ، فهو مع الأشياء معيّة قيومية لا معيّة مكانية ، ومع الإنسان أينما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من نجوى ثلاثة إلاّ هو رابعهم ولا خمسة إلاّ هو سادسهم ، ولا أدنى من ذلك ولا أكثر إلاّ هو معهم أينما كانوا وذلك مقتضى كونه قيّوماً وما سواه قائماً به ، ولا يمكن للقيوم الغيبوبة عمّا قام به ، وفي النهاية هو محيط بكل شيء لا يحيطه شيء ، فقد أحاط كرسيّه السماوات والأرض ، فالجميع محاط وهو محيط ، ومن كان بهذه المنزلة لا تدركه الأبصار الصغيرة الضعيفة ولا يقع في أُفقها ولكنّه لكونه محيطاً ، يدرك الأبصار</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صفاته سبحانه في القرآن ذكرناها على وجه الإيجاز وأوردناها بلا 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ثبت في محله أنّ من سمات العقيدة الإسلامية كونها عقيدة سهلة لا إبهام فيها ولا لغز فلو وجدنا شيئاً في السنّة أو غيرها يصطدم بهذه الصفات فيحكم عليه بالتأويل إن صحّ السند ، أو بالضرب عرض الجدار إن لم يصح ، فمن تلا هذه الآيات وتدبّر فيها ، يحكم بأنّه سبحانه فوق أن يقع في وهم الإنسان وفكره ومجال بصره وعينه ؛ وعند ذلك لو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جاء في الأثر أنّكم سترون ربّكم يوم القيامة كما ترون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تضامون في رؤيته </w:t>
      </w:r>
      <w:r>
        <w:rPr>
          <w:rStyle w:val="FootnoteAnchor"/>
          <w:rtl w:val="true"/>
        </w:rPr>
        <w:footnoteReference w:id="257"/>
      </w:r>
      <w:r>
        <w:rPr>
          <w:rFonts w:ascii="Amiri" w:hAnsi="Amiri" w:eastAsia="Amiri" w:cs="Amiri"/>
          <w:color w:val="111111"/>
          <w:sz w:val="28"/>
          <w:sz w:val="28"/>
          <w:szCs w:val="28"/>
          <w:rtl w:val="true"/>
          <w:lang w:bidi="ar-SA"/>
        </w:rPr>
        <w:t xml:space="preserve">، يتلقّاه أمراً مناقضاً لما تلا من الآيات </w:t>
      </w:r>
    </w:p>
    <w:p>
      <w:pPr>
        <w:pStyle w:val="BookText"/>
        <w:rPr/>
      </w:pPr>
      <w:r>
        <w:rPr>
          <w:rFonts w:ascii="Amiri" w:hAnsi="Amiri" w:eastAsia="Amiri" w:cs="Amiri"/>
          <w:color w:val="111111"/>
          <w:sz w:val="28"/>
          <w:sz w:val="28"/>
          <w:szCs w:val="28"/>
          <w:rtl w:val="true"/>
          <w:lang w:bidi="ar-SA"/>
        </w:rPr>
        <w:t xml:space="preserve">أو استمع إليها ، ويحدث في نفسه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الخالق البارئ الذي هو ليس بجسم ولا جسماني ، لا يحويه مكان ، محيط بالسماوات والأرض كيف يُرى يوم القيامة كالبدر في جهة خاصة وناحية عالية مع أنّه كان ولا علو ولا جهة ، بل هو خالقهما؟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هذه الرؤية من وصفه سبحانه بأنّه لا يحويه مكان ولا يقع في جهة وهو محيط بكل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يكون التناقض بين الوصفين بأقل من التناقض الموجود في العقيدة النصرانية من أنّه سبحانه واحد وفي الوقت نفسه ثلاثة ، وكلّما حاول القائل بالرؤية الجمع بين العقيدتين ، لا يستطيع أن يرفع التعارض والاصطدام بين المعرفتين في أنظار المخاطبين بهذه الآيات والرواية ، ومن جرّد نفسه عن المجادلات الكلامية والمحاولات الفكرية للجمع بين المعرفتين يرى التعريفين متصادمين ، فأين القول بأنّه سبحانه بعيد عن الحسّ والمحسوسات ، منزّه عن الجهة والمكان ، محيط بعوالم الوجود ، وفي نفس الوقت تنزّله سبحانه منزلة الحسّ والمحسوسات ، واقعاً بمرأى ومنظر من الإنسان يراه ويبصره كما يبصر البدر ، يشاهده في أُفق 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تعرّفت على أنّ السهولة في العقيدة وخلوّها من الألغاز هو من سمات العقيدة الإسلامية ، فالجمع بين المعرفتين كجمع النصارى بين كونه سبحانه واحداً وثلاثاً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جانب ، ومن جانب آخر نرى أنّه سبحانه كلّما طرح مسألة الرؤية في القرآن الكريم فإنّما طرحها باستعظام من أن ينالها الإنسان ويتلقّى سؤالها وتمنّيها من الإنسان أمراً فظيعاً وقبيحاً وتطلّعاً إلى ما هو دونه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قُلْتُمْ يا مُوسى لَنْ نُؤْمِنَ لَكَ حَتَّى نَرَى اللهَ جَهْرَةً فَأَخَذَتْكُمُ الصَّاعِقَةُ وَأَنْتُمْ تَنْظُرُونَ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بَعَثْناكُمْ مِنْ بَعْدِ مَوْتِكُمْ لَعَلَّكُمْ</w:t>
      </w:r>
    </w:p>
    <w:p>
      <w:pPr>
        <w:pStyle w:val="BookText"/>
        <w:rPr/>
      </w:pPr>
      <w:r>
        <w:rPr>
          <w:rFonts w:ascii="Amiri" w:hAnsi="Amiri" w:eastAsia="Amiri" w:cs="Amiri"/>
          <w:color w:val="111111"/>
          <w:sz w:val="28"/>
          <w:sz w:val="28"/>
          <w:szCs w:val="28"/>
          <w:rtl w:val="true"/>
          <w:lang w:bidi="ar-SA"/>
        </w:rPr>
        <w:t>تَشْكُرُونَ</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يَسْئَلُكَ أَهْلُ الْكِتابِ أَنْ تُنَزِّلَ عَلَيْهِمْ كِتاباً مِنَ السَّماءِ فَقَدْ سَأَلُوا مُوسى أَكْبَرَ مِنْ ذلِكَ فَقالُوا أَرِنَا اللهَ جَهْرَةً فَأَخَذَتْهُمُ الصَّاعِقَةُ بِظُلْمِهِمْ ثُمَّ اتَّخَذُوا الْعِجْلَ مِنْ بَعْدِ ما جاءَتْهُمُ الْبَيِّناتُ فَعَفَوْنا عَنْ ذلِكَ وَآتَيْنا مُوسى سُلْطاناً مُبِيناً</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جاءَ مُوسى لِمِيقاتِنا وَكَلَّمَهُ رَبُّهُ قالَ رَبِّ أَرِنِي أَنْظُرْ إِلَيْكَ قالَ لَنْ تَرانِي وَلكِنِ انْظُرْ إِلَى الْجَبَلِ فَإِنِ اسْتَقَرَّ مَكانَهُ فَسَوْفَ تَرانِي فَلَمَّا تَجَلَّى رَبُّهُ لِلْجَبَلِ جَعَلَهُ دَكًّا وَخَرَّ مُوسى صَعِقاً فَلَمَّا أَفاقَ قالَ سُبْحانَكَ تُبْتُ إِلَيْكَ وَأَنَا أَوَّلُ الْمُؤْمِنِينَ</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وَاخْتارَ مُوسى قَوْمَهُ سَبْعِينَ رَجُلاً لِمِيقاتِنا فَلَمَّا أَخَذَتْهُمُ الرَّجْفَةُ قالَ رَبِّ لَوْ شِئْتَ أَهْلَكْتَهُمْ مِنْ قَبْلُ وَإِيَّايَ أَتُهْلِكُنا بِما فَعَلَ السُّفَهاءُ مِنَّا إِنْ هِيَ إِلاَّ فِتْنَتُكَ تُضِلُّ بِها مَنْ تَشاءُ وَتَهْدِي مَنْ تَشاءُ أَنْتَ وَلِيُّنا فَاغْفِرْ لَنا وَارْحَمْنا وَأَنْتَ خَيْرُ الْغافِرِينَ</w:t>
      </w:r>
      <w:r>
        <w:rPr>
          <w:rFonts w:eastAsia="Amiri" w:cs="Amiri" w:ascii="Amiri" w:hAnsi="Amiri"/>
          <w:color w:val="111111"/>
          <w:sz w:val="28"/>
          <w:szCs w:val="28"/>
          <w:rtl w:val="true"/>
          <w:lang w:bidi="ar-SA"/>
        </w:rPr>
        <w:t xml:space="preserve">). </w:t>
      </w:r>
      <w:r>
        <w:rPr>
          <w:rStyle w:val="FootnoteAnchor"/>
          <w:rtl w:val="true"/>
        </w:rPr>
        <w:footnoteReference w:id="261"/>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فالمتدبّر في هذه الآيات يقضي بأنّ القرآن الكريم يستعظم الرؤية ويستفظع سؤالها ويقبّحه ويعدّ الإنسان قاصراً عن أن ينالها على وجه ينزل العذاب غبَّ سؤالها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كانت الرؤية أمراً ممكناً ولو في وقت آخر لكان عليه سبحانه أن يتلطّف عليهم بأنّكم سترونه في الحياة الآخرة لا في الحياة الدنيا ، ولكنّا نرى أنّه سبحانه يقابلهم بنزول الصاعقة فيقتلهم ثم يحييهم بدعاء موسى ، كما أنّ موسى لمّا طلب الرؤية وأُجيب بالمنع ، تاب إلى الله سبحانه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أَوَّلُ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بأنّك </w:t>
      </w:r>
    </w:p>
    <w:p>
      <w:pPr>
        <w:pStyle w:val="BookText"/>
        <w:rPr/>
      </w:pPr>
      <w:r>
        <w:rPr>
          <w:rFonts w:ascii="Amiri" w:hAnsi="Amiri" w:eastAsia="Amiri" w:cs="Amiri"/>
          <w:color w:val="111111"/>
          <w:sz w:val="28"/>
          <w:sz w:val="28"/>
          <w:szCs w:val="28"/>
          <w:rtl w:val="true"/>
          <w:lang w:bidi="ar-SA"/>
        </w:rPr>
        <w:t>لا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الرؤية نعمة عظمى كما يدّعيها القوم ، فلا وجه لنزول العذاب عند طلبها ، غاية الأمر يجاب السائل بعدم الإمكان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فالإمعان بما ورد فيها من عتاب وتنديد ، بل وإماتة وإنزال عذاب يدلّ بوضوح على أنّ الرؤية فوق قابلية الإنسان ، وطلبه إليها أشبه بالتطلّع إلى أمر محال</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فعند ذلك لو قيل للمتدبّر بالآيات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روى قيس بن أبي حازم أنّه حدّثه جرير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علينا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البدر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سترون ربّكم يوم القيامة كما ترون هذا لا تضامون في رؤيته</w:t>
      </w:r>
      <w:r>
        <w:rPr>
          <w:rFonts w:eastAsia="Amiri" w:cs="Amiri" w:ascii="Amiri" w:hAnsi="Amiri"/>
          <w:color w:val="111111"/>
          <w:sz w:val="28"/>
          <w:szCs w:val="28"/>
          <w:rtl w:val="true"/>
          <w:lang w:bidi="ar-SA"/>
        </w:rPr>
        <w:t xml:space="preserve">» </w:t>
      </w:r>
      <w:r>
        <w:rPr>
          <w:rStyle w:val="FootnoteAnchor"/>
          <w:rtl w:val="true"/>
        </w:rPr>
        <w:footnoteReference w:id="262"/>
      </w:r>
      <w:r>
        <w:rPr>
          <w:rFonts w:ascii="Amiri" w:hAnsi="Amiri" w:eastAsia="Amiri" w:cs="Amiri"/>
          <w:color w:val="111111"/>
          <w:sz w:val="28"/>
          <w:sz w:val="28"/>
          <w:szCs w:val="28"/>
          <w:rtl w:val="true"/>
          <w:lang w:bidi="ar-SA"/>
        </w:rPr>
        <w:t>؛ يجد الحديث مناقضاً لما ورد في هذه الآيات ، ويحدِّث نفسه أنّه كيف صار الأمر الممتنع أمراً ممكناً ، والإنسان غير المؤهّل للرؤية مؤهّلاً لها؟</w:t>
      </w:r>
      <w:r>
        <w:rPr>
          <w:rFonts w:eastAsia="Amiri" w:cs="Amiri" w:ascii="Amiri" w:hAnsi="Amiri"/>
          <w:color w:val="111111"/>
          <w:sz w:val="28"/>
          <w:szCs w:val="28"/>
          <w:rtl w:val="true"/>
          <w:lang w:bidi="ar-SA"/>
        </w:rPr>
        <w:t xml:space="preserve">! </w:t>
      </w:r>
      <w:bookmarkStart w:id="501" w:name="pg11047_102735"/>
    </w:p>
    <w:p>
      <w:pPr>
        <w:pStyle w:val="Heading3"/>
        <w:numPr>
          <w:ilvl w:val="2"/>
          <w:numId w:val="1"/>
        </w:numPr>
        <w:rPr/>
      </w:pPr>
      <w:bookmarkStart w:id="502" w:name="__RefHeading___Toc1391279_1067777946"/>
      <w:bookmarkStart w:id="503" w:name="_Toc189"/>
      <w:bookmarkEnd w:id="501"/>
      <w:bookmarkEnd w:id="502"/>
      <w:r>
        <w:rPr/>
        <w:t>5</w:t>
      </w:r>
      <w:r>
        <w:rPr>
          <w:rtl w:val="true"/>
        </w:rPr>
        <w:t xml:space="preserve">- </w:t>
      </w:r>
      <w:r>
        <w:rPr>
          <w:rtl w:val="true"/>
        </w:rPr>
        <w:t>الرؤية في الذكر الحكيم تفصيلاً</w:t>
      </w:r>
      <w:bookmarkEnd w:id="503"/>
    </w:p>
    <w:p>
      <w:pPr>
        <w:pStyle w:val="Heading4"/>
        <w:numPr>
          <w:ilvl w:val="3"/>
          <w:numId w:val="1"/>
        </w:numPr>
        <w:rPr/>
      </w:pPr>
      <w:bookmarkStart w:id="504" w:name="__RefHeading___Toc1391281_1067777946"/>
      <w:bookmarkStart w:id="505" w:name="_Toc190"/>
      <w:bookmarkEnd w:id="504"/>
      <w:r>
        <w:rPr>
          <w:rtl w:val="true"/>
        </w:rPr>
        <w:t xml:space="preserve">الآية الأُولى </w:t>
      </w:r>
      <w:r>
        <w:rPr>
          <w:rtl w:val="true"/>
        </w:rPr>
        <w:t xml:space="preserve">: </w:t>
      </w:r>
      <w:r>
        <w:rPr>
          <w:rtl w:val="true"/>
        </w:rPr>
        <w:t>عدم قدرة الأبصار على إدراكه</w:t>
      </w:r>
      <w:bookmarkEnd w:id="505"/>
    </w:p>
    <w:p>
      <w:pPr>
        <w:pStyle w:val="Heading5"/>
        <w:numPr>
          <w:ilvl w:val="4"/>
          <w:numId w:val="1"/>
        </w:numPr>
        <w:rPr/>
      </w:pPr>
      <w:bookmarkStart w:id="506" w:name="__RefHeading___Toc1391283_1067777946"/>
      <w:bookmarkStart w:id="507" w:name="_Toc191"/>
      <w:bookmarkEnd w:id="506"/>
      <w:r>
        <w:rPr>
          <w:rtl w:val="true"/>
        </w:rPr>
        <w:t>اشارة</w:t>
      </w:r>
      <w:bookmarkEnd w:id="507"/>
    </w:p>
    <w:p>
      <w:pPr>
        <w:pStyle w:val="BookText"/>
        <w:rPr/>
      </w:pPr>
      <w:r>
        <w:rPr>
          <w:rFonts w:ascii="Amiri" w:hAnsi="Amiri" w:eastAsia="Amiri" w:cs="Amiri"/>
          <w:color w:val="111111"/>
          <w:sz w:val="28"/>
          <w:sz w:val="28"/>
          <w:szCs w:val="28"/>
          <w:rtl w:val="true"/>
          <w:lang w:bidi="ar-SA"/>
        </w:rPr>
        <w:t>قد عرفت تعبير الكتاب عن الرؤية إجمالاً ، وانّه يعد طلب الرؤية وسؤالها أمراً فظيعاً قبيحاً موجباً لنزول الصاعقة والعذاب ، فالآيات السابقة وضّحت موقف الكتاب من هذه المسألة لكن على وجه الإجمال ، غير أنّا إذا استنطقنا ما سبق من الآيات ، نقف على قضاء الكتاب في أمر الرؤية على وجه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عقدنا هذا الفصل لدراسة بعض ما سبق حتّى نتأكد ممّا فهمنا من الكتاب العزيز ، وإليك البيان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ذلِكُمُ اللهُ رَبُّكُمْ لا إِلهَ إِلاَّ هُوَ خالِقُ كُلِّ شَيْءٍ فَاعْبُدُوهُ وَهُوَ عَلى كُلِّ شَيْءٍ وَكِيلٌ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تُدْرِكُهُ الْأَبْصارُ وَهُوَ يُدْرِكُ الْأَبْصارَ وَهُوَ اللَّطِيفُ الْخَبِيرُ</w:t>
      </w:r>
      <w:r>
        <w:rPr>
          <w:rFonts w:eastAsia="Amiri" w:cs="Amiri" w:ascii="Amiri" w:hAnsi="Amiri"/>
          <w:color w:val="111111"/>
          <w:sz w:val="28"/>
          <w:szCs w:val="28"/>
          <w:rtl w:val="true"/>
          <w:lang w:bidi="ar-SA"/>
        </w:rPr>
        <w:t xml:space="preserve">). </w:t>
      </w:r>
      <w:r>
        <w:rPr>
          <w:rStyle w:val="FootnoteAnchor"/>
          <w:rtl w:val="true"/>
        </w:rPr>
        <w:footnoteReference w:id="263"/>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تقرير الاستدلال يتم في مرحلتين </w:t>
      </w:r>
      <w:r>
        <w:rPr>
          <w:rFonts w:eastAsia="Amiri" w:cs="Amiri" w:ascii="Amiri" w:hAnsi="Amiri"/>
          <w:color w:val="111111"/>
          <w:sz w:val="28"/>
          <w:szCs w:val="28"/>
          <w:rtl w:val="true"/>
          <w:lang w:bidi="ar-SA"/>
        </w:rPr>
        <w:t xml:space="preserve">: </w:t>
      </w:r>
      <w:bookmarkStart w:id="508" w:name="pg11047_102736"/>
    </w:p>
    <w:p>
      <w:pPr>
        <w:pStyle w:val="Heading5"/>
        <w:numPr>
          <w:ilvl w:val="4"/>
          <w:numId w:val="1"/>
        </w:numPr>
        <w:rPr/>
      </w:pPr>
      <w:bookmarkStart w:id="509" w:name="__RefHeading___Toc1391285_1067777946"/>
      <w:bookmarkStart w:id="510" w:name="_Toc192"/>
      <w:bookmarkEnd w:id="508"/>
      <w:bookmarkEnd w:id="509"/>
      <w:r>
        <w:rPr>
          <w:rtl w:val="true"/>
        </w:rPr>
        <w:t xml:space="preserve">المرحلة الأُولى </w:t>
      </w:r>
      <w:r>
        <w:rPr>
          <w:rtl w:val="true"/>
        </w:rPr>
        <w:t xml:space="preserve">: </w:t>
      </w:r>
      <w:r>
        <w:rPr>
          <w:rtl w:val="true"/>
        </w:rPr>
        <w:t>في بيان مفهوم الدرك</w:t>
      </w:r>
      <w:bookmarkEnd w:id="510"/>
    </w:p>
    <w:p>
      <w:pPr>
        <w:pStyle w:val="BookText"/>
        <w:rPr/>
      </w:pPr>
      <w:r>
        <w:rPr>
          <w:rFonts w:ascii="Amiri" w:hAnsi="Amiri" w:eastAsia="Amiri" w:cs="Amiri"/>
          <w:color w:val="111111"/>
          <w:sz w:val="28"/>
          <w:sz w:val="28"/>
          <w:szCs w:val="28"/>
          <w:rtl w:val="true"/>
          <w:lang w:bidi="ar-SA"/>
        </w:rPr>
        <w:t xml:space="preserve">الدرك 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اللحوق والوصول وليس بمعنى الرؤية ، ولو أريد منه الرؤية فإنّما هو باعتبار قرينية المتعلّق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الدرك له أصل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معنى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لحوق الشيء بالشيء ووصوله إليه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 الغلام والجارية إذا بلغا ، وتدارك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لحق آخرهم أوّلهم</w:t>
      </w:r>
      <w:r>
        <w:rPr>
          <w:rFonts w:eastAsia="Amiri" w:cs="Amiri" w:ascii="Amiri" w:hAnsi="Amiri"/>
          <w:color w:val="111111"/>
          <w:sz w:val="28"/>
          <w:szCs w:val="28"/>
          <w:rtl w:val="true"/>
          <w:lang w:bidi="ar-SA"/>
        </w:rPr>
        <w:t xml:space="preserve">. </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 xml:space="preserve">وذكر ابن منظور نحو ما ذكره ابن فارس وأضاف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الحديث أعوذ بك من درك الشقاء أي لحوقه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مشيت حتّى أدركته ، وعشت حتّى أدركته ، وأدركته ببصري أي رأيته</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 xml:space="preserve">ومنه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أَدْرَكَهُ الْغَرَقُ قالَ آمَنْتُ أَنَّهُ لا إِلهَ إِلاَّ الَّذِي آمَنَتْ بِهِ بَنُوا إِسْرائِيلَ</w:t>
      </w:r>
      <w:r>
        <w:rPr>
          <w:rFonts w:eastAsia="Amiri" w:cs="Amiri" w:ascii="Amiri" w:hAnsi="Amiri"/>
          <w:color w:val="111111"/>
          <w:sz w:val="28"/>
          <w:szCs w:val="28"/>
          <w:rtl w:val="true"/>
          <w:lang w:bidi="ar-SA"/>
        </w:rPr>
        <w:t xml:space="preserve">). </w:t>
      </w:r>
      <w:r>
        <w:rPr>
          <w:rStyle w:val="FootnoteAnchor"/>
          <w:rtl w:val="true"/>
        </w:rPr>
        <w:footnoteReference w:id="266"/>
      </w:r>
      <w:r>
        <w:rPr>
          <w:rFonts w:ascii="Amiri" w:hAnsi="Amiri" w:eastAsia="Amiri" w:cs="Amiri"/>
          <w:color w:val="111111"/>
          <w:sz w:val="28"/>
          <w:sz w:val="28"/>
          <w:szCs w:val="28"/>
          <w:rtl w:val="true"/>
          <w:lang w:bidi="ar-SA"/>
        </w:rPr>
        <w:t>أي حتّى إذا لحقهم الغرق فأظهروا الإيمان ولات حين مناص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الدرك بمعنى اللحوق والوصول فدرك كلّ شيء ووصوله بحسبه ، فالإدراك بالبصر ، التحاق من الرائي بالمرئي بالبصر ، والإدراك بالمشي كما في قول ابن منظور مشيت حتى أدركت ، التحاق الماشي المتأخر بالمتقدّم بالمشي ، وهكذا</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يتعيّن ذلك المعنى الكلّي ، أي اللحوق والوصول بالرؤية ، ويكون المعنى انّ الأبصار لا تلحق بالله بالرؤية ، فإنّ لحوق البصر يتحقّق عن طريق الرؤية ، وهذا الوصف ممّا تفرّد به سبحانه</w:t>
      </w:r>
      <w:r>
        <w:rPr>
          <w:rFonts w:eastAsia="Amiri" w:cs="Amiri" w:ascii="Amiri" w:hAnsi="Amiri"/>
          <w:color w:val="111111"/>
          <w:sz w:val="28"/>
          <w:szCs w:val="28"/>
          <w:rtl w:val="true"/>
          <w:lang w:bidi="ar-SA"/>
        </w:rPr>
        <w:t xml:space="preserve">. </w:t>
      </w:r>
      <w:bookmarkStart w:id="511" w:name="pg11047_102737"/>
    </w:p>
    <w:p>
      <w:pPr>
        <w:pStyle w:val="Heading5"/>
        <w:numPr>
          <w:ilvl w:val="4"/>
          <w:numId w:val="1"/>
        </w:numPr>
        <w:rPr/>
      </w:pPr>
      <w:bookmarkStart w:id="512" w:name="__RefHeading___Toc1391287_1067777946"/>
      <w:bookmarkStart w:id="513" w:name="_Toc193"/>
      <w:bookmarkEnd w:id="511"/>
      <w:bookmarkEnd w:id="512"/>
      <w:r>
        <w:rPr>
          <w:rtl w:val="true"/>
        </w:rPr>
        <w:t xml:space="preserve">الثانية </w:t>
      </w:r>
      <w:r>
        <w:rPr>
          <w:rtl w:val="true"/>
        </w:rPr>
        <w:t xml:space="preserve">: </w:t>
      </w:r>
      <w:r>
        <w:rPr>
          <w:rtl w:val="true"/>
        </w:rPr>
        <w:t>في مفهوم الآيتين</w:t>
      </w:r>
      <w:bookmarkEnd w:id="513"/>
    </w:p>
    <w:p>
      <w:pPr>
        <w:pStyle w:val="BookText"/>
        <w:rPr/>
      </w:pPr>
      <w:r>
        <w:rPr>
          <w:rFonts w:ascii="Amiri" w:hAnsi="Amiri" w:eastAsia="Amiri" w:cs="Amiri"/>
          <w:color w:val="111111"/>
          <w:sz w:val="28"/>
          <w:sz w:val="28"/>
          <w:szCs w:val="28"/>
          <w:rtl w:val="true"/>
          <w:lang w:bidi="ar-SA"/>
        </w:rPr>
        <w:t xml:space="preserve">إنّه سبحانه لما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عَلى كُلِّ شَيْءٍ 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يتبادر إلى بعض الأذهان انّه إذا صار وكيلاً على كلّ شيء ، يكون جسماً قائماً بتدبير الأُمور الجسمانية ، فدفعه بأنّه سبحانه مع كونه وكيلاً لكلّ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تُدْرِكُهُ 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يتبادر من ذلك الوصف إلى بعض الأذهان انّه إذا تعالى عن تعلّق الابصار فقد خرج عن حيطة الأشياء الخارجية وبطل الربط الوجودي الذي هو مناط علمه بمخلوقاته ، دفعه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يُدْرِكُ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مشيراً إلى وجود الربط الذي هو مناط علمه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علّله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اللَّطِيفُ 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الرقيق النافذ في الشيء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 الخبرة الكاملة ، فإذا كان تعالى محيطاً بكلّ شيء لرقته ونفوذه في الأشياء كان شاهداً على كلّ شيء لا يفقده ظاهر كلّ شيء وباطنه ، ومع ذلك فهو عالم بظواهر الأشياء وبواطنها من غير أن يشغله شيء عن شيء أو يحتجب عنه شيء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الأشياء في مقام التصوّر على أصناف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يَرى ويُرى ، كالإنسان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لا يَرى ولا يُرى ، كالأعراض النسبية كالأُبوّة والبنوة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يُرى ولا يَرى كالجمادات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يَرى ولا يُرى ، وهذا القسم تفرّد به خالق جميع الموجودات بأنّه يَرى ولا يُرى ، والآية بصدد مدحه وثنائه ، بأنّه جمع بين الأمرين يَرى ولا يُرى إلاّ بالشقّ </w:t>
      </w:r>
      <w:bookmarkStart w:id="514" w:name="pg11047_102738"/>
    </w:p>
    <w:p>
      <w:pPr>
        <w:pStyle w:val="BookText"/>
        <w:rPr/>
      </w:pPr>
      <w:bookmarkEnd w:id="514"/>
      <w:r>
        <w:rPr>
          <w:rFonts w:ascii="Amiri" w:hAnsi="Amiri" w:eastAsia="Amiri" w:cs="Amiri"/>
          <w:color w:val="111111"/>
          <w:sz w:val="28"/>
          <w:sz w:val="28"/>
          <w:szCs w:val="28"/>
          <w:rtl w:val="true"/>
          <w:lang w:bidi="ar-SA"/>
        </w:rPr>
        <w:t xml:space="preserve">الأوّل وحده نظير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 السَّماواتِ وَالْأَرْضِ وَهُوَ يُطْعِمُ وَلا يُطْعَمُ</w:t>
      </w:r>
      <w:r>
        <w:rPr>
          <w:rFonts w:eastAsia="Amiri" w:cs="Amiri" w:ascii="Amiri" w:hAnsi="Amiri"/>
          <w:color w:val="111111"/>
          <w:sz w:val="28"/>
          <w:szCs w:val="28"/>
          <w:rtl w:val="true"/>
          <w:lang w:bidi="ar-SA"/>
        </w:rPr>
        <w:t xml:space="preserve">). </w:t>
      </w:r>
      <w:r>
        <w:rPr>
          <w:rStyle w:val="FootnoteAnchor"/>
          <w:rtl w:val="true"/>
        </w:rPr>
        <w:footnoteReference w:id="267"/>
      </w:r>
      <w:r>
        <w:rPr>
          <w:rFonts w:ascii="Amiri" w:hAnsi="Amiri" w:eastAsia="Amiri" w:cs="Amiri"/>
          <w:color w:val="111111"/>
          <w:sz w:val="28"/>
          <w:sz w:val="28"/>
          <w:szCs w:val="28"/>
          <w:rtl w:val="true"/>
          <w:lang w:bidi="ar-SA"/>
        </w:rPr>
        <w:t>ودلالة الآية على انّه سبحانه لا يُرى بالأبصار بمكان من الوضوح</w:t>
      </w:r>
      <w:r>
        <w:rPr>
          <w:rFonts w:eastAsia="Amiri" w:cs="Amiri" w:ascii="Amiri" w:hAnsi="Amiri"/>
          <w:color w:val="111111"/>
          <w:sz w:val="28"/>
          <w:szCs w:val="28"/>
          <w:rtl w:val="true"/>
          <w:lang w:bidi="ar-SA"/>
        </w:rPr>
        <w:t>.</w:t>
      </w:r>
    </w:p>
    <w:p>
      <w:pPr>
        <w:pStyle w:val="Heading4"/>
        <w:numPr>
          <w:ilvl w:val="3"/>
          <w:numId w:val="1"/>
        </w:numPr>
        <w:rPr/>
      </w:pPr>
      <w:bookmarkStart w:id="515" w:name="__RefHeading___Toc1391289_1067777946"/>
      <w:bookmarkStart w:id="516" w:name="_Toc194"/>
      <w:bookmarkEnd w:id="515"/>
      <w:r>
        <w:rPr>
          <w:rtl w:val="true"/>
        </w:rPr>
        <w:t xml:space="preserve">الآية الثانية </w:t>
      </w:r>
      <w:r>
        <w:rPr>
          <w:rtl w:val="true"/>
        </w:rPr>
        <w:t xml:space="preserve">: </w:t>
      </w:r>
      <w:r>
        <w:rPr>
          <w:rtl w:val="true"/>
        </w:rPr>
        <w:t>الرؤية إحاطة علمية بالله سبحانه</w:t>
      </w:r>
      <w:bookmarkEnd w:id="516"/>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يَوْمَئِذٍ لا تَنْفَعُ الشَّفاعَةُ إِلاَّ مَنْ أَذِنَ لَهُ الرَّحْمنُ وَرَضِيَ لَهُ 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ما بَيْنَ أَيْدِيهِمْ وَما خَلْفَهُمْ وَلا يُحِيطُونَ بِهِ عِلْماً</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 xml:space="preserve">إنّ الآية تتركب من جزءين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 ما بَيْنَ أَيْدِيهِمْ وَما خَلْفَهُمْ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يُحِيطُونَ بِهِ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والضمير المجرور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إلى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يحيط بهم لأنّه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 ما بَيْنَ أَيْدِيهِمْ وَما خَلْفَهُمْ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معادلاً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يُدْرِكُ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يُحِيطُونَ بِهِ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ويساوي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كيفية الاستدلال فبيانها انّ الرؤية سواء أوقعت على جميع الذات أم على جزء منه ، نوع إحاطة علمية من البشر به سبحانه ، وقد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يُحِيطُونَ بِهِ عِلْماً</w:t>
      </w:r>
      <w:r>
        <w:rPr>
          <w:rFonts w:eastAsia="Amiri" w:cs="Amiri" w:ascii="Amiri" w:hAnsi="Amiri"/>
          <w:color w:val="111111"/>
          <w:sz w:val="28"/>
          <w:szCs w:val="28"/>
          <w:rtl w:val="true"/>
          <w:lang w:bidi="ar-SA"/>
        </w:rPr>
        <w:t xml:space="preserve">). </w:t>
      </w:r>
      <w:bookmarkStart w:id="517" w:name="pg11047_102739"/>
    </w:p>
    <w:p>
      <w:pPr>
        <w:pStyle w:val="Heading4"/>
        <w:numPr>
          <w:ilvl w:val="3"/>
          <w:numId w:val="1"/>
        </w:numPr>
        <w:rPr/>
      </w:pPr>
      <w:bookmarkStart w:id="518" w:name="__RefHeading___Toc1391291_1067777946"/>
      <w:bookmarkStart w:id="519" w:name="_Toc195"/>
      <w:bookmarkEnd w:id="517"/>
      <w:bookmarkEnd w:id="518"/>
      <w:r>
        <w:rPr>
          <w:rtl w:val="true"/>
        </w:rPr>
        <w:t xml:space="preserve">الآية الثالثة </w:t>
      </w:r>
      <w:r>
        <w:rPr>
          <w:rtl w:val="true"/>
        </w:rPr>
        <w:t xml:space="preserve">: </w:t>
      </w:r>
      <w:r>
        <w:rPr>
          <w:rtl w:val="true"/>
        </w:rPr>
        <w:t>ردّ السؤال بنفي الرؤية مؤبّداً</w:t>
      </w:r>
      <w:bookmarkEnd w:id="519"/>
    </w:p>
    <w:p>
      <w:pPr>
        <w:pStyle w:val="Heading5"/>
        <w:numPr>
          <w:ilvl w:val="4"/>
          <w:numId w:val="1"/>
        </w:numPr>
        <w:rPr/>
      </w:pPr>
      <w:bookmarkStart w:id="520" w:name="__RefHeading___Toc1391293_1067777946"/>
      <w:bookmarkStart w:id="521" w:name="_Toc196"/>
      <w:bookmarkEnd w:id="520"/>
      <w:r>
        <w:rPr>
          <w:rtl w:val="true"/>
        </w:rPr>
        <w:t>اشارة</w:t>
      </w:r>
      <w:bookmarkEnd w:id="521"/>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جاءَ مُوسى لِمِيقاتِنا وَكَلَّمَهُ رَبُّهُ قالَ رَبِّ أَرِنِي أَنْظُرْ إِلَيْكَ قالَ لَنْ تَرانِي وَلكِنِ انْظُرْ إِلَى الْجَبَلِ فَإِنِ اسْتَقَرَّ مَكانَهُ فَسَوْفَ تَرانِي فَلَمَّا تَجَلَّى رَبُّهُ لِلْجَبَلِ جَعَلَهُ دَكًّا وَخَرَّ مُوسى صَعِقاً فَلَمَّا أَفاقَ قالَ سُبْحانَكَ تُبْتُ إِلَيْكَ وَأَنَا أَوَّلُ الْمُؤْمِنِينَ</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لا شكّ إنّنا إذا عرضنا الآية على عربي صميم لم يتأثّر ذهنه بالمناقشات الكلامية الدائرة بين النفاة والمثبتين وطلبنا منه أن يبيّن الإطار العام للآية ومفادها ومنحاها وانّها بصدد بيان امتناع الرؤية أو جوازها ، يجيب بصفاء ذهنه بأنّ الإطار العام لها هو تعاليه سبحانه عن الرؤية وانّ سؤاله أمر عظيم فظيع لا يمحى أثره إلاّ بالتوبة ، ففهم ذلك العربي حجة علينا لا يجوز لنا العدول عنها ، والقرآن نزل بلسان عربي مبين ولم ينزل بلسان المتكلّمين أو المجادلين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أنّا إذا أردنا أن نفسر مفاد الآية تفسيراً صناعياً ، فلا شكّ أنّه يدلّ أيضاً على تعاليه عنها وذلك بوجوه </w:t>
      </w:r>
      <w:r>
        <w:rPr>
          <w:rFonts w:eastAsia="Amiri" w:cs="Amiri" w:ascii="Amiri" w:hAnsi="Amiri"/>
          <w:color w:val="111111"/>
          <w:sz w:val="28"/>
          <w:szCs w:val="28"/>
          <w:rtl w:val="true"/>
          <w:lang w:bidi="ar-SA"/>
        </w:rPr>
        <w:t>:</w:t>
      </w:r>
    </w:p>
    <w:p>
      <w:pPr>
        <w:pStyle w:val="Heading5"/>
        <w:numPr>
          <w:ilvl w:val="4"/>
          <w:numId w:val="1"/>
        </w:numPr>
        <w:rPr/>
      </w:pPr>
      <w:bookmarkStart w:id="522" w:name="__RefHeading___Toc1391295_1067777946"/>
      <w:bookmarkStart w:id="523" w:name="_Toc197"/>
      <w:bookmarkEnd w:id="522"/>
      <w:r>
        <w:rPr/>
        <w:t>1</w:t>
      </w:r>
      <w:r>
        <w:rPr>
          <w:rtl w:val="true"/>
        </w:rPr>
        <w:t xml:space="preserve">. </w:t>
      </w:r>
      <w:r>
        <w:rPr>
          <w:rtl w:val="true"/>
        </w:rPr>
        <w:t>الإجابة بالنفي المؤبّد</w:t>
      </w:r>
      <w:bookmarkEnd w:id="523"/>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سأل موسى رؤية الله تبارك وتعالى أُجيب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والمتبادر من هذه الجملة أي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النفي الأبدي الدالّ على عدم تحقّقها أبداً</w:t>
      </w:r>
      <w:r>
        <w:rPr>
          <w:rFonts w:eastAsia="Amiri" w:cs="Amiri" w:ascii="Amiri" w:hAnsi="Amiri"/>
          <w:color w:val="111111"/>
          <w:sz w:val="28"/>
          <w:szCs w:val="28"/>
          <w:rtl w:val="true"/>
          <w:lang w:bidi="ar-SA"/>
        </w:rPr>
        <w:t xml:space="preserve">. </w:t>
      </w:r>
      <w:bookmarkStart w:id="524" w:name="pg11047_102740"/>
    </w:p>
    <w:p>
      <w:pPr>
        <w:pStyle w:val="BookText"/>
        <w:rPr/>
      </w:pPr>
      <w:bookmarkEnd w:id="524"/>
      <w:r>
        <w:rPr>
          <w:rFonts w:ascii="Amiri" w:hAnsi="Amiri" w:eastAsia="Amiri" w:cs="Amiri"/>
          <w:color w:val="111111"/>
          <w:sz w:val="28"/>
          <w:sz w:val="28"/>
          <w:szCs w:val="28"/>
          <w:rtl w:val="true"/>
          <w:lang w:bidi="ar-SA"/>
        </w:rPr>
        <w:t xml:space="preserve">والدليل على ذلك هو تتبّع موارد استعمال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الذكر الحكيم ، فلا تراها متخلّفة عن ذلك حتّى في مورد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تَدْعُونَ مِنْ دُونِ اللهِ لَنْ يَخْلُقُوا ذُباباً وَلَوِ اجْتَمَعُوا لَهُ</w:t>
      </w:r>
      <w:r>
        <w:rPr>
          <w:rFonts w:eastAsia="Amiri" w:cs="Amiri" w:ascii="Amiri" w:hAnsi="Amiri"/>
          <w:color w:val="111111"/>
          <w:sz w:val="28"/>
          <w:szCs w:val="28"/>
          <w:rtl w:val="true"/>
          <w:lang w:bidi="ar-SA"/>
        </w:rPr>
        <w:t xml:space="preserve">). </w:t>
      </w:r>
      <w:r>
        <w:rPr>
          <w:rStyle w:val="FootnoteAnchor"/>
          <w:rtl w:val="true"/>
        </w:rPr>
        <w:footnoteReference w:id="27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تَسْتَغْفِرْ لَهُمْ سَبْعِينَ مَرَّةً فَلَنْ يَغْفِرَ اللهُ لَهُمْ</w:t>
      </w:r>
      <w:r>
        <w:rPr>
          <w:rFonts w:eastAsia="Amiri" w:cs="Amiri" w:ascii="Amiri" w:hAnsi="Amiri"/>
          <w:color w:val="111111"/>
          <w:sz w:val="28"/>
          <w:szCs w:val="28"/>
          <w:rtl w:val="true"/>
          <w:lang w:bidi="ar-SA"/>
        </w:rPr>
        <w:t xml:space="preserve">). </w:t>
      </w:r>
      <w:r>
        <w:rPr>
          <w:rStyle w:val="FootnoteAnchor"/>
          <w:rtl w:val="true"/>
        </w:rPr>
        <w:footnoteReference w:id="27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كَفَرُوا وَصَدُّوا عَنْ سَبِيلِ اللهِ ثُمَّ ماتُوا وَهُمْ كُفَّارٌ فَلَنْ يَغْفِرَ اللهُ لَهُمْ</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عَلَيْهِمْ أَسْتَغْفَرْتَ لَهُمْ أَمْ لَمْ تَسْتَغْفِرْ لَهُمْ لَنْ يَغْفِرَ اللهُ لَهُمْ</w:t>
      </w:r>
      <w:r>
        <w:rPr>
          <w:rFonts w:eastAsia="Amiri" w:cs="Amiri" w:ascii="Amiri" w:hAnsi="Amiri"/>
          <w:color w:val="111111"/>
          <w:sz w:val="28"/>
          <w:szCs w:val="28"/>
          <w:rtl w:val="true"/>
          <w:lang w:bidi="ar-SA"/>
        </w:rPr>
        <w:t xml:space="preserve">). </w:t>
      </w:r>
      <w:r>
        <w:rPr>
          <w:rStyle w:val="FootnoteAnchor"/>
          <w:rtl w:val="true"/>
        </w:rPr>
        <w:footnoteReference w:id="27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تَرْضى عَنْكَ الْيَهُودُ وَلَا النَّصارى حَتَّى تَتَّبِعَ مِلَّتَهُمْ</w:t>
      </w:r>
      <w:r>
        <w:rPr>
          <w:rFonts w:eastAsia="Amiri" w:cs="Amiri" w:ascii="Amiri" w:hAnsi="Amiri"/>
          <w:color w:val="111111"/>
          <w:sz w:val="28"/>
          <w:szCs w:val="28"/>
          <w:rtl w:val="true"/>
          <w:lang w:bidi="ar-SA"/>
        </w:rPr>
        <w:t xml:space="preserve">). </w:t>
      </w:r>
      <w:r>
        <w:rPr>
          <w:rStyle w:val="FootnoteAnchor"/>
          <w:rtl w:val="true"/>
        </w:rPr>
        <w:footnoteReference w:id="27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رَجَعَكَ اللهُ إِلى طائِفَةٍ مِنْهُمْ فَاسْتَأْذَنُوكَ لِلْخُرُوجِ فَقُلْ لَنْ تَخْرُجُوا مَعِيَ أَبَداً وَلَنْ تُقاتِلُوا مَعِيَ عَدُوًّا</w:t>
      </w:r>
      <w:r>
        <w:rPr>
          <w:rFonts w:eastAsia="Amiri" w:cs="Amiri" w:ascii="Amiri" w:hAnsi="Amiri"/>
          <w:color w:val="111111"/>
          <w:sz w:val="28"/>
          <w:szCs w:val="28"/>
          <w:rtl w:val="true"/>
          <w:lang w:bidi="ar-SA"/>
        </w:rPr>
        <w:t xml:space="preserve">). </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 xml:space="preserve">إلى غير ذلك من الآيات الصريحة 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التأبيد</w:t>
      </w:r>
      <w:r>
        <w:rPr>
          <w:rFonts w:eastAsia="Amiri" w:cs="Amiri" w:ascii="Amiri" w:hAnsi="Amiri"/>
          <w:color w:val="111111"/>
          <w:sz w:val="28"/>
          <w:szCs w:val="28"/>
          <w:rtl w:val="true"/>
          <w:lang w:bidi="ar-SA"/>
        </w:rPr>
        <w:t>.</w:t>
      </w:r>
    </w:p>
    <w:p>
      <w:pPr>
        <w:pStyle w:val="Heading5"/>
        <w:numPr>
          <w:ilvl w:val="4"/>
          <w:numId w:val="1"/>
        </w:numPr>
        <w:rPr/>
      </w:pPr>
      <w:bookmarkStart w:id="525" w:name="__RefHeading___Toc1391297_1067777946"/>
      <w:bookmarkStart w:id="526" w:name="_Toc198"/>
      <w:bookmarkEnd w:id="525"/>
      <w:r>
        <w:rPr/>
        <w:t>2</w:t>
      </w:r>
      <w:r>
        <w:rPr>
          <w:rtl w:val="true"/>
        </w:rPr>
        <w:t xml:space="preserve">. </w:t>
      </w:r>
      <w:r>
        <w:rPr>
          <w:rtl w:val="true"/>
        </w:rPr>
        <w:t>تعليق الرؤية على أمر غير واقع</w:t>
      </w:r>
      <w:bookmarkEnd w:id="526"/>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علّق سبحانه الرؤية على استقرار الجبل وبقائه على الحالة التي هو عليها عند التجلّي ، وعدم تحوّله إلى ذرات ترابية صغار بعده ، والمفروض انّه لم يبق على حالته السابقة وبطلت هويته وصار تراباً مدكوكاً ، فإذا انتفى المعلّق عليه ينتفي </w:t>
      </w:r>
      <w:bookmarkStart w:id="527" w:name="pg11047_102741"/>
    </w:p>
    <w:p>
      <w:pPr>
        <w:pStyle w:val="BookText"/>
        <w:rPr/>
      </w:pPr>
      <w:bookmarkEnd w:id="527"/>
      <w:r>
        <w:rPr>
          <w:rFonts w:ascii="Amiri" w:hAnsi="Amiri" w:eastAsia="Amiri" w:cs="Amiri"/>
          <w:color w:val="111111"/>
          <w:sz w:val="28"/>
          <w:sz w:val="28"/>
          <w:szCs w:val="28"/>
          <w:rtl w:val="true"/>
          <w:lang w:bidi="ar-SA"/>
        </w:rPr>
        <w:t xml:space="preserve">المعلّق ، وهذا النوع من الكلام طريقة معروفة حيث يعلّقون وجود الشيء بما يعلم أنّه لا يكون والله سبحانه بما أنّه يعلم أنّ الجبل لا يستقرّ في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فيعلّق الرؤية على استقراره ، حتّى يستدلّ بانتفائه على انتفائه ،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يَدْخُلُونَ الْجَنَّةَ حَتَّى يَلِجَ الْجَمَلُ فِي سَمِّ الْخِياطِ</w:t>
      </w:r>
      <w:r>
        <w:rPr>
          <w:rFonts w:eastAsia="Amiri" w:cs="Amiri" w:ascii="Amiri" w:hAnsi="Amiri"/>
          <w:color w:val="111111"/>
          <w:sz w:val="28"/>
          <w:szCs w:val="28"/>
          <w:rtl w:val="true"/>
          <w:lang w:bidi="ar-SA"/>
        </w:rPr>
        <w:t xml:space="preserve">). </w:t>
      </w:r>
      <w:r>
        <w:rPr>
          <w:rStyle w:val="FootnoteAnchor"/>
          <w:rtl w:val="true"/>
        </w:rPr>
        <w:footnoteReference w:id="276"/>
      </w:r>
    </w:p>
    <w:p>
      <w:pPr>
        <w:pStyle w:val="Heading5"/>
        <w:numPr>
          <w:ilvl w:val="4"/>
          <w:numId w:val="1"/>
        </w:numPr>
        <w:rPr/>
      </w:pPr>
      <w:bookmarkStart w:id="528" w:name="__RefHeading___Toc1391299_1067777946"/>
      <w:bookmarkStart w:id="529" w:name="_Toc199"/>
      <w:bookmarkEnd w:id="528"/>
      <w:r>
        <w:rPr/>
        <w:t>3</w:t>
      </w:r>
      <w:r>
        <w:rPr>
          <w:rtl w:val="true"/>
        </w:rPr>
        <w:t xml:space="preserve">. </w:t>
      </w:r>
      <w:r>
        <w:rPr>
          <w:rtl w:val="true"/>
        </w:rPr>
        <w:t xml:space="preserve">تنزيهه سبحانه </w:t>
      </w:r>
      <w:r>
        <w:rPr>
          <w:rtl w:val="true"/>
        </w:rPr>
        <w:t xml:space="preserve">- </w:t>
      </w:r>
      <w:r>
        <w:rPr>
          <w:rtl w:val="true"/>
        </w:rPr>
        <w:t xml:space="preserve">بعد الافاقة </w:t>
      </w:r>
      <w:r>
        <w:rPr>
          <w:rtl w:val="true"/>
        </w:rPr>
        <w:t xml:space="preserve">- </w:t>
      </w:r>
      <w:r>
        <w:rPr>
          <w:rtl w:val="true"/>
        </w:rPr>
        <w:t>عن الرؤية</w:t>
      </w:r>
      <w:bookmarkEnd w:id="529"/>
    </w:p>
    <w:p>
      <w:pPr>
        <w:pStyle w:val="BookText"/>
        <w:rPr/>
      </w:pPr>
      <w:r>
        <w:rPr>
          <w:rFonts w:ascii="Amiri" w:hAnsi="Amiri" w:eastAsia="Amiri" w:cs="Amiri"/>
          <w:color w:val="111111"/>
          <w:sz w:val="28"/>
          <w:sz w:val="28"/>
          <w:szCs w:val="28"/>
          <w:rtl w:val="true"/>
          <w:lang w:bidi="ar-SA"/>
        </w:rPr>
        <w:t xml:space="preserve">تذكر الآية بأنّ موسى لما أفاق فأوّل ما تكلّم به هو تسبيحه سبحانه وتنزيهه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وذلك لأنّ الرؤية لا تنفك عن الجهة والجسمية وغيرهما من النقائص ، فنزّه سبحانه عنها ، فطلبها نوع تصديق لها</w:t>
      </w:r>
      <w:r>
        <w:rPr>
          <w:rFonts w:eastAsia="Amiri" w:cs="Amiri" w:ascii="Amiri" w:hAnsi="Amiri"/>
          <w:color w:val="111111"/>
          <w:sz w:val="28"/>
          <w:szCs w:val="28"/>
          <w:rtl w:val="true"/>
          <w:lang w:bidi="ar-SA"/>
        </w:rPr>
        <w:t>.</w:t>
      </w:r>
    </w:p>
    <w:p>
      <w:pPr>
        <w:pStyle w:val="Heading5"/>
        <w:numPr>
          <w:ilvl w:val="4"/>
          <w:numId w:val="1"/>
        </w:numPr>
        <w:rPr/>
      </w:pPr>
      <w:bookmarkStart w:id="530" w:name="__RefHeading___Toc1391301_1067777946"/>
      <w:bookmarkStart w:id="531" w:name="_Toc200"/>
      <w:bookmarkEnd w:id="530"/>
      <w:r>
        <w:rPr/>
        <w:t>4</w:t>
      </w:r>
      <w:r>
        <w:rPr>
          <w:rtl w:val="true"/>
        </w:rPr>
        <w:t xml:space="preserve">. </w:t>
      </w:r>
      <w:r>
        <w:rPr>
          <w:rtl w:val="true"/>
        </w:rPr>
        <w:t>توبته لأجل طلب الرؤية</w:t>
      </w:r>
      <w:bookmarkEnd w:id="531"/>
    </w:p>
    <w:p>
      <w:pPr>
        <w:pStyle w:val="Heading6"/>
        <w:numPr>
          <w:ilvl w:val="5"/>
          <w:numId w:val="1"/>
        </w:numPr>
        <w:rPr/>
      </w:pPr>
      <w:bookmarkStart w:id="532" w:name="__RefHeading___Toc1391303_1067777946"/>
      <w:bookmarkStart w:id="533" w:name="_Toc201"/>
      <w:bookmarkEnd w:id="532"/>
      <w:r>
        <w:rPr>
          <w:rtl w:val="true"/>
        </w:rPr>
        <w:t>اشارة</w:t>
      </w:r>
      <w:bookmarkEnd w:id="533"/>
    </w:p>
    <w:p>
      <w:pPr>
        <w:pStyle w:val="BookText"/>
        <w:rPr/>
      </w:pP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أفاق ، أخذ بالتنزيه أوّلاً ، والتوبة والإنابة إلى ربّه ثانياً ، وظاهر الآية انّه تاب من سؤاله كما أنّ الظاهر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أَوَّلُ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أوّل المصدّقين بأنّه لا يُرى بتاتاً</w:t>
      </w:r>
      <w:r>
        <w:rPr>
          <w:rFonts w:eastAsia="Amiri" w:cs="Amiri" w:ascii="Amiri" w:hAnsi="Amiri"/>
          <w:color w:val="111111"/>
          <w:sz w:val="28"/>
          <w:szCs w:val="28"/>
          <w:rtl w:val="true"/>
          <w:lang w:bidi="ar-SA"/>
        </w:rPr>
        <w:t>.</w:t>
      </w:r>
    </w:p>
    <w:p>
      <w:pPr>
        <w:pStyle w:val="Heading6"/>
        <w:numPr>
          <w:ilvl w:val="5"/>
          <w:numId w:val="1"/>
        </w:numPr>
        <w:rPr/>
      </w:pPr>
      <w:bookmarkStart w:id="534" w:name="__RefHeading___Toc1391305_1067777946"/>
      <w:bookmarkStart w:id="535" w:name="_Toc202"/>
      <w:bookmarkEnd w:id="534"/>
      <w:r>
        <w:rPr>
          <w:rtl w:val="true"/>
        </w:rPr>
        <w:t>إجابة عن سؤال</w:t>
      </w:r>
      <w:bookmarkEnd w:id="535"/>
    </w:p>
    <w:p>
      <w:pPr>
        <w:pStyle w:val="BookText"/>
        <w:rPr/>
      </w:pPr>
      <w:r>
        <w:rPr>
          <w:rFonts w:ascii="Amiri" w:hAnsi="Amiri" w:eastAsia="Amiri" w:cs="Amiri"/>
          <w:color w:val="111111"/>
          <w:sz w:val="28"/>
          <w:sz w:val="28"/>
          <w:szCs w:val="28"/>
          <w:rtl w:val="true"/>
          <w:lang w:bidi="ar-SA"/>
        </w:rPr>
        <w:t>إنّ سؤال الرؤية من الكليم دليل على إمكانها ، فلو كان أمراً محالاً لما سألها</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عن الشبهة واضح ، فإنّ الاستدلال بطلب موسى إنّما يصحّ إذا طلبها الكليم باختيار ومن دون ضغط من قومه ، فعندئذ يصلح للتمسّك به ظاهراً ، لكن القرائن تشهد على أنّه سأل الرؤية على لسان قومه حين كانوا مصرّين على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ويدلّ عليه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يَسْئَلُكَ أَهْلُ الْكِتابِ أَنْ تُنَزِّلَ عَلَيْهِمْ كِتاباً مِنَ السَّماءِ فَقَدْ سَأَلُوا مُوسى أَكْبَرَ مِنْ ذلِكَ فَقالُوا أَرِنَا اللهَ جَهْرَةً فَأَخَذَتْهُمُ الصَّاعِقَةُ بِظُلْمِهِمْ</w:t>
      </w:r>
      <w:r>
        <w:rPr>
          <w:rFonts w:eastAsia="Amiri" w:cs="Amiri" w:ascii="Amiri" w:hAnsi="Amiri"/>
          <w:color w:val="111111"/>
          <w:sz w:val="28"/>
          <w:szCs w:val="28"/>
          <w:rtl w:val="true"/>
          <w:lang w:bidi="ar-SA"/>
        </w:rPr>
        <w:t xml:space="preserve">). </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وبعد ما عادوا إلى الحياة بدعاء موسى طلبوا منه أن يسأل الرؤية لنفسه لا لهم حتّى تحلّ رؤيته لله مكان رؤيتهم كما حلّ سماعه للوحي سبحانه محلّ سماعهم لكلامه تعالى حتّى يؤمنوا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 ذاك لم يكن لموسى محيص إلاّ الإقدام على السؤال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أَرِنِي أَنْظُرْ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فأجيب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ذلك ما كان طلب الرؤية إلاّ ليكبت هؤلاء الذين دعاهم سفهاء وضُلاّلاً وتبرّأ من فعلهم ، وذلك أنّهم حين طلبوا الرؤية أنكر عليهم وأعلمهم الخطأ ونبّههم على الحقّ فلجّوا وتمادوا في لجاجهم ، وقالوا لا بدّ ولن نؤمن حتّى نرى الله جهرة ، فأراد أن يسمعوا النص من عند الله باستحالة ذلك وهو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ليتيقّنوا وينزاح عنهم ما دخلهم من الشبهة ، فلذلك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أَرِنِي أَنْظُرْ إِلَيْكَ</w:t>
      </w:r>
      <w:r>
        <w:rPr>
          <w:rFonts w:eastAsia="Amiri" w:cs="Amiri" w:ascii="Amiri" w:hAnsi="Amiri"/>
          <w:color w:val="111111"/>
          <w:sz w:val="28"/>
          <w:szCs w:val="28"/>
          <w:rtl w:val="true"/>
          <w:lang w:bidi="ar-SA"/>
        </w:rPr>
        <w:t xml:space="preserve">). </w:t>
      </w:r>
      <w:r>
        <w:rPr>
          <w:rStyle w:val="FootnoteAnchor"/>
          <w:rtl w:val="true"/>
        </w:rPr>
        <w:footnoteReference w:id="278"/>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تمت دراسة الآيات الصريحة في امتناع رؤية الله تبارك وتعالى بطرق مختلفة ، ومن أمعن فيها وتجرد عن العقيدة التي تربّى عليها منذ نعومة أظفاره لرأى انّ الذكر الحكيم صريح في تعاليه سبحانه عن أن يقع في إطار الرؤية وأنّ طلب الرؤية تمنّي باطل</w:t>
      </w:r>
      <w:r>
        <w:rPr>
          <w:rFonts w:eastAsia="Amiri" w:cs="Amiri" w:ascii="Amiri" w:hAnsi="Amiri"/>
          <w:color w:val="111111"/>
          <w:sz w:val="28"/>
          <w:szCs w:val="28"/>
          <w:rtl w:val="true"/>
          <w:lang w:bidi="ar-SA"/>
        </w:rPr>
        <w:t xml:space="preserve">. </w:t>
      </w:r>
      <w:bookmarkStart w:id="536" w:name="pg11047_102743"/>
    </w:p>
    <w:p>
      <w:pPr>
        <w:pStyle w:val="Heading3"/>
        <w:numPr>
          <w:ilvl w:val="2"/>
          <w:numId w:val="1"/>
        </w:numPr>
        <w:rPr/>
      </w:pPr>
      <w:bookmarkStart w:id="537" w:name="__RefHeading___Toc1391307_1067777946"/>
      <w:bookmarkStart w:id="538" w:name="_Toc203"/>
      <w:bookmarkEnd w:id="536"/>
      <w:bookmarkEnd w:id="537"/>
      <w:r>
        <w:rPr/>
        <w:t>6</w:t>
      </w:r>
      <w:r>
        <w:rPr>
          <w:rtl w:val="true"/>
        </w:rPr>
        <w:t xml:space="preserve">- </w:t>
      </w:r>
      <w:r>
        <w:rPr>
          <w:rtl w:val="true"/>
        </w:rPr>
        <w:t>الرؤية في كلمات أئمّة أهل البيت عليهم السلام</w:t>
      </w:r>
      <w:bookmarkEnd w:id="538"/>
    </w:p>
    <w:p>
      <w:pPr>
        <w:pStyle w:val="BookText"/>
        <w:rPr/>
      </w:pPr>
      <w:r>
        <w:rPr>
          <w:rFonts w:ascii="Amiri" w:hAnsi="Amiri" w:eastAsia="Amiri" w:cs="Amiri"/>
          <w:color w:val="111111"/>
          <w:sz w:val="28"/>
          <w:sz w:val="28"/>
          <w:szCs w:val="28"/>
          <w:rtl w:val="true"/>
          <w:lang w:bidi="ar-SA"/>
        </w:rPr>
        <w:t xml:space="preserve">إنّ المراجع إلى خطب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التوحيد وما أُثر عن أئمّة العترة الطاهرة في مجال الرؤية ، يقف على أنّ مذهبهم هو امتناعها وانّه سبحانه لا تدركه أوهام القلوب ، فكيف بأبصار العيون؟ وإليك نزراً يسيراً ممّا ورد في هذا الباب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خطبة الأشباح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 الذي لم يكن له قبل فيكون شيء قبله ، والآخر الذي ليس له بعد فيكون شيء بعده ، والرادع أناسي الأبصار عن أن تناله أو تدركه</w:t>
      </w:r>
      <w:r>
        <w:rPr>
          <w:rFonts w:eastAsia="Amiri" w:cs="Amiri" w:ascii="Amiri" w:hAnsi="Amiri"/>
          <w:color w:val="111111"/>
          <w:sz w:val="28"/>
          <w:szCs w:val="28"/>
          <w:rtl w:val="true"/>
          <w:lang w:bidi="ar-SA"/>
        </w:rPr>
        <w:t xml:space="preserve">». </w:t>
      </w:r>
      <w:r>
        <w:rPr>
          <w:rStyle w:val="FootnoteAnchor"/>
          <w:rtl w:val="true"/>
        </w:rPr>
        <w:footnoteReference w:id="27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سأله ذعلب اليماني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رأيت ربّك يا أمير المؤمنين؟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أفأعبد ما لا 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تراه؟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العيون بمشاهدة العيان ولكن تدركه القلوب بحقائق الإيمان ، قريب من الأشياء غير ملابس ، بعيد منها غير مباين</w:t>
      </w:r>
      <w:r>
        <w:rPr>
          <w:rFonts w:eastAsia="Amiri" w:cs="Amiri" w:ascii="Amiri" w:hAnsi="Amiri"/>
          <w:color w:val="111111"/>
          <w:sz w:val="28"/>
          <w:szCs w:val="28"/>
          <w:rtl w:val="true"/>
          <w:lang w:bidi="ar-SA"/>
        </w:rPr>
        <w:t xml:space="preserve">». </w:t>
      </w:r>
      <w:r>
        <w:rPr>
          <w:rStyle w:val="FootnoteAnchor"/>
          <w:rtl w:val="true"/>
        </w:rPr>
        <w:footnoteReference w:id="28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الحمد لله الذي لا تدركه الشواهد ، ولا تحويه المشاهد ، ولا تراه النواظر ، ولا تحجبه السواتر</w:t>
      </w:r>
      <w:r>
        <w:rPr>
          <w:rFonts w:eastAsia="Amiri" w:cs="Amiri" w:ascii="Amiri" w:hAnsi="Amiri"/>
          <w:color w:val="111111"/>
          <w:sz w:val="28"/>
          <w:szCs w:val="28"/>
          <w:rtl w:val="true"/>
          <w:lang w:bidi="ar-SA"/>
        </w:rPr>
        <w:t xml:space="preserve">». </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 xml:space="preserve">إلى غير ذلك من خطبه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الطافحة بتقديسه وتنزيهه عن إحاطة القلوب والأبصار به</w:t>
      </w:r>
      <w:r>
        <w:rPr>
          <w:rFonts w:eastAsia="Amiri" w:cs="Amiri" w:ascii="Amiri" w:hAnsi="Amiri"/>
          <w:color w:val="111111"/>
          <w:sz w:val="28"/>
          <w:szCs w:val="28"/>
          <w:rtl w:val="true"/>
          <w:lang w:bidi="ar-SA"/>
        </w:rPr>
        <w:t xml:space="preserve">. </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 xml:space="preserve">وأمّا المروي عن سائر 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 عنه ولا حرج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الصدوق عن عبد الله بن سنان ،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الباقر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عليه رجل من الخوارج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جعفر أيّ شيء تَعبد؟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تره العيون بمشاهدة العيان ولكن رأته القلوب بحقائق الإيمان ، لا يُعرف بالقياس ولا يُدرك بالحواس ، ولا يُشبه بالناس ، موصوف بالآيات ، معروف بالعلامات ، لا يجور في حكمه ، ذلك الله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الرجل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 xml:space="preserve">. </w:t>
      </w:r>
      <w:r>
        <w:rPr>
          <w:rStyle w:val="FootnoteAnchor"/>
          <w:rtl w:val="true"/>
        </w:rPr>
        <w:footnoteReference w:id="28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الصدوق عن أبي الحسن الموصلي ،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حبر إلى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هل رأيت ربّك حين عبدته؟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ما كنت أعبد ربّاً لم أره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رأيته؟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لا تُدرِكه العيون بمشاهدة الأبصار ، ولكن رأته القلوب بحقائق الإيمان</w:t>
      </w:r>
      <w:r>
        <w:rPr>
          <w:rFonts w:eastAsia="Amiri" w:cs="Amiri" w:ascii="Amiri" w:hAnsi="Amiri"/>
          <w:color w:val="111111"/>
          <w:sz w:val="28"/>
          <w:szCs w:val="28"/>
          <w:rtl w:val="true"/>
          <w:lang w:bidi="ar-SA"/>
        </w:rPr>
        <w:t xml:space="preserve">». </w:t>
      </w:r>
      <w:r>
        <w:rPr>
          <w:rStyle w:val="FootnoteAnchor"/>
          <w:rtl w:val="true"/>
        </w:rPr>
        <w:footnoteReference w:id="28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روي عن الإمام علي بن موسى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مناظرته مع أحد المحدّثين باسم أبي قرة ، ذكر أبو قرة الحديث الموروث عن الحبر الماكر كعب الأحبار من أنّه سبحانه قسم الرؤية والكلام بين نبيّين فقسّم لموسى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ولمحمّد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الرؤية</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فمن المبلّغ عن الله إلى الثقلين الجن والإنس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تُدْرِكُهُ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يُحِيطُونَ بِهِ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فكيف يجيء رجل إلى الخلق جميعاً فيخبرهم انّه جاء من عند الله ، وانّه يدعوهم إلى الله بأمر الله ، ويقول إنّه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يُحِيطُونَ بِهِ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رأيته بعيني وأحطت به علماً وهو على صورة البشر ، أما تستحيون؟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قدرت الزنادقة ان ترميه بهذا ، أن يكون أتى عن الله بأمر ثمّ يأتي بخلافه من وجه آخر</w:t>
      </w:r>
      <w:r>
        <w:rPr>
          <w:rFonts w:eastAsia="Amiri" w:cs="Amiri" w:ascii="Amiri" w:hAnsi="Amiri"/>
          <w:color w:val="111111"/>
          <w:sz w:val="28"/>
          <w:szCs w:val="28"/>
          <w:rtl w:val="true"/>
          <w:lang w:bidi="ar-SA"/>
        </w:rPr>
        <w:t xml:space="preserve">». </w:t>
      </w:r>
      <w:r>
        <w:rPr>
          <w:rStyle w:val="FootnoteAnchor"/>
          <w:rtl w:val="true"/>
        </w:rPr>
        <w:footnoteReference w:id="285"/>
      </w:r>
      <w:bookmarkStart w:id="539" w:name="pg11047_102746"/>
    </w:p>
    <w:p>
      <w:pPr>
        <w:pStyle w:val="Heading3"/>
        <w:numPr>
          <w:ilvl w:val="2"/>
          <w:numId w:val="1"/>
        </w:numPr>
        <w:rPr/>
      </w:pPr>
      <w:bookmarkStart w:id="540" w:name="__RefHeading___Toc1391309_1067777946"/>
      <w:bookmarkStart w:id="541" w:name="_Toc204"/>
      <w:bookmarkEnd w:id="539"/>
      <w:bookmarkEnd w:id="540"/>
      <w:r>
        <w:rPr/>
        <w:t>7</w:t>
      </w:r>
      <w:r>
        <w:rPr>
          <w:rtl w:val="true"/>
        </w:rPr>
        <w:t xml:space="preserve">- </w:t>
      </w:r>
      <w:r>
        <w:rPr>
          <w:rtl w:val="true"/>
        </w:rPr>
        <w:t>شبهات القائلين بالرؤية</w:t>
      </w:r>
      <w:bookmarkEnd w:id="541"/>
    </w:p>
    <w:p>
      <w:pPr>
        <w:pStyle w:val="BookText"/>
        <w:rPr/>
      </w:pPr>
      <w:r>
        <w:rPr>
          <w:rFonts w:ascii="Amiri" w:hAnsi="Amiri" w:eastAsia="Amiri" w:cs="Amiri"/>
          <w:color w:val="111111"/>
          <w:sz w:val="28"/>
          <w:sz w:val="28"/>
          <w:szCs w:val="28"/>
          <w:rtl w:val="true"/>
          <w:lang w:bidi="ar-SA"/>
        </w:rPr>
        <w:t xml:space="preserve">إنّ للقائلين بالرؤية في الآخرة شبهات ربّما يغتر بها من ليس له إلمام بالكتاب والسنّة فيتصوّر المغالطة دليلاً ، نذكر منها ما هو المهم ،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استدلّوا على تحقّق الرؤية في الآخرة بهذا المقطع الوارد في الآيات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بَلْ تُحِبُّونَ الْعاجِلَةَ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وَتَذَرُونَ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يَوْمَئِذٍ 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رَبِّها ناظِرَةٌ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وَوُجُوهٌ يَوْمَئِذٍ باسِرَةٌ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تَظُنُّ أَنْ يُفْعَلَ بِها فاقِرَةٌ</w:t>
      </w:r>
      <w:r>
        <w:rPr>
          <w:rFonts w:eastAsia="Amiri" w:cs="Amiri" w:ascii="Amiri" w:hAnsi="Amiri"/>
          <w:color w:val="111111"/>
          <w:sz w:val="28"/>
          <w:szCs w:val="28"/>
          <w:rtl w:val="true"/>
          <w:lang w:bidi="ar-SA"/>
        </w:rPr>
        <w:t xml:space="preserve">). </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 xml:space="preserve">يقول المستدل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النظر إذا كان بمعنى الانتظار يستعمل بغير صلة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انتظرته ، وإذا كان بمعنى التفكّر يستعمل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كان بمعنى الرأفة يستعمل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كان بمعنى الرؤية استعمل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فيحمل على الرؤية</w:t>
      </w:r>
      <w:r>
        <w:rPr>
          <w:rFonts w:eastAsia="Amiri" w:cs="Amiri" w:ascii="Amiri" w:hAnsi="Amiri"/>
          <w:color w:val="111111"/>
          <w:sz w:val="28"/>
          <w:szCs w:val="28"/>
          <w:rtl w:val="true"/>
          <w:lang w:bidi="ar-SA"/>
        </w:rPr>
        <w:t xml:space="preserve">. </w:t>
      </w:r>
      <w:r>
        <w:rPr>
          <w:rStyle w:val="FootnoteAnchor"/>
          <w:rtl w:val="true"/>
        </w:rPr>
        <w:footnoteReference w:id="287"/>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أقلنا إنّ النظر في الآية بمعنى الانتظار أو قلنا بمعنى الرؤية ، </w:t>
      </w:r>
    </w:p>
    <w:p>
      <w:pPr>
        <w:pStyle w:val="BookText"/>
        <w:rPr/>
      </w:pPr>
      <w:r>
        <w:rPr>
          <w:rFonts w:ascii="Amiri" w:hAnsi="Amiri" w:eastAsia="Amiri" w:cs="Amiri"/>
          <w:color w:val="111111"/>
          <w:sz w:val="28"/>
          <w:sz w:val="28"/>
          <w:szCs w:val="28"/>
          <w:rtl w:val="true"/>
          <w:lang w:bidi="ar-SA"/>
        </w:rPr>
        <w:t xml:space="preserve">فالآية لا تدلّ على جواز الرؤية يوم القيامة بتاتاً ، وذلك لوجوه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سبحانه نسب النظر إلى الوجوه لا إلى العيون ، فلم يقل عيون يومئذ ناظرة إلى ربّها ناضرة ، بل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وُجُوهٌ يَوْمَئِذٍ 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فلو كان المراد الجدي هو الرؤية الحسّية لكان المتعيّن استخدام العيون بدل الوجوه ، وأنت لا تجد في الأدب العربي قديمه وحديثه مورداً نسب فيه النظر إلى الوجوه وأُريدت به الرؤية الحسية بالعيون والأبصار ، بل كلّما أُريد منه الرؤية نسب إلى العيون أو 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يَرَوْنَهُمْ مِثْلَيْهِمْ رَأْيَ الْعَيْنِ</w:t>
      </w:r>
      <w:r>
        <w:rPr>
          <w:rFonts w:eastAsia="Amiri" w:cs="Amiri" w:ascii="Amiri" w:hAnsi="Amiri"/>
          <w:color w:val="111111"/>
          <w:sz w:val="28"/>
          <w:szCs w:val="28"/>
          <w:rtl w:val="true"/>
          <w:lang w:bidi="ar-SA"/>
        </w:rPr>
        <w:t xml:space="preserve">). </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وَلَهُمْ أَعْيُنٌ لا يُبْصِرُونَ بِها</w:t>
      </w:r>
      <w:r>
        <w:rPr>
          <w:rFonts w:eastAsia="Amiri" w:cs="Amiri" w:ascii="Amiri" w:hAnsi="Amiri"/>
          <w:color w:val="111111"/>
          <w:sz w:val="28"/>
          <w:szCs w:val="28"/>
          <w:rtl w:val="true"/>
          <w:lang w:bidi="ar-SA"/>
        </w:rPr>
        <w:t xml:space="preserve">). </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لِلْمُؤْمِناتِ يَغْضُضْنَ مِنْ أَبْصارِهِنَ</w:t>
      </w:r>
      <w:r>
        <w:rPr>
          <w:rFonts w:eastAsia="Amiri" w:cs="Amiri" w:ascii="Amiri" w:hAnsi="Amiri"/>
          <w:color w:val="111111"/>
          <w:sz w:val="28"/>
          <w:szCs w:val="28"/>
          <w:rtl w:val="true"/>
          <w:lang w:bidi="ar-SA"/>
        </w:rPr>
        <w:t xml:space="preserve">). </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 xml:space="preserve">فأداة الرؤية في القرآن الكريم هي العين والبصر لا الوجه ، يقول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أَنْشَأَ لَكُمُ السَّمْعَ وَالْأَبْصارَ وَالْأَفْئِدَةَ</w:t>
      </w:r>
      <w:r>
        <w:rPr>
          <w:rFonts w:eastAsia="Amiri" w:cs="Amiri" w:ascii="Amiri" w:hAnsi="Amiri"/>
          <w:color w:val="111111"/>
          <w:sz w:val="28"/>
          <w:szCs w:val="28"/>
          <w:rtl w:val="true"/>
          <w:lang w:bidi="ar-SA"/>
        </w:rPr>
        <w:t xml:space="preserve">). </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نوافق المستدلّ بأنّ النظر إذا استعمل مع إلى يكون بمعنى الرؤية ، لكن ربّما تكون الرؤية كناية عن معنى آخر ، فعندئذ يكون المقصود الحقيقي هو المكنّى عنه لا المكنّى به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إذا أردنا وصف زيد بالجود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كثير الرماد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فالمعنى اللغوي ذم حيث يحكي عن كثرة النفايات في الدار ، ولكن المعنى المكنّى عنه الذي هو المتبادر العرفي هو مدح يحكي عن جوده وسخائه ، فالعبرة في تفسير الآية هو المراد الجدي لا المراد الاستعمالي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هذا القبيل فهو حسب الإرادة الاستعمالية بمعنى وجوه ناظرة إلى الله سبحانه أي رائية له ، ولكنّه كناية عن انتظار الرحمة أو العذاب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وجوه ناظرات يوم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الرحمن يأتي بالفلاح</w:t>
      </w:r>
    </w:p>
    <w:p>
      <w:pPr>
        <w:pStyle w:val="BookText"/>
        <w:rPr/>
      </w:pPr>
      <w:r>
        <w:rPr>
          <w:rFonts w:ascii="Amiri" w:hAnsi="Amiri" w:eastAsia="Amiri" w:cs="Amiri"/>
          <w:color w:val="111111"/>
          <w:sz w:val="28"/>
          <w:sz w:val="28"/>
          <w:szCs w:val="28"/>
          <w:rtl w:val="true"/>
          <w:lang w:bidi="ar-SA"/>
        </w:rPr>
        <w:t xml:space="preserve">فلا يشكّ الإنسان انّ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وجوه ناظرات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رائيات ، ولكنّه كُنّي به عن انتظار النصر والفتح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الشعر 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أني إليك لما وعدت لناظر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الفقير إلى الغني الموسر</w:t>
      </w:r>
    </w:p>
    <w:p>
      <w:pPr>
        <w:pStyle w:val="BookText"/>
        <w:rPr/>
      </w:pPr>
      <w:r>
        <w:rPr>
          <w:rFonts w:ascii="Amiri" w:hAnsi="Amiri" w:eastAsia="Amiri" w:cs="Amiri"/>
          <w:color w:val="111111"/>
          <w:sz w:val="28"/>
          <w:sz w:val="28"/>
          <w:szCs w:val="28"/>
          <w:rtl w:val="true"/>
          <w:lang w:bidi="ar-SA"/>
        </w:rPr>
        <w:t>لا شكّ انّ المراد من النظر في كلا الموردين هو الرؤية ، استعمالاً ، ولكنّه كناية عن انتظار إنجاز الوعد ووصول العطاء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النظر إذا أُسند إلى العيون يكون المعنى الاستعمالي والجدي هو الرؤية ، ولكن إذا أُسند إلى الشخص أو الوجه تكون بمعنى الرؤية استعمالاً ويكون كناية عن الانتظار جداً ، مثلاً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إلى فلان ناظر ما يصنع به ، يريد معنى التوقع والرجاء</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ينقل الزمخشري انّه سمع سروية مستجدية بمكة وقت الظهر حين يغلق الناس أبوابهم ويأوون إلى مقائلهم ،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عيينتي نويظرة إلى الله وإليكم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تقصد راجية ومتوقعة لإحسانهم إليها كما هو معنى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أنظر إلى الله ثمّ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أتوقع فضل الله ثمّ فضلك</w:t>
      </w:r>
      <w:r>
        <w:rPr>
          <w:rFonts w:eastAsia="Amiri" w:cs="Amiri" w:ascii="Amiri" w:hAnsi="Amiri"/>
          <w:color w:val="111111"/>
          <w:sz w:val="28"/>
          <w:szCs w:val="28"/>
          <w:rtl w:val="true"/>
          <w:lang w:bidi="ar-SA"/>
        </w:rPr>
        <w:t xml:space="preserve">. </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من يستدلّ بالآية أن يرفع إبهامها بمقابلها ، فإنّ الآيات تتألف من ثلاث مقاطع متقابلة ، بالنحو التالي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بَلْ تُحِبُّونَ الْعاجِلَةَ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وَتَذَرُونَ الْآخِرَةَ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يَوْمَئِذٍ 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يَوْمَئِذٍ باسِرَةٌ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تَظُنُّ أَنْ يُفْعَلَ بِها فاقِرَةٌ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يقابلها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تَظُنُّ أَنْ يُفْعَلَ بِها فاقِرَةٌ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فبما انّ الجملة المقابلة صريحة في أنّ أصحاب الوجوه الباسرة ينتظرون العذاب الكاسر لظهرهم ويظنون نزوله ومثل هذا الظن لا ينفك عن الانتظار ، فتكون قرينة على أنّ أصحاب الوجوه المشرقة ينظرون إلى ربّهم ، أي يرجون رحمته ، حتّى تكون الجملة متقابلة لمقابلها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وإلاّ فلو حمل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رؤية الله خرجت الجملة عن التقابل ويعود كلاماً عارياً عن البلاغة ويكون مفاد المتقابلين كالشكل 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أصحاب الوجوه الناضرة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ينظرون إلى الله ويرونه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أصحاب الوجوه الباسرة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ينتظرون نزول العذاب والنقمة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كما ترى لا يليق أن ينسب إلى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أنّك تجد هذا التقابل والانسجام في آيات أُخرى وكأنّ الجميع سبيكة واحدة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يَوْمَئِذٍ مُسْفِرَةٌ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ضاحِكَةٌ مُسْتَبْشِرَةٌ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وَوُجُوهٌ يَوْمَئِذٍ عَلَيْها غَبَرَةٌ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تَرْهَقُها قَتَرَةٌ</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 xml:space="preserve">فإنّ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ضاحِكَةٌ مُسْتَبْشِرَةٌ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 مقام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فيرفع إبهام الثاني بالأوّل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يَوْمَئِذٍ خاشِعَةٌ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عامِلَةٌ ناصِبَةٌ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تَصْلى ناراً حامِيَةً</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يَوْمَئِذٍ ناعِمَةٌ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لِسَعْيِها راضِيَةٌ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جَنَّةٍ عالِيَةٍ</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 xml:space="preserve">انظر إلى الانسجام البديع ، والتقابل الواضح بينها ، والاستهداف الواحد ، والجميع بصدد تصنيف الوجوه يوم القيامة ، إلى ناضرة ومسفرة ، وناعمة وإلى باسرة ، وسوداء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وخاشعة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أفبعد هذا البيان يبقى الشكّ في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انتظار الرحمة ، والقائل بالرؤية يتمسّك بهذه الآية ويغض النظر عمّا حولها من الآيات ، ومن المعلوم أنّ هذا من قبيل محاولة إثبات المدّعى بالآية ، لا محاولة الوقوف على مفادها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الختام أرى من الجدير بالذكر أن أنقل الحوار القصير الذي دار بيني وبين أحد المثقّفين في تركيا ، وكان يُجيد اللغتين التركية والعربية والثانية كانت لغته الأُمّ ، لأنّه كان من الإسكندرونة المحتلّة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زعم السوريين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كان يرافقني عند ما حللت ضيفاً على تركيا لإلقاء محاضرة في المؤتمر الذي انعقد لبيان أحكام السفر ، وقد استرسلنا في الحوار إلى أن سألني عن رؤية الله تبارك وتعالى في الآخرة؟</w:t>
      </w:r>
    </w:p>
    <w:p>
      <w:pPr>
        <w:pStyle w:val="BookText"/>
        <w:rPr/>
      </w:pPr>
      <w:r>
        <w:rPr>
          <w:rFonts w:ascii="Amiri" w:hAnsi="Amiri" w:eastAsia="Amiri" w:cs="Amiri"/>
          <w:color w:val="111111"/>
          <w:sz w:val="28"/>
          <w:sz w:val="28"/>
          <w:szCs w:val="28"/>
          <w:rtl w:val="true"/>
          <w:lang w:bidi="ar-SA"/>
        </w:rPr>
        <w:t>فأجبته بالنفي</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ذا؟ </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يُرى سبحانه كلّه أو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يكون الرائي محيطاً والله سبحانه محاطاً مع أنّه تعالى محيط بكلّ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يكون مركباً ذا أجزاء تكون بعض أجزائه غائبة من البعض الآخر والحاجة آية الإمكان وهو آية الفقر والحاجة الذي هو على طرف النقيض من الله الغني</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فتحيّر السائل من جوابي هذا ولم يجب بشيء</w:t>
      </w:r>
      <w:r>
        <w:rPr>
          <w:rFonts w:eastAsia="Amiri" w:cs="Amiri" w:ascii="Amiri" w:hAnsi="Amiri"/>
          <w:color w:val="111111"/>
          <w:sz w:val="28"/>
          <w:szCs w:val="28"/>
          <w:rtl w:val="true"/>
          <w:lang w:bidi="ar-SA"/>
        </w:rPr>
        <w:t xml:space="preserve">. </w:t>
      </w:r>
      <w:bookmarkStart w:id="542" w:name="pg11047_102752"/>
    </w:p>
    <w:p>
      <w:pPr>
        <w:pStyle w:val="Heading3"/>
        <w:numPr>
          <w:ilvl w:val="2"/>
          <w:numId w:val="1"/>
        </w:numPr>
        <w:rPr/>
      </w:pPr>
      <w:bookmarkStart w:id="543" w:name="__RefHeading___Toc1391311_1067777946"/>
      <w:bookmarkStart w:id="544" w:name="_Toc205"/>
      <w:bookmarkEnd w:id="542"/>
      <w:bookmarkEnd w:id="543"/>
      <w:r>
        <w:rPr/>
        <w:t>8</w:t>
      </w:r>
      <w:r>
        <w:rPr>
          <w:rtl w:val="true"/>
        </w:rPr>
        <w:t xml:space="preserve">- </w:t>
      </w:r>
      <w:r>
        <w:rPr>
          <w:rtl w:val="true"/>
        </w:rPr>
        <w:t>رؤيته تعالى في الأحاديث النبوية</w:t>
      </w:r>
      <w:bookmarkEnd w:id="544"/>
    </w:p>
    <w:p>
      <w:pPr>
        <w:pStyle w:val="Heading4"/>
        <w:numPr>
          <w:ilvl w:val="3"/>
          <w:numId w:val="1"/>
        </w:numPr>
        <w:rPr/>
      </w:pPr>
      <w:bookmarkStart w:id="545" w:name="__RefHeading___Toc1391313_1067777946"/>
      <w:bookmarkStart w:id="546" w:name="_Toc206"/>
      <w:bookmarkEnd w:id="545"/>
      <w:r>
        <w:rPr>
          <w:rtl w:val="true"/>
        </w:rPr>
        <w:t>اشارة</w:t>
      </w:r>
      <w:bookmarkEnd w:id="546"/>
    </w:p>
    <w:p>
      <w:pPr>
        <w:pStyle w:val="BookText"/>
        <w:rPr/>
      </w:pPr>
      <w:r>
        <w:rPr>
          <w:rFonts w:ascii="Amiri" w:hAnsi="Amiri" w:eastAsia="Amiri" w:cs="Amiri"/>
          <w:color w:val="111111"/>
          <w:sz w:val="28"/>
          <w:sz w:val="28"/>
          <w:szCs w:val="28"/>
          <w:rtl w:val="true"/>
          <w:lang w:bidi="ar-SA"/>
        </w:rPr>
        <w:t>قد تعرّفت على موقف الكتاب من رؤيته سبحانه وأنّه كلّما يذكر الرؤية وسؤالها وطلبها ، يستعظمه ويستفظعه إجمالاً ، وعند ما يطرحها تفصيلاً ، يعدّها أمراً محالاً ، كما عرفت أنّ ما تمسك به القائلون بجواز الرؤية من الآيات لا يدلّ على ما يدّعون</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الكلام في الروايات الواردة حول الرؤية في الصحاح والمسانيد ، ودلالتها على المطلوب واضحة كما ستوافيك ، لكن الكلام في حجية الروايات التي تضاد الذكر الحكيم ، وتباينه ، فإذا كان الكتاب العزيز مهيمناً على سائر الكتب فلما ذا لا يكون مهيمناً على السنن المروية عن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دوّنت بعد مضي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من رحيله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تَصُن عن دسّ الأحبار والرهبان؟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إِلَيْكَ الْكِتابَ بِالْحَقِّ مُصَدِّقاً لِما بَيْنَ يَدَيْهِ مِنَ الْكِتابِ وَمُهَيْمِناً عَلَيْهِ فَاحْكُمْ بَيْنَهُمْ بِما أَنْزَلَ اللهُ وَلا تَتَّبِعْ أَهْواءَهُمْ عَمَّا جاءَكَ مِنَ الْحَقِ</w:t>
      </w:r>
      <w:r>
        <w:rPr>
          <w:rFonts w:eastAsia="Amiri" w:cs="Amiri" w:ascii="Amiri" w:hAnsi="Amiri"/>
          <w:color w:val="111111"/>
          <w:sz w:val="28"/>
          <w:szCs w:val="28"/>
          <w:rtl w:val="true"/>
          <w:lang w:bidi="ar-SA"/>
        </w:rPr>
        <w:t xml:space="preserve">) </w:t>
      </w:r>
      <w:r>
        <w:rPr>
          <w:rStyle w:val="FootnoteAnchor"/>
          <w:rtl w:val="true"/>
        </w:rPr>
        <w:footnoteReference w:id="296"/>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الْقُرْآنَ يَقُصُّ عَلى بَنِي إِسْرائِيلَ أَكْثَرَ الَّذِي هُمْ فِيهِ يَخْتَلِفُونَ</w:t>
      </w:r>
      <w:r>
        <w:rPr>
          <w:rFonts w:eastAsia="Amiri" w:cs="Amiri" w:ascii="Amiri" w:hAnsi="Amiri"/>
          <w:color w:val="111111"/>
          <w:sz w:val="28"/>
          <w:szCs w:val="28"/>
          <w:rtl w:val="true"/>
          <w:lang w:bidi="ar-SA"/>
        </w:rPr>
        <w:t xml:space="preserve">) </w:t>
      </w:r>
      <w:r>
        <w:rPr>
          <w:rStyle w:val="FootnoteAnchor"/>
          <w:rtl w:val="true"/>
        </w:rPr>
        <w:footnoteReference w:id="297"/>
      </w:r>
      <w:r>
        <w:rPr>
          <w:rFonts w:ascii="Amiri" w:hAnsi="Amiri" w:eastAsia="Amiri" w:cs="Amiri"/>
          <w:color w:val="111111"/>
          <w:sz w:val="28"/>
          <w:sz w:val="28"/>
          <w:szCs w:val="28"/>
          <w:rtl w:val="true"/>
          <w:lang w:bidi="ar-SA"/>
        </w:rPr>
        <w:t xml:space="preserve">ولا يعني ذلك ، حذف السنّة من الشريعة ورفع شعار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حسبنا كتاب الله ، بل يعني التأكد من </w:t>
      </w:r>
    </w:p>
    <w:p>
      <w:pPr>
        <w:pStyle w:val="BookText"/>
        <w:rPr/>
      </w:pPr>
      <w:r>
        <w:rPr>
          <w:rFonts w:ascii="Amiri" w:hAnsi="Amiri" w:eastAsia="Amiri" w:cs="Amiri"/>
          <w:color w:val="111111"/>
          <w:sz w:val="28"/>
          <w:sz w:val="28"/>
          <w:szCs w:val="28"/>
          <w:rtl w:val="true"/>
          <w:lang w:bidi="ar-SA"/>
        </w:rPr>
        <w:t>الصحّة ثم تطبيق العمل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وإليك ما ورد في الصحاح حول الرؤية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البخاري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جسر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هل نرى ربّنا يوم القيامة؟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تضارّون في الشمس ليس دونها 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 رسول الله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تضارّون في القمر ليلة البدر ليس دونه 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 رسول الله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فإنّكم ترونه يوم القيامة ، كذلك يجمع الله الناس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يعبد شيئاً فليتبعه ، فيتبع من كان يعبد الشمسَ ، ويتبع من كان يعبد القمر ، ويتبع من كان يعبد الطواغيت ، وتبقى هذه الأُمّة فيها منافقوها ، فيأتيهم الله في غير الصورة التي يعرفون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ربكم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منك هذا مكاننا حتى يأتينا ربّنا فإذا أتانا ربّنا عرفناه فيأتيهم الله في الصورة التي يعرفون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ربكم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ربّنا فيتبعونه ويضرب جسر جهنم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ويبقى رجل مقبل بوجهه على النار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قد قشبني ريحها ، وأحرقني ذكاؤها ، فاصرف وجهي عن النار ، فلا يزال يدعو الله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إن أعطيتك أن تسألني غيره</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وعزتك لا أسألك غيره ، فيصرف وجهه عن النار ، ثم يقول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قرّبني إلى باب الجنة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قد زعمت أن لا تسألني غيره؟ ويلك ابن آدم ما أغدرك ، فلا يزال يدعو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إن أعطيتك ذلك تسألني غيره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وعزتك لا أسألك غيره ، فيعطي الله من عهود ومواثيق أن لا يسأله غيره ، فيقرّبه إلى باب الجنّة فإذا رأى ما فيها ، سكت ما شاء الله أن يسكت ،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 أدخلني الجنّة ،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ليس قد زعمت أن لا تسألني غيره ، ويلك يا ابن آدم ما أغدرك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لا تجعلني أشقى خلقك ، فلا يزال يدعو حتى </w:t>
      </w:r>
      <w:bookmarkStart w:id="547" w:name="pg11047_102754"/>
    </w:p>
    <w:p>
      <w:pPr>
        <w:pStyle w:val="BookText"/>
        <w:rPr/>
      </w:pPr>
      <w:bookmarkEnd w:id="547"/>
      <w:r>
        <w:rPr>
          <w:rFonts w:ascii="Amiri" w:hAnsi="Amiri" w:eastAsia="Amiri" w:cs="Amiri"/>
          <w:color w:val="111111"/>
          <w:sz w:val="28"/>
          <w:sz w:val="28"/>
          <w:szCs w:val="28"/>
          <w:rtl w:val="true"/>
          <w:lang w:bidi="ar-SA"/>
        </w:rPr>
        <w:t xml:space="preserve">يضحك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ضحك منه أذن له بالدخول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 xml:space="preserve">ورواه مسلم في صحيحه عن أبي هريرة مع اختلاف يسير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أيضاً عن أبي سعيد الخدري باختلاف غير يسير في المتن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لم يبق إلاّ من كان يعبد الله تعالى من برّ وفاجر أتاهم ربّ العالمين سبحانه وتعالى في أدنى صورة من التي رأوه فيها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تنتظر تتبع كل أُمّة ما كانت تعبد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ربّنا فارقنا الناس في الدنيا أفقر ما كنّا إليهم ولم نصاحبهم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ربكم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منك ، لا نشرك بالله شيئاً ، مرتين أو ثلاثاً حتى أنّ بعضهم ليكاد أن ينقلب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بينكم وبينه آية فتعرفونه بها؟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فيكشف عن ساق ، فلا يبقى من كان يسجد لله من تلقاء نفسه ، إلاّ أذن الله له بالسجود ، ولا يبقى من كان يسجد اتقاءً ورياءً إلاّ جعل الله ظهره طبقة واحدة ، كلما أراد أن يسجد خرّ على قفاه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 xml:space="preserve">وقد نقل الحديث في مواضع من الصحيحين بتلخيص ، ورواه أحمد في مسنده </w:t>
      </w:r>
      <w:r>
        <w:rPr>
          <w:rStyle w:val="FootnoteAnchor"/>
          <w:rtl w:val="true"/>
        </w:rPr>
        <w:footnoteReference w:id="301"/>
      </w:r>
    </w:p>
    <w:p>
      <w:pPr>
        <w:pStyle w:val="Heading4"/>
        <w:numPr>
          <w:ilvl w:val="3"/>
          <w:numId w:val="1"/>
        </w:numPr>
        <w:rPr/>
      </w:pPr>
      <w:bookmarkStart w:id="548" w:name="__RefHeading___Toc1391315_1067777946"/>
      <w:bookmarkStart w:id="549" w:name="_Toc207"/>
      <w:bookmarkEnd w:id="548"/>
      <w:r>
        <w:rPr>
          <w:rtl w:val="true"/>
        </w:rPr>
        <w:t>تحليل الحديث</w:t>
      </w:r>
      <w:bookmarkEnd w:id="549"/>
    </w:p>
    <w:p>
      <w:pPr>
        <w:pStyle w:val="BookText"/>
        <w:rPr/>
      </w:pPr>
      <w:r>
        <w:rPr>
          <w:rFonts w:ascii="Amiri" w:hAnsi="Amiri" w:eastAsia="Amiri" w:cs="Amiri"/>
          <w:color w:val="111111"/>
          <w:sz w:val="28"/>
          <w:sz w:val="28"/>
          <w:szCs w:val="28"/>
          <w:rtl w:val="true"/>
          <w:lang w:bidi="ar-SA"/>
        </w:rPr>
        <w:t xml:space="preserve">إنّ هذا الحديث مهما كثرت رواته ، وتعددت نقلته لا يصح الركون إليه في منطق الشرع والعقل بوجوه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خبر واحد لا يفيد شيئاً في باب الأُصول والعقائد ، وإن كان مفيداً في</w:t>
      </w:r>
    </w:p>
    <w:p>
      <w:pPr>
        <w:pStyle w:val="BookText"/>
        <w:rPr/>
      </w:pPr>
      <w:r>
        <w:rPr>
          <w:rFonts w:ascii="Amiri" w:hAnsi="Amiri" w:eastAsia="Amiri" w:cs="Amiri"/>
          <w:color w:val="111111"/>
          <w:sz w:val="28"/>
          <w:sz w:val="28"/>
          <w:szCs w:val="28"/>
          <w:rtl w:val="true"/>
          <w:lang w:bidi="ar-SA"/>
        </w:rPr>
        <w:t>باب الفروع والأحكام ، إذ المطلوب في الفروع هو الفعل والعمل ، وهو أمر ميسور سواء أذعن العامل بكونه مطابقاً للواقع أو لا ، بل يكفي قيام الحجّة على لزوم تطبيق العمل عليه ، ولكن المطلوب في العقائد هو الإذعان وعقد القلب ونفي الريب والشك عن وجه الشيء ، وهو لا يحصل من خبر الواحد ولا من خبر الاثنين ، إلاّ إذا بلغ إلى حدّ يُورِث العلم والإذعان ، وهو غير حاصل بنقل شخص أو شخصين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الحديث مخالف للقرآن ، حيث يثبت لله صفات الجسم ولوازم الجسمانية كما سيوافيك بيانه عن السيد الجليل شرف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ذا يريد الراوي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فيأتي الله في غير الصورة التي يعرفون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لله سبحانه صوراً متعددة يعرفون بعضها ، وينكرون البعض الآخر ، وما ندري متى عرفوا التي عرفوها ، فهل كان ذلك منهم في الدنيا ، أو كان في البرزخ أم في الآخرة؟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ذا يريد الراوي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فيكشف عن ساق ، فلا يبقى من كان يسجد لله من تلقاء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معناه أنّ المؤمنين والمنافقين يعرفونه سبحانه بساقه ، فكانت هي الآية الدالّة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كفى في ضعف الحديث ما علّق عليه العلاّمة السيد شرف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الحديث ظاهر في أنّ لله تعالى جسماً ذا صورة مركّبة تعرض عليها الحوادث من التحوّل والتغيّر ، وأنّه سبحانه ذو حركة وانتقال ، يأتي هذه الأُمّة يوم حشرها ، وفيها مؤمنوها ومنافقوها ، فيرونه بأجمعهم ماثلاً لهم في صورة غير الصورة التي كانوا يعرفونها من ذي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ربكم ، فينكرونه متعوذين بالله منه ، ثم يأتيهم مرّة ثانية في الصورة التي يعرفون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ربكم ، فيقول </w:t>
      </w:r>
    </w:p>
    <w:p>
      <w:pPr>
        <w:pStyle w:val="BookText"/>
        <w:rPr/>
      </w:pPr>
      <w:r>
        <w:rPr>
          <w:rFonts w:ascii="Amiri" w:hAnsi="Amiri" w:eastAsia="Amiri" w:cs="Amiri"/>
          <w:color w:val="111111"/>
          <w:sz w:val="28"/>
          <w:sz w:val="28"/>
          <w:szCs w:val="28"/>
          <w:rtl w:val="true"/>
          <w:lang w:bidi="ar-SA"/>
        </w:rPr>
        <w:t xml:space="preserve">المؤمنون والمنافقون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أنت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عرفوه بالساق ، إذ كشف لهم عنها ، فكانت هي آيته الدالة عليه ، فيتسنّى حينئذ السجود للمؤمنين منهم ، دون المنافقين ، وحين يرفعون رءوسهم يرون الله ماثلاً فوقهم بصورته التي يعرفون لا يمارونَ فيه ، كما كانوا في الدنيا لا يُمارون في الشمس والقمر ، ماثلين فوقهم بجرميهما النيرين ليس دونهما سحاب ، وإذا به ، بعد هذا يضحك ويعجب من غير معجب ، كما هو يأتي ويذهب إلى آخر ما اشتمل عليه الحديثان ممّا لا يجوز على الله تعالى ، ولا على رسوله ، بإجماع أهل التنزيه من أشاعرة وغيرهم ، فلا حول ولا قوة إلاّ بالله العلي العظيم</w:t>
      </w:r>
      <w:r>
        <w:rPr>
          <w:rFonts w:eastAsia="Amiri" w:cs="Amiri" w:ascii="Amiri" w:hAnsi="Amiri"/>
          <w:color w:val="111111"/>
          <w:sz w:val="28"/>
          <w:szCs w:val="28"/>
          <w:rtl w:val="true"/>
          <w:lang w:bidi="ar-SA"/>
        </w:rPr>
        <w:t xml:space="preserve">. </w:t>
      </w:r>
      <w:r>
        <w:rPr>
          <w:rStyle w:val="FootnoteAnchor"/>
          <w:rtl w:val="true"/>
        </w:rPr>
        <w:footnoteReference w:id="30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البخاري في كتاب الصلاة ، باب مواقيت الصلاة ، وفضيلتها عن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جرير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إلى القمر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ترون ربّكم كما ترون هذا القمر لا تضامون في رؤيته فإن استطعتم أن لا تغلبوا على صلاة قبل طلوع الشمس وقبل غروبها فافعلوا ثمّ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وَسَبِّحْ بِحَمْدِ رَبِّكَ قَبْلَ طُلُوعِ الشَّمْسِ وَقَبْلَ الْغُرُوبِ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وحديث قيس بن أبي حازم مع كونه مضاداً للكتاب ضعيف من جانب السند وإن رواه الشيخان ، ويكفي فيه وقوع قيس بن أبي حازم في سنده ، ترجمه ابن عبد البر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أبي حازم الأحمسي جاهلي إسلامي لم ير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عهده وصدق إلى مصدِّقه ، وهو من كبار التابعين ، مات سنة ثمان أو سبع وتسعين وكان </w:t>
      </w:r>
    </w:p>
    <w:p>
      <w:pPr>
        <w:pStyle w:val="BookText"/>
        <w:rPr/>
      </w:pPr>
      <w:r>
        <w:rPr>
          <w:rFonts w:ascii="Amiri" w:hAnsi="Amiri" w:eastAsia="Amiri" w:cs="Amiri"/>
          <w:color w:val="111111"/>
          <w:sz w:val="28"/>
          <w:sz w:val="28"/>
          <w:szCs w:val="28"/>
          <w:rtl w:val="true"/>
          <w:lang w:bidi="ar-SA"/>
        </w:rPr>
        <w:t>عثمانياً</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 xml:space="preserve">وقال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أبي حازم عن أبي بكر وعمر ، ثقة حجة كاد أن يكون صحابياً ، وثّقه ابن معين والناس ، وقال علي بن عبد الله عن يحيى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منكر الحديث ، ثم سمّى له أحاديث استنكرها ، وقال يعقوب الدوسي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 فيه أصحابنا ، فمنهم من حمل عليه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مناكير ، فالذين أطروه عدّوها غرائب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يحمل على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والمشهور أنّه كان يقدم عثمان ، وقال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ثبتاً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كبر حتى جاوز المائة وخرف</w:t>
      </w:r>
      <w:r>
        <w:rPr>
          <w:rFonts w:eastAsia="Amiri" w:cs="Amiri" w:ascii="Amiri" w:hAnsi="Amiri"/>
          <w:color w:val="111111"/>
          <w:sz w:val="28"/>
          <w:szCs w:val="28"/>
          <w:rtl w:val="true"/>
          <w:lang w:bidi="ar-SA"/>
        </w:rPr>
        <w:t xml:space="preserve">. </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 xml:space="preserve">وقد تقدم أنّ العدل والتنزيه علويان ، كما أنّ الجبر والتشبيه أمويان ، وهل يصح في ميزان النصفة الأخذ برواية رجل عثماني الهوى ، معرضاً عن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وعاش حتى 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الواجب ضربها عرض الحائط؟</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نرجو من الله سبحانه أن تكون هذه البحوث مصباحاً منيراً للشباب المتطلّعين إلى الحقيقة الذين استهدفوا من قبل أعداء الإسلام بغية سلب هويتهم وأصالتهم الإسلامية</w:t>
      </w:r>
      <w:r>
        <w:rPr>
          <w:rFonts w:eastAsia="Amiri" w:cs="Amiri" w:ascii="Amiri" w:hAnsi="Amiri"/>
          <w:color w:val="111111"/>
          <w:sz w:val="28"/>
          <w:szCs w:val="28"/>
          <w:rtl w:val="true"/>
          <w:lang w:bidi="ar-SA"/>
        </w:rPr>
        <w:t xml:space="preserve">.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0" w:name="pg11047_102759"/>
      <w:bookmarkStart w:id="551" w:name="pg11047_102759"/>
      <w:bookmarkEnd w:id="551"/>
    </w:p>
    <w:p>
      <w:pPr>
        <w:pStyle w:val="Heading2"/>
        <w:numPr>
          <w:ilvl w:val="1"/>
          <w:numId w:val="1"/>
        </w:numPr>
        <w:rPr/>
      </w:pPr>
      <w:bookmarkStart w:id="552" w:name="pg11047_102759"/>
      <w:bookmarkStart w:id="553" w:name="__RefHeading___Toc1391317_1067777946"/>
      <w:bookmarkStart w:id="554" w:name="_Toc208"/>
      <w:bookmarkEnd w:id="552"/>
      <w:bookmarkEnd w:id="553"/>
      <w:r>
        <w:rPr>
          <w:rtl w:val="true"/>
        </w:rPr>
        <w:t>الفصل السادس</w:t>
      </w:r>
      <w:r>
        <w:rPr>
          <w:rtl w:val="true"/>
        </w:rPr>
        <w:t xml:space="preserve">: </w:t>
      </w:r>
      <w:r>
        <w:rPr>
          <w:rtl w:val="true"/>
        </w:rPr>
        <w:t>عصمة الأنبياء في القرآن الكريم</w:t>
      </w:r>
      <w:bookmarkEnd w:id="554"/>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55" w:name="__RefHeading___Toc1391319_1067777946"/>
      <w:bookmarkStart w:id="556" w:name="_Toc209"/>
      <w:bookmarkEnd w:id="555"/>
      <w:r>
        <w:rPr>
          <w:rtl w:val="true"/>
        </w:rPr>
        <w:t>اشارة</w:t>
      </w:r>
      <w:bookmarkEnd w:id="556"/>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7" w:name="pg11047_102761"/>
      <w:bookmarkStart w:id="558" w:name="pg11047_102761"/>
      <w:bookmarkEnd w:id="558"/>
    </w:p>
    <w:p>
      <w:pPr>
        <w:pStyle w:val="Heading3"/>
        <w:numPr>
          <w:ilvl w:val="2"/>
          <w:numId w:val="1"/>
        </w:numPr>
        <w:rPr/>
      </w:pPr>
      <w:bookmarkStart w:id="559" w:name="pg11047_102761"/>
      <w:bookmarkStart w:id="560" w:name="__RefHeading___Toc1391321_1067777946"/>
      <w:bookmarkStart w:id="561" w:name="_Toc210"/>
      <w:bookmarkEnd w:id="559"/>
      <w:bookmarkEnd w:id="560"/>
      <w:r>
        <w:rPr/>
        <w:t>1</w:t>
      </w:r>
      <w:r>
        <w:rPr>
          <w:rtl w:val="true"/>
        </w:rPr>
        <w:t xml:space="preserve">- </w:t>
      </w:r>
      <w:r>
        <w:rPr>
          <w:rtl w:val="true"/>
        </w:rPr>
        <w:t>العصمة في اللغة والاصطلاح</w:t>
      </w:r>
      <w:bookmarkEnd w:id="561"/>
    </w:p>
    <w:p>
      <w:pPr>
        <w:pStyle w:val="Heading4"/>
        <w:numPr>
          <w:ilvl w:val="3"/>
          <w:numId w:val="1"/>
        </w:numPr>
        <w:rPr/>
      </w:pPr>
      <w:bookmarkStart w:id="562" w:name="__RefHeading___Toc1391323_1067777946"/>
      <w:bookmarkStart w:id="563" w:name="_Toc211"/>
      <w:bookmarkEnd w:id="562"/>
      <w:r>
        <w:rPr>
          <w:rtl w:val="true"/>
        </w:rPr>
        <w:t>اشارة</w:t>
      </w:r>
      <w:bookmarkEnd w:id="563"/>
    </w:p>
    <w:p>
      <w:pPr>
        <w:pStyle w:val="BookText"/>
        <w:rPr/>
      </w:pPr>
      <w:r>
        <w:rPr>
          <w:rFonts w:ascii="Amiri" w:hAnsi="Amiri" w:eastAsia="Amiri" w:cs="Amiri"/>
          <w:color w:val="111111"/>
          <w:sz w:val="28"/>
          <w:sz w:val="28"/>
          <w:szCs w:val="28"/>
          <w:rtl w:val="true"/>
          <w:lang w:bidi="ar-SA"/>
        </w:rPr>
        <w:t xml:space="preserve">العصمة في اللغة بمعنى الإمساك والمنع ، قال ابن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 له أصل واحد يدلّ على إمساك ومنع ، من ذلك العصمة ، أن يعصم الله تعالى عبده من سوء يقع فيه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اصطلاحاً ، فالعصمة هي المصونية عن الخطأ والعصيان وبهذا المعنى وصف سبحانه الملائكة الموكلين على الحجيم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مَلائِكَةٌ غِلاظٌ شِدادٌ لا يَعْصُونَ اللهَ ما أَمَرَهُمْ وَيَفْعَلُونَ ما يُؤْمَرُونَ</w:t>
      </w:r>
      <w:r>
        <w:rPr>
          <w:rFonts w:eastAsia="Amiri" w:cs="Amiri" w:ascii="Amiri" w:hAnsi="Amiri"/>
          <w:color w:val="111111"/>
          <w:sz w:val="28"/>
          <w:szCs w:val="28"/>
          <w:rtl w:val="true"/>
          <w:lang w:bidi="ar-SA"/>
        </w:rPr>
        <w:t xml:space="preserve">) </w:t>
      </w:r>
      <w:r>
        <w:rPr>
          <w:rStyle w:val="FootnoteAnchor"/>
          <w:rtl w:val="true"/>
        </w:rPr>
        <w:footnoteReference w:id="305"/>
      </w:r>
      <w:r>
        <w:rPr>
          <w:rFonts w:ascii="Amiri" w:hAnsi="Amiri" w:eastAsia="Amiri" w:cs="Amiri"/>
          <w:color w:val="111111"/>
          <w:sz w:val="28"/>
          <w:sz w:val="28"/>
          <w:szCs w:val="28"/>
          <w:rtl w:val="true"/>
          <w:lang w:bidi="ar-SA"/>
        </w:rPr>
        <w:t xml:space="preserve">ولا يجد الإنسان كلمة أوضح من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يَعْصُونَ اللهَ ما أَمَرَهُمْ وَيَفْعَلُونَ ما يُؤْمَرُونَ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تحديد حقيقة العصمة وواقعها في مجال الامتثال فالآية تنص على عصمة الملائكة في مجال التكليف ، وأمّا العصمة في مجال غير التكليف فالله سبحانه يصف الذكر الحكيم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يَأْتِيهِ الْباطِلُ مِنْ بَيْنِ يَدَيْهِ وَلا مِنْ خَلْفِهِ تَنْزِيلٌ مِنْ حَكِيمٍ حَمِيدٍ</w:t>
      </w:r>
      <w:r>
        <w:rPr>
          <w:rFonts w:eastAsia="Amiri" w:cs="Amiri" w:ascii="Amiri" w:hAnsi="Amiri"/>
          <w:color w:val="111111"/>
          <w:sz w:val="28"/>
          <w:szCs w:val="28"/>
          <w:rtl w:val="true"/>
          <w:lang w:bidi="ar-SA"/>
        </w:rPr>
        <w:t xml:space="preserve">) </w:t>
      </w:r>
      <w:r>
        <w:rPr>
          <w:rStyle w:val="FootnoteAnchor"/>
          <w:rtl w:val="true"/>
        </w:rPr>
        <w:footnoteReference w:id="306"/>
      </w:r>
      <w:r>
        <w:rPr>
          <w:rFonts w:ascii="Amiri" w:hAnsi="Amiri" w:eastAsia="Amiri" w:cs="Amiri"/>
          <w:color w:val="111111"/>
          <w:sz w:val="28"/>
          <w:sz w:val="28"/>
          <w:szCs w:val="28"/>
          <w:rtl w:val="true"/>
          <w:lang w:bidi="ar-SA"/>
        </w:rPr>
        <w:t>فالآية تنص على مصونية القرآن من طروء الباطل عليه والخطأ من أقسام الباطل</w:t>
      </w:r>
      <w:r>
        <w:rPr>
          <w:rFonts w:eastAsia="Amiri" w:cs="Amiri" w:ascii="Amiri" w:hAnsi="Amiri"/>
          <w:color w:val="111111"/>
          <w:sz w:val="28"/>
          <w:szCs w:val="28"/>
          <w:rtl w:val="true"/>
          <w:lang w:bidi="ar-SA"/>
        </w:rPr>
        <w:t xml:space="preserve">. </w:t>
      </w:r>
      <w:bookmarkStart w:id="564" w:name="pg11047_102762"/>
    </w:p>
    <w:p>
      <w:pPr>
        <w:pStyle w:val="Heading4"/>
        <w:numPr>
          <w:ilvl w:val="3"/>
          <w:numId w:val="1"/>
        </w:numPr>
        <w:rPr/>
      </w:pPr>
      <w:bookmarkStart w:id="565" w:name="__RefHeading___Toc1391325_1067777946"/>
      <w:bookmarkStart w:id="566" w:name="_Toc212"/>
      <w:bookmarkEnd w:id="564"/>
      <w:bookmarkEnd w:id="565"/>
      <w:r>
        <w:rPr>
          <w:rtl w:val="true"/>
        </w:rPr>
        <w:t>مبدأ ظهور فكرة العصمة بين المسلمين</w:t>
      </w:r>
      <w:bookmarkEnd w:id="566"/>
    </w:p>
    <w:p>
      <w:pPr>
        <w:pStyle w:val="BookText"/>
        <w:rPr/>
      </w:pPr>
      <w:r>
        <w:rPr>
          <w:rFonts w:ascii="Amiri" w:hAnsi="Amiri" w:eastAsia="Amiri" w:cs="Amiri"/>
          <w:color w:val="111111"/>
          <w:sz w:val="28"/>
          <w:sz w:val="28"/>
          <w:szCs w:val="28"/>
          <w:rtl w:val="true"/>
          <w:lang w:bidi="ar-SA"/>
        </w:rPr>
        <w:t xml:space="preserve">وبالامعان في هذه الآيات يظهر انّ العصمة بمفهومها البسيط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العصمة من العصيان والخطأ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قطع النظر عن موصوفها ، قد طرحها القرآن وألفتَ نظر المسلمين إليها من دون أن يحتاج علماؤهم إلى أخذ هذه الفكرة من الأحبار والرهبان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يعلم انّ مبدأ ظهور فكرة العصمة في الأُمة الإسلامية هي القرآن الكريم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انّ الموصوف في هذه الآيات وإن كانت هي الملائكة أو القرآن الكريم والمطروح عند علماء الكلام هو عصمة الأنبياء والأئمة ، لكن الاختلاف في الموصوف لا يضرّ بكون القرآن مبدأً لهذه الفكرة ، لانّ المطلوب هو الوقوف على منشأ تكوّن هذه الفكرة ، ثمّ تطورها عند المتكلّمين ويكفي في ذلك كون القرآن قد طرح هذه المسألة في حقّ الملائكة والقرآن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القرآن الكريم طرح عصمة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واحد من آياته كما سيوافيك ، ويكفيك في المقام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 xml:space="preserve">). </w:t>
      </w:r>
      <w:r>
        <w:rPr>
          <w:rStyle w:val="FootnoteAnchor"/>
          <w:rtl w:val="true"/>
        </w:rPr>
        <w:footnoteReference w:id="307"/>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فنرى الآيتين تشيران بوضوح إلى انّ النبي لا ينطق عن ميول نفسانية وان ما ينطق به ، وحي ألْقى في روعه وأُوحِي إلى قلبه ، ومن لا يتكلّم عن الميول النفسانية ويعتمد في منطقه على الوحي يكون مصوناً من الزلل في المرحلتين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مرحلة الأخذ والتبليع ، إذ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كَذَبَ الْفُؤادُ ما رَأى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زاغَ الْبَصَرُ وَما طَغى</w:t>
      </w:r>
      <w:r>
        <w:rPr>
          <w:rFonts w:eastAsia="Amiri" w:cs="Amiri" w:ascii="Amiri" w:hAnsi="Amiri"/>
          <w:color w:val="111111"/>
          <w:sz w:val="28"/>
          <w:szCs w:val="28"/>
          <w:rtl w:val="true"/>
          <w:lang w:bidi="ar-SA"/>
        </w:rPr>
        <w:t xml:space="preserve">). </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 xml:space="preserve">وقد نرى جذور عصمة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الإمام علي حيث يصف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الخطبة القاصعة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قَرَن الله به مِنْ لدن أن كانَ فطيماً أعظمَ ملك من ملائكته ، يسلك به طريقَ المكارم ، ومحاسنَ أخلاق العالم ليله ونهاره</w:t>
      </w:r>
      <w:r>
        <w:rPr>
          <w:rFonts w:eastAsia="Amiri" w:cs="Amiri" w:ascii="Amiri" w:hAnsi="Amiri"/>
          <w:color w:val="111111"/>
          <w:sz w:val="28"/>
          <w:szCs w:val="28"/>
          <w:rtl w:val="true"/>
          <w:lang w:bidi="ar-SA"/>
        </w:rPr>
        <w:t xml:space="preserve">». </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ودلالة هذه الجمل من هذه الخطبة على عصمة النبي في القول والعمل عن الخطأ والزلل واضحة فانّ من ربّاه أعظم ملك من ملائكة الله سبحانه من لدن أن كان فطيماً ، إلى أُخريات حياته الشريفة ، لا تنفك عن المصونية من العصيان والخطأ ، كيف وهذا الملك يسلك به طريق المكارم ، ويربّيه على محاسن أخلاق العالم ، ليلَه ونهارَه ، لا يعصي ولا ينحرف عن الجادة الوسطى وليست المعصية إلاّ سلوك طريق المآثم ومساوى الأخلاق ومن يسلك الطريق الأوّل يكون متجنباً عن سلوك الطريق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جذور المسألة في الكتاب العزيز وفي كلمات الإمام أمير المؤمنين ، ثمّ إنّ المتكلّمين هم الذين اهتموا بمسألة العصمة خصوصاً الإمامية والمعتزلة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يمكن أن ينكر انّ المناظرات التي دارت بين الإمام علي بن موسى الرضا وأهل المقالات من الفرق الإسلامية قد اعطت للمسألة مكانة خاصة ، فقد أبطل الإمام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من حجج المخالفين في مجال نفي العصمة عن الأنبياء عامة والنبي الأعظم خاصة ، ولو لا خوف الإطالة لأتينا ببعض هذه المناظرات التي دارت بين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المقالات من الفرق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مفهوم العصمة لغة واصطلاحاً ومبدأ ظهوره وسيره في التاريخ</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نجد المستشرق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رونالدوسن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ينسب فكرة ظهور العصمة في الإسلام </w:t>
      </w:r>
    </w:p>
    <w:p>
      <w:pPr>
        <w:pStyle w:val="BookText"/>
        <w:rPr/>
      </w:pPr>
      <w:r>
        <w:rPr>
          <w:rFonts w:ascii="Amiri" w:hAnsi="Amiri" w:eastAsia="Amiri" w:cs="Amiri"/>
          <w:color w:val="111111"/>
          <w:sz w:val="28"/>
          <w:sz w:val="28"/>
          <w:szCs w:val="28"/>
          <w:rtl w:val="true"/>
          <w:lang w:bidi="ar-SA"/>
        </w:rPr>
        <w:t>إلى تطور علم الكلام عند الشيعة وانّهم أوّل من تطرق إلى بحث هذه العقيدة ووصف بها أئمّتهم</w:t>
      </w:r>
      <w:r>
        <w:rPr>
          <w:rFonts w:eastAsia="Amiri" w:cs="Amiri" w:ascii="Amiri" w:hAnsi="Amiri"/>
          <w:color w:val="111111"/>
          <w:sz w:val="28"/>
          <w:szCs w:val="28"/>
          <w:rtl w:val="true"/>
          <w:lang w:bidi="ar-SA"/>
        </w:rPr>
        <w:t xml:space="preserve">. </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انّ هذا التحليل لا يبتني على أساس رصين وإنّما هو من الأوهام والأساطير التي اخترعتها نفسية الرجل وعداؤه للإسلام والمسلمين أوّلاً ، والشيعةُ أئمّتهم ثانياً</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 لهذا الرجل عثرات وأوهام في كتابه الذي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عقيدة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فيه من عقيدة الشيعة إلاّ شيئاً لا يذكر</w:t>
      </w:r>
      <w:r>
        <w:rPr>
          <w:rFonts w:eastAsia="Amiri" w:cs="Amiri" w:ascii="Amiri" w:hAnsi="Amiri"/>
          <w:color w:val="111111"/>
          <w:sz w:val="28"/>
          <w:szCs w:val="28"/>
          <w:rtl w:val="true"/>
          <w:lang w:bidi="ar-SA"/>
        </w:rPr>
        <w:t xml:space="preserve">. </w:t>
      </w:r>
      <w:bookmarkStart w:id="567" w:name="pg11047_102765"/>
    </w:p>
    <w:p>
      <w:pPr>
        <w:pStyle w:val="Heading3"/>
        <w:numPr>
          <w:ilvl w:val="2"/>
          <w:numId w:val="1"/>
        </w:numPr>
        <w:rPr/>
      </w:pPr>
      <w:bookmarkStart w:id="568" w:name="__RefHeading___Toc1391327_1067777946"/>
      <w:bookmarkStart w:id="569" w:name="_Toc213"/>
      <w:bookmarkEnd w:id="567"/>
      <w:bookmarkEnd w:id="568"/>
      <w:r>
        <w:rPr/>
        <w:t>2</w:t>
      </w:r>
      <w:r>
        <w:rPr>
          <w:rtl w:val="true"/>
        </w:rPr>
        <w:t xml:space="preserve">- </w:t>
      </w:r>
      <w:r>
        <w:rPr>
          <w:rtl w:val="true"/>
        </w:rPr>
        <w:t>تعريف العصمة وحقيقتها</w:t>
      </w:r>
      <w:bookmarkEnd w:id="569"/>
    </w:p>
    <w:p>
      <w:pPr>
        <w:pStyle w:val="Heading4"/>
        <w:numPr>
          <w:ilvl w:val="3"/>
          <w:numId w:val="1"/>
        </w:numPr>
        <w:rPr/>
      </w:pPr>
      <w:bookmarkStart w:id="570" w:name="__RefHeading___Toc1391329_1067777946"/>
      <w:bookmarkStart w:id="571" w:name="_Toc214"/>
      <w:bookmarkEnd w:id="570"/>
      <w:r>
        <w:rPr>
          <w:rtl w:val="true"/>
        </w:rPr>
        <w:t>اشارة</w:t>
      </w:r>
      <w:bookmarkEnd w:id="571"/>
    </w:p>
    <w:p>
      <w:pPr>
        <w:pStyle w:val="BookText"/>
        <w:rPr/>
      </w:pPr>
      <w:r>
        <w:rPr>
          <w:rFonts w:ascii="Amiri" w:hAnsi="Amiri" w:eastAsia="Amiri" w:cs="Amiri"/>
          <w:color w:val="111111"/>
          <w:sz w:val="28"/>
          <w:sz w:val="28"/>
          <w:szCs w:val="28"/>
          <w:rtl w:val="true"/>
          <w:lang w:bidi="ar-SA"/>
        </w:rPr>
        <w:t xml:space="preserve">لا شكّ انّ الإنسان بالذات غير مصون عن الخطأ والنسيان ، والانحراف والعصيان ولذلك يصفه سبحانه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الْإِنْسانَ لَفِي خُسْرٍ</w:t>
      </w:r>
      <w:r>
        <w:rPr>
          <w:rFonts w:eastAsia="Amiri" w:cs="Amiri" w:ascii="Amiri" w:hAnsi="Amiri"/>
          <w:color w:val="111111"/>
          <w:sz w:val="28"/>
          <w:szCs w:val="28"/>
          <w:rtl w:val="true"/>
          <w:lang w:bidi="ar-SA"/>
        </w:rPr>
        <w:t xml:space="preserve">) </w:t>
      </w:r>
      <w:r>
        <w:rPr>
          <w:rStyle w:val="FootnoteAnchor"/>
          <w:rtl w:val="true"/>
        </w:rPr>
        <w:footnoteReference w:id="311"/>
      </w:r>
      <w:r>
        <w:rPr>
          <w:rFonts w:ascii="Amiri" w:hAnsi="Amiri" w:eastAsia="Amiri" w:cs="Amiri"/>
          <w:color w:val="111111"/>
          <w:sz w:val="28"/>
          <w:sz w:val="28"/>
          <w:szCs w:val="28"/>
          <w:rtl w:val="true"/>
          <w:lang w:bidi="ar-SA"/>
        </w:rPr>
        <w:t>فلو بلغ الإنسان إلى مرحلة لا يعصي ولا يُخطِئ ولا يَنْسى فهو لأجل عامل خارجي عن ذاته يبلغ به إلى تلك الدرجة التي يعبّر عنها بالعصمة ، ولذلك عاد المحقّقون إلى تعريف العصمة بتعاريف يؤيد بعضها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فالعصمة عبارة عن لطف يفعله الله في المكلّف بحيث لا يكون له مع ذلك داع إلى ترك الطاعة ولا إلى فعل المعصية مع قدرته على ذلك ، ويحصل انتظام ذلك اللطف بأن يحصل له ملكة مانعة من الفجور والاقدام على المعاصي مضافاً إلى العلم بما في الطاعة من الثواب ، والعصمة من العقاب ، مع خوف المؤاخذة على ترك الأُولى ، وفعل المنهيّ</w:t>
      </w:r>
      <w:r>
        <w:rPr>
          <w:rFonts w:eastAsia="Amiri" w:cs="Amiri" w:ascii="Amiri" w:hAnsi="Amiri"/>
          <w:color w:val="111111"/>
          <w:sz w:val="28"/>
          <w:szCs w:val="28"/>
          <w:rtl w:val="true"/>
          <w:lang w:bidi="ar-SA"/>
        </w:rPr>
        <w:t xml:space="preserve">. </w:t>
      </w:r>
      <w:r>
        <w:rPr>
          <w:rStyle w:val="FootnoteAnchor"/>
          <w:rtl w:val="true"/>
        </w:rPr>
        <w:footnoteReference w:id="312"/>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تعرف بانّها قوّة تمنع الإنسان عن اقتراف المعصية والوقوع في الخطأ</w:t>
      </w:r>
      <w:r>
        <w:rPr>
          <w:rFonts w:eastAsia="Amiri" w:cs="Amiri" w:ascii="Amiri" w:hAnsi="Amiri"/>
          <w:color w:val="111111"/>
          <w:sz w:val="28"/>
          <w:szCs w:val="28"/>
          <w:rtl w:val="true"/>
          <w:lang w:bidi="ar-SA"/>
        </w:rPr>
        <w:t xml:space="preserve">. </w:t>
      </w:r>
      <w:r>
        <w:rPr>
          <w:rStyle w:val="FootnoteAnchor"/>
          <w:rtl w:val="true"/>
        </w:rPr>
        <w:footnoteReference w:id="313"/>
      </w:r>
      <w:bookmarkStart w:id="572" w:name="pg11047_102766"/>
    </w:p>
    <w:p>
      <w:pPr>
        <w:pStyle w:val="BookText"/>
        <w:rPr/>
      </w:pPr>
      <w:bookmarkEnd w:id="572"/>
      <w:r>
        <w:rPr>
          <w:rFonts w:ascii="Amiri" w:hAnsi="Amiri" w:eastAsia="Amiri" w:cs="Amiri"/>
          <w:color w:val="111111"/>
          <w:sz w:val="28"/>
          <w:sz w:val="28"/>
          <w:szCs w:val="28"/>
          <w:rtl w:val="true"/>
          <w:lang w:bidi="ar-SA"/>
        </w:rPr>
        <w:t>ثمّ إنّ العامل الذي يصدّ الإنسان عن اقتراف المعاصي بل عن ارتكاب الخطأ والنسيان أحد الأُمور الثلاثة التالية على وجه منع الخلو وليست بمانعة عن الجمع</w:t>
      </w:r>
      <w:r>
        <w:rPr>
          <w:rFonts w:eastAsia="Amiri" w:cs="Amiri" w:ascii="Amiri" w:hAnsi="Amiri"/>
          <w:color w:val="111111"/>
          <w:sz w:val="28"/>
          <w:szCs w:val="28"/>
          <w:rtl w:val="true"/>
          <w:lang w:bidi="ar-SA"/>
        </w:rPr>
        <w:t>.</w:t>
      </w:r>
    </w:p>
    <w:p>
      <w:pPr>
        <w:pStyle w:val="Heading4"/>
        <w:numPr>
          <w:ilvl w:val="3"/>
          <w:numId w:val="1"/>
        </w:numPr>
        <w:rPr/>
      </w:pPr>
      <w:bookmarkStart w:id="573" w:name="__RefHeading___Toc1391331_1067777946"/>
      <w:bookmarkStart w:id="574" w:name="_Toc215"/>
      <w:bookmarkEnd w:id="573"/>
      <w:r>
        <w:rPr/>
        <w:t>1</w:t>
      </w:r>
      <w:r>
        <w:rPr>
          <w:rtl w:val="true"/>
        </w:rPr>
        <w:t xml:space="preserve">. </w:t>
      </w:r>
      <w:r>
        <w:rPr>
          <w:rtl w:val="true"/>
        </w:rPr>
        <w:t>العصمة ، الدرجة القصوى من التقوى</w:t>
      </w:r>
      <w:bookmarkEnd w:id="574"/>
    </w:p>
    <w:p>
      <w:pPr>
        <w:pStyle w:val="BookText"/>
        <w:rPr/>
      </w:pPr>
      <w:r>
        <w:rPr>
          <w:rFonts w:ascii="Amiri" w:hAnsi="Amiri" w:eastAsia="Amiri" w:cs="Amiri"/>
          <w:color w:val="111111"/>
          <w:sz w:val="28"/>
          <w:sz w:val="28"/>
          <w:szCs w:val="28"/>
          <w:rtl w:val="true"/>
          <w:lang w:bidi="ar-SA"/>
        </w:rPr>
        <w:t>العصمة ترجع إلى التقوى بل هي درجة عليا منها فما تُعرَّف به التقوى تُعرَّف به 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أنّ التقوى حالة نفسانية تعصم الإنسان عن اقتراف كثير من القبائح والمعاصي ، فإذا بلغت تلك الحالة إلى نهايتها تعصم الإنسان عن اقتراف جميع قبائح الأعمال ، وذميم الفعال على وجه الإطلاق ، بل تعصم الإنسان حتى عن التفكير في المعصية ، فالمعصوم ليس خصوص من لا يرتكب المعاصي ويقترفها بل هو من لا يحوم حولها بفكره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العصمة ملكة نفسانية راسخة في النفس لها آثار خاصة كسائر الملكات النفسانية من الشجاعة والعفة والسخاء ، فإذا كان الإنسان شجاعاً وجسوراً ، سخياً وباذلاً ، وعفيفاً ونزيهاً ، يطلب في حياته معالي الأُمور ، ويتجنب عن سفاسفها فيطرد ما يخالفه من الآثار ، كالخوف والجبن والبخل والإمساك ، والقبح والسوء ، ولا يرى في حياته أثراً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العصمة ، فإذا بلغ الإنسان درجة قصوى من التقوى ، وصارت تلك الحالة راسخة في نفسه ، يصل الإنسان إلى حد لا يُرى في حياته أثر من العصيان والطغيان ، والتمرّد والتجرّي ، وتصير ساحته نقية عن المعصية</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أنّ الإنسان كيف يصل إلى هذا المقام؟ وما هو العامل الذي يُمكِّنُه من </w:t>
      </w:r>
    </w:p>
    <w:p>
      <w:pPr>
        <w:pStyle w:val="BookText"/>
        <w:rPr/>
      </w:pPr>
      <w:r>
        <w:rPr>
          <w:rFonts w:ascii="Amiri" w:hAnsi="Amiri" w:eastAsia="Amiri" w:cs="Amiri"/>
          <w:color w:val="111111"/>
          <w:sz w:val="28"/>
          <w:sz w:val="28"/>
          <w:szCs w:val="28"/>
          <w:rtl w:val="true"/>
          <w:lang w:bidi="ar-SA"/>
        </w:rPr>
        <w:t>هذه الحالة؟ فهو بحث آخر سنرجع إليه في مستقبل الأبحاث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كانت العصمة من سنخ التقوى والدرجة العليا منها ، يسهل لك تقسيمها إلى العصمة المطلقة والعصمة النسبية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العصمة المطلقة وإن كانت تختص بطبقة خاصة من الناس لكن العصمة النسبيّة تعم كثيراً من الناس من غير فرق بين أولياء الله وغيرهم ، لأنّ الإنسان الشريف الذي لا يقل وجوده في أوساطنا ، وإن كان يقترف بعض المعاصي لكنه يجتنب عن بعضها اجتناباً تاماً بحيث يتجنب عن التفكير فيها فضلاً عن الإتيان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الإنسان الشريف لا يتجوّل عارياً في الشوارع والطرقات مهما بلغ تحريض الآخرين له على ذلك الفعل ، حتّى أنّ كثيراً من اللصوص لا يقومون بالسرقة في منتصف الليل متسلحين لانتهاب شيء رخيص ، كما أنّ كثيراً من الناس لا يقومون بقتل الأبرياء ولا بقتل أنفسهم وان عرضت عليهم مكافآت مادية كبيرة ، فإنّ الحوافز الداعية إلى هذه الأفاعيل المنكرة غير موجودة في نفوسهم ، أو أنّها محكومة ومردودة بالتقوى التي تحلّوا بها ، ولأجل ذلك صاروا بمعزل عن تلك الأفعال القبيحة حتى أنّهم لا يفكّرون فيها ولا يحدّثون بها أنفسهم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والعصمة النسبية التي تعرفت عليها ، تقرّب حقيقة العصمة المطلقة في أذهاننا ، فلو بلغت تلك الحالة النفسانية الرادعة في الإنسان مبلغاً كبيراً ومرحلة شديدة بحيث تمنعه من اقتراف جميع القبائح ، يصير معصوماً مطلقاً ، كما أنّ الإنسان في القسم الأوّل يصير معصوماً نسبياً</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حوافز الطغيان والعصيان والبواعث على المخالفة </w:t>
      </w:r>
      <w:bookmarkStart w:id="575" w:name="pg11047_102768"/>
    </w:p>
    <w:p>
      <w:pPr>
        <w:pStyle w:val="BookText"/>
        <w:rPr/>
      </w:pPr>
      <w:bookmarkEnd w:id="575"/>
      <w:r>
        <w:rPr>
          <w:rFonts w:ascii="Amiri" w:hAnsi="Amiri" w:eastAsia="Amiri" w:cs="Amiri"/>
          <w:color w:val="111111"/>
          <w:sz w:val="28"/>
          <w:sz w:val="28"/>
          <w:szCs w:val="28"/>
          <w:rtl w:val="true"/>
          <w:lang w:bidi="ar-SA"/>
        </w:rPr>
        <w:t>محكومة عند الإنسان ، منفورة لديه لأجل الحالة الراسخة ، يصير الإنسان معصوماً تاماً منزهاً عن كل عيب وشين</w:t>
      </w:r>
      <w:r>
        <w:rPr>
          <w:rFonts w:eastAsia="Amiri" w:cs="Amiri" w:ascii="Amiri" w:hAnsi="Amiri"/>
          <w:color w:val="111111"/>
          <w:sz w:val="28"/>
          <w:szCs w:val="28"/>
          <w:rtl w:val="true"/>
          <w:lang w:bidi="ar-SA"/>
        </w:rPr>
        <w:t>.</w:t>
      </w:r>
    </w:p>
    <w:p>
      <w:pPr>
        <w:pStyle w:val="Heading4"/>
        <w:numPr>
          <w:ilvl w:val="3"/>
          <w:numId w:val="1"/>
        </w:numPr>
        <w:rPr/>
      </w:pPr>
      <w:bookmarkStart w:id="576" w:name="__RefHeading___Toc1391333_1067777946"/>
      <w:bookmarkStart w:id="577" w:name="_Toc216"/>
      <w:bookmarkEnd w:id="576"/>
      <w:r>
        <w:rPr/>
        <w:t>2</w:t>
      </w:r>
      <w:r>
        <w:rPr>
          <w:rtl w:val="true"/>
        </w:rPr>
        <w:t xml:space="preserve">. </w:t>
      </w:r>
      <w:r>
        <w:rPr>
          <w:rtl w:val="true"/>
        </w:rPr>
        <w:t xml:space="preserve">العصمة </w:t>
      </w:r>
      <w:r>
        <w:rPr>
          <w:rtl w:val="true"/>
        </w:rPr>
        <w:t xml:space="preserve">: </w:t>
      </w:r>
      <w:r>
        <w:rPr>
          <w:rtl w:val="true"/>
        </w:rPr>
        <w:t>نتيجة العلم القطعي بعواقب المعاصي</w:t>
      </w:r>
      <w:bookmarkEnd w:id="577"/>
    </w:p>
    <w:p>
      <w:pPr>
        <w:pStyle w:val="BookText"/>
        <w:rPr/>
      </w:pPr>
      <w:r>
        <w:rPr>
          <w:rFonts w:ascii="Amiri" w:hAnsi="Amiri" w:eastAsia="Amiri" w:cs="Amiri"/>
          <w:color w:val="111111"/>
          <w:sz w:val="28"/>
          <w:sz w:val="28"/>
          <w:szCs w:val="28"/>
          <w:rtl w:val="true"/>
          <w:lang w:bidi="ar-SA"/>
        </w:rPr>
        <w:t xml:space="preserve">العلم القطعي بعواقب المعاصي والآثام ، يصدّ الإنسان عن اقترافها وارتكابها ، والمراد من هذا العلم ، هو بلوغ الإنسان من حيث الكمال درجة يلمس في هذه النشأة لوازم الأعمال وآثارها في النشأة الأُخرى وتبعاتها فيها ، وهذا النوع من العلم القطعي يزيل الحجب بين الإنسان وآثار العمل ، وكأنّه سبحانه يريد أمثال هذا العلم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كَلاَّ لَوْ تَعْلَمُونَ عِلْمَ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لَتَرَوُنَّ الْجَحِيمَ</w:t>
      </w:r>
      <w:r>
        <w:rPr>
          <w:rFonts w:eastAsia="Amiri" w:cs="Amiri" w:ascii="Amiri" w:hAnsi="Amiri"/>
          <w:color w:val="111111"/>
          <w:sz w:val="28"/>
          <w:szCs w:val="28"/>
          <w:rtl w:val="true"/>
          <w:lang w:bidi="ar-SA"/>
        </w:rPr>
        <w:t xml:space="preserve">). </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 xml:space="preserve">فمن رأى درجات أهل الجنّة ودركات أهل النار يكون مصوناً من الخلاف والعصيان ، وأصحاب هذا العلم هم الدين يصفهم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فهم والجنّة كمن قد رآها فهم فيها منعّمون ، وهم والنار كمن قد رآها وهم فيها معذّبون</w:t>
      </w:r>
      <w:r>
        <w:rPr>
          <w:rFonts w:eastAsia="Amiri" w:cs="Amiri" w:ascii="Amiri" w:hAnsi="Amiri"/>
          <w:color w:val="111111"/>
          <w:sz w:val="28"/>
          <w:szCs w:val="28"/>
          <w:rtl w:val="true"/>
          <w:lang w:bidi="ar-SA"/>
        </w:rPr>
        <w:t xml:space="preserve">». </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فإذا ملك الإنسان هذا النوع من العلم وانكشف له الواقع كشفاً قطعياً ، فهو لا يحوم حول المعاصي بل لا يفكر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تقريب الذهن إلى أنّ العلم بأثر العمل السيئ يصدّ الإنسان عن اقترانه واقترافه نأتي بمثال </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إذا وقف على أنّ في الأسلاك الكهربائية طاقة ، من شأنها قتل الإنسان إذا مسّها من دون حاجز أو عائق بحيث يكون المسّ والموت مقترنين ، أحجمت نفسه عن مس تلك الاسلاك والاقتراف منها دون عائق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نظير الطبيب العارف بعواقب الأمراض وآثار الجراثيم ، فإنّه إذا وقف على ماء اغتسل فيه مصاب بالجذام أو البرص أو السلّ ، لم يقدم على شربه والاغتسال منه ومباشرته مهما اشتدّت حاجته إلى ذلك لعلمه بما يجرّ عليه الشربُ والاغتسالُ بذلك الماء الموبوء ، فإذا وقف الإنسان الكامل على ما وراء هذه النشأة من نتائج الأعمال وعواقب الفعال ورأى بالعيون البرزخية تبدل الكنوز المكتنزة من الذهب والفضة إلى النار المحماة التي تكوى بها جباه الكانزين وجنوبهم وظهورهم ، امتنع عن حبس الأموال والإحجام عن إنفاقها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يَكْنِزُونَ الذَّهَبَ وَالْفِضَّةَ وَلا يُنْفِقُونَها فِي سَبِيلِ اللهِ فَبَشِّرْهُمْ بِعَذابٍ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يُحْمى عَلَيْها فِي نارِ جَهَنَّمَ فَتُكْوى بِها جِباهُهُمْ وَجُنُوبُهُمْ وَظُهُورُهُمْ هذا ما كَنَزْتُمْ لِأَنْفُسِكُمْ فَذُوقُوا ما كُنْتُمْ تَكْنِزُونَ</w:t>
      </w:r>
      <w:r>
        <w:rPr>
          <w:rFonts w:eastAsia="Amiri" w:cs="Amiri" w:ascii="Amiri" w:hAnsi="Amiri"/>
          <w:color w:val="111111"/>
          <w:sz w:val="28"/>
          <w:szCs w:val="28"/>
          <w:rtl w:val="true"/>
          <w:lang w:bidi="ar-SA"/>
        </w:rPr>
        <w:t xml:space="preserve">). </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 xml:space="preserve">إنّ ظاهر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 كَنَزْتُمْ لِأَنْفُسِكُمْ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النار التي تكوى بها جباه الكانزين وجنوبهم وظهورهم ، ليست إلاّ نفس الذهب والفضة ، لكن بوجودهما الأُخرويّين ، وأنّ للذهب والفضة وجودين أو ظهورين في النشأتين فهذه الأجسام الفلزية ، تتجلّى في النشأة الدنيوية في صورة الذهب والفضة ، وفي النشأة الأُخروية بصورة النيران المحماة</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فالإنسان العادي اللامس لهذه الفلزات المكنوزة وان كان لا يحس فيها الحرارة ولا يرى فيها النار ولا لهيبها ، إلاّ أنّ ذلك لأجل أنّه يفقد حين المس ، الحسَّ المناسب لدرك نيران النشأة الآخرة وحرارتها ، فلو فرض إنسان كامل يمتلك هذا الحس إلى جانب بقية حواسه العادية المتعارفة ويدرك بنحو خاص الوجه الآخر لهذه الفلزات ، وهو نيرانها وحرارتها ، يجتنبها ، كاجتنابه النيران الدنيوية ، ولا يُقدم </w:t>
      </w:r>
      <w:bookmarkStart w:id="578" w:name="pg11047_102770"/>
    </w:p>
    <w:p>
      <w:pPr>
        <w:pStyle w:val="BookText"/>
        <w:rPr/>
      </w:pPr>
      <w:bookmarkEnd w:id="578"/>
      <w:r>
        <w:rPr>
          <w:rFonts w:ascii="Amiri" w:hAnsi="Amiri" w:eastAsia="Amiri" w:cs="Amiri"/>
          <w:color w:val="111111"/>
          <w:sz w:val="28"/>
          <w:sz w:val="28"/>
          <w:szCs w:val="28"/>
          <w:rtl w:val="true"/>
          <w:lang w:bidi="ar-SA"/>
        </w:rPr>
        <w:t>على كنزها ، وتكديسها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البيان يفيد انّ للعلم مرحلة قويّة راسخة تصد الإنسان عن الوقوع في المعاصي والآثام ولا يكون مغلوباً للشهوات والغرائز</w:t>
      </w:r>
      <w:r>
        <w:rPr>
          <w:rFonts w:eastAsia="Amiri" w:cs="Amiri" w:ascii="Amiri" w:hAnsi="Amiri"/>
          <w:color w:val="111111"/>
          <w:sz w:val="28"/>
          <w:szCs w:val="28"/>
          <w:rtl w:val="true"/>
          <w:lang w:bidi="ar-SA"/>
        </w:rPr>
        <w:t>.</w:t>
      </w:r>
    </w:p>
    <w:p>
      <w:pPr>
        <w:pStyle w:val="Heading4"/>
        <w:numPr>
          <w:ilvl w:val="3"/>
          <w:numId w:val="1"/>
        </w:numPr>
        <w:rPr/>
      </w:pPr>
      <w:bookmarkStart w:id="579" w:name="__RefHeading___Toc1391335_1067777946"/>
      <w:bookmarkStart w:id="580" w:name="_Toc217"/>
      <w:bookmarkEnd w:id="579"/>
      <w:r>
        <w:rPr/>
        <w:t>3</w:t>
      </w:r>
      <w:r>
        <w:rPr>
          <w:rtl w:val="true"/>
        </w:rPr>
        <w:t xml:space="preserve">. </w:t>
      </w:r>
      <w:r>
        <w:rPr>
          <w:rtl w:val="true"/>
        </w:rPr>
        <w:t>الاستشعار بعظمة الربّ وكماله وجماله</w:t>
      </w:r>
      <w:bookmarkEnd w:id="580"/>
    </w:p>
    <w:p>
      <w:pPr>
        <w:pStyle w:val="BookText"/>
        <w:rPr/>
      </w:pPr>
      <w:r>
        <w:rPr>
          <w:rFonts w:ascii="Amiri" w:hAnsi="Amiri" w:eastAsia="Amiri" w:cs="Amiri"/>
          <w:color w:val="111111"/>
          <w:sz w:val="28"/>
          <w:sz w:val="28"/>
          <w:szCs w:val="28"/>
          <w:rtl w:val="true"/>
          <w:lang w:bidi="ar-SA"/>
        </w:rPr>
        <w:t>إنّ استشعار العبد بعظمة الخالق وتفانيه في حبّه ، يصدّه عن سلوك ما يخالف رضاه ، فانّ حبّه لجماله وكماله من العوامل الصادّة للعبد عن مخالفته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 الإنسان خالقه كمال المعرفة الميسورة ، وتعرَّف على معدن الكمال المطلق وجماله وجلاله ، وجد في نفسه انجذاباً نحو الحق ، وتعلّقاً خاصاً به بحيث لا يستبدل برضاه شيئاً ، فهذا الكمال المطلق هو الذي إذا تعرّف عليه الإنسان العارف ، يؤجج في نفسه نيران الشوق والمحبّة ، ويدفعه إلى أن لا يبغي سواه ، ولا يطلب سوى إطاعة أمره وامتثال نهيه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ويصبح كلّ ما يخالف أمره ورضاه منفوراً لديه ، مقبوحاً في نظره ، أشدّ القبح وعندئذ يصبح الإنسان مصوناً عن المخالفة ، بعيداً عن المعصية بحيث لا يؤثر على رضاه شيئاً وإلى ذلك يشير الإمام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عبدتك خوفاً من نارك ولا طمعاً في جنتك إنّما وجدتك أهلاً للعبادة</w:t>
      </w:r>
      <w:r>
        <w:rPr>
          <w:rFonts w:eastAsia="Amiri" w:cs="Amiri" w:ascii="Amiri" w:hAnsi="Amiri"/>
          <w:color w:val="111111"/>
          <w:sz w:val="28"/>
          <w:szCs w:val="28"/>
          <w:rtl w:val="true"/>
          <w:lang w:bidi="ar-SA"/>
        </w:rPr>
        <w:t xml:space="preserve">». </w:t>
      </w:r>
      <w:r>
        <w:rPr>
          <w:rStyle w:val="FootnoteAnchor"/>
          <w:rtl w:val="true"/>
        </w:rPr>
        <w:footnoteReference w:id="317"/>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النظريات الثلاث أو النظرية الواحدة المختلفة في البيان والتقرير تعرب عن أنّ العصمة قوّة في النفس تعصم الإنسان عن الوقوع في مخالفة الرب سبحانه وتعالى ، وليست العصمة أمراً خارجاً عن ذات الإنسان الكامل وهوية الخارجية</w:t>
      </w:r>
      <w:r>
        <w:rPr>
          <w:rFonts w:eastAsia="Amiri" w:cs="Amiri" w:ascii="Amiri" w:hAnsi="Amiri"/>
          <w:color w:val="111111"/>
          <w:sz w:val="28"/>
          <w:szCs w:val="28"/>
          <w:rtl w:val="true"/>
          <w:lang w:bidi="ar-SA"/>
        </w:rPr>
        <w:t xml:space="preserve">. </w:t>
      </w:r>
      <w:bookmarkStart w:id="581" w:name="pg11047_102771"/>
    </w:p>
    <w:p>
      <w:pPr>
        <w:pStyle w:val="Heading3"/>
        <w:numPr>
          <w:ilvl w:val="2"/>
          <w:numId w:val="1"/>
        </w:numPr>
        <w:rPr/>
      </w:pPr>
      <w:bookmarkStart w:id="582" w:name="__RefHeading___Toc1391337_1067777946"/>
      <w:bookmarkStart w:id="583" w:name="_Toc218"/>
      <w:bookmarkEnd w:id="581"/>
      <w:bookmarkEnd w:id="582"/>
      <w:r>
        <w:rPr/>
        <w:t>3</w:t>
      </w:r>
      <w:r>
        <w:rPr>
          <w:rtl w:val="true"/>
        </w:rPr>
        <w:t xml:space="preserve">- </w:t>
      </w:r>
      <w:r>
        <w:rPr>
          <w:rtl w:val="true"/>
        </w:rPr>
        <w:t>هل العصمة موهبة إلهية أو أمر اكتسابي</w:t>
      </w:r>
      <w:bookmarkEnd w:id="583"/>
    </w:p>
    <w:p>
      <w:pPr>
        <w:pStyle w:val="Heading4"/>
        <w:numPr>
          <w:ilvl w:val="3"/>
          <w:numId w:val="1"/>
        </w:numPr>
        <w:rPr/>
      </w:pPr>
      <w:bookmarkStart w:id="584" w:name="__RefHeading___Toc1391339_1067777946"/>
      <w:bookmarkStart w:id="585" w:name="_Toc219"/>
      <w:bookmarkEnd w:id="584"/>
      <w:r>
        <w:rPr>
          <w:rtl w:val="true"/>
        </w:rPr>
        <w:t>اشارة</w:t>
      </w:r>
      <w:bookmarkEnd w:id="585"/>
    </w:p>
    <w:p>
      <w:pPr>
        <w:pStyle w:val="BookText"/>
        <w:rPr/>
      </w:pPr>
      <w:r>
        <w:rPr>
          <w:rFonts w:ascii="Amiri" w:hAnsi="Amiri" w:eastAsia="Amiri" w:cs="Amiri"/>
          <w:color w:val="111111"/>
          <w:sz w:val="28"/>
          <w:sz w:val="28"/>
          <w:szCs w:val="28"/>
          <w:rtl w:val="true"/>
          <w:lang w:bidi="ar-SA"/>
        </w:rPr>
        <w:t xml:space="preserve">قد وقفت على 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والعوامل التي توجب صيانة الإنسان عن الوقوع في حبال المعصية ، ومهالك التمرّد والطغيان ، غير انّ هاهنا سؤالاً هاماً يجب الإجابة عنه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العصمة سواء أفسّرت بكونها هي الدرجة العليا من التقوى ، أو بكونها العلم القطعي بعواقب المآثم والمعاصي ، أم فسّرت بالاستشعار بعظمة الرب وجماله وجلاله ، وعلى أيّ تقدير فهو كمال نفساني له أثره الخاص ، وعندئذ يُسأل عن أنّ هذا الكمال هل هو موهوب من الله لعباده المخلصين ، أو أمر حاصل للشخص بالاكتساب؟ فالظاهر من كلمات المتكلّمين انّها موهبة من مواهب الله سبحانه يتفضل بها على من يشاء من عباده بعد وجود أرضيات صالحة وقابليات مصحّحة لإفاضتها عليهم</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المفيد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العصمة تفضل من الله على من علم أنّه يتمسك بعصمته</w:t>
      </w:r>
      <w:r>
        <w:rPr>
          <w:rFonts w:eastAsia="Amiri" w:cs="Amiri" w:ascii="Amiri" w:hAnsi="Amiri"/>
          <w:color w:val="111111"/>
          <w:sz w:val="28"/>
          <w:szCs w:val="28"/>
          <w:rtl w:val="true"/>
          <w:lang w:bidi="ar-SA"/>
        </w:rPr>
        <w:t xml:space="preserve">». </w:t>
      </w:r>
      <w:r>
        <w:rPr>
          <w:rStyle w:val="FootnoteAnchor"/>
          <w:rtl w:val="true"/>
        </w:rPr>
        <w:footnoteReference w:id="318"/>
      </w:r>
      <w:bookmarkStart w:id="586" w:name="pg11047_102772"/>
    </w:p>
    <w:p>
      <w:pPr>
        <w:pStyle w:val="BookText"/>
        <w:rPr/>
      </w:pPr>
      <w:bookmarkEnd w:id="586"/>
      <w:r>
        <w:rPr>
          <w:rFonts w:ascii="Amiri" w:hAnsi="Amiri" w:eastAsia="Amiri" w:cs="Amiri"/>
          <w:color w:val="111111"/>
          <w:sz w:val="28"/>
          <w:sz w:val="28"/>
          <w:szCs w:val="28"/>
          <w:rtl w:val="true"/>
          <w:lang w:bidi="ar-SA"/>
        </w:rPr>
        <w:t xml:space="preserve">وقال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العصمة لطف الله الذي يفعله تعالى فيختار العبد عنده الامتناع عن فعل قبيح</w:t>
      </w:r>
      <w:r>
        <w:rPr>
          <w:rFonts w:eastAsia="Amiri" w:cs="Amiri" w:ascii="Amiri" w:hAnsi="Amiri"/>
          <w:color w:val="111111"/>
          <w:sz w:val="28"/>
          <w:szCs w:val="28"/>
          <w:rtl w:val="true"/>
          <w:lang w:bidi="ar-SA"/>
        </w:rPr>
        <w:t xml:space="preserve">. </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 xml:space="preserve">فإذا كانت العصمة أمراً إلهياً وموهبة من مواهبه سبحانه ، فعندئذ هاهنا سؤال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كانت العصمة موهبة من الله مفاضة منه سبحانه إلى رسله وأوصيائهم لم تعد عندئذ كمالاً ومفخرة للمعصوم حتّى يستحق بها التحميد ، فإنّ الكمال الخارج عن الاختيار كصفاء اللؤلؤ لا يستحق التحميد ، فإنّ الحمد إنّما يصحّ مقابل الفعل الاختياري وإليك الاجابة</w:t>
      </w:r>
      <w:r>
        <w:rPr>
          <w:rFonts w:eastAsia="Amiri" w:cs="Amiri" w:ascii="Amiri" w:hAnsi="Amiri"/>
          <w:color w:val="111111"/>
          <w:sz w:val="28"/>
          <w:szCs w:val="28"/>
          <w:rtl w:val="true"/>
          <w:lang w:bidi="ar-SA"/>
        </w:rPr>
        <w:t>.</w:t>
      </w:r>
    </w:p>
    <w:p>
      <w:pPr>
        <w:pStyle w:val="Heading4"/>
        <w:numPr>
          <w:ilvl w:val="3"/>
          <w:numId w:val="1"/>
        </w:numPr>
        <w:rPr/>
      </w:pPr>
      <w:bookmarkStart w:id="587" w:name="__RefHeading___Toc1391341_1067777946"/>
      <w:bookmarkStart w:id="588" w:name="_Toc220"/>
      <w:bookmarkEnd w:id="587"/>
      <w:r>
        <w:rPr>
          <w:rtl w:val="true"/>
        </w:rPr>
        <w:t>إفاضة العصمة بعد توفر أرضية صالحة</w:t>
      </w:r>
      <w:bookmarkEnd w:id="588"/>
    </w:p>
    <w:p>
      <w:pPr>
        <w:pStyle w:val="BookText"/>
        <w:rPr/>
      </w:pPr>
      <w:r>
        <w:rPr>
          <w:rFonts w:ascii="Amiri" w:hAnsi="Amiri" w:eastAsia="Amiri" w:cs="Amiri"/>
          <w:color w:val="111111"/>
          <w:sz w:val="28"/>
          <w:sz w:val="28"/>
          <w:szCs w:val="28"/>
          <w:rtl w:val="true"/>
          <w:lang w:bidi="ar-SA"/>
        </w:rPr>
        <w:t xml:space="preserve">إنّ العصمة الإلهية لا تفاض للأفراد إلاّ بعد وجود قابليّات صالحة في نفس المعصوم تقتضي إفاضة تلك الموهبة إلى صاحبها ، تلك القابليات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خارج عن اختيار المعصوم ، وقسم واقع في إرادته واختياره ، امّا القسم الأوّل فيتلخص في عامل الوراثة والتربية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الوراثة فهي القابليات التي ينتقل إلى المعصوم من آبائه وأجداده عن طريق الوراثة فإنّ الأولاد كما يرثون أموال الآباء وثرواتهم ، هكذا يرثون أوصافهم الظاهرية والباطنية ، فترى أنّ الولد يُشبه الأب أو العمّ ، أو الأُمّ أو الخال ، وقد جاء في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الوالد الحلال يُشبه العمَّ أو الخالَ</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ذلك فالروحيات الصالحة أو السيئة تنتقل عن طريق الوراثة إلى الأولاد فنرى ولد الشجاع شجاعاً ، وولد الجبان جباناً إلى غير ذلك من الأوصاف </w:t>
      </w:r>
    </w:p>
    <w:p>
      <w:pPr>
        <w:pStyle w:val="BookText"/>
        <w:rPr/>
      </w:pPr>
      <w:r>
        <w:rPr>
          <w:rFonts w:ascii="Amiri" w:hAnsi="Amiri" w:eastAsia="Amiri" w:cs="Amiri"/>
          <w:color w:val="111111"/>
          <w:sz w:val="28"/>
          <w:sz w:val="28"/>
          <w:szCs w:val="28"/>
          <w:rtl w:val="true"/>
          <w:lang w:bidi="ar-SA"/>
        </w:rPr>
        <w:t>الجسمانية والروحانية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الأنبياء كما يحدِّثنا التاريخ كانوا ربيبو البيوتات الصالحة العريقة بالفضائل والكمالات ، وما زالت تنتقل تلك الكمالات والفضائل الروحية من جيل إلى جيل وتتكامل إلى أن تتجسد في نفس النبي ويتولد هو بروح طيبة وقابلية كبيرة لإفاضة المواهب الإلهية 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عامل التربية فإنّ الكمالات والفضائل الموجودة في بيتهم تنتقل عن طريق التربية إليهم ، ففي ظلّ ذينك العاملين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الوراثة والتربية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كثيراً من أهل تلك البيوتات ذوي ايمان وأمانة ، وذكاء ودراية ، فهذه الكمالات الروحية توجد أرضية صالحة لإفاضة العصمة إلى أصحابها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هناك عامل ثالث لهذه الإفاضة ، وهو داخل في إطار الاختيار وحرّية الإنسان بخلاف العاملين السابقين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حياة الأنبياء من لدن ولادتهم إلى زمان بعثتهم ، مشحونة بالمجاهدات الفردية ، والاجتماعية ، فقد كانوا يجاهدون النفس</w:t>
      </w:r>
    </w:p>
    <w:p>
      <w:pPr>
        <w:pStyle w:val="BookText"/>
        <w:rPr/>
      </w:pPr>
      <w:r>
        <w:rPr>
          <w:rFonts w:ascii="Amiri" w:hAnsi="Amiri" w:eastAsia="Amiri" w:cs="Amiri"/>
          <w:color w:val="111111"/>
          <w:sz w:val="28"/>
          <w:sz w:val="28"/>
          <w:szCs w:val="28"/>
          <w:rtl w:val="true"/>
          <w:lang w:bidi="ar-SA"/>
        </w:rPr>
        <w:t xml:space="preserve">الأمارة أشدّ الجهاد ، ويمارسون تهذيب أنفسهم بل ومجتمعهم ، فهذا هو يوسف الصدّيق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جاهد نفسه الأمارة وألجمها بأشد الوجوه عند ما راودته من هو في بيتها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وَغَلَّقَتِ الْأَبْوابَ وَقالَتْ هَيْتَ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 بالرد والنفي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مَعاذَ اللهِ إِنَّهُ رَبِّي أَحْسَنَ مَثْوايَ إِنَّهُ لا يُفْلِحُ الظَّالِمُونَ</w:t>
      </w:r>
      <w:r>
        <w:rPr>
          <w:rFonts w:eastAsia="Amiri" w:cs="Amiri" w:ascii="Amiri" w:hAnsi="Amiri"/>
          <w:color w:val="111111"/>
          <w:sz w:val="28"/>
          <w:szCs w:val="28"/>
          <w:rtl w:val="true"/>
          <w:lang w:bidi="ar-SA"/>
        </w:rPr>
        <w:t xml:space="preserve">). </w:t>
      </w:r>
      <w:r>
        <w:rPr>
          <w:rStyle w:val="FootnoteAnchor"/>
          <w:rtl w:val="true"/>
        </w:rPr>
        <w:footnoteReference w:id="320"/>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موسى كليم الله وجد في مدين امرأتين تذودان واقفتين على بعد من البئر ، فقدم إليهما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خطبكما فقالتا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لا نسقي حتى يصدر الرعاء وأبونا شيخ كبير ، وعند ذلك لم يتفكر في شيء إلاّ في رفع حاجتهما ، ولأجل ذلك سقى لهما </w:t>
      </w:r>
    </w:p>
    <w:p>
      <w:pPr>
        <w:pStyle w:val="BookText"/>
        <w:rPr/>
      </w:pPr>
      <w:r>
        <w:rPr>
          <w:rFonts w:ascii="Amiri" w:hAnsi="Amiri" w:eastAsia="Amiri" w:cs="Amiri"/>
          <w:color w:val="111111"/>
          <w:sz w:val="28"/>
          <w:sz w:val="28"/>
          <w:szCs w:val="28"/>
          <w:rtl w:val="true"/>
          <w:lang w:bidi="ar-SA"/>
        </w:rPr>
        <w:t xml:space="preserve">ثم تولّى إلى الظل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إِنِّي لِما أَنْزَلْتَ إِلَيَّ مِنْ خَيْرٍ فَقِيرٌ</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وكم هناك من شواهد تاريخية على جهاد الأنبياء وقيامهم بواجبهم إبّان شبابهم إلى زمان بعثتهم التي تصدت لذكرها الكتب السماوية وقصص الأنبياء وتواريخ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العوامل ، الداخل بعضها في إطار الاختيار والخارج بعضها عن إطاره ، أوجدت قابليات وأرضيات صالحة لإفاضة وصف العصمة عليهم وانتخابهم لذلك الفيض العظيم ، فعندئذ تكون العصمة مفخرة للنبي صالحة للتحسين والتبجيل والتكريم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وقف على ضمائرهم ونيّاتهم ومستقبل أمرهم ، ومصير حالهم وعلم أنّهم ذوات مقدسة ، لو أُفيضت إليهم تلك الموهبة ، لاستعانوا بها في طريق الطاعة وترك المعصية بحرية واختيار ، وهذا العلم كاف لتصحيح إفاضة تلك الموهبة عليهم بخلاف من يُعلَم من حاله خلافُ ذلك</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للسيد الشريف المرتضى كلاماً يؤيد ما ذكرناه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علم الله تعالى أن له لطفاً يختار عنده الامتناع من القبائح فإنّه لا بدّ أن يفعل به وإن لم يكن نبيّاً ، ولا إماماً ، لأنّ التكليف يقتضي فعل اللطف على ما دل عليه في مواضع كثيرة غير انّه لا يمتنع أن يكون في المكلفين من ليس في المعلوم أنّ شيئاً متى فعل ، اختار عنده الامتناع من القبيح ، فيكون هذا المكلف لا عصمة له في المعلوم ولا لطف ، وتكليف من لا لطف له يحسن ولا يقبح وانّما القبيح منع اللطف في من له </w:t>
      </w:r>
    </w:p>
    <w:p>
      <w:pPr>
        <w:pStyle w:val="BookText"/>
        <w:rPr/>
      </w:pPr>
      <w:r>
        <w:rPr>
          <w:rFonts w:ascii="Amiri" w:hAnsi="Amiri" w:eastAsia="Amiri" w:cs="Amiri"/>
          <w:color w:val="111111"/>
          <w:sz w:val="28"/>
          <w:sz w:val="28"/>
          <w:szCs w:val="28"/>
          <w:rtl w:val="true"/>
          <w:lang w:bidi="ar-SA"/>
        </w:rPr>
        <w:t>لطف مع ثبوت التكليف</w:t>
      </w:r>
      <w:r>
        <w:rPr>
          <w:rFonts w:eastAsia="Amiri" w:cs="Amiri" w:ascii="Amiri" w:hAnsi="Amiri"/>
          <w:color w:val="111111"/>
          <w:sz w:val="28"/>
          <w:szCs w:val="28"/>
          <w:rtl w:val="true"/>
          <w:lang w:bidi="ar-SA"/>
        </w:rPr>
        <w:t xml:space="preserve">. </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 xml:space="preserve">وحاصل ما أفاده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الملاك في إفاضة هذا الفيض هو علمه سبحانه بحال الأفراد في المستقبل فكل من علم سبحانه أنّه لو أُفيض عليه وصف العصمة لاختار عنده الامتناع من القبائح ، فعندئذ تفاض عليه العصمة ، وان لم يكن نبياً ولا إماماً ، وأمّا من علم انّه متى أُفيضت إليه تلك الموهبة لما اختار عندها الامتناع من القبيح لما أُفيضت عليه العصمة لأنّه لا يستحق الإفاضة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فوصف العصمة موهبة إلهية تفاض لمن يعلم من حاله انّه ينتفع منها في ترك القبائح عن حرية واختيار</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ولأجل ذلك يعد مفخرة قابلة للتحسين والتكريم ولا يلزم أن يكون المعصوم نبياً أو إماماً ، بل كل من ينتفع منها في طريق كسب رضاه سبحانه تفاض عليه</w:t>
      </w:r>
      <w:r>
        <w:rPr>
          <w:rFonts w:eastAsia="Amiri" w:cs="Amiri" w:ascii="Amiri" w:hAnsi="Amiri"/>
          <w:color w:val="111111"/>
          <w:sz w:val="28"/>
          <w:szCs w:val="28"/>
          <w:rtl w:val="true"/>
          <w:lang w:bidi="ar-SA"/>
        </w:rPr>
        <w:t xml:space="preserve">. </w:t>
      </w:r>
      <w:bookmarkStart w:id="589" w:name="pg11047_102776"/>
    </w:p>
    <w:p>
      <w:pPr>
        <w:pStyle w:val="Heading3"/>
        <w:numPr>
          <w:ilvl w:val="2"/>
          <w:numId w:val="1"/>
        </w:numPr>
        <w:rPr/>
      </w:pPr>
      <w:bookmarkStart w:id="590" w:name="__RefHeading___Toc1391343_1067777946"/>
      <w:bookmarkStart w:id="591" w:name="_Toc221"/>
      <w:bookmarkEnd w:id="589"/>
      <w:bookmarkEnd w:id="590"/>
      <w:r>
        <w:rPr/>
        <w:t>4</w:t>
      </w:r>
      <w:r>
        <w:rPr>
          <w:rtl w:val="true"/>
        </w:rPr>
        <w:t xml:space="preserve">- </w:t>
      </w:r>
      <w:r>
        <w:rPr>
          <w:rtl w:val="true"/>
        </w:rPr>
        <w:t>العصمة وسلب الاختيار</w:t>
      </w:r>
      <w:bookmarkEnd w:id="591"/>
    </w:p>
    <w:p>
      <w:pPr>
        <w:pStyle w:val="BookText"/>
        <w:rPr/>
      </w:pPr>
      <w:r>
        <w:rPr>
          <w:rFonts w:ascii="Amiri" w:hAnsi="Amiri" w:eastAsia="Amiri" w:cs="Amiri"/>
          <w:color w:val="111111"/>
          <w:sz w:val="28"/>
          <w:sz w:val="28"/>
          <w:szCs w:val="28"/>
          <w:rtl w:val="true"/>
          <w:lang w:bidi="ar-SA"/>
        </w:rPr>
        <w:t>انّ من أبرز الشبهات الطارئة حول العصمة هي انّ العصمة تسلب الاختيار عن صاحبها ، فلا يقدر معها على ارتكاب المعصية ، ومعه لا تصبح العصمة مكرمة وفضيلة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الشبهة هي التي أشار إليها السيد الشريف المرتضى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حقيقة العصمة التي يُعتقد وجوبُها للأنبياء والأئمّة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وهل هي معنى يضطر إلى الطاعة ويمنع من المعصية ، أو معنى يضام الاختيار؟ فإن كان معنى يضطر إلى الطاعة ويمنع من المعصية ، فكيف يجوز الحمد والذم لفاعلها؟ وإن كان معنى يضام الاختيار فاذكروه ، ودُلّوا على صحّة مطابقته له</w:t>
      </w:r>
      <w:r>
        <w:rPr>
          <w:rFonts w:eastAsia="Amiri" w:cs="Amiri" w:ascii="Amiri" w:hAnsi="Amiri"/>
          <w:color w:val="111111"/>
          <w:sz w:val="28"/>
          <w:szCs w:val="28"/>
          <w:rtl w:val="true"/>
          <w:lang w:bidi="ar-SA"/>
        </w:rPr>
        <w:t xml:space="preserve">. </w:t>
      </w:r>
      <w:r>
        <w:rPr>
          <w:rStyle w:val="FootnoteAnchor"/>
          <w:rtl w:val="true"/>
        </w:rPr>
        <w:footnoteReference w:id="324"/>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العصمة لا تسلب الاختيار عن الإنسان بأي معنى فسرت ، سواء أقلنا بأنّها الدرجة العليا من التقوى ، أو أنّها نتيجة العلم القطعي بعواقب المآثم والمعاصي ، أو أنّها أثر الاستشعار بعظمة الرب والمحبة لله سبحانه </w:t>
      </w:r>
      <w:r>
        <w:rPr>
          <w:rStyle w:val="FootnoteAnchor"/>
          <w:rtl w:val="true"/>
        </w:rPr>
        <w:footnoteReference w:id="325"/>
      </w:r>
      <w:r>
        <w:rPr>
          <w:rFonts w:ascii="Amiri" w:hAnsi="Amiri" w:eastAsia="Amiri" w:cs="Amiri"/>
          <w:color w:val="111111"/>
          <w:sz w:val="28"/>
          <w:sz w:val="28"/>
          <w:szCs w:val="28"/>
          <w:rtl w:val="true"/>
          <w:lang w:bidi="ar-SA"/>
        </w:rPr>
        <w:t xml:space="preserve">، وعلى كل تقدير فالإنسان المعصوم مختار في فعله ، قادر على كلا طرفي القضية من الفعل </w:t>
      </w:r>
    </w:p>
    <w:p>
      <w:pPr>
        <w:pStyle w:val="BookText"/>
        <w:rPr/>
      </w:pPr>
      <w:r>
        <w:rPr>
          <w:rFonts w:ascii="Amiri" w:hAnsi="Amiri" w:eastAsia="Amiri" w:cs="Amiri"/>
          <w:color w:val="111111"/>
          <w:sz w:val="28"/>
          <w:sz w:val="28"/>
          <w:szCs w:val="28"/>
          <w:rtl w:val="true"/>
          <w:lang w:bidi="ar-SA"/>
        </w:rPr>
        <w:t xml:space="preserve">والترك ، وتوضيح ذلك بالمثال الآتي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الإنسان العاقل الواقف على وجود الطاقة الكهربائية في الأسلاك المنزوعة من جلدها ، لا يمسّها كذلك ، كما انّ الطبيب لا يأكل سؤر المجذومين والمسلولين لعلمهما بعواقب فعلهما ، وفي الوقت نفسه يرى كل واحد منهما نفسه قادراً على ذلك الفعل ، بحيث لو أغمض العين عن حياته وهيّأ نفسه للمخاطرة بها ، لَفَعَلَ ما يتجنبه ، غير انّهما لا يقومان به لكونهما يحبّان حياتهما وسلامتهما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العمل المزبور ممكن الصدور بالذات من العاقل والطبيب ، غير انّه ممتنع الصدور بالعرض والعادة ، وليس صدوره محالاً ذاتياً وعقلياً ، وكم فرق بين المحالين ، ففي المحال العادي يكون صدور الفعل من الفاعل ممكناً بالذات ، غير انّه يرجح أحد الطرفين على الآخر بنوع من الترجيح بخلاف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المحال الذاتي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الفعل فيه يكون ممتنعاً بالذات ، فلا يصدر لعدم إمكانه الذاتي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فلاحظ صدور القبيح منه سبحانه أمر ممكن بالذات ، داخل في إطار قدرته فهو يستطيع أن يدخل المطيع في نار الجحيم ، والعاصي في نعيم الجنة ، غير انّه لا يصدر منه ذلك الفعل لكونه مخالفاً للحكمة ومبايناً لما وعد به وأوعد عليه ، وعلى ذلك فامتناع صدور الفعل عن الإنسان معا لتحفظ على الأغراض والغايات ، لا يكون دليلاً على سلب الاختيار والقدرة</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فالنبي المعصوم قادر على اقتراف المعاصي وارتكاب الخطايا ، حسب ما أُعطي من القدرة والحرية ، غير أنّه لأجل حصوله على الدرجة العليا من التقوى ، واكتساب العلم القطعي بآثار المآثم والمعاصي ، واستشعاره بعظمة الخالق ، يتجنب عن اقترافها واكتسابها ولا يكون مصدراً لها مع قدرته واقتداره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ومثلهم في ذلك المورد كمثل الوالد العطوف الذي لا يقدم على قتل ولده ، ولو أُعطيت له الكنوز المكنوزة والمناصب المرموقة ومع ذلك فهو قادر على قتله ، بحمل السكين والهجوم عليه وقطع أوردته ، وفي هذا الصدد يقول العلامة الطباطبائي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العلم أعني ملكة العصمة لا يغيِّر الطبيعة الإنسانية المختارة في أفعالها الإرادية ، ولا يخرجها إلى ساحة الإجبار والاضطرار كيف؟ والعلم من مبادئ الاختيار ، ومجرد قوة العلم لا يوجب إلاّ قوة الإرادة كطالب السلامة إذا أيقن بكون مائع ما ، سمّاً قاتلاً من حينه فإنّه يمتنع باختياره من شربه قطعاً ، وإنّما يضطر الفاعل ويجبر إذا أخرج المجبر أحد طرفي الفعل والترك من الإمكان إلى الامتناع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ويشهد على 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وَاجْتَبَيْناهُمْ وَهَدَيْناهُمْ إِلى صِراطٍ 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هُدَى اللهِ يَهْدِي بِهِ مَنْ يَشاءُ مِنْ عِبادِهِ وَلَوْ أَشْرَكُوا لَحَبِطَ عَنْهُمْ ما كانُوا يَعْمَلُونَ</w:t>
      </w:r>
      <w:r>
        <w:rPr>
          <w:rFonts w:eastAsia="Amiri" w:cs="Amiri" w:ascii="Amiri" w:hAnsi="Amiri"/>
          <w:color w:val="111111"/>
          <w:sz w:val="28"/>
          <w:szCs w:val="28"/>
          <w:rtl w:val="true"/>
          <w:lang w:bidi="ar-SA"/>
        </w:rPr>
        <w:t xml:space="preserve">) </w:t>
      </w:r>
      <w:r>
        <w:rPr>
          <w:rStyle w:val="FootnoteAnchor"/>
          <w:rtl w:val="true"/>
        </w:rPr>
        <w:footnoteReference w:id="326"/>
      </w:r>
      <w:r>
        <w:rPr>
          <w:rFonts w:ascii="Amiri" w:hAnsi="Amiri" w:eastAsia="Amiri" w:cs="Amiri"/>
          <w:color w:val="111111"/>
          <w:sz w:val="28"/>
          <w:sz w:val="28"/>
          <w:szCs w:val="28"/>
          <w:rtl w:val="true"/>
          <w:lang w:bidi="ar-SA"/>
        </w:rPr>
        <w:t xml:space="preserve">تفيد الآية انّهم في إمكانهم أن يشركوا بالله وإن كان الاجتباء أو الهدى الإلهي مانعاً من ذلك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 وَإِنْ لَمْ تَفْعَلْ فَما بَلَّغْتَ رِسالَتَهُ</w:t>
      </w:r>
      <w:r>
        <w:rPr>
          <w:rFonts w:eastAsia="Amiri" w:cs="Amiri" w:ascii="Amiri" w:hAnsi="Amiri"/>
          <w:color w:val="111111"/>
          <w:sz w:val="28"/>
          <w:szCs w:val="28"/>
          <w:rtl w:val="true"/>
          <w:lang w:bidi="ar-SA"/>
        </w:rPr>
        <w:t xml:space="preserve">) </w:t>
      </w:r>
      <w:r>
        <w:rPr>
          <w:rStyle w:val="FootnoteAnchor"/>
          <w:rtl w:val="true"/>
        </w:rPr>
        <w:footnoteReference w:id="327"/>
      </w:r>
      <w:r>
        <w:rPr>
          <w:rFonts w:ascii="Amiri" w:hAnsi="Amiri" w:eastAsia="Amiri" w:cs="Amiri"/>
          <w:color w:val="111111"/>
          <w:sz w:val="28"/>
          <w:sz w:val="28"/>
          <w:szCs w:val="28"/>
          <w:rtl w:val="true"/>
          <w:lang w:bidi="ar-SA"/>
        </w:rPr>
        <w:t>، إلى غير ذلك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فالإنسان المعصوم إنّما ينصرف عن المعصية بنفسه وعن اختياره وإرادته ، ونسبة الصرف إلى عصمته تعالى كنسبة انصراف غير المعصوم عن المعصية إلى توفيقه تعالى</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ينافي ذلك أيضاً ما يشير إليه كلامه تعالى وتصرح به الأخبار من أنّ </w:t>
      </w:r>
      <w:bookmarkStart w:id="592" w:name="pg11047_102779"/>
    </w:p>
    <w:p>
      <w:pPr>
        <w:pStyle w:val="BookText"/>
        <w:rPr/>
      </w:pPr>
      <w:bookmarkEnd w:id="592"/>
      <w:r>
        <w:rPr>
          <w:rFonts w:ascii="Amiri" w:hAnsi="Amiri" w:eastAsia="Amiri" w:cs="Amiri"/>
          <w:color w:val="111111"/>
          <w:sz w:val="28"/>
          <w:sz w:val="28"/>
          <w:szCs w:val="28"/>
          <w:rtl w:val="true"/>
          <w:lang w:bidi="ar-SA"/>
        </w:rPr>
        <w:t>ذلك من الأنبياء والأئمّة بتسديد من روح القدس ، فإنّ النسبة إلى روح القدس ، كنسبة تسديد المؤمن إلى روح الإيمان ، ونسبة الضلال والغواية إلى الشيطان وتسويله ، فإنّ شيئاً من ذلك لا يخرج الفعل عن كونه فعلاً صادراً عن فاعله مستنداً إلى اختياره وإرادته فافهم ذلك</w:t>
      </w:r>
      <w:r>
        <w:rPr>
          <w:rFonts w:eastAsia="Amiri" w:cs="Amiri" w:ascii="Amiri" w:hAnsi="Amiri"/>
          <w:color w:val="111111"/>
          <w:sz w:val="28"/>
          <w:szCs w:val="28"/>
          <w:rtl w:val="true"/>
          <w:lang w:bidi="ar-SA"/>
        </w:rPr>
        <w:t xml:space="preserve">. </w:t>
      </w:r>
      <w:r>
        <w:rPr>
          <w:rStyle w:val="FootnoteAnchor"/>
          <w:rtl w:val="true"/>
        </w:rPr>
        <w:footnoteReference w:id="328"/>
      </w:r>
    </w:p>
    <w:p>
      <w:pPr>
        <w:pStyle w:val="Heading3"/>
        <w:numPr>
          <w:ilvl w:val="2"/>
          <w:numId w:val="1"/>
        </w:numPr>
        <w:rPr/>
      </w:pPr>
      <w:bookmarkStart w:id="593" w:name="__RefHeading___Toc1391345_1067777946"/>
      <w:bookmarkStart w:id="594" w:name="_Toc222"/>
      <w:bookmarkEnd w:id="593"/>
      <w:r>
        <w:rPr/>
        <w:t>5</w:t>
      </w:r>
      <w:r>
        <w:rPr>
          <w:rtl w:val="true"/>
        </w:rPr>
        <w:t xml:space="preserve"> - </w:t>
      </w:r>
      <w:r>
        <w:rPr>
          <w:rtl w:val="true"/>
        </w:rPr>
        <w:t>مراحل العصمة وأدلّتها</w:t>
      </w:r>
      <w:bookmarkEnd w:id="594"/>
    </w:p>
    <w:p>
      <w:pPr>
        <w:pStyle w:val="Heading4"/>
        <w:numPr>
          <w:ilvl w:val="3"/>
          <w:numId w:val="1"/>
        </w:numPr>
        <w:rPr/>
      </w:pPr>
      <w:bookmarkStart w:id="595" w:name="__RefHeading___Toc1391347_1067777946"/>
      <w:bookmarkStart w:id="596" w:name="_Toc223"/>
      <w:bookmarkEnd w:id="595"/>
      <w:r>
        <w:rPr>
          <w:rtl w:val="true"/>
        </w:rPr>
        <w:t>اشارة</w:t>
      </w:r>
      <w:bookmarkEnd w:id="596"/>
    </w:p>
    <w:p>
      <w:pPr>
        <w:pStyle w:val="BookText"/>
        <w:rPr/>
      </w:pPr>
      <w:r>
        <w:rPr>
          <w:rFonts w:ascii="Amiri" w:hAnsi="Amiri" w:eastAsia="Amiri" w:cs="Amiri"/>
          <w:color w:val="111111"/>
          <w:sz w:val="28"/>
          <w:sz w:val="28"/>
          <w:szCs w:val="28"/>
          <w:rtl w:val="true"/>
          <w:lang w:bidi="ar-SA"/>
        </w:rPr>
        <w:t xml:space="preserve">وقد وقفت على حقيقة العصمة وما يرجع إليها من المباحث الاستطرادية ، فيجب الآن الوقوف على مراحلها التالية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العصمة في تلقي الوحي ، والحفاظ عليه ، وإبلاغه إلى الناس وبعبارة أُخرى العصمة في تبليغ الرسالة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العصمة في العصيان وارتكاب الذنب المصطلح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العصمة من الخطأ في الأُمور الفردية والاجتماعية</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مراحل العصمة وإليك دراستها على ضوء الكتاب والسنة والعقل</w:t>
      </w:r>
      <w:r>
        <w:rPr>
          <w:rFonts w:eastAsia="Amiri" w:cs="Amiri" w:ascii="Amiri" w:hAnsi="Amiri"/>
          <w:color w:val="111111"/>
          <w:sz w:val="28"/>
          <w:szCs w:val="28"/>
          <w:rtl w:val="true"/>
          <w:lang w:bidi="ar-SA"/>
        </w:rPr>
        <w:t xml:space="preserve">. </w:t>
      </w:r>
      <w:bookmarkStart w:id="597" w:name="pg11047_102780"/>
    </w:p>
    <w:p>
      <w:pPr>
        <w:pStyle w:val="Heading4"/>
        <w:numPr>
          <w:ilvl w:val="3"/>
          <w:numId w:val="1"/>
        </w:numPr>
        <w:rPr/>
      </w:pPr>
      <w:bookmarkStart w:id="598" w:name="__RefHeading___Toc1391349_1067777946"/>
      <w:bookmarkStart w:id="599" w:name="_Toc224"/>
      <w:bookmarkEnd w:id="597"/>
      <w:bookmarkEnd w:id="598"/>
      <w:r>
        <w:rPr>
          <w:rtl w:val="true"/>
        </w:rPr>
        <w:t>المرحلة الأُولى</w:t>
      </w:r>
      <w:bookmarkEnd w:id="599"/>
    </w:p>
    <w:p>
      <w:pPr>
        <w:pStyle w:val="Heading3"/>
        <w:numPr>
          <w:ilvl w:val="2"/>
          <w:numId w:val="1"/>
        </w:numPr>
        <w:rPr/>
      </w:pPr>
      <w:bookmarkStart w:id="600" w:name="__RefHeading___Toc1391351_1067777946"/>
      <w:bookmarkStart w:id="601" w:name="_Toc225"/>
      <w:bookmarkEnd w:id="600"/>
      <w:r>
        <w:rPr/>
        <w:t>5</w:t>
      </w:r>
      <w:r>
        <w:rPr>
          <w:rtl w:val="true"/>
        </w:rPr>
        <w:t xml:space="preserve">- </w:t>
      </w:r>
      <w:r>
        <w:rPr>
          <w:rtl w:val="true"/>
        </w:rPr>
        <w:t>العصمة في تبليغ الرسالة</w:t>
      </w:r>
      <w:bookmarkEnd w:id="601"/>
    </w:p>
    <w:p>
      <w:pPr>
        <w:pStyle w:val="Heading4"/>
        <w:numPr>
          <w:ilvl w:val="3"/>
          <w:numId w:val="1"/>
        </w:numPr>
        <w:rPr/>
      </w:pPr>
      <w:bookmarkStart w:id="602" w:name="__RefHeading___Toc1391353_1067777946"/>
      <w:bookmarkStart w:id="603" w:name="_Toc226"/>
      <w:bookmarkEnd w:id="602"/>
      <w:r>
        <w:rPr>
          <w:rtl w:val="true"/>
        </w:rPr>
        <w:t>اشارة</w:t>
      </w:r>
      <w:bookmarkEnd w:id="603"/>
    </w:p>
    <w:p>
      <w:pPr>
        <w:pStyle w:val="BookText"/>
        <w:rPr/>
      </w:pPr>
      <w:r>
        <w:rPr>
          <w:rFonts w:ascii="Amiri" w:hAnsi="Amiri" w:eastAsia="Amiri" w:cs="Amiri"/>
          <w:color w:val="111111"/>
          <w:sz w:val="28"/>
          <w:sz w:val="28"/>
          <w:szCs w:val="28"/>
          <w:rtl w:val="true"/>
          <w:lang w:bidi="ar-SA"/>
        </w:rPr>
        <w:t xml:space="preserve">ذهب جمهور المسلمين من السنة والشيعة إلى عصمة الأنبياء من تبليغ الرسالة ، واستدلوا عليه بالعقل والنقل ، أمّا العقل فبوجوه أهمّها ما ذكره المحقّق الطوسي في تجريد الاعتقاد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حصول الوثوق بأفعاله وأقواله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 انّ الهدف الاسمي والغاية القصوى من بعث الأنبياء وهداية الناس إلى التعاليم الإلهية والشرائع المقدّسة ولا تحصل تلك الغاية إلاّ بإيمانهم بصدق المبعوثين ، وإذعانهم بكونهم مرسلين من جانبه سبحانه ، وانّ كلامهم وأقوالهم كلامه وقوله سبحانه ، وهذا الإيمان والاذعان لا يحصل إلاّ بإذعان آخر وهو الإذعان بمصونيتهم من الخطأ في مجال تبليغ الرسالة ، أعني المصونية في مقام أخذ الوحي أوّلاً ، والمصونية في مقام التحفظ عليه ثانياً ، والمصونية في مقام الابلاغ والتبيين ثالثاً ومثل هذا لا يحصل إلاّ بمصونية النبي عن الزلل والخطأ عمده وسهوه في تحمل رسالات الله وابلاغها لعباده</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الآيات القرآنية تؤكّد على عصمة الأنبياء في أخذ الوحي وحفظه وإبلاغه ، نقتصر منها بآيتين </w:t>
      </w:r>
      <w:r>
        <w:rPr>
          <w:rFonts w:eastAsia="Amiri" w:cs="Amiri" w:ascii="Amiri" w:hAnsi="Amiri"/>
          <w:color w:val="111111"/>
          <w:sz w:val="28"/>
          <w:szCs w:val="28"/>
          <w:rtl w:val="true"/>
          <w:lang w:bidi="ar-SA"/>
        </w:rPr>
        <w:t xml:space="preserve">: </w:t>
      </w:r>
      <w:bookmarkStart w:id="604" w:name="pg11047_102781"/>
    </w:p>
    <w:p>
      <w:pPr>
        <w:pStyle w:val="Heading4"/>
        <w:numPr>
          <w:ilvl w:val="3"/>
          <w:numId w:val="1"/>
        </w:numPr>
        <w:rPr/>
      </w:pPr>
      <w:bookmarkStart w:id="605" w:name="__RefHeading___Toc1391355_1067777946"/>
      <w:bookmarkStart w:id="606" w:name="_Toc227"/>
      <w:bookmarkEnd w:id="604"/>
      <w:bookmarkEnd w:id="605"/>
      <w:r>
        <w:rPr>
          <w:rtl w:val="true"/>
        </w:rPr>
        <w:t>الآية الأُولى</w:t>
      </w:r>
      <w:bookmarkEnd w:id="606"/>
    </w:p>
    <w:p>
      <w:pPr>
        <w:pStyle w:val="BookText"/>
        <w:rPr/>
      </w:pPr>
      <w:r>
        <w:rPr>
          <w:rFonts w:ascii="Amiri" w:hAnsi="Amiri" w:eastAsia="Amiri" w:cs="Amiri"/>
          <w:color w:val="111111"/>
          <w:sz w:val="28"/>
          <w:sz w:val="28"/>
          <w:szCs w:val="28"/>
          <w:rtl w:val="true"/>
          <w:lang w:bidi="ar-SA"/>
        </w:rPr>
        <w:t xml:space="preserve">يقول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النَّاسُ أُمَّةً واحِدَةً فَبَعَثَ اللهُ النَّبِيِّينَ مُبَشِّرِينَ وَمُنْذِرِينَ وَأَنْزَلَ مَعَهُمُ الْكِتابَ بِالْحَقِّ لِيَحْكُمَ بَيْنَ النَّاسِ فِيمَا اخْتَلَفُوا فِيهِ وَمَا اخْتَلَفَ فِيهِ إِلاَّ الَّذِينَ أُوتُوهُ مِنْ بَعْدِ ما جاءَتْهُمُ الْبَيِّناتُ بَغْياً بَيْنَهُمْ فَهَدَى اللهُ الَّذِينَ آمَنُوا لِمَا اخْتَلَفُوا فِيهِ مِنَ الْحَقِّ بِإِذْنِهِ وَاللهُ يَهْدِي مَنْ يَشاءُ إِلى صِراطٍ مُسْتَقِيمٍ</w:t>
      </w:r>
      <w:r>
        <w:rPr>
          <w:rFonts w:eastAsia="Amiri" w:cs="Amiri" w:ascii="Amiri" w:hAnsi="Amiri"/>
          <w:color w:val="111111"/>
          <w:sz w:val="28"/>
          <w:szCs w:val="28"/>
          <w:rtl w:val="true"/>
          <w:lang w:bidi="ar-SA"/>
        </w:rPr>
        <w:t xml:space="preserve">). </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انّ الآية تصرّح بانّ الهدف من بعث الأنبياء هو القضاء بين الناس في ما اختلفوا فيه ، وليس المراد من القضاء إلاّ القضاء بالحقّ ، وهو فرع وصول الحقّ إلى القاضي بلا تغيير وتحريف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نتيجة القضاء هي هداية من آمن من الناس إلى الحق بإذنه كما هو صريح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فَهَدَى اللهُ الَّذِينَ آمَنُوا لِمَا اخْتَلَفُوا فِيهِ مِنَ الْحَقِّ بِإِذْنِهِ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والهادي وإن كان هو الله سبحانه في الحقيقة لكن الهداية تتحقق عبر بيان النبي ، وبواسطته ، وتحقق الهداية منه فرع كونه واقفاً على الحق ، بلا 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ذلك يستلزم عصمة النبي في تلقي الوحي والحفاظ عليه ، وإبلاغه إلى الناس</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فالآية تدل على أنّ النبي يقضي بالحق بين الناس ويهدي المؤمنين إليه ، وكل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القضاء بالحق أوّلاً ، وهداية المؤمنين إليه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يستلزم كونه واقفاً على الحق على ما هو عليه وليس المراد من الحق إلاّ ما يوحى إليه</w:t>
      </w:r>
      <w:r>
        <w:rPr>
          <w:rFonts w:eastAsia="Amiri" w:cs="Amiri" w:ascii="Amiri" w:hAnsi="Amiri"/>
          <w:color w:val="111111"/>
          <w:sz w:val="28"/>
          <w:szCs w:val="28"/>
          <w:rtl w:val="true"/>
          <w:lang w:bidi="ar-SA"/>
        </w:rPr>
        <w:t xml:space="preserve">. </w:t>
      </w:r>
      <w:bookmarkStart w:id="607" w:name="pg11047_102782"/>
    </w:p>
    <w:p>
      <w:pPr>
        <w:pStyle w:val="Heading4"/>
        <w:numPr>
          <w:ilvl w:val="3"/>
          <w:numId w:val="1"/>
        </w:numPr>
        <w:rPr/>
      </w:pPr>
      <w:bookmarkStart w:id="608" w:name="__RefHeading___Toc1391357_1067777946"/>
      <w:bookmarkStart w:id="609" w:name="_Toc228"/>
      <w:bookmarkEnd w:id="607"/>
      <w:bookmarkEnd w:id="608"/>
      <w:r>
        <w:rPr>
          <w:rtl w:val="true"/>
        </w:rPr>
        <w:t>الآية الثانية</w:t>
      </w:r>
      <w:bookmarkEnd w:id="609"/>
    </w:p>
    <w:p>
      <w:pPr>
        <w:pStyle w:val="BookText"/>
        <w:rPr/>
      </w:pPr>
      <w:r>
        <w:rPr>
          <w:rFonts w:ascii="Amiri" w:hAnsi="Amiri" w:eastAsia="Amiri" w:cs="Amiri"/>
          <w:color w:val="111111"/>
          <w:sz w:val="28"/>
          <w:sz w:val="28"/>
          <w:szCs w:val="28"/>
          <w:rtl w:val="true"/>
          <w:lang w:bidi="ar-SA"/>
        </w:rPr>
        <w:t xml:space="preserve">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 xml:space="preserve">). </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فالآية تصرح بأنّ النبي لا ينطق عن الهوى ، أي لا يتكلم بداعي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إمّا جميع ما يصدر عنه من القول في مجال الحياة كما هو مقتضى إطلاقه أو خصوص ما يحكيه من الله سبحانه ، فعلى كل تقدير فهو يدل على صيانته وعصمته في المراحل الثلاث </w:t>
      </w:r>
      <w:r>
        <w:rPr>
          <w:rStyle w:val="FootnoteAnchor"/>
          <w:rtl w:val="true"/>
        </w:rPr>
        <w:footnoteReference w:id="331"/>
      </w:r>
      <w:r>
        <w:rPr>
          <w:rFonts w:ascii="Amiri" w:hAnsi="Amiri" w:eastAsia="Amiri" w:cs="Amiri"/>
          <w:color w:val="111111"/>
          <w:sz w:val="28"/>
          <w:sz w:val="28"/>
          <w:szCs w:val="28"/>
          <w:rtl w:val="true"/>
          <w:lang w:bidi="ar-SA"/>
        </w:rPr>
        <w:t>المتقدم ذكرها في مجال إبلاغ الرسالة</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أنّ عصمة الأنبياء في تلك المرحلة ممّا اصفقت عليها المحقّقون من أصحاب المذاهب والملل ، فلنعطف عنان البحث إلى ما تضاربت فيه آراء المتكلمين ، وإن كان للشيعة فيه قول واحد ، وهو عصمتهم عن العصيان والمخالفة لأوامره ونواهيه قبل البعثة وبعدها</w:t>
      </w:r>
      <w:r>
        <w:rPr>
          <w:rFonts w:eastAsia="Amiri" w:cs="Amiri" w:ascii="Amiri" w:hAnsi="Amiri"/>
          <w:color w:val="111111"/>
          <w:sz w:val="28"/>
          <w:szCs w:val="28"/>
          <w:rtl w:val="true"/>
          <w:lang w:bidi="ar-SA"/>
        </w:rPr>
        <w:t xml:space="preserve">. </w:t>
      </w:r>
      <w:bookmarkStart w:id="610" w:name="pg11047_102783"/>
    </w:p>
    <w:p>
      <w:pPr>
        <w:pStyle w:val="Heading4"/>
        <w:numPr>
          <w:ilvl w:val="3"/>
          <w:numId w:val="1"/>
        </w:numPr>
        <w:rPr/>
      </w:pPr>
      <w:bookmarkStart w:id="611" w:name="__RefHeading___Toc1391359_1067777946"/>
      <w:bookmarkStart w:id="612" w:name="_Toc229"/>
      <w:bookmarkEnd w:id="610"/>
      <w:bookmarkEnd w:id="611"/>
      <w:r>
        <w:rPr>
          <w:rtl w:val="true"/>
        </w:rPr>
        <w:t>المرحلة الثانية</w:t>
      </w:r>
      <w:bookmarkEnd w:id="612"/>
    </w:p>
    <w:p>
      <w:pPr>
        <w:pStyle w:val="Heading3"/>
        <w:numPr>
          <w:ilvl w:val="2"/>
          <w:numId w:val="1"/>
        </w:numPr>
        <w:rPr/>
      </w:pPr>
      <w:bookmarkStart w:id="613" w:name="__RefHeading___Toc1391361_1067777946"/>
      <w:bookmarkStart w:id="614" w:name="_Toc230"/>
      <w:bookmarkEnd w:id="613"/>
      <w:r>
        <w:rPr/>
        <w:t>6</w:t>
      </w:r>
      <w:r>
        <w:rPr>
          <w:rtl w:val="true"/>
        </w:rPr>
        <w:t xml:space="preserve">- </w:t>
      </w:r>
      <w:r>
        <w:rPr>
          <w:rtl w:val="true"/>
        </w:rPr>
        <w:t>عصمة الأنبياء عن المعصية</w:t>
      </w:r>
      <w:bookmarkEnd w:id="614"/>
    </w:p>
    <w:p>
      <w:pPr>
        <w:pStyle w:val="Heading4"/>
        <w:numPr>
          <w:ilvl w:val="3"/>
          <w:numId w:val="1"/>
        </w:numPr>
        <w:rPr/>
      </w:pPr>
      <w:bookmarkStart w:id="615" w:name="__RefHeading___Toc1391363_1067777946"/>
      <w:bookmarkStart w:id="616" w:name="_Toc231"/>
      <w:bookmarkEnd w:id="615"/>
      <w:r>
        <w:rPr>
          <w:rtl w:val="true"/>
        </w:rPr>
        <w:t>اشارة</w:t>
      </w:r>
      <w:bookmarkEnd w:id="616"/>
    </w:p>
    <w:p>
      <w:pPr>
        <w:pStyle w:val="BookText"/>
        <w:rPr/>
      </w:pPr>
      <w:r>
        <w:rPr>
          <w:rFonts w:ascii="Amiri" w:hAnsi="Amiri" w:eastAsia="Amiri" w:cs="Amiri"/>
          <w:color w:val="111111"/>
          <w:sz w:val="28"/>
          <w:sz w:val="28"/>
          <w:szCs w:val="28"/>
          <w:rtl w:val="true"/>
          <w:lang w:bidi="ar-SA"/>
        </w:rPr>
        <w:t>لقد تعرفت على دلائل عصمة الأنبياء في تلقى الوحي وحفظه في نفسه وأدائه إلى الناس ، وحان الحين للبحث عن عصمتهم عن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المجال وإن كان ربما يوجد نقول شاذة في عصمة الأنبياء بالنسبة إلى المعاصي الصغيرة ، أو عصمتهم قبل البعثة ، لكن نضرب عنها صفحاً ونستنطق الفعل والقرآن في هذا المجال</w:t>
      </w:r>
      <w:r>
        <w:rPr>
          <w:rFonts w:eastAsia="Amiri" w:cs="Amiri" w:ascii="Amiri" w:hAnsi="Amiri"/>
          <w:color w:val="111111"/>
          <w:sz w:val="28"/>
          <w:szCs w:val="28"/>
          <w:rtl w:val="true"/>
          <w:lang w:bidi="ar-SA"/>
        </w:rPr>
        <w:t>.</w:t>
      </w:r>
    </w:p>
    <w:p>
      <w:pPr>
        <w:pStyle w:val="Heading4"/>
        <w:numPr>
          <w:ilvl w:val="3"/>
          <w:numId w:val="1"/>
        </w:numPr>
        <w:rPr/>
      </w:pPr>
      <w:bookmarkStart w:id="617" w:name="__RefHeading___Toc1391365_1067777946"/>
      <w:bookmarkStart w:id="618" w:name="_Toc232"/>
      <w:bookmarkEnd w:id="617"/>
      <w:r>
        <w:rPr>
          <w:rtl w:val="true"/>
        </w:rPr>
        <w:t>العقل وعصمة الأنبياء عن المعصية</w:t>
      </w:r>
      <w:bookmarkEnd w:id="618"/>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القرآن الكريم يصرح بأنّ الهدف من بعث الأنبياء هو تزكية نفوس الناس وتصفيتهم من الرذائل وغرس الفضائل فيها قال سبحانه حاكياً عن لسان إبراهيم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وَابْعَثْ فِيهِمْ رَسُولاً مِنْهُمْ يَتْلُوا عَلَيْهِمْ آياتِكَ وَيُعَلِّمُهُمُ الْكِتابَ وَالْحِكْمَةَ وَيُزَكِّيهِمْ إِنَّكَ أَنْتَ الْعَزِيزُ الْحَكِيمُ</w:t>
      </w:r>
      <w:r>
        <w:rPr>
          <w:rFonts w:eastAsia="Amiri" w:cs="Amiri" w:ascii="Amiri" w:hAnsi="Amiri"/>
          <w:color w:val="111111"/>
          <w:sz w:val="28"/>
          <w:szCs w:val="28"/>
          <w:rtl w:val="true"/>
          <w:lang w:bidi="ar-SA"/>
        </w:rPr>
        <w:t xml:space="preserve">) </w:t>
      </w:r>
      <w:r>
        <w:rPr>
          <w:rStyle w:val="FootnoteAnchor"/>
          <w:rtl w:val="true"/>
        </w:rPr>
        <w:footnoteReference w:id="332"/>
      </w: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مَنَّ اللهُ عَلَى الْمُؤْمِنِينَ إِذْ بَعَثَ فِيهِمْ رَسُولاً مِنْ أَنْفُسِهِمْ يَتْلُوا عَلَيْهِمْ آياتِهِ وَيُزَكِّيهِمْ وَيُعَلِّمُهُمُ </w:t>
      </w:r>
      <w:bookmarkStart w:id="619" w:name="pg11047_102784"/>
    </w:p>
    <w:p>
      <w:pPr>
        <w:pStyle w:val="BookText"/>
        <w:rPr/>
      </w:pPr>
      <w:bookmarkEnd w:id="619"/>
      <w:r>
        <w:rPr>
          <w:rFonts w:ascii="Amiri" w:hAnsi="Amiri" w:eastAsia="Amiri" w:cs="Amiri"/>
          <w:color w:val="111111"/>
          <w:sz w:val="28"/>
          <w:sz w:val="28"/>
          <w:szCs w:val="28"/>
          <w:rtl w:val="true"/>
          <w:lang w:bidi="ar-SA"/>
        </w:rPr>
        <w:t>الْكِتابَ وَالْحِكْمَةَ وَإِنْ كانُوا مِنْ قَبْلُ لَفِي ضَلالٍ مُبِينٍ</w:t>
      </w:r>
      <w:r>
        <w:rPr>
          <w:rFonts w:eastAsia="Amiri" w:cs="Amiri" w:ascii="Amiri" w:hAnsi="Amiri"/>
          <w:color w:val="111111"/>
          <w:sz w:val="28"/>
          <w:szCs w:val="28"/>
          <w:rtl w:val="true"/>
          <w:lang w:bidi="ar-SA"/>
        </w:rPr>
        <w:t xml:space="preserve">). </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 xml:space="preserve">والمراد من التزكية هو تطهير القلوب من الرذائل وإنماء الفضائل ، وهذا هو ما يسمى في علم الأخلاق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أنّ تأثير التربية في النفوس يتوقف على إذعان من تراد تربيته بصدق المربي وإيمانه بتعاليمه ، وهذا يعرف من خلال عمل المربّي بما يقوله ويعلمه وإلاّ فلو كان هناك انفكاك بين القول والعمل ، لزال الوثوق بصدق قوله وبالتالي تفقد التربية أثرها ، ولا تتحقق حينئذ الغاية من البعث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التطابق بين مرحلتي القول والفعل ، هو العامل الوحيد لكسب ثقة الآخرين بتعاليم المصلح والمربي ، ولو كان هناك انفكاك بينهما لانفضّ الناس من حوله قائلين بأنّه لو كان مذعناً بصحة دعوته لما خالف قولَه في مقام العمل</w:t>
      </w:r>
      <w:r>
        <w:rPr>
          <w:rFonts w:eastAsia="Amiri" w:cs="Amiri" w:ascii="Amiri" w:hAnsi="Amiri"/>
          <w:color w:val="111111"/>
          <w:sz w:val="28"/>
          <w:szCs w:val="28"/>
          <w:rtl w:val="true"/>
          <w:lang w:bidi="ar-SA"/>
        </w:rPr>
        <w:t>.</w:t>
      </w:r>
    </w:p>
    <w:p>
      <w:pPr>
        <w:pStyle w:val="Heading4"/>
        <w:numPr>
          <w:ilvl w:val="3"/>
          <w:numId w:val="1"/>
        </w:numPr>
        <w:rPr/>
      </w:pPr>
      <w:bookmarkStart w:id="620" w:name="__RefHeading___Toc1391367_1067777946"/>
      <w:bookmarkStart w:id="621" w:name="_Toc233"/>
      <w:bookmarkEnd w:id="620"/>
      <w:r>
        <w:rPr>
          <w:rtl w:val="true"/>
        </w:rPr>
        <w:t>سؤال وجواب</w:t>
      </w:r>
      <w:bookmarkEnd w:id="621"/>
    </w:p>
    <w:p>
      <w:pPr>
        <w:pStyle w:val="BookText"/>
        <w:rPr/>
      </w:pPr>
      <w:r>
        <w:rPr>
          <w:rFonts w:ascii="Amiri" w:hAnsi="Amiri" w:eastAsia="Amiri" w:cs="Amiri"/>
          <w:color w:val="111111"/>
          <w:sz w:val="28"/>
          <w:sz w:val="28"/>
          <w:szCs w:val="28"/>
          <w:rtl w:val="true"/>
          <w:lang w:bidi="ar-SA"/>
        </w:rPr>
        <w:t xml:space="preserve">نعم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الاعتماد على النبي مصونيته عن معصية واحدة وهي الكذب فالبرهان المذكور على تماميته لا يثبت إلاّ مصونيته عن خصوص الكذب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الإجابة عن هذا السؤال سهلة ، لأنّ التفكيك بين المعاصي فرضية محضة لا يصح أن تقع أساساً للتربية العامة لما فيها من الإشكالات</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المصونية عن المعاصي نتيجة إحدى العوامل التي أوعزنا إليها </w:t>
      </w:r>
    </w:p>
    <w:p>
      <w:pPr>
        <w:pStyle w:val="BookText"/>
        <w:rPr/>
      </w:pPr>
      <w:r>
        <w:rPr>
          <w:rFonts w:ascii="Amiri" w:hAnsi="Amiri" w:eastAsia="Amiri" w:cs="Amiri"/>
          <w:color w:val="111111"/>
          <w:sz w:val="28"/>
          <w:sz w:val="28"/>
          <w:szCs w:val="28"/>
          <w:rtl w:val="true"/>
          <w:lang w:bidi="ar-SA"/>
        </w:rPr>
        <w:t>عند البحث عن حقيقة العصمة فإن تم وجودها أو وجود بعضها تحصل المصونية المطلقة للإنسان ، وإلاّ فلا يمكن التفكيك بين الكذب وسائر المعاصي بأن يجتنب الإنسان عن الكذب طيلة عمره ويرتكب سائر المعاصي ، فإنّ العوامل التي تسوق الإنسان إلى ارتكابها تسوقه أيضاً إلى اقتراف الكذب واجتياح التهمة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صح التفكيك بينهما في عالم الثبوت لا يمكن إثباته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الداعي لا يكذب أبداً وان كان يركب سائر 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 الداعي ومدعي النبوة ، إذ كيف يمكن الإنسان أن يقف على أنّ مدّعي النبوة مع ركوبه المعاصي واقترافه للمآثم ، لا يكذب أصلاً عند ما اضطر إليه حتى ولو صرح الداعي إلى الإصلاح بنفس هذا التفكيك ، لسرى الريب إلى نفس هذا الكلام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الهدف من بعث الرسل وإنزال الكتب هو دعوة الناس إلى الهداية الإلهية التي يقوم بأعبائها الأنبياء والرسل ، ولا يتحقق ذلك الهدف إلاّ بعد اعتماد الناس على حامل الدعوة والقائم بالهداية ، فاقتراف المعاصي ومخالفة ما يدعو إليه من القيم والخلق ، يزيل من النفوس الثقة به والاعتماد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البيان تظهر الإجابة عن سؤال لا يقصر في الضالّة عن السؤال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أقصى ما يثبته هذا البرهان هو لزوم نزاهة النبي عن اقتراف المعاصي في المجتمع ، وهذا لا يخالف أن يكون عاصياً ومقترفاً للذنوب في الخلوات ، وهذا القدر من النزاهة كاف في جلب الثقة</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 هذا السؤال واضح تمام الوضوح ، فإنّ مثل هذا التصور عن النبي والقول بأنّه يرتكب المعاصي في السر دون العلن يهدم الثقة به ، إذ ما الذي يمنعه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يكذب ويتستر على كذبه ، وبذلك تزول الثقة بكل ما يقول </w:t>
      </w:r>
      <w:bookmarkStart w:id="622" w:name="pg11047_102786"/>
    </w:p>
    <w:p>
      <w:pPr>
        <w:pStyle w:val="BookText"/>
        <w:rPr/>
      </w:pPr>
      <w:bookmarkEnd w:id="622"/>
      <w:r>
        <w:rPr>
          <w:rFonts w:ascii="Amiri" w:hAnsi="Amiri" w:eastAsia="Amiri" w:cs="Amiri"/>
          <w:color w:val="111111"/>
          <w:sz w:val="28"/>
          <w:sz w:val="28"/>
          <w:szCs w:val="28"/>
          <w:rtl w:val="true"/>
          <w:lang w:bidi="ar-SA"/>
        </w:rPr>
        <w:t>ويعمل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أنّه يمكن خداع الناس بتزيين الظاهر مدة قليلة لا مدة طويلة ولا ينقضي زمان إلاّ وقد تظهر البواطن ويرتفع الستار عن حقيقته فتكشف سوأته ، ويظهر عيبه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ظهر أنّ ثقة الناس بالأنبياء إنّما هي في ضوء الاعتقاد بصحة مقالهم وسلامة أفعالهم ، وهو فرع كونهم مصونين عن الخلاف والعصيان في الملأ والخلأ والسر والعلن من غير فرق بين معصية دون أُخرى</w:t>
      </w:r>
      <w:r>
        <w:rPr>
          <w:rFonts w:eastAsia="Amiri" w:cs="Amiri" w:ascii="Amiri" w:hAnsi="Amiri"/>
          <w:color w:val="111111"/>
          <w:sz w:val="28"/>
          <w:szCs w:val="28"/>
          <w:rtl w:val="true"/>
          <w:lang w:bidi="ar-SA"/>
        </w:rPr>
        <w:t>.</w:t>
      </w:r>
    </w:p>
    <w:p>
      <w:pPr>
        <w:pStyle w:val="Heading4"/>
        <w:numPr>
          <w:ilvl w:val="3"/>
          <w:numId w:val="1"/>
        </w:numPr>
        <w:rPr/>
      </w:pPr>
      <w:bookmarkStart w:id="623" w:name="__RefHeading___Toc1391369_1067777946"/>
      <w:bookmarkStart w:id="624" w:name="_Toc234"/>
      <w:bookmarkEnd w:id="623"/>
      <w:r>
        <w:rPr>
          <w:rtl w:val="true"/>
        </w:rPr>
        <w:t>القرآن وعصمة الأنبياء من المعصية</w:t>
      </w:r>
      <w:bookmarkEnd w:id="624"/>
    </w:p>
    <w:p>
      <w:pPr>
        <w:pStyle w:val="BookText"/>
        <w:rPr/>
      </w:pPr>
      <w:r>
        <w:rPr>
          <w:rFonts w:ascii="Amiri" w:hAnsi="Amiri" w:eastAsia="Amiri" w:cs="Amiri"/>
          <w:color w:val="111111"/>
          <w:sz w:val="28"/>
          <w:sz w:val="28"/>
          <w:szCs w:val="28"/>
          <w:rtl w:val="true"/>
          <w:lang w:bidi="ar-SA"/>
        </w:rPr>
        <w:t xml:space="preserve">إنّه سبحانه يطرح في كتابه العزيز عصمة الأنبياء ويصفهم بهذا الوصف ، ويشهد بذلك لفيف من الآيات </w:t>
      </w:r>
      <w:r>
        <w:rPr>
          <w:rFonts w:eastAsia="Amiri" w:cs="Amiri" w:ascii="Amiri" w:hAnsi="Amiri"/>
          <w:color w:val="111111"/>
          <w:sz w:val="28"/>
          <w:szCs w:val="28"/>
          <w:rtl w:val="true"/>
          <w:lang w:bidi="ar-SA"/>
        </w:rPr>
        <w:t>:</w:t>
      </w:r>
    </w:p>
    <w:p>
      <w:pPr>
        <w:pStyle w:val="Heading4"/>
        <w:numPr>
          <w:ilvl w:val="3"/>
          <w:numId w:val="1"/>
        </w:numPr>
        <w:rPr/>
      </w:pPr>
      <w:bookmarkStart w:id="625" w:name="__RefHeading___Toc1391371_1067777946"/>
      <w:bookmarkStart w:id="626" w:name="_Toc235"/>
      <w:bookmarkEnd w:id="625"/>
      <w:r>
        <w:rPr>
          <w:rtl w:val="true"/>
        </w:rPr>
        <w:t>الآية الأُولى</w:t>
      </w:r>
      <w:bookmarkEnd w:id="626"/>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وَوَهَبْنا لَهُ إِسْحاقَ وَيَعْقُوبَ كُلًّا هَدَيْنا وَنُوحاً هَدَيْنا مِنْ قَبْلُ وَمِنْ ذُرِّيَّتِهِ داوُدَ وَسُلَيْمانَ وَأَيُّوبَ وَيُوسُفَ وَمُوسى وَهارُونَ وَكَذلِكَ نَجْزِي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وَزَكَرِيَّا وَيَحْيى وَعِيسى وَإِلْياسَ كُلٌّ مِنَ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وَإِسْماعِيلَ وَالْيَسَعَ وَيُونُسَ وَلُوطاً وَكلًّا فَضَّلْنا عَلَى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آبائِهِمْ وَذُرِّيَّاتِهِمْ وَإِخْوانِهِمْ وَاجْتَبَيْناهُمْ وَهَدَيْناهُمْ إِلى صِراطٍ مُسْتَقِيمٍ</w:t>
      </w:r>
      <w:r>
        <w:rPr>
          <w:rFonts w:eastAsia="Amiri" w:cs="Amiri" w:ascii="Amiri" w:hAnsi="Amiri"/>
          <w:color w:val="111111"/>
          <w:sz w:val="28"/>
          <w:szCs w:val="28"/>
          <w:rtl w:val="true"/>
          <w:lang w:bidi="ar-SA"/>
        </w:rPr>
        <w:t xml:space="preserve">). </w:t>
      </w:r>
      <w:r>
        <w:rPr>
          <w:rStyle w:val="FootnoteAnchor"/>
          <w:rtl w:val="true"/>
        </w:rPr>
        <w:footnoteReference w:id="334"/>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يصف هذه الصفوة من عباده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الَّذِينَ هَدَى اللهُ </w:t>
      </w:r>
    </w:p>
    <w:p>
      <w:pPr>
        <w:pStyle w:val="BookText"/>
        <w:rPr/>
      </w:pPr>
      <w:r>
        <w:rPr>
          <w:rFonts w:ascii="Amiri" w:hAnsi="Amiri" w:eastAsia="Amiri" w:cs="Amiri"/>
          <w:color w:val="111111"/>
          <w:sz w:val="28"/>
          <w:sz w:val="28"/>
          <w:szCs w:val="28"/>
          <w:rtl w:val="true"/>
          <w:lang w:bidi="ar-SA"/>
        </w:rPr>
        <w:t>فَبِهُداهُمُ اقْتَدِهْ قُلْ لا أَسْئَلُكُمْ عَلَيْهِ أَجْراً إِنْ هُوَ إِلاَّ ذِكْرى لِلْعالَمِينَ</w:t>
      </w:r>
      <w:r>
        <w:rPr>
          <w:rFonts w:eastAsia="Amiri" w:cs="Amiri" w:ascii="Amiri" w:hAnsi="Amiri"/>
          <w:color w:val="111111"/>
          <w:sz w:val="28"/>
          <w:szCs w:val="28"/>
          <w:rtl w:val="true"/>
          <w:lang w:bidi="ar-SA"/>
        </w:rPr>
        <w:t xml:space="preserve">). </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والآية الأخيرة تصف الأنبياء بأنّهم مهديون بهداية الله سبحانه على وجه يجعلهم القدوة والاسوة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من جانب ومن جانب آخر نرى أنّه سبحانه يصرح بأنّ من شملته الهداية الإلهية لا مضلَّ له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يُضْلِلِ اللهُ فَما لَهُ مِنْ 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يَهْدِ اللهُ فَما لَهُ مِنْ مُضِلٍ</w:t>
      </w:r>
      <w:r>
        <w:rPr>
          <w:rFonts w:eastAsia="Amiri" w:cs="Amiri" w:ascii="Amiri" w:hAnsi="Amiri"/>
          <w:color w:val="111111"/>
          <w:sz w:val="28"/>
          <w:szCs w:val="28"/>
          <w:rtl w:val="true"/>
          <w:lang w:bidi="ar-SA"/>
        </w:rPr>
        <w:t xml:space="preserve">). </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 xml:space="preserve">وفي آية ثالثة يصرح بأنّ حقيقة العصيان هي الانحراف عن الجادة الوسطى بل هي الضلالة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أَعْهَدْ إِلَيْكُمْ يا بَنِي آدَمَ أَنْ لا تَعْبُدُوا الشَّيْطانَ إِنَّهُ لَكُمْ عَدُوٌّ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اعْبُدُونِي هذا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أَضَلَّ مِنْكُمْ جِبِلًّا كَثِيراً أَفَلَمْ تَكُونُوا تَعْقِلُونَ</w:t>
      </w:r>
      <w:r>
        <w:rPr>
          <w:rFonts w:eastAsia="Amiri" w:cs="Amiri" w:ascii="Amiri" w:hAnsi="Amiri"/>
          <w:color w:val="111111"/>
          <w:sz w:val="28"/>
          <w:szCs w:val="28"/>
          <w:rtl w:val="true"/>
          <w:lang w:bidi="ar-SA"/>
        </w:rPr>
        <w:t xml:space="preserve">). </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 xml:space="preserve">وبملاحظة هذه الطوائف الثلاث من الآيات تظهر عصمة الأنبياء بوضوح وتوضيح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سبحانه يصف الأنبياء في اللفيف الأوّل من الآيات بأنّهم القدوة الاسوة والمهديون من الأُمّة كما يصرح في اللفيف الثاني بأنّ من شملته الهداية الإلهية لا ضلالة ولا مضل له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هو يصرح في اللفيف الثالث بأنّ العصيان نفس الضلالة أو مقارنه وملازمه حيث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أَضَلَّ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كانت ضلالتهم إلاّ لأجل عصيانهم ومخالفتهم لأوامره ونواهيه</w:t>
      </w:r>
      <w:r>
        <w:rPr>
          <w:rFonts w:eastAsia="Amiri" w:cs="Amiri" w:ascii="Amiri" w:hAnsi="Amiri"/>
          <w:color w:val="111111"/>
          <w:sz w:val="28"/>
          <w:szCs w:val="28"/>
          <w:rtl w:val="true"/>
          <w:lang w:bidi="ar-SA"/>
        </w:rPr>
        <w:t xml:space="preserve">. </w:t>
      </w:r>
      <w:bookmarkStart w:id="627" w:name="pg11047_102788"/>
    </w:p>
    <w:p>
      <w:pPr>
        <w:pStyle w:val="BookText"/>
        <w:rPr/>
      </w:pPr>
      <w:bookmarkEnd w:id="627"/>
      <w:r>
        <w:rPr>
          <w:rFonts w:ascii="Amiri" w:hAnsi="Amiri" w:eastAsia="Amiri" w:cs="Amiri"/>
          <w:color w:val="111111"/>
          <w:sz w:val="28"/>
          <w:sz w:val="28"/>
          <w:szCs w:val="28"/>
          <w:rtl w:val="true"/>
          <w:lang w:bidi="ar-SA"/>
        </w:rPr>
        <w:t>فإذا كان الأنبياء مهديين بهداية الله سبحانه ، ومن جانب آخر لا يتطرق الضلال إلى من هداه الله ، ومن جانب ثالث كانت كل معصية ضلالاً يستنتج أنّ من لا تتطرق إليه الضلالة لا يتطرق إليه العصيان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أردت أن تفرغ ما تفيده هذه الآيات في قالب الأشكال المنطقية فقل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هداه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من هداه الله فما له من مضل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ينتج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ما له من مضل</w:t>
      </w:r>
      <w:r>
        <w:rPr>
          <w:rFonts w:eastAsia="Amiri" w:cs="Amiri" w:ascii="Amiri" w:hAnsi="Amiri"/>
          <w:color w:val="111111"/>
          <w:sz w:val="28"/>
          <w:szCs w:val="28"/>
          <w:rtl w:val="true"/>
          <w:lang w:bidi="ar-SA"/>
        </w:rPr>
        <w:t>.</w:t>
      </w:r>
    </w:p>
    <w:p>
      <w:pPr>
        <w:pStyle w:val="Heading4"/>
        <w:numPr>
          <w:ilvl w:val="3"/>
          <w:numId w:val="1"/>
        </w:numPr>
        <w:rPr/>
      </w:pPr>
      <w:bookmarkStart w:id="628" w:name="__RefHeading___Toc1391373_1067777946"/>
      <w:bookmarkStart w:id="629" w:name="_Toc236"/>
      <w:bookmarkEnd w:id="628"/>
      <w:r>
        <w:rPr>
          <w:rtl w:val="true"/>
        </w:rPr>
        <w:t>الآية الثانية</w:t>
      </w:r>
      <w:bookmarkEnd w:id="629"/>
    </w:p>
    <w:p>
      <w:pPr>
        <w:pStyle w:val="BookText"/>
        <w:rPr/>
      </w:pPr>
      <w:r>
        <w:rPr>
          <w:rFonts w:ascii="Amiri" w:hAnsi="Amiri" w:eastAsia="Amiri" w:cs="Amiri"/>
          <w:color w:val="111111"/>
          <w:sz w:val="28"/>
          <w:sz w:val="28"/>
          <w:szCs w:val="28"/>
          <w:rtl w:val="true"/>
          <w:lang w:bidi="ar-SA"/>
        </w:rPr>
        <w:t xml:space="preserve">انّه سبحانه يعد المطيعين لله والرسول بأنّهم من الذين يحشرون مع النبيين والصدّيقين والشهداء والصالحين الذين أنعم الله عليهم إذ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يُطِعِ اللهَ وَالرَّسُولَ فَأُولئِكَ مَعَ الَّذِينَ أَنْعَمَ اللهُ عَلَيْهِمْ مِنَ النَّبِيِّينَ وَالصِّدِّيقِينَ وَالشُّهَداءِ وَالصَّالِحِينَ وَحَسُنَ أُولئِكَ رَفِيقاً</w:t>
      </w:r>
      <w:r>
        <w:rPr>
          <w:rFonts w:eastAsia="Amiri" w:cs="Amiri" w:ascii="Amiri" w:hAnsi="Amiri"/>
          <w:color w:val="111111"/>
          <w:sz w:val="28"/>
          <w:szCs w:val="28"/>
          <w:rtl w:val="true"/>
          <w:lang w:bidi="ar-SA"/>
        </w:rPr>
        <w:t xml:space="preserve">). </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 xml:space="preserve">وعلى مفاد هذه الآية فالأنبياء من الذين أنعم الله عليهم بلا شك ولا ريب ، وهو سبحانه يصف تلك الطائفة أعني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أنعم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الْمَغْضُوبِ عَلَيْهِمْ وَلَا الضَّالِّينَ</w:t>
      </w:r>
      <w:r>
        <w:rPr>
          <w:rFonts w:eastAsia="Amiri" w:cs="Amiri" w:ascii="Amiri" w:hAnsi="Amiri"/>
          <w:color w:val="111111"/>
          <w:sz w:val="28"/>
          <w:szCs w:val="28"/>
          <w:rtl w:val="true"/>
          <w:lang w:bidi="ar-SA"/>
        </w:rPr>
        <w:t xml:space="preserve">). </w:t>
      </w:r>
      <w:r>
        <w:rPr>
          <w:rStyle w:val="FootnoteAnchor"/>
          <w:rtl w:val="true"/>
        </w:rPr>
        <w:footnoteReference w:id="339"/>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انضمت الآية الأُولى الواصفة للأنبياء بالإنعام عليهم ، إلى هذه الآية الواصفة بأنّهم غير المغضوب عليهم ولا الضالين ، يستنتج عصمة الأنبياء بوضوح ، لأنّ العاصي من يشمله غضب الله سبحانه ويكون ضالاً بقدر عصيانه </w:t>
      </w:r>
      <w:bookmarkStart w:id="630" w:name="pg11047_102789"/>
    </w:p>
    <w:p>
      <w:pPr>
        <w:pStyle w:val="BookText"/>
        <w:rPr/>
      </w:pPr>
      <w:bookmarkEnd w:id="630"/>
      <w:r>
        <w:rPr>
          <w:rFonts w:ascii="IRNazanin" w:hAnsi="IRNazanin" w:eastAsia="IRNazanin"/>
          <w:color w:val="111111"/>
          <w:sz w:val="28"/>
          <w:sz w:val="28"/>
          <w:szCs w:val="28"/>
          <w:rtl w:val="true"/>
          <w:lang w:bidi="fa-IR"/>
        </w:rPr>
        <w:t>ومخالفته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غير المغضوب عليه ولا الضال فهو لا يخالف ربه ولا يعصي أمره فإنّ العاصي يجلب غضب الرب ، ويضل عن الصراط المستقيم قدر عصيانه</w:t>
      </w:r>
      <w:r>
        <w:rPr>
          <w:rFonts w:eastAsia="Amiri" w:cs="Amiri" w:ascii="Amiri" w:hAnsi="Amiri"/>
          <w:color w:val="111111"/>
          <w:sz w:val="28"/>
          <w:szCs w:val="28"/>
          <w:rtl w:val="true"/>
          <w:lang w:bidi="ar-SA"/>
        </w:rPr>
        <w:t>.</w:t>
      </w:r>
    </w:p>
    <w:p>
      <w:pPr>
        <w:pStyle w:val="Heading4"/>
        <w:numPr>
          <w:ilvl w:val="3"/>
          <w:numId w:val="1"/>
        </w:numPr>
        <w:rPr/>
      </w:pPr>
      <w:bookmarkStart w:id="631" w:name="__RefHeading___Toc1391375_1067777946"/>
      <w:bookmarkStart w:id="632" w:name="_Toc237"/>
      <w:bookmarkEnd w:id="631"/>
      <w:r>
        <w:rPr>
          <w:rtl w:val="true"/>
        </w:rPr>
        <w:t>الآية الثالثة</w:t>
      </w:r>
      <w:bookmarkEnd w:id="632"/>
    </w:p>
    <w:p>
      <w:pPr>
        <w:pStyle w:val="BookText"/>
        <w:rPr/>
      </w:pPr>
      <w:r>
        <w:rPr>
          <w:rFonts w:ascii="Amiri" w:hAnsi="Amiri" w:eastAsia="Amiri" w:cs="Amiri"/>
          <w:color w:val="111111"/>
          <w:sz w:val="28"/>
          <w:sz w:val="28"/>
          <w:szCs w:val="28"/>
          <w:rtl w:val="true"/>
          <w:lang w:bidi="ar-SA"/>
        </w:rPr>
        <w:t xml:space="preserve">انّه سبحانه يصف جملة من الأنبياء ويقول في حق إبراهيم وإسحاق ويعقوب وموسى وهارون وإسماعيل وإدريس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أَنْعَمَ اللهُ عَلَيْهِمْ مِنَ النَّبِيِّينَ مِنْ ذُرِّيَّةِ آدَمَ وَمِمَّنْ حَمَلْنا مَعَ نُوحٍ وَمِنْ ذُرِّيَّةِ إِبْراهِيمَ وَإِسْرائِيلَ وَمِمَّنْ هَدَيْنا وَاجْتَبَيْنا إِذا تُتْلى عَلَيْهِمْ آياتُ الرَّحْمنِ خَرُّوا سُجَّداً وَبُكِيًّا</w:t>
      </w:r>
      <w:r>
        <w:rPr>
          <w:rFonts w:eastAsia="Amiri" w:cs="Amiri" w:ascii="Amiri" w:hAnsi="Amiri"/>
          <w:color w:val="111111"/>
          <w:sz w:val="28"/>
          <w:szCs w:val="28"/>
          <w:rtl w:val="true"/>
          <w:lang w:bidi="ar-SA"/>
        </w:rPr>
        <w:t xml:space="preserve">). </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 xml:space="preserve">فهذه الآية تصف تلك الصفوة من الأنبياء بأوصاف أربعة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أنعم الله عليهم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وممن هدينا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واجتبينا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خرّوا سجّداً وبُكيّا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سبحانه يصف في الآية التالية ذرية هؤلاء وأولادهم بأوصاف تقابل الصفات الماضية ،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فَخَلَفَ مِنْ بَعْدِهِمْ خَلْفٌ أَضاعُوا الصَّلاةَ وَاتَّبَعُوا الشَّهَواتِ فَسَوْفَ يَلْقَوْنَ غَيًّا</w:t>
      </w:r>
      <w:r>
        <w:rPr>
          <w:rFonts w:eastAsia="Amiri" w:cs="Amiri" w:ascii="Amiri" w:hAnsi="Amiri"/>
          <w:color w:val="111111"/>
          <w:sz w:val="28"/>
          <w:szCs w:val="28"/>
          <w:rtl w:val="true"/>
          <w:lang w:bidi="ar-SA"/>
        </w:rPr>
        <w:t xml:space="preserve">). </w:t>
      </w:r>
      <w:r>
        <w:rPr>
          <w:rStyle w:val="FootnoteAnchor"/>
          <w:rtl w:val="true"/>
        </w:rPr>
        <w:footnoteReference w:id="341"/>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نرى أنّه سبحانه يصف خلفهم بأوصاف ثلاثة تضاد أوصاف آبائهم وهي </w:t>
      </w:r>
      <w:bookmarkStart w:id="633" w:name="pg11047_102790"/>
    </w:p>
    <w:p>
      <w:pPr>
        <w:pStyle w:val="BookText"/>
        <w:rPr/>
      </w:pPr>
      <w:bookmarkEnd w:id="633"/>
      <w:r>
        <w:rPr>
          <w:rFonts w:ascii="Amiri" w:hAnsi="Amiri" w:eastAsia="Amiri" w:cs="Amiri"/>
          <w:color w:val="111111"/>
          <w:sz w:val="28"/>
          <w:sz w:val="28"/>
          <w:szCs w:val="28"/>
          <w:rtl w:val="true"/>
          <w:lang w:bidi="ar-SA"/>
        </w:rPr>
        <w:t xml:space="preserve">عبارة عن أُمور ثلاثة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أضاعوا الصلاة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واتبعوا الشهوات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يلقون غيّاً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وبحكم المقابلة بين الصفات يكون الأنبياء ممن لم يضيّعوا الصلاة ولم يتّبعوا الشهوات ، وبالنتيجة لا يلقون غيّاً ، وكل من كان كذلك فهو مصون من الخلاف ومعصوم من اقتراف المعاصي ، لأنّ العاصي لا يعصي إلاّ لاتباع الشهوات وسوف يلقى أثر غيه وضلالته</w:t>
      </w:r>
      <w:r>
        <w:rPr>
          <w:rFonts w:eastAsia="Amiri" w:cs="Amiri" w:ascii="Amiri" w:hAnsi="Amiri"/>
          <w:color w:val="111111"/>
          <w:sz w:val="28"/>
          <w:szCs w:val="28"/>
          <w:rtl w:val="true"/>
          <w:lang w:bidi="ar-SA"/>
        </w:rPr>
        <w:t>.</w:t>
      </w:r>
    </w:p>
    <w:p>
      <w:pPr>
        <w:pStyle w:val="Heading4"/>
        <w:numPr>
          <w:ilvl w:val="3"/>
          <w:numId w:val="1"/>
        </w:numPr>
        <w:rPr/>
      </w:pPr>
      <w:bookmarkStart w:id="634" w:name="__RefHeading___Toc1391377_1067777946"/>
      <w:bookmarkStart w:id="635" w:name="_Toc238"/>
      <w:bookmarkEnd w:id="634"/>
      <w:r>
        <w:rPr>
          <w:rtl w:val="true"/>
        </w:rPr>
        <w:t>الآية الرابعة</w:t>
      </w:r>
      <w:bookmarkEnd w:id="635"/>
    </w:p>
    <w:p>
      <w:pPr>
        <w:pStyle w:val="BookText"/>
        <w:rPr/>
      </w:pPr>
      <w:r>
        <w:rPr>
          <w:rFonts w:ascii="Amiri" w:hAnsi="Amiri" w:eastAsia="Amiri" w:cs="Amiri"/>
          <w:color w:val="111111"/>
          <w:sz w:val="28"/>
          <w:sz w:val="28"/>
          <w:szCs w:val="28"/>
          <w:rtl w:val="true"/>
          <w:lang w:bidi="ar-SA"/>
        </w:rPr>
        <w:t xml:space="preserve">إنّ القرآن الكريم يدعو المسلمين إلى الاقتفاء بأثر النبي بمختلف التعابير والعبارات يقول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كُنْتُمْ تُحِبُّونَ اللهَ فَاتَّبِعُونِي يُحْبِبْكُمُ اللهُ وَيَغْفِرْ لَكُمْ ذُنُوبَكُمْ وَاللهُ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أَطِيعُوا اللهَ وَالرَّسُولَ فَإِنْ تَوَلَّوْا فَإِنَّ اللهَ لا يُحِبُّ الْكافِرِينَ</w:t>
      </w:r>
      <w:r>
        <w:rPr>
          <w:rFonts w:eastAsia="Amiri" w:cs="Amiri" w:ascii="Amiri" w:hAnsi="Amiri"/>
          <w:color w:val="111111"/>
          <w:sz w:val="28"/>
          <w:szCs w:val="28"/>
          <w:rtl w:val="true"/>
          <w:lang w:bidi="ar-SA"/>
        </w:rPr>
        <w:t xml:space="preserve">). </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 xml:space="preserve">ويقول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يُطِعِ الرَّسُولَ فَقَدْ أَطاعَ اللهَ</w:t>
      </w:r>
      <w:r>
        <w:rPr>
          <w:rFonts w:eastAsia="Amiri" w:cs="Amiri" w:ascii="Amiri" w:hAnsi="Amiri"/>
          <w:color w:val="111111"/>
          <w:sz w:val="28"/>
          <w:szCs w:val="28"/>
          <w:rtl w:val="true"/>
          <w:lang w:bidi="ar-SA"/>
        </w:rPr>
        <w:t xml:space="preserve">). </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 xml:space="preserve">ويقول في آية ثالثة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يُطِعِ اللهَ وَرَسُولَهُ وَيَخْشَ اللهَ وَيَتَّقْهِ فَأُولئِكَ هُمُ الْفائِزُونَ</w:t>
      </w:r>
      <w:r>
        <w:rPr>
          <w:rFonts w:eastAsia="Amiri" w:cs="Amiri" w:ascii="Amiri" w:hAnsi="Amiri"/>
          <w:color w:val="111111"/>
          <w:sz w:val="28"/>
          <w:szCs w:val="28"/>
          <w:rtl w:val="true"/>
          <w:lang w:bidi="ar-SA"/>
        </w:rPr>
        <w:t xml:space="preserve">). </w:t>
      </w:r>
      <w:r>
        <w:rPr>
          <w:rStyle w:val="FootnoteAnchor"/>
          <w:rtl w:val="true"/>
        </w:rPr>
        <w:footnoteReference w:id="344"/>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سبحانه يندد بمن يتصور انّ على النبي أن يقتفي الرأي </w:t>
      </w:r>
    </w:p>
    <w:p>
      <w:pPr>
        <w:pStyle w:val="BookText"/>
        <w:rPr/>
      </w:pPr>
      <w:r>
        <w:rPr>
          <w:rFonts w:ascii="Amiri" w:hAnsi="Amiri" w:eastAsia="Amiri" w:cs="Amiri"/>
          <w:color w:val="111111"/>
          <w:sz w:val="28"/>
          <w:sz w:val="28"/>
          <w:szCs w:val="28"/>
          <w:rtl w:val="true"/>
          <w:lang w:bidi="ar-SA"/>
        </w:rPr>
        <w:t xml:space="preserve">العام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 فِيكُمْ رَسُولَ اللهِ لَوْ يُطِيعُكُمْ فِي كَثِيرٍ مِنَ الْأَمْرِ لَعَنِتُّمْ</w:t>
      </w:r>
      <w:r>
        <w:rPr>
          <w:rFonts w:eastAsia="Amiri" w:cs="Amiri" w:ascii="Amiri" w:hAnsi="Amiri"/>
          <w:color w:val="111111"/>
          <w:sz w:val="28"/>
          <w:szCs w:val="28"/>
          <w:rtl w:val="true"/>
          <w:lang w:bidi="ar-SA"/>
        </w:rPr>
        <w:t xml:space="preserve">). </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 xml:space="preserve">وعصارة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الآيات تدعو إلى إطاعة النبي والاقتداء به بلا قيد وشرط ، ومن وجبت طاعته على وجه الإطلاق أي بلا قيد وشرط يجب أن يكون معصوماً من العصيان ومصوناً عن الخطأ والزلل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دعوة النبي تتحقّق بأحد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 أو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والدعوة بالكتابة ترجع إلى أحدهما ، وعند ذلك فلو كان كل ما يدعو إليه النبي بلسانه وفمه وقلمه ويراعه ، صادقاً مطابقاً للواقع غير مخالف له قدر شعرة ، لصح الأمر بالاقتداء به وإنّ طاعته طاعة الله سبحانه كما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يُطِعِ الرَّسُولَ فَقَدْ أَطاعَ اللهَ</w:t>
      </w:r>
      <w:r>
        <w:rPr>
          <w:rFonts w:eastAsia="Amiri" w:cs="Amiri" w:ascii="Amiri" w:hAnsi="Amiri"/>
          <w:color w:val="111111"/>
          <w:sz w:val="28"/>
          <w:szCs w:val="28"/>
          <w:rtl w:val="true"/>
          <w:lang w:bidi="ar-SA"/>
        </w:rPr>
        <w:t xml:space="preserve">). </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وأمّا لو كان بعض ما يدعو به باللفظ والعمل والقول والكتابة على خلاف الواقع وعلى خلاف ما يرضى به سبحانه يجب تقييد الدعوة إلى طاعة النبي بقيد يخرج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فالحكم باتّباعه على وجه الإطلاق يكشف عن أنّ دعواته وأوامره قولاً وفعلاً حليفة الواقع ، وقرينة الحقيقة لا تتخلف عنه قدر شعرة ، من غير فرق بين الدعوة اللفظية أو العملية</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الدعوة عن طريق العمل والفعل من أقوى العوامل تأثيراً في مجال التربية والتعليم وأرسخها وكل عمل يصدر من الرسل فالناس يتلقونه دعوة عملية إلى اقتفاء أثره في ذاك المجال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فلو كان ما يصدر من النبي طيلة الحياة مطابقاً لرضاه وموافقاً لحكمه صح الأمر بالاقتفاء في القول والفعل ، ولو كانت أفعالهم تخالف الواقع في بعض الأحايين وتتسم بالعصيان والخطأ ، لما صح الأمر بطاعته والاقتداء به على وجه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وقد وصف الرسول بأنّه الأُسوة الحسنة في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لَكُمْ فِي رَسُولِ اللهِ أُسْوَةٌ حَسَنَةٌ لِمَنْ كانَ يَرْجُوا اللهَ وَالْيَوْمَ الْآخِرَ وَذَكَرَ اللهَ كَثِيراً</w:t>
      </w:r>
      <w:r>
        <w:rPr>
          <w:rFonts w:eastAsia="Amiri" w:cs="Amiri" w:ascii="Amiri" w:hAnsi="Amiri"/>
          <w:color w:val="111111"/>
          <w:sz w:val="28"/>
          <w:szCs w:val="28"/>
          <w:rtl w:val="true"/>
          <w:lang w:bidi="ar-SA"/>
        </w:rPr>
        <w:t xml:space="preserve">). </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فكونه أُسوة حسنة في جميع المجالات لا يتفق إلاّ مع عصمته المطلقة ، بخلاف من يكون أُسوة في مجال دون مجال ، وعلى ذلك فهو مصون من الخلاف والعصيان والخطأ والزلل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صدر عن النبي عصيان وخلاف فمن جانب يجب علينا طاعته واقتفاؤه واتباعه ، وبما انّ الصادر منه أمر منكر يحرم الاقتداء به واتباعه وتجب المخالفة ، فعندئذ يلزم الأمر بالمتناقضين ، والقول بأنّه يجب اتّباعه في خصوص ما ثبت كونه موافقاً للشرع أو لم تعلم مخالفته له ، خلاف إطلاق الآيات الآمرة بالاتّباع على وجه الإطلاق من غير فرق بين فعل دون فعل ، ووقت دون وقت</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هنا تمّت دراسة ما يدلّ بوضوح على عصمة النبي في المرحلتين التاليتين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عصمته في أخذ الوحي وحفظه ، وابلاغه إلى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عصمته عن اقتراف المعاصي والضلالة في الفكر والعمل</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الكلام في المرحلة الثالثة أعني عصمته عن الخطأ في حياته الدينية أو المادية وهذا هو الذي نستعرضه في الفصل التالي</w:t>
      </w:r>
      <w:r>
        <w:rPr>
          <w:rFonts w:eastAsia="Amiri" w:cs="Amiri" w:ascii="Amiri" w:hAnsi="Amiri"/>
          <w:color w:val="111111"/>
          <w:sz w:val="28"/>
          <w:szCs w:val="28"/>
          <w:rtl w:val="true"/>
          <w:lang w:bidi="ar-SA"/>
        </w:rPr>
        <w:t xml:space="preserve">. </w:t>
      </w:r>
      <w:bookmarkStart w:id="636" w:name="pg11047_102794"/>
    </w:p>
    <w:p>
      <w:pPr>
        <w:pStyle w:val="Heading4"/>
        <w:numPr>
          <w:ilvl w:val="3"/>
          <w:numId w:val="1"/>
        </w:numPr>
        <w:rPr/>
      </w:pPr>
      <w:bookmarkStart w:id="637" w:name="__RefHeading___Toc1391379_1067777946"/>
      <w:bookmarkStart w:id="638" w:name="_Toc239"/>
      <w:bookmarkEnd w:id="636"/>
      <w:bookmarkEnd w:id="637"/>
      <w:r>
        <w:rPr>
          <w:rtl w:val="true"/>
        </w:rPr>
        <w:t>المرحلة الثالثة</w:t>
      </w:r>
      <w:bookmarkEnd w:id="638"/>
    </w:p>
    <w:p>
      <w:pPr>
        <w:pStyle w:val="Heading3"/>
        <w:numPr>
          <w:ilvl w:val="2"/>
          <w:numId w:val="1"/>
        </w:numPr>
        <w:rPr/>
      </w:pPr>
      <w:bookmarkStart w:id="639" w:name="__RefHeading___Toc1391381_1067777946"/>
      <w:bookmarkStart w:id="640" w:name="_Toc240"/>
      <w:bookmarkEnd w:id="639"/>
      <w:r>
        <w:rPr/>
        <w:t>7</w:t>
      </w:r>
      <w:r>
        <w:rPr>
          <w:rtl w:val="true"/>
        </w:rPr>
        <w:t xml:space="preserve">- </w:t>
      </w:r>
      <w:r>
        <w:rPr>
          <w:rtl w:val="true"/>
        </w:rPr>
        <w:t>عصمة النبي عن الخطأ</w:t>
      </w:r>
      <w:bookmarkEnd w:id="640"/>
    </w:p>
    <w:p>
      <w:pPr>
        <w:pStyle w:val="Heading4"/>
        <w:numPr>
          <w:ilvl w:val="3"/>
          <w:numId w:val="1"/>
        </w:numPr>
        <w:rPr/>
      </w:pPr>
      <w:bookmarkStart w:id="641" w:name="__RefHeading___Toc1391383_1067777946"/>
      <w:bookmarkStart w:id="642" w:name="_Toc241"/>
      <w:bookmarkEnd w:id="641"/>
      <w:r>
        <w:rPr>
          <w:rtl w:val="true"/>
        </w:rPr>
        <w:t>اشارة</w:t>
      </w:r>
      <w:bookmarkEnd w:id="642"/>
    </w:p>
    <w:p>
      <w:pPr>
        <w:pStyle w:val="BookText"/>
        <w:rPr/>
      </w:pPr>
      <w:r>
        <w:rPr>
          <w:rFonts w:ascii="Amiri" w:hAnsi="Amiri" w:eastAsia="Amiri" w:cs="Amiri"/>
          <w:color w:val="111111"/>
          <w:sz w:val="28"/>
          <w:sz w:val="28"/>
          <w:szCs w:val="28"/>
          <w:rtl w:val="true"/>
          <w:lang w:bidi="ar-SA"/>
        </w:rPr>
        <w:t>انّ صيانة النبي عن الخطأ وا لاشتباه سواء أكان في مجال تطبيق الشريعة ، أم في مجال الأُمور العادية الفردية المرتبطة بحياته ، ممّا طرح في علم الكلام وطال البحث فيه بين متكلمي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انّ تحقق الغاية من البعثة رهن صيانته عن الخطأ في كلا المجالين ، وإلاّ فلا تتحقق الغاية المتوخاة من بعثته ، وهذا هو الدليل العقلي الذي اعتمدت عليه العدلية ، بعد ما اتفق الكل على لزوم صيانته عن الخطأ وا لاشتباه في مجال تلقي الوحي وحفظه ، وأدائه إلى الناس ، ولم يختلف في ذلك اثنان</w:t>
      </w:r>
      <w:r>
        <w:rPr>
          <w:rFonts w:eastAsia="Amiri" w:cs="Amiri" w:ascii="Amiri" w:hAnsi="Amiri"/>
          <w:color w:val="111111"/>
          <w:sz w:val="28"/>
          <w:szCs w:val="28"/>
          <w:rtl w:val="true"/>
          <w:lang w:bidi="ar-SA"/>
        </w:rPr>
        <w:t>.</w:t>
      </w:r>
    </w:p>
    <w:p>
      <w:pPr>
        <w:pStyle w:val="Heading4"/>
        <w:numPr>
          <w:ilvl w:val="3"/>
          <w:numId w:val="1"/>
        </w:numPr>
        <w:rPr/>
      </w:pPr>
      <w:bookmarkStart w:id="643" w:name="__RefHeading___Toc1391385_1067777946"/>
      <w:bookmarkStart w:id="644" w:name="_Toc242"/>
      <w:bookmarkEnd w:id="643"/>
      <w:r>
        <w:rPr>
          <w:rtl w:val="true"/>
        </w:rPr>
        <w:t>منطق العقل في عصمة النبي عن الخطأ</w:t>
      </w:r>
      <w:bookmarkEnd w:id="644"/>
    </w:p>
    <w:p>
      <w:pPr>
        <w:pStyle w:val="BookText"/>
        <w:rPr/>
      </w:pPr>
      <w:r>
        <w:rPr>
          <w:rFonts w:ascii="Amiri" w:hAnsi="Amiri" w:eastAsia="Amiri" w:cs="Amiri"/>
          <w:color w:val="111111"/>
          <w:sz w:val="28"/>
          <w:sz w:val="28"/>
          <w:szCs w:val="28"/>
          <w:rtl w:val="true"/>
          <w:lang w:bidi="ar-SA"/>
        </w:rPr>
        <w:t xml:space="preserve">وإليك توضيح هذا الدليل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الخطأ في غير أمر الدين وتلقّي الوحي يتصوّر على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الخطأ في تطبيق الشريعة كالسهو في الصلاة أو في إجراء الحدود</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الاشتباه في الأُمور العادية المعدة للحياة كما إذا استقرض ألف دينار ، </w:t>
      </w:r>
    </w:p>
    <w:p>
      <w:pPr>
        <w:pStyle w:val="BookText"/>
        <w:rPr/>
      </w:pPr>
      <w:r>
        <w:rPr>
          <w:rFonts w:ascii="Amiri" w:hAnsi="Amiri" w:eastAsia="Amiri" w:cs="Amiri"/>
          <w:color w:val="111111"/>
          <w:sz w:val="28"/>
          <w:sz w:val="28"/>
          <w:szCs w:val="28"/>
          <w:rtl w:val="true"/>
          <w:lang w:bidi="ar-SA"/>
        </w:rPr>
        <w:t>وظن أنّه استقرض مائة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انّه مصون من الاشتباه والسهو في كلا الموردين ، وذلك لأنّ الغاية المتوخاة من بعث الأنبياء هي هدايتهم إلى طريق السعادة ، ولا تحصل تلك الغاية إلاّ بكسب اعتماد الناس على صحة ما يقوله النبي وما يحكيه عن جانب الوحي ، وهذا هو الأساس لحصول الغاية ، ومن المعلوم أنّه لو سها النبي واشتبه عليه الأمر في المجالين الأوّلين ربّما تسرب الشك إلى أذهان الناس ، وانّه هل يسهو أيضاً في ما يحكيه من الأمر والنهي الإلهي أم لا؟</w:t>
      </w:r>
    </w:p>
    <w:p>
      <w:pPr>
        <w:pStyle w:val="BookText"/>
        <w:rPr/>
      </w:pPr>
      <w:r>
        <w:rPr>
          <w:rFonts w:ascii="Amiri" w:hAnsi="Amiri" w:eastAsia="Amiri" w:cs="Amiri"/>
          <w:color w:val="111111"/>
          <w:sz w:val="28"/>
          <w:sz w:val="28"/>
          <w:szCs w:val="28"/>
          <w:rtl w:val="true"/>
          <w:lang w:bidi="ar-SA"/>
        </w:rPr>
        <w:t>فبأي دليل أنّه لا يخطأ في هذا الجانب مع أنّه يسهو في المجالين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الشعور إذا تغلغل في أذهان الناس سوف يسلب اعتماد الناس على النبي ، وبالتالي تنتفي النتيجة المطلوبة من بعثه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التفكيك بين صيانته في مجال الوحي وصيانته في سائر الأُمور وإن كان أمراً ممكناً عقلاً ، ولكنه ممكن بالنسبة إلى عقول الناضجين في الأبحاث الكلامية ونحوها ، وأمّا العامّة ورعايا الناس الذين يشكّلون أغلبية المجتمع ، فهم غير قادرين على التفكيك بين تينك المرحلتين ، بل يجعلون السهو في إحداهما دليلاً على إمكان تسرّب السهو إلى المرحلة الأُخرى</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ولأجل سدّ هذا الباب ، المنافي للغاية المطلوبة من إرسال الرسل ، ينبغي أن يكون النبي مصوناً في عامّة المراحل ، سواء أكانت في حقل الوحي أو في تطبيق الشريعة أو في الأُمور العاديّة ، ولهذا يقول الذكر الحكيم في حقّ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وَأَيَّدْناهُ بِرُوحِ الْقُدُسِ</w:t>
      </w:r>
      <w:r>
        <w:rPr>
          <w:rFonts w:eastAsia="Amiri" w:cs="Amiri" w:ascii="Amiri" w:hAnsi="Amiri"/>
          <w:color w:val="111111"/>
          <w:sz w:val="28"/>
          <w:szCs w:val="28"/>
          <w:rtl w:val="true"/>
          <w:lang w:bidi="ar-SA"/>
        </w:rPr>
        <w:t xml:space="preserve">) </w:t>
      </w:r>
      <w:r>
        <w:rPr>
          <w:rStyle w:val="FootnoteAnchor"/>
          <w:rtl w:val="true"/>
        </w:rPr>
        <w:footnoteReference w:id="348"/>
      </w:r>
      <w:r>
        <w:rPr>
          <w:rFonts w:ascii="Amiri" w:hAnsi="Amiri" w:eastAsia="Amiri" w:cs="Amiri"/>
          <w:color w:val="111111"/>
          <w:sz w:val="28"/>
          <w:sz w:val="28"/>
          <w:szCs w:val="28"/>
          <w:rtl w:val="true"/>
          <w:lang w:bidi="ar-SA"/>
        </w:rPr>
        <w:t xml:space="preserve">والإمام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جعل مع النبي روح القدس وهي لا تنام ولا تغفل ولا تلهو ولا تسهو</w:t>
      </w:r>
      <w:r>
        <w:rPr>
          <w:rFonts w:eastAsia="Amiri" w:cs="Amiri" w:ascii="Amiri" w:hAnsi="Amiri"/>
          <w:color w:val="111111"/>
          <w:sz w:val="28"/>
          <w:szCs w:val="28"/>
          <w:rtl w:val="true"/>
          <w:lang w:bidi="ar-SA"/>
        </w:rPr>
        <w:t xml:space="preserve">». </w:t>
      </w:r>
      <w:r>
        <w:rPr>
          <w:rStyle w:val="FootnoteAnchor"/>
          <w:rtl w:val="true"/>
        </w:rPr>
        <w:footnoteReference w:id="349"/>
      </w:r>
      <w:bookmarkStart w:id="645" w:name="pg11047_102796"/>
    </w:p>
    <w:p>
      <w:pPr>
        <w:pStyle w:val="BookText"/>
        <w:rPr/>
      </w:pPr>
      <w:bookmarkEnd w:id="645"/>
      <w:r>
        <w:rPr>
          <w:rFonts w:ascii="Amiri" w:hAnsi="Amiri" w:eastAsia="Amiri" w:cs="Amiri"/>
          <w:color w:val="111111"/>
          <w:sz w:val="28"/>
          <w:sz w:val="28"/>
          <w:szCs w:val="28"/>
          <w:rtl w:val="true"/>
          <w:lang w:bidi="ar-SA"/>
        </w:rPr>
        <w:t>وعلى ذلك فبما أنّه ينبغي أن يكون النبي اسوة في الحياة في عامة المجالات يجب أن يكون نزيهاً عن العصيان أو لا الخلاف والسهو والخطأ ثانياً</w:t>
      </w:r>
      <w:r>
        <w:rPr>
          <w:rFonts w:eastAsia="Amiri" w:cs="Amiri" w:ascii="Amiri" w:hAnsi="Amiri"/>
          <w:color w:val="111111"/>
          <w:sz w:val="28"/>
          <w:szCs w:val="28"/>
          <w:rtl w:val="true"/>
          <w:lang w:bidi="ar-SA"/>
        </w:rPr>
        <w:t>.</w:t>
      </w:r>
    </w:p>
    <w:p>
      <w:pPr>
        <w:pStyle w:val="Heading4"/>
        <w:numPr>
          <w:ilvl w:val="3"/>
          <w:numId w:val="1"/>
        </w:numPr>
        <w:rPr/>
      </w:pPr>
      <w:bookmarkStart w:id="646" w:name="__RefHeading___Toc1391387_1067777946"/>
      <w:bookmarkStart w:id="647" w:name="_Toc243"/>
      <w:bookmarkEnd w:id="646"/>
      <w:r>
        <w:rPr>
          <w:rtl w:val="true"/>
        </w:rPr>
        <w:t>منطق القرآن في عصمة النبي عن الخطأ</w:t>
      </w:r>
      <w:bookmarkEnd w:id="647"/>
    </w:p>
    <w:p>
      <w:pPr>
        <w:pStyle w:val="BookText"/>
        <w:rPr/>
      </w:pPr>
      <w:r>
        <w:rPr>
          <w:rFonts w:ascii="Amiri" w:hAnsi="Amiri" w:eastAsia="Amiri" w:cs="Amiri"/>
          <w:color w:val="111111"/>
          <w:sz w:val="28"/>
          <w:sz w:val="28"/>
          <w:szCs w:val="28"/>
          <w:rtl w:val="true"/>
          <w:lang w:bidi="ar-SA"/>
        </w:rPr>
        <w:t xml:space="preserve">قد عرفت منطق العقل في لزوم عصمة النبي من الخطأ في مجال تطبيق الشريعة ، ومجال الأُمور العادية المعدّة للحياة ، وهذا الحكم لا يختص بمنطقه ، بل الذكر الحكيم يدعمه بأحسن وجه ، وإليك ما يدل على ذلك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 إِلَيْكَ الْكِتابَ بِالْحَقِّ لِتَحْكُمَ بَيْنَ النَّاسِ بِما أَراكَ اللهُ وَلا تَكُنْ لِلْخائِنِينَ خَصِيماً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وقال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لا فَضْلُ اللهِ عَلَيْكَ وَرَحْمَتُهُ لَهَمَّتْ طائِفَةٌ مِنْهُمْ أَنْ يُضِلُّوكَ وَما يُضِلُّونَ إِلاَّ أَنْفُسَهُمْ وَما يَضُرُّونَكَ مِنْ شَيْءٍ وَأَنْزَلَ اللهُ عَلَيْكَ الْكِتابَ وَالْحِكْمَةَ وَعَلَّمَكَ ما لَمْ تَكُنْ تَعْلَمُ وَكانَ فَضْلُ اللهِ عَلَيْكَ عَظِيماً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نقل المفسرون حول نزول الآيات وما بينهما من الآيات روايات رووها بطرق مختلفة نذكر ما ذكره ابن جرير الطبري عن ابن 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رجل سرق درعاً من حديد في زمان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وطرحه على يهودي ، فقال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سرقتها يا أبا القاسم ، ولكن طرحت عليّ وكان للرجل الذي سرق ، جيران يبرءونه ويطرحونه على اليهودي ،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هذا اليهودي الخبيث يكفر بالله وبما جئت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مال عليه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ببعض القول فعاتبه الله عزّ وجلّ في ذلك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أَنْزَلْنا إِلَيْكَ الْكِتابَ بِالْحَقِّ لِتَحْكُمَ بَيْنَ النَّاسِ بِما أَراكَ اللهُ وَلا </w:t>
      </w:r>
    </w:p>
    <w:p>
      <w:pPr>
        <w:pStyle w:val="BookText"/>
        <w:rPr/>
      </w:pPr>
      <w:r>
        <w:rPr>
          <w:rFonts w:ascii="Amiri" w:hAnsi="Amiri" w:eastAsia="Amiri" w:cs="Amiri"/>
          <w:color w:val="111111"/>
          <w:sz w:val="28"/>
          <w:sz w:val="28"/>
          <w:szCs w:val="28"/>
          <w:rtl w:val="true"/>
          <w:lang w:bidi="ar-SA"/>
        </w:rPr>
        <w:t>تَكُنْ لِلْخائِنِينَ خَصِيماً</w:t>
      </w:r>
      <w:r>
        <w:rPr>
          <w:rFonts w:eastAsia="Amiri" w:cs="Amiri" w:ascii="Amiri" w:hAnsi="Amiri"/>
          <w:color w:val="111111"/>
          <w:sz w:val="28"/>
          <w:szCs w:val="28"/>
          <w:rtl w:val="true"/>
          <w:lang w:bidi="ar-SA"/>
        </w:rPr>
        <w:t xml:space="preserve">). </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أصحت هذه الرواية أم لا ، فمجموع ما ورد حول الآيات من أسباب النزول متفق على أنّ الآيات نزلت حول شكوى رفعت إلى النبي ، وكان كل من المتخاصمين يسعى ليبرئ نفسه ويتهم الآخر ، وكان في جانب واحد منهما رجل طليق اللسان يريد أن يخدع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ببعض تسويلاته ويثير عواطفه على المتهم البريء حتى يقضي على خلاف الحق ، وعند ذلك نزلت الآية ورفعت النقاب عن وجه الحقيقة فعُرِف المحقُّ من المبطل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والدقة في فقرات الآية الثانية يوقفنا على سعة عصمة النبي من الخطأ وصيانته من السهو ، لأنّها مؤلفة من فقرات أربع ، كل يشير إلى أمر خاص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لا فَضْلُ اللهِ عَلَيْكَ وَرَحْمَتُهُ لَهَمَّتْ طائِفَةٌ مِنْهُمْ أَنْ يُضِلُّوكَ وَما يُضِلُّونَ إِلاَّ أَنْفُسَهُمْ وَما يَضُرُّونَكَ مِنْ شَيْءٍ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 اللهُ عَلَيْكَ الْكِتابَ وَالْحِكْمَةَ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وَعَلَّمَكَ ما لَمْ تَكُنْ تَعْلَمُ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فَضْلُ اللهِ عَلَيْكَ عَظِيماً</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فالأُولى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أنّ نفس النبيّ بمجردها لا تصونه من الضلال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القضاء على خلاف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يصونه سبحانه عنه ، ولو لا فضل الله ورحمته لهمّت طائفة أن يرضوه بالدفاع عن الخائن والجدال عنه ، غير أنّ فضله العظيم على النبي هو الذي صدّه عن مثل هذا الضلال وأبطل أمرهم المؤدي إلى إضلاله ، وبما أنّ رعاية الله سبحانه وفضله الجسيم على النبي ليست مقصورة على حال دون </w:t>
      </w:r>
    </w:p>
    <w:p>
      <w:pPr>
        <w:pStyle w:val="BookText"/>
        <w:rPr/>
      </w:pPr>
      <w:r>
        <w:rPr>
          <w:rFonts w:ascii="Amiri" w:hAnsi="Amiri" w:eastAsia="Amiri" w:cs="Amiri"/>
          <w:color w:val="111111"/>
          <w:sz w:val="28"/>
          <w:sz w:val="28"/>
          <w:szCs w:val="28"/>
          <w:rtl w:val="true"/>
          <w:lang w:bidi="ar-SA"/>
        </w:rPr>
        <w:t xml:space="preserve">حال ، أو بوقت دون وقت آخر ، بل هو واقع تحت رعايته وصيانته منذ أن بعث إلى أن يلاقي ربَّه ، فلا يتعدى إضلال هؤلاء أنفسهم ولا يتجاوز إلى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الضالون بما هموا به كما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يُضِلُّونَ إِلاَّ أَنْفُسَهُمْ وَما يَضُرُّونَكَ مِنْ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والفقرة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تشير إلى مصادر حكمه ومنابع قضائه ، وأنّه لا يصدر في ذلك المجال إلاّ عن الوحي والتعليم الإلهي ، كما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 اللهُ عَلَيْكَ الْكِتابَ وَالْحِكْمَةَ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المعارف الكلية العامة من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هذا النوع من العلم الكلي أحد ركني القضاء وهو بوحده لا يفي بتشخيص الموضوعات وتمييز الصغريات ، فلا بد من الركن الآخر وهو تشخيص المحق من المبطل ، والخائن من الأمين ، والزاني من العفيف ، أتى بالفقرة الثالثة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وَعَلَّمَكَ ما لَمْ تَكُنْ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العطف ، مغايرة المعطوف ، مع المعطوف عليه ، فلو كان المعطوف عليه ناظراً إلى تعرّفه على الركن الأوّل وهو العلم بالأُصول والقواعد الكلية الواردة في الكتاب والسنّة ، يكون المعطوف ناظراً إلى تعرّفه على الموضوعات والجزئيات التي تعد ركناً ثانياً للقضاء الصحيح ، فالعلم بالحكم الكلي الشرعي أوّلاً وتشخيص الصغريات وتمييز الموضوعات ثانياً جناحان للقاضي يحلّق بهما في سماء القضاء بالحق من دون أن يجنح إلى جانب الباطل ، أو يسقط في هوّة الضلال</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العلاّمة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وَعَلَّمَكَ ما لَمْ تَكُنْ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علمه بالكتاب والحكمة ، فإنّ مورد الآية ، قضاء النبي في الحوادث الواقعة ، والدعاوى المرفوعة إليه ، برأيه الخاص ، وليس ذلك من الكتاب والحكمة بشيء ، وإن كان متوقفاً عليهما ، بل المراد رأيه ونظره الخاص</w:t>
      </w:r>
      <w:r>
        <w:rPr>
          <w:rFonts w:eastAsia="Amiri" w:cs="Amiri" w:ascii="Amiri" w:hAnsi="Amiri"/>
          <w:color w:val="111111"/>
          <w:sz w:val="28"/>
          <w:szCs w:val="28"/>
          <w:rtl w:val="true"/>
          <w:lang w:bidi="ar-SA"/>
        </w:rPr>
        <w:t xml:space="preserve">. </w:t>
      </w:r>
      <w:r>
        <w:rPr>
          <w:rStyle w:val="FootnoteAnchor"/>
          <w:rtl w:val="true"/>
        </w:rPr>
        <w:footnoteReference w:id="351"/>
      </w:r>
      <w:r>
        <w:rPr>
          <w:rFonts w:ascii="Amiri" w:hAnsi="Amiri" w:eastAsia="Amiri" w:cs="Amiri"/>
          <w:color w:val="111111"/>
          <w:sz w:val="28"/>
          <w:sz w:val="28"/>
          <w:szCs w:val="28"/>
          <w:rtl w:val="true"/>
          <w:lang w:bidi="ar-SA"/>
        </w:rPr>
        <w:t xml:space="preserve">ولما كان هنا موضع </w:t>
      </w:r>
    </w:p>
    <w:p>
      <w:pPr>
        <w:pStyle w:val="BookText"/>
        <w:rPr/>
      </w:pPr>
      <w:r>
        <w:rPr>
          <w:rFonts w:ascii="Amiri" w:hAnsi="Amiri" w:eastAsia="Amiri" w:cs="Amiri"/>
          <w:color w:val="111111"/>
          <w:sz w:val="28"/>
          <w:sz w:val="28"/>
          <w:szCs w:val="28"/>
          <w:rtl w:val="true"/>
          <w:lang w:bidi="ar-SA"/>
        </w:rPr>
        <w:t xml:space="preserve">توهم وهو أنّ رعاية الله لنبيّه تختص بمورد دون مورد ، دفع ذلك التوهم بالفقرة الرابعة فقال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فَضْلُ اللهِ عَلَيْكَ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يتوهم اختصاص فضله عليه بواقعة دون أُخرى ، بل مقتضى عظمة الفضل ، سعة شموله لكل الوقائع والحوادث ، سواء أكانت من باب المرافعات والمخاصمات ، أم الأُمور العادية ، فتدل الفقرة الأخيرة على تعرّفه على الموضوعات ومصونيته عن السهو والخطاء في مورد تطبيق الشريعة ، أو غيره ، ولا كلام أعلى وأغزر من قوله سبحانه في حق حبيبه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فَضْلُ اللهِ عَلَيْكَ عَظِيماً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جَعَلْناكُمْ أُمَّةً وَسَطاً لِتَكُونُوا شُهَداءَ عَلَى النَّاسِ وَيَكُونَ الرَّسُولُ عَلَيْكُمْ شَهِيداً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إنّ الشهادة المذكورة في الآية حقيقة من الحقائق القرآنية تكرر ذكرها في كلامه سبحانه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إِذا جِئْنا مِنْ كُلِّ أُمَّةٍ بِشَهِيدٍ وَجِئْنا بِكَ عَلى هؤُلاءِ شَهِيداً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نَبْعَثُ مِنْ كُلِّ أُمَّةٍ شَهِيداً ثُمَّ لا يُؤْذَنُ لِلَّذِينَ كَفَرُوا وَلا هُمْ يُسْتَعْتَبُونَ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وَوُضِعَ الْكِتابُ وَجِيءَ بِالنَّبِيِّينَ وَالشُّهَداءِ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والشهادة فيها مطلقة ، وظاهر الجميع هو الشهادة على أعمال الأُمم وعلى تبليغ الرسل كما يومي إليه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فَلَنَسْئَلَنَّ الَّذِينَ أُرْسِلَ إِلَيْهِمْ وَلَنَسْئَلَنَّ الْمُرْسَلِينَ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وهذه الشهادة وإن كانت في الآخرة ويوم القيامة لكن يتحملها الشهود في الدنيا على ما يدل عليه قوله سبحانه حكاية عن عيسى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وَكُنْتُ عَلَيْهِمْ شَهِيداً ما دُمْتُ فِيهِمْ فَلَمَّا تَوَفَّيْتَنِي كُنْتَ أَنْتَ الرَّقِيبَ عَلَيْهِمْ وَأَنْتَ عَلى كُلِّ شَيْءٍ شَهِيدٌ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وقال</w:t>
      </w:r>
    </w:p>
    <w:p>
      <w:pPr>
        <w:pStyle w:val="BookText"/>
        <w:rPr/>
      </w:pP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الْقِيامَةِ يَكُونُ عَلَيْهِمْ شَهِيداً</w:t>
      </w:r>
      <w:r>
        <w:rPr>
          <w:rFonts w:eastAsia="Amiri" w:cs="Amiri" w:ascii="Amiri" w:hAnsi="Amiri"/>
          <w:color w:val="111111"/>
          <w:sz w:val="28"/>
          <w:szCs w:val="28"/>
          <w:rtl w:val="true"/>
          <w:lang w:bidi="ar-SA"/>
        </w:rPr>
        <w:t xml:space="preserve">) </w:t>
      </w:r>
      <w:r>
        <w:rPr>
          <w:rStyle w:val="FootnoteAnchor"/>
          <w:rtl w:val="true"/>
        </w:rPr>
        <w:footnoteReference w:id="352"/>
      </w:r>
      <w:r>
        <w:rPr>
          <w:rFonts w:ascii="Amiri" w:hAnsi="Amiri" w:eastAsia="Amiri" w:cs="Amiri"/>
          <w:color w:val="111111"/>
          <w:sz w:val="28"/>
          <w:sz w:val="28"/>
          <w:szCs w:val="28"/>
          <w:rtl w:val="true"/>
          <w:lang w:bidi="ar-SA"/>
        </w:rPr>
        <w:t xml:space="preserve">، ومن الواضح أنّ الشهادة فرع العلم ، وعدم الخطأ في تشخيص المشهود به ، فلو كان النبي من الشهداء يجب ألاّ يكون خاطئاً في شهادته ، فالآية تدلّ على صيانته وعصمته من الخطأ في مجال الشهادة كما تدلّ على سعة علمه ، لأنّ الحواس لا ترشدنا إلاّ إلى صور الأعمال والأفعال ، والشهادة عليها غير كافية عند القضاء ، وإنّما تكون مفيدة إذا شهد على حقائقها من الكفر والإيمان ، والرياء والإخلاص ، وبالجملة على كل خفيّ عن الحس ومستبطن عند الإنسان ، أعني ما تكسبه القلوب وعليه يدور حساب رب العالمين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يُؤاخِذُكُمْ بِما كَسَبَتْ قُلُوبُكُمْ</w:t>
      </w:r>
      <w:r>
        <w:rPr>
          <w:rFonts w:eastAsia="Amiri" w:cs="Amiri" w:ascii="Amiri" w:hAnsi="Amiri"/>
          <w:color w:val="111111"/>
          <w:sz w:val="28"/>
          <w:szCs w:val="28"/>
          <w:rtl w:val="true"/>
          <w:lang w:bidi="ar-SA"/>
        </w:rPr>
        <w:t xml:space="preserve">) </w:t>
      </w:r>
      <w:r>
        <w:rPr>
          <w:rStyle w:val="FootnoteAnchor"/>
          <w:rtl w:val="true"/>
        </w:rPr>
        <w:footnoteReference w:id="353"/>
      </w:r>
      <w:r>
        <w:rPr>
          <w:rFonts w:ascii="Amiri" w:hAnsi="Amiri" w:eastAsia="Amiri" w:cs="Amiri"/>
          <w:color w:val="111111"/>
          <w:sz w:val="28"/>
          <w:sz w:val="28"/>
          <w:szCs w:val="28"/>
          <w:rtl w:val="true"/>
          <w:lang w:bidi="ar-SA"/>
        </w:rPr>
        <w:t>، ولا شك أنّ الشهادة على حقائق أعمال الأُمّة خارج عن وسع الإنسان العادي إلاّ إذا تمسّك بحبل العصمة وولي أمر الله بإذنه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الأحاديث الحاكية عن سهو النبي في صلاته فهي أخبار آحاد ، لا تفيد علماً حتّى يحتجّ بها في حقل العقيدة</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أضف إلى ذلك انّها بظاهرها يخالف الذكر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ضربنا عنها صفحاً ولم نستعرض للبحث والدراسة</w:t>
      </w:r>
      <w:r>
        <w:rPr>
          <w:rFonts w:eastAsia="Amiri" w:cs="Amiri" w:ascii="Amiri" w:hAnsi="Amiri"/>
          <w:color w:val="111111"/>
          <w:sz w:val="28"/>
          <w:szCs w:val="28"/>
          <w:rtl w:val="true"/>
          <w:lang w:bidi="ar-SA"/>
        </w:rPr>
        <w:t xml:space="preserve">. </w:t>
      </w:r>
      <w:bookmarkStart w:id="648" w:name="pg11047_102801"/>
    </w:p>
    <w:p>
      <w:pPr>
        <w:pStyle w:val="Heading3"/>
        <w:numPr>
          <w:ilvl w:val="2"/>
          <w:numId w:val="1"/>
        </w:numPr>
        <w:rPr/>
      </w:pPr>
      <w:bookmarkStart w:id="649" w:name="__RefHeading___Toc1391389_1067777946"/>
      <w:bookmarkStart w:id="650" w:name="_Toc244"/>
      <w:bookmarkEnd w:id="648"/>
      <w:bookmarkEnd w:id="649"/>
      <w:r>
        <w:rPr/>
        <w:t>8</w:t>
      </w:r>
      <w:r>
        <w:rPr>
          <w:rtl w:val="true"/>
        </w:rPr>
        <w:t xml:space="preserve">- </w:t>
      </w:r>
      <w:r>
        <w:rPr>
          <w:rtl w:val="true"/>
        </w:rPr>
        <w:t>حجة المخالفين لعصمة الأنبياء</w:t>
      </w:r>
      <w:bookmarkEnd w:id="650"/>
    </w:p>
    <w:p>
      <w:pPr>
        <w:pStyle w:val="Heading4"/>
        <w:numPr>
          <w:ilvl w:val="3"/>
          <w:numId w:val="1"/>
        </w:numPr>
        <w:rPr/>
      </w:pPr>
      <w:bookmarkStart w:id="651" w:name="__RefHeading___Toc1391391_1067777946"/>
      <w:bookmarkStart w:id="652" w:name="_Toc245"/>
      <w:bookmarkEnd w:id="651"/>
      <w:r>
        <w:rPr>
          <w:rtl w:val="true"/>
        </w:rPr>
        <w:t>اشارة</w:t>
      </w:r>
      <w:bookmarkEnd w:id="652"/>
    </w:p>
    <w:p>
      <w:pPr>
        <w:pStyle w:val="BookText"/>
        <w:rPr/>
      </w:pPr>
      <w:r>
        <w:rPr>
          <w:rFonts w:ascii="Amiri" w:hAnsi="Amiri" w:eastAsia="Amiri" w:cs="Amiri"/>
          <w:color w:val="111111"/>
          <w:sz w:val="28"/>
          <w:sz w:val="28"/>
          <w:szCs w:val="28"/>
          <w:rtl w:val="true"/>
          <w:lang w:bidi="ar-SA"/>
        </w:rPr>
        <w:t xml:space="preserve">قد تعرفت على الآيات الدالة على عصمة الأنبياء في المجالات التالية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تلقّي الوحي ، والتحفّظ عليه ، وإبلاغه إلى الناس ، والعمل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انّ هناك آيات ربما توهم في بادئ النظر خلاف ما دلت عليه صراحة الآيات السابقة ، وقد تذرعت بها بعض الفرق الإسلامية التي جوزت المعصية على الأنبياء بمختلف صورها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الآيات على طوائف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يمس ظاهرها عصمة جميع الأنبياء بصورة 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يمس عصمة عدة منهم كآدم ويونس بصورة 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يتراءى منه عدم عصمة النبي الأكرم</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انّ الهدف من هذا الفصل هو وضع خطوط عامة لعصمة الأنبياء نقتصر بدراسة آيات الطائفة الأُولى ، ونحيل البحث في الطائفتين الأخيرتين إلى موسوعتنا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مفاهيم القرآن</w:t>
      </w:r>
      <w:r>
        <w:rPr>
          <w:rFonts w:eastAsia="Amiri" w:cs="Amiri" w:ascii="Amiri" w:hAnsi="Amiri"/>
          <w:color w:val="111111"/>
          <w:sz w:val="28"/>
          <w:szCs w:val="28"/>
          <w:rtl w:val="true"/>
          <w:lang w:bidi="ar-SA"/>
        </w:rPr>
        <w:t>».</w:t>
      </w:r>
      <w:r>
        <w:rPr>
          <w:rStyle w:val="FootnoteAnchor"/>
          <w:rtl w:val="true"/>
        </w:rPr>
        <w:footnoteReference w:id="354"/>
      </w:r>
      <w:bookmarkStart w:id="653" w:name="pg11047_102802"/>
    </w:p>
    <w:p>
      <w:pPr>
        <w:pStyle w:val="Heading4"/>
        <w:numPr>
          <w:ilvl w:val="3"/>
          <w:numId w:val="1"/>
        </w:numPr>
        <w:rPr/>
      </w:pPr>
      <w:bookmarkStart w:id="654" w:name="__RefHeading___Toc1391393_1067777946"/>
      <w:bookmarkStart w:id="655" w:name="_Toc246"/>
      <w:bookmarkEnd w:id="653"/>
      <w:bookmarkEnd w:id="654"/>
      <w:r>
        <w:rPr>
          <w:rtl w:val="true"/>
        </w:rPr>
        <w:t xml:space="preserve">الطائفة الأُولى </w:t>
      </w:r>
      <w:r>
        <w:rPr>
          <w:rtl w:val="true"/>
        </w:rPr>
        <w:t xml:space="preserve">: </w:t>
      </w:r>
      <w:r>
        <w:rPr>
          <w:rtl w:val="true"/>
        </w:rPr>
        <w:t>ما يمس ظاهرها عصمة جميع الأنبياء</w:t>
      </w:r>
      <w:bookmarkEnd w:id="655"/>
    </w:p>
    <w:p>
      <w:pPr>
        <w:pStyle w:val="Heading4"/>
        <w:numPr>
          <w:ilvl w:val="3"/>
          <w:numId w:val="1"/>
        </w:numPr>
        <w:rPr/>
      </w:pPr>
      <w:bookmarkStart w:id="656" w:name="__RefHeading___Toc1391395_1067777946"/>
      <w:bookmarkStart w:id="657" w:name="_Toc247"/>
      <w:bookmarkEnd w:id="656"/>
      <w:r>
        <w:rPr>
          <w:rtl w:val="true"/>
        </w:rPr>
        <w:t>الآية الأُولى</w:t>
      </w:r>
      <w:bookmarkEnd w:id="657"/>
    </w:p>
    <w:p>
      <w:pPr>
        <w:pStyle w:val="Heading5"/>
        <w:numPr>
          <w:ilvl w:val="4"/>
          <w:numId w:val="1"/>
        </w:numPr>
        <w:rPr/>
      </w:pPr>
      <w:bookmarkStart w:id="658" w:name="__RefHeading___Toc1391397_1067777946"/>
      <w:bookmarkStart w:id="659" w:name="_Toc248"/>
      <w:bookmarkEnd w:id="658"/>
      <w:r>
        <w:rPr>
          <w:rtl w:val="true"/>
        </w:rPr>
        <w:t>اشارة</w:t>
      </w:r>
      <w:bookmarkEnd w:id="659"/>
    </w:p>
    <w:p>
      <w:pPr>
        <w:pStyle w:val="BookText"/>
        <w:rPr/>
      </w:pPr>
      <w:r>
        <w:rPr>
          <w:rFonts w:ascii="Amiri" w:hAnsi="Amiri" w:eastAsia="Amiri" w:cs="Amiri"/>
          <w:color w:val="111111"/>
          <w:sz w:val="28"/>
          <w:sz w:val="28"/>
          <w:szCs w:val="28"/>
          <w:rtl w:val="true"/>
          <w:lang w:bidi="ar-SA"/>
        </w:rPr>
        <w:t xml:space="preserve">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 مِنْ قَبْلِكَ إِلاَّ رِجالاً نُوحِي إِلَيْهِمْ مِنْ أَهْلِ الْقُرى أَفَلَمْ يَسِيرُوا فِي الْأَرْضِ فَيَنْظُرُوا كَيْفَ كانَ عاقِبَةُ الَّذِينَ مِنْ قَبْلِهِمْ وَلَدارُ الْآخِرَةِ خَيْرٌ لِلَّذِينَ اتَّقَوْا أَفَلا تَعْقِلُونَ</w:t>
      </w:r>
      <w:r>
        <w:rPr>
          <w:rFonts w:eastAsia="Amiri" w:cs="Amiri" w:ascii="Amiri" w:hAnsi="Amiri"/>
          <w:color w:val="111111"/>
          <w:sz w:val="28"/>
          <w:szCs w:val="28"/>
          <w:rtl w:val="true"/>
          <w:lang w:bidi="ar-SA"/>
        </w:rPr>
        <w:t xml:space="preserve">). </w:t>
      </w:r>
      <w:r>
        <w:rPr>
          <w:rStyle w:val="FootnoteAnchor"/>
          <w:rtl w:val="true"/>
        </w:rPr>
        <w:footnoteReference w:id="3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اسْتَيْأَسَ الرُّسُلُ وَظَنُّوا أَنَّهُمْ قَدْ كُذِبُوا جاءَهُمْ نَصْرُنا فَنُجِّيَ مَنْ نَشاءُ وَلا يُرَدُّ بَأْسُنا عَنِ الْقَوْمِ الْمُجْرِمِينَ</w:t>
      </w:r>
      <w:r>
        <w:rPr>
          <w:rFonts w:eastAsia="Amiri" w:cs="Amiri" w:ascii="Amiri" w:hAnsi="Amiri"/>
          <w:color w:val="111111"/>
          <w:sz w:val="28"/>
          <w:szCs w:val="28"/>
          <w:rtl w:val="true"/>
          <w:lang w:bidi="ar-SA"/>
        </w:rPr>
        <w:t xml:space="preserve">). </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 xml:space="preserve">استدل القائل بعدم عصمة الأنبياء بظاهر الآية قائلاً بأنّ الضمائر الثلاثة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وَظَنُّوا أَنَّهُمْ قَدْ 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ترجع إلى الرسل ، ومفاد الآية انّ رسل الله سبحانه وأنبياءه كانوا يُنذرون قومهم ، وكان القوم يخالفونهم أشدَّ المخالفة ، وكان الرسلَ يعدون المؤمنين بالنصر عن الله والغلبة ويُوعدون الكفّار بالهلاك والإبادة ، لكن لما تأخّر النصرُ الموعود وعقاب الكافرين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 الرسل أنّهم قد 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وعدوا به من جانب الله من نصر المؤمنين وإهلاك الكافرين ، ومن المعلوم انّ هذا الظن سواء أكان بصورة الإذعان واليقين أم بصورة الزعم والميل إلى ذاك الجانب ، اعتقاد باطل لا يجتمع مع العصمة</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تفسير الآية فعليك بإظهار مراجع الضمائر بأن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أخّرنا العقاب عن الأُمم السالفة ظن الرسل انّ الرسل قد كُذِبَ الرسل في ما وُعدوا به من النصر للمؤمنين والهلاك للكافرين</w:t>
      </w:r>
      <w:r>
        <w:rPr>
          <w:rFonts w:eastAsia="Amiri" w:cs="Amiri" w:ascii="Amiri" w:hAnsi="Amiri"/>
          <w:color w:val="111111"/>
          <w:sz w:val="28"/>
          <w:szCs w:val="28"/>
          <w:rtl w:val="true"/>
          <w:lang w:bidi="ar-SA"/>
        </w:rPr>
        <w:t xml:space="preserve">. </w:t>
      </w:r>
      <w:bookmarkStart w:id="660" w:name="pg11047_102803"/>
    </w:p>
    <w:p>
      <w:pPr>
        <w:pStyle w:val="BookText"/>
        <w:rPr/>
      </w:pPr>
      <w:bookmarkEnd w:id="660"/>
      <w:r>
        <w:rPr>
          <w:rFonts w:ascii="Amiri" w:hAnsi="Amiri" w:eastAsia="Amiri" w:cs="Amiri"/>
          <w:color w:val="111111"/>
          <w:sz w:val="28"/>
          <w:sz w:val="28"/>
          <w:szCs w:val="28"/>
          <w:rtl w:val="true"/>
          <w:lang w:bidi="ar-SA"/>
        </w:rPr>
        <w:t>وعلى هذا فكل جواب من القائلين بعصمة الرسل على خلاف هذا الظاهر يكون غير متين ، بل يجب أن يكون الجواب منطبقاً على هذا الظاهر</w:t>
      </w:r>
      <w:r>
        <w:rPr>
          <w:rFonts w:eastAsia="Amiri" w:cs="Amiri" w:ascii="Amiri" w:hAnsi="Amiri"/>
          <w:color w:val="111111"/>
          <w:sz w:val="28"/>
          <w:szCs w:val="28"/>
          <w:rtl w:val="true"/>
          <w:lang w:bidi="ar-SA"/>
        </w:rPr>
        <w:t>.</w:t>
      </w:r>
    </w:p>
    <w:p>
      <w:pPr>
        <w:pStyle w:val="Heading5"/>
        <w:numPr>
          <w:ilvl w:val="4"/>
          <w:numId w:val="1"/>
        </w:numPr>
        <w:rPr/>
      </w:pPr>
      <w:bookmarkStart w:id="661" w:name="__RefHeading___Toc1391399_1067777946"/>
      <w:bookmarkStart w:id="662" w:name="_Toc249"/>
      <w:bookmarkEnd w:id="661"/>
      <w:r>
        <w:rPr>
          <w:rtl w:val="true"/>
        </w:rPr>
        <w:t xml:space="preserve">وإليك الأجوبة المذكورة في التفاسير </w:t>
      </w:r>
      <w:r>
        <w:rPr>
          <w:rtl w:val="true"/>
        </w:rPr>
        <w:t>:</w:t>
      </w:r>
      <w:bookmarkEnd w:id="662"/>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الضمائر الثلاثة ترجع إلى الرسل غير انّ الوعد الذي تصور الرسل أنّهم قد كذبوا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قيل لهم قولاً كاذباً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تظاهر عدة من المؤمنين بالإيمان وادّعاؤهم الإخلاص لهم ، فتصور الرسل انّ تظاهر هؤلاء بالإيمان كان كذباً وباطلاً ، وكأنّهم تصوروا انّ الذين وعدوهم بالإيمان من قومهم أخلفوهم أو كذبوا فيما أظهروه من الإيمان</w:t>
      </w:r>
      <w:r>
        <w:rPr>
          <w:rFonts w:eastAsia="Amiri" w:cs="Amiri" w:ascii="Amiri" w:hAnsi="Amiri"/>
          <w:color w:val="111111"/>
          <w:sz w:val="28"/>
          <w:szCs w:val="28"/>
          <w:rtl w:val="true"/>
          <w:lang w:bidi="ar-SA"/>
        </w:rPr>
        <w:t xml:space="preserve">. </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الجواب وان كان أظهر الأجوبة إذ ليس فيه تفكيك بين الضمائر كما في سائر الأجوبة الآتية لكن الذي يرده هو بعده عن ظاهر الآية ، إذ ليس فيها عن إيمان تلك الثلة القليلة أثر حتى يقع متعلّق الكذب في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كُذِبُوا</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مقدم الآية ولا في نفسها ما يشير إلى أنّه قد آمن بالرسل عدّة قليلة وتظاهروا بالإيمان غير انّه صدر عنهم ما جعل الأنبياء يظنون بكذبهم في ما أظهروه من الإيمان حتى يصح أن يقال انّ متعلق الكذب هو هذا ، وانّما المذكور في مقدمها ونفسها هو مخالفة الزمرة الطاغية من أقوام الأنبياء وعنادهم ولجاجهم مع رسل الله وأنبيائه حيث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أَفَلَمْ يَسِيرُوا فِي الْأَرْضِ فَيَنْظُرُوا كَيْفَ كانَ عاقِبَةُ الَّذِينَ مِنْ قَبْلِهِمْ وَلَدارُ الْآخِرَةِ خَيْرٌ لِلَّذِينَ اتَّقَوْا أَفَلا تَعْقِلُونَ</w:t>
      </w:r>
      <w:r>
        <w:rPr>
          <w:rFonts w:eastAsia="Amiri" w:cs="Amiri" w:ascii="Amiri" w:hAnsi="Amiri"/>
          <w:color w:val="111111"/>
          <w:sz w:val="28"/>
          <w:szCs w:val="28"/>
          <w:rtl w:val="true"/>
          <w:lang w:bidi="ar-SA"/>
        </w:rPr>
        <w:t xml:space="preserve">). </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 xml:space="preserve">ومجرد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وَلَدارُ الْآخِرَةِ خَيْرٌ لِلَّذِينَ 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في جعل إيمانهم متعلّقاً للكذب ، إذ عندئذ يجب أن تتعرض الآية إلى إيمان تلك الشرذمة وصدور ما يوجب ظنّ الرسل بخلاف ما تظاهروا به حتى يصح أن يقال إنّ الرسل ظنوا انّ المتظاهرين بالإيمان قد كذبوا في ادّعاء الإيمان بالرسل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أضف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الإجابة لا تصحّح العصمة المطلقة للأنبياء ، إذ على هذا الجواب يكون ظن الرسل بعدم إيمان تلك الشرذمة القليلة خطأً ، وكان ادّعاؤهم للإيمان صادقاً ، وهذا يمس كرامتهم من جانب آخر ، لأنّهم تخيّلوا غير الواقع واقعاً ، والمؤمن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ذلك الجواب لا يناسب ذيل الجملة فانّه سبحانه يقول بعد تلك الجملة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جاءَهُمْ نَصْرُنا فَنُجِّيَ مَنْ 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المناسب على هذه الإجابة 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تبين للرسل صدق ادّعاء المؤمنين فنجي من نشاء ولا يرد بأسنا عن القوم المجرمين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معنى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 الأُمم أنّ الرسل كذبوا في ما أخبروا به من نصر الله إيّاهم وإهلاك أعدائهم وهذا الوجه هو المروي عن سعيد بن جبير واختاره العلاّمة الطباطبائي ، فالآية تهدف إلى أنّه إذا استيئس الرسل من إيمان أُولئك الناس ، هذا من جانب ومن جانب آخر ظنّ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تأخر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الرسل قد كذبوا ، أي أخبروا بنصر المؤمنين وعذاب الكافرين كذباً ، جاءهم نصرنا ، فننجّي بذلك من نشاء وهم المؤمنون ، ولا يرد بأسنا أي شدتنا عن القوم المجرمين</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دلّت الآيات على أنّ الأُمم السالفة كانوا ينسبون الأنبياء إلى الكذب ، </w:t>
      </w:r>
    </w:p>
    <w:p>
      <w:pPr>
        <w:pStyle w:val="BookText"/>
        <w:rPr/>
      </w:pPr>
      <w:r>
        <w:rPr>
          <w:rFonts w:ascii="Amiri" w:hAnsi="Amiri" w:eastAsia="Amiri" w:cs="Amiri"/>
          <w:color w:val="111111"/>
          <w:sz w:val="28"/>
          <w:sz w:val="28"/>
          <w:szCs w:val="28"/>
          <w:rtl w:val="true"/>
          <w:lang w:bidi="ar-SA"/>
        </w:rPr>
        <w:t xml:space="preserve">قال سبحانه في قصة نوح حاكياً عن قول قومه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نَظُنُّكُمْ كاذِبِينَ</w:t>
      </w:r>
      <w:r>
        <w:rPr>
          <w:rFonts w:eastAsia="Amiri" w:cs="Amiri" w:ascii="Amiri" w:hAnsi="Amiri"/>
          <w:color w:val="111111"/>
          <w:sz w:val="28"/>
          <w:szCs w:val="28"/>
          <w:rtl w:val="true"/>
          <w:lang w:bidi="ar-SA"/>
        </w:rPr>
        <w:t xml:space="preserve">) </w:t>
      </w:r>
      <w:r>
        <w:rPr>
          <w:rStyle w:val="FootnoteAnchor"/>
          <w:rtl w:val="true"/>
        </w:rPr>
        <w:footnoteReference w:id="359"/>
      </w:r>
      <w:r>
        <w:rPr>
          <w:rFonts w:ascii="Amiri" w:hAnsi="Amiri" w:eastAsia="Amiri" w:cs="Amiri"/>
          <w:color w:val="111111"/>
          <w:sz w:val="28"/>
          <w:sz w:val="28"/>
          <w:szCs w:val="28"/>
          <w:rtl w:val="true"/>
          <w:lang w:bidi="ar-SA"/>
        </w:rPr>
        <w:t>، وكذا في قصة هود وصالح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سبحانه في قصة موسى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لَهُ فِرْعَوْنُ إِنِّي لَأَظُنُّكَ يا مُوسى مَسْحُوراً</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 xml:space="preserve">يلاحظ عليه بأنّ الظاهر هو انّ مرجع الضمير المتصل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الرسل المقدم عليه ، وإرجاعه إلى الناس على خلاف الظاهر ، وعلى خلاف البلاغة وليس في نفس الآية حديث عن هذا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مرجعاً للضمير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أضف إلى ذلك انّ ما استشهد به مما ورد في قصة نوح لا يرتبط بما ادّعاه فإنّ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نَظُنُّكُمْ 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الناس صوّروا نفس الرسل كاذبين وانّهم قد تعمّدوا التقوّل على خلاف الواقع ، والمذكور في الآية المبحوث عنها ليس كون الرسل كاذبين بل كونهم مكذوبين ، أي وعدوا كذباً وقيل لهم قولاً غير صادق وإن تصوّروا أنفسهم صادقين في ما يخبرون به ، وبين المعنيين بون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 ابن عباس من أنّ الرسل لمّا ضعفوا وغُلبوا ظنّوا أنّهم قد أُخْلِفُوا ما وعدهم الله من النصر، وقال كانوا بشراً ، وتلا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وَزُلْزِلُوا حَتَّى يَقُولَ الرَّسُولُ وَالَّذِينَ آمَنُوا مَعَهُ مَتى نَصْرُ اللهِ</w:t>
      </w:r>
      <w:r>
        <w:rPr>
          <w:rFonts w:eastAsia="Amiri" w:cs="Amiri" w:ascii="Amiri" w:hAnsi="Amiri"/>
          <w:color w:val="111111"/>
          <w:sz w:val="28"/>
          <w:szCs w:val="28"/>
          <w:rtl w:val="true"/>
          <w:lang w:bidi="ar-SA"/>
        </w:rPr>
        <w:t xml:space="preserve">). </w:t>
      </w:r>
      <w:r>
        <w:rPr>
          <w:rStyle w:val="FootnoteAnchor"/>
          <w:rtl w:val="true"/>
        </w:rPr>
        <w:footnoteReference w:id="362"/>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صاحب الكشاف في حق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إن صح هذا عن ابن عباس ، فقد أراد بالظن ما يخطر بالبال ويهجس في القلب من شبه الوسوسة وحديث النفس على ما عليه البشرية ، وأمّا الظن الذي هو ترجح أحد الجائزين </w:t>
      </w:r>
      <w:bookmarkStart w:id="663" w:name="pg11047_102806"/>
    </w:p>
    <w:p>
      <w:pPr>
        <w:pStyle w:val="BookText"/>
        <w:rPr/>
      </w:pPr>
      <w:bookmarkEnd w:id="663"/>
      <w:r>
        <w:rPr>
          <w:rFonts w:ascii="Amiri" w:hAnsi="Amiri" w:eastAsia="Amiri" w:cs="Amiri"/>
          <w:color w:val="111111"/>
          <w:sz w:val="28"/>
          <w:sz w:val="28"/>
          <w:szCs w:val="28"/>
          <w:rtl w:val="true"/>
          <w:lang w:bidi="ar-SA"/>
        </w:rPr>
        <w:t>على الآخر فغير جائز على رجل من المسلمين فما بال رسل الله الذين هم أعرف الناس بربهم ، وانّه متعال عن خلف الميعاد منزه عن كل قبيح</w:t>
      </w:r>
      <w:r>
        <w:rPr>
          <w:rFonts w:eastAsia="Amiri" w:cs="Amiri" w:ascii="Amiri" w:hAnsi="Amiri"/>
          <w:color w:val="111111"/>
          <w:sz w:val="28"/>
          <w:szCs w:val="28"/>
          <w:rtl w:val="true"/>
          <w:lang w:bidi="ar-SA"/>
        </w:rPr>
        <w:t xml:space="preserve">. </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وهذا التفسير مع التوجيه الذي ذكره الزمخشري وإن كان أوقع التفاسير في القلوب غير انّه أيضاً لا يناسب ساحة الأنبياء الذين تسدِّدهم روح القدس وتحفظهم عن الزلل والخطأ في الفكر والعمل ، وتلك الهاجسة وان كانت بصورة حديث النفس وشبه الوسوسة ، لكنها لا تلائم العصمة المطلقة المترقبة من الأنبياء</w:t>
      </w:r>
      <w:r>
        <w:rPr>
          <w:rFonts w:eastAsia="Amiri" w:cs="Amiri" w:ascii="Amiri" w:hAnsi="Amiri"/>
          <w:color w:val="111111"/>
          <w:sz w:val="28"/>
          <w:szCs w:val="28"/>
          <w:rtl w:val="true"/>
          <w:lang w:bidi="ar-SA"/>
        </w:rPr>
        <w:t>.</w:t>
      </w:r>
    </w:p>
    <w:p>
      <w:pPr>
        <w:pStyle w:val="Heading5"/>
        <w:numPr>
          <w:ilvl w:val="4"/>
          <w:numId w:val="1"/>
        </w:numPr>
        <w:rPr/>
      </w:pPr>
      <w:bookmarkStart w:id="664" w:name="__RefHeading___Toc1391401_1067777946"/>
      <w:bookmarkStart w:id="665" w:name="_Toc250"/>
      <w:bookmarkEnd w:id="664"/>
      <w:r>
        <w:rPr>
          <w:rtl w:val="true"/>
        </w:rPr>
        <w:t xml:space="preserve">الرابع </w:t>
      </w:r>
      <w:r>
        <w:rPr>
          <w:rtl w:val="true"/>
        </w:rPr>
        <w:t>(</w:t>
      </w:r>
      <w:r>
        <w:rPr>
          <w:rtl w:val="true"/>
        </w:rPr>
        <w:t>وهو المختار</w:t>
      </w:r>
      <w:r>
        <w:rPr>
          <w:rtl w:val="true"/>
        </w:rPr>
        <w:t>)</w:t>
      </w:r>
      <w:bookmarkEnd w:id="665"/>
    </w:p>
    <w:p>
      <w:pPr>
        <w:pStyle w:val="BookText"/>
        <w:rPr/>
      </w:pPr>
      <w:r>
        <w:rPr>
          <w:rFonts w:ascii="Amiri" w:hAnsi="Amiri" w:eastAsia="Amiri" w:cs="Amiri"/>
          <w:color w:val="111111"/>
          <w:sz w:val="28"/>
          <w:sz w:val="28"/>
          <w:szCs w:val="28"/>
          <w:rtl w:val="true"/>
          <w:lang w:bidi="ar-SA"/>
        </w:rPr>
        <w:t>إنّ المستدل زعم أنّ الظن المذكور في الآية أمر قلبي اعترى قلوب الرسل ، وأدركوه بمشاعرهم وعقولهم مثل سائر الظنون التي تحدق بالقلوب البشرية وتنقدح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المراد غير ذلك ، بل المراد انّ الظروف التي حاقت بالرسل بلغت من الشدة والقسوة الى حد صارت تحكي بلسانها التكويني عن أنّ النصر الموعود كأنّه نصر غير صادق ، لا أنّ هذا الظن كان يراود قلوب الرسل ، وأفئدتهم ، وكم فرق بين كونهم ظانّين بكون الوعد الإلهي بالنصر وعداً مكذوباً ، وبين كون الظروف والشرائط المحيطة بهم من المحنة والشدة كانت كأنّها تشهد في بادئ النظر على أنّه ليس لوعده سبحانه خبر ولا أثر وأنّهم وعدوا به كذباً</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فحكاية وضعهم والملابسات التي كانت تحدق بهم عن كون الوعد كذباً ، أمر ، وكون الأنبياء قد وقعوا فريسة ذلك الظن غير الصالح أمر آخر ، والمخالف </w:t>
      </w:r>
    </w:p>
    <w:p>
      <w:pPr>
        <w:pStyle w:val="BookText"/>
        <w:rPr/>
      </w:pPr>
      <w:r>
        <w:rPr>
          <w:rFonts w:ascii="Amiri" w:hAnsi="Amiri" w:eastAsia="Amiri" w:cs="Amiri"/>
          <w:color w:val="111111"/>
          <w:sz w:val="28"/>
          <w:sz w:val="28"/>
          <w:szCs w:val="28"/>
          <w:rtl w:val="true"/>
          <w:lang w:bidi="ar-SA"/>
        </w:rPr>
        <w:t>للعصمة هو الثاني لا الأوّل ، ولذلك نظائر في الذكر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وَذَا النُّونِ إِذْ ذَهَبَ مُغاضِباً فَظَنَّ أَنْ لَنْ نَقْدِرَ عَلَيْهِ فَنادى فِي الظُّلُماتِ أَنْ لا إِلهَ إِلاَّ أَنْتَ سُبْحانَكَ إِنِّي كُنْتُ مِنَ الظَّالِمِينَ</w:t>
      </w:r>
      <w:r>
        <w:rPr>
          <w:rFonts w:eastAsia="Amiri" w:cs="Amiri" w:ascii="Amiri" w:hAnsi="Amiri"/>
          <w:color w:val="111111"/>
          <w:sz w:val="28"/>
          <w:szCs w:val="28"/>
          <w:rtl w:val="true"/>
          <w:lang w:bidi="ar-SA"/>
        </w:rPr>
        <w:t xml:space="preserve">) </w:t>
      </w:r>
      <w:r>
        <w:rPr>
          <w:rStyle w:val="FootnoteAnchor"/>
          <w:rtl w:val="true"/>
        </w:rPr>
        <w:footnoteReference w:id="364"/>
      </w:r>
      <w:r>
        <w:rPr>
          <w:rFonts w:ascii="Amiri" w:hAnsi="Amiri" w:eastAsia="Amiri" w:cs="Amiri"/>
          <w:color w:val="111111"/>
          <w:sz w:val="28"/>
          <w:sz w:val="28"/>
          <w:szCs w:val="28"/>
          <w:rtl w:val="true"/>
          <w:lang w:bidi="ar-SA"/>
        </w:rPr>
        <w:t>، فإنّ يونس النبي بن متى كان مبعوثاً إلى أهل نينوى ، فدعاهم فلم يؤمنوا ، فسأل الله أن يعذّبهم ، فلمّا أشرف عليهم العذاب تابوا وآمنوا ، فكشفه الله عنهم وفارقهم يونس قبل نزول العذاب مغاضباً لقومه ظانّاً بأنّه سبحانه لن يضيق عليه ولا يؤدبه ، لأجل مفارقته قومه وتركهم مع إمكان رجوعهم إلى الله سبحانه وإيمانهم به وتوبتهم عن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هذا الظن الذي ينسبه سبحانه إلى يونس ، هل كان ظناً قائماً بمشاعره ، فنحن نجلّه ونجلّ ساحة جميع الأنبياء عن هذا الظن الذي لا يتردد في ذهن غيرهم ، فكيف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المراد انّ عمله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ذهابه ومفارقة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يُمثِّل هذا الظنّ وأنّ مولاه لا يقدر عليه وهو يفوته بالابتعاد عنه فلا يقوى على سياسته ، فكم فرق بين ورود هذا الظن على مشاعر يونس ، وبين كون عمله مجسماً وممثلاً لهذا الظن في كل من رآه وشاهده؟ فما يخالف العصمة هو الأوّل لا الثاني</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سبحانه في سورة الحشر حاكياً عن بني النضير إحدى الفرق اليهودية الثلاث التي كانت تعيش في المدينة ، وتعاقدوا مع النبي على أن لا يخونوا ويتعاونوا في المصالح العامة ، ولما خدعوا المسلمين وقتلوا بعض المؤمنين في مرأى من الناس ومسمع منهم ، ضيّق عليهم النبي ، فلجئوا إلى حصونهم ، وفي ذلك يقول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أَخْرَجَ الَّذِينَ كَفَرُوا مِنْ أَهْلِ الْكِتابِ مِنْ دِيارِهِمْ لِأَوَّلِ </w:t>
      </w:r>
    </w:p>
    <w:p>
      <w:pPr>
        <w:pStyle w:val="BookText"/>
        <w:rPr/>
      </w:pPr>
      <w:r>
        <w:rPr>
          <w:rFonts w:ascii="Amiri" w:hAnsi="Amiri" w:eastAsia="Amiri" w:cs="Amiri"/>
          <w:color w:val="111111"/>
          <w:sz w:val="28"/>
          <w:sz w:val="28"/>
          <w:szCs w:val="28"/>
          <w:rtl w:val="true"/>
          <w:lang w:bidi="ar-SA"/>
        </w:rPr>
        <w:t>الْحَشْرِ ما ظَنَنْتُمْ أَنْ يَخْرُجُوا وَظَنُّوا أَنَّهُمْ مانِعَتُهُمْ حُصُونُهُمْ مِنَ اللهِ فَأَتاهُمُ اللهُ مِنْ حَيْثُ لَمْ يَحْتَسِبُوا</w:t>
      </w:r>
      <w:r>
        <w:rPr>
          <w:rFonts w:eastAsia="Amiri" w:cs="Amiri" w:ascii="Amiri" w:hAnsi="Amiri"/>
          <w:color w:val="111111"/>
          <w:sz w:val="28"/>
          <w:szCs w:val="28"/>
          <w:rtl w:val="true"/>
          <w:lang w:bidi="ar-SA"/>
        </w:rPr>
        <w:t xml:space="preserve">). </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فما هذا الظن الذي ينسبه سبحانه إلى تلك الفرقة؟ هل كانوا يظنون بقلوبهم أنّ حصونهم مانعتهم من الله؟ فإنّ ذلك بعيد جداً ، فانّهم كانوا موحّدين ومعترفين بقدرته سبحانه غير انّ علمهم بصدق النبيّ أوّلاً والتجاءهم إلى حصونهم في مقابل النبي الذي تبيّن لهم صدق نبوته ثانياً ، كان يحكي عن أنّهم مصدر هذا الظن وصاحبه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نظائر في المحاورات العرفية فإنّا نصف المتهالكين في الدنيا والغارقين في زخارفها ، والبانين للقصور المشيدة والأبراج العاجية بأنّهم يعتقدون بخلود العيش ودوام الحياة ، وانّ الموت كأنّه كتب على غيرهم ، ولا شك أنّ هذه النسبة نسبة صادقة لكن بالمعنى الذي عرفت أي أنّ عملهم مبدأ انتزاع هذا الظن ، ومصدر هذه النسبة</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ذلك فالآية تهدف إلى أنّ البلايا والشدائد كانت تحدق بالأنبياء طيلة حياتهم وتشتد عليهم الأزمة والمحنة من جانب المخالفين ، فكانوا يعيشون بين أقوام كأنّهم أعداء ألداء ، وكان المؤمنون بهم في قلّة ، فصارت حياتهم المشحونة بالبلايا والنوازل ، والبأساء والضراء ، مظنّة لأن يتخيّل كل من وقف عليها من نبي وغيره ، انّ ما وعدوا به وعد غير صادق ، ولكن لم يبرح الوضع على هذا المنوال حتى يفاجئهم نصره سبحانه ، للمؤمنين ، وإهلاكه وإبادته للمخالفين كما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فَنُجِّيَ مَنْ نَشاءُ وَلا يُرَدُّ بَأْسُنا عَنِ الْقَوْمِ الْمُجْرِمِينَ</w:t>
      </w:r>
      <w:r>
        <w:rPr>
          <w:rFonts w:eastAsia="Amiri" w:cs="Amiri" w:ascii="Amiri" w:hAnsi="Amiri"/>
          <w:color w:val="111111"/>
          <w:sz w:val="28"/>
          <w:szCs w:val="28"/>
          <w:rtl w:val="true"/>
          <w:lang w:bidi="ar-SA"/>
        </w:rPr>
        <w:t xml:space="preserve">). </w:t>
      </w:r>
      <w:r>
        <w:rPr>
          <w:rStyle w:val="FootnoteAnchor"/>
          <w:rtl w:val="true"/>
        </w:rPr>
        <w:footnoteReference w:id="366"/>
      </w:r>
      <w:bookmarkStart w:id="666" w:name="pg11047_102809"/>
    </w:p>
    <w:p>
      <w:pPr>
        <w:pStyle w:val="BookText"/>
        <w:rPr/>
      </w:pPr>
      <w:bookmarkEnd w:id="666"/>
      <w:r>
        <w:rPr>
          <w:rFonts w:ascii="Amiri" w:hAnsi="Amiri" w:eastAsia="Amiri" w:cs="Amiri"/>
          <w:color w:val="111111"/>
          <w:sz w:val="28"/>
          <w:sz w:val="28"/>
          <w:szCs w:val="28"/>
          <w:rtl w:val="true"/>
          <w:lang w:bidi="ar-SA"/>
        </w:rPr>
        <w:t xml:space="preserve">ويشعر بما ذكرناه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حَسِبْتُمْ أَنْ تَدْخُلُوا الْجَنَّةَ وَلَمَّا يَأْتِكُمْ مَثَلُ الَّذِينَ خَلَوْا مِنْ قَبْلِكُمْ مَسَّتْهُمُ الْبَأْساءُ وَالضَّرَّاءُ وَزُلْزِلُوا حَتَّى يَقُولَ الرَّسُولُ وَالَّذِينَ آمَنُوا مَعَهُ مَتى نَصْرُ اللهِ أَلا إِنَّ نَصْرَ اللهِ قَرِيبٌ</w:t>
      </w:r>
      <w:r>
        <w:rPr>
          <w:rFonts w:eastAsia="Amiri" w:cs="Amiri" w:ascii="Amiri" w:hAnsi="Amiri"/>
          <w:color w:val="111111"/>
          <w:sz w:val="28"/>
          <w:szCs w:val="28"/>
          <w:rtl w:val="true"/>
          <w:lang w:bidi="ar-SA"/>
        </w:rPr>
        <w:t xml:space="preserve">). </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 xml:space="preserve">فالمراد من الرسول هو غير النبي الأكرم من الرسل السابقين ، فعند ما كانت البأساء والضراء تحدق بالمؤمنين ونفس الرسول ، وكانت المحن تزلزل المؤمنين حتى أنّها كانت تحبس الأنفاس ، فعند ذلك كانت تكاد تلك الأنفاس المحبوسة والآلام المكنونة تتفجر في شكل ضراعة إلى الله ، فيقول الرسول والذين آمنوا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نَصْرُ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نَصْرُ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مقرونة بالضراعة والالتماس ، تقع مظنة تصور استيلاء اليأس والقنوط عليهم لا بمعنى وجودهما في أرواحهم وقلوبهم ، بل بالمعنى الذي عرفت من كونه ظاهراً من أحوالهم لا من أقوالهم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برح الوضع على هذا إلى أن كان النصر ينزل عليهم وتنقشع عنهم سحب اليأس والقنوط المنتزع من تلك الحالة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وصلنا إليه في تفسير الآية ، ولعلّ القارئ يجد تفسيراً أوقع في النفس مما ذكرناه</w:t>
      </w:r>
      <w:r>
        <w:rPr>
          <w:rFonts w:eastAsia="Amiri" w:cs="Amiri" w:ascii="Amiri" w:hAnsi="Amiri"/>
          <w:color w:val="111111"/>
          <w:sz w:val="28"/>
          <w:szCs w:val="28"/>
          <w:rtl w:val="true"/>
          <w:lang w:bidi="ar-SA"/>
        </w:rPr>
        <w:t>.</w:t>
      </w:r>
    </w:p>
    <w:p>
      <w:pPr>
        <w:pStyle w:val="Heading4"/>
        <w:numPr>
          <w:ilvl w:val="3"/>
          <w:numId w:val="1"/>
        </w:numPr>
        <w:rPr/>
      </w:pPr>
      <w:bookmarkStart w:id="667" w:name="__RefHeading___Toc1391403_1067777946"/>
      <w:bookmarkStart w:id="668" w:name="_Toc251"/>
      <w:bookmarkEnd w:id="667"/>
      <w:r>
        <w:rPr>
          <w:rtl w:val="true"/>
        </w:rPr>
        <w:t>الآية الثانية</w:t>
      </w:r>
      <w:bookmarkEnd w:id="668"/>
    </w:p>
    <w:p>
      <w:pPr>
        <w:pStyle w:val="Heading5"/>
        <w:numPr>
          <w:ilvl w:val="4"/>
          <w:numId w:val="1"/>
        </w:numPr>
        <w:rPr/>
      </w:pPr>
      <w:bookmarkStart w:id="669" w:name="__RefHeading___Toc1391405_1067777946"/>
      <w:bookmarkStart w:id="670" w:name="_Toc252"/>
      <w:bookmarkEnd w:id="669"/>
      <w:r>
        <w:rPr>
          <w:rtl w:val="true"/>
        </w:rPr>
        <w:t>اشارة</w:t>
      </w:r>
      <w:bookmarkEnd w:id="670"/>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 مِنْ قَبْلِكَ مِنْ رَسُولٍ وَلا نَبِيٍّ إِلاَّ إِذا تَمَنَّى أَلْقَى الشَّيْطانُ فِي أُمْنِيَّتِهِ فَيَنْسَخُ اللهُ ما يُلْقِي الشَّيْطانُ ثُمَّ يُحْكِمُ اللهُ آياتِهِ وَاللهُ عَلِيمٌ حَكِيمٌ</w:t>
      </w:r>
      <w:r>
        <w:rPr>
          <w:rFonts w:eastAsia="Amiri" w:cs="Amiri" w:ascii="Amiri" w:hAnsi="Amiri"/>
          <w:color w:val="111111"/>
          <w:sz w:val="28"/>
          <w:szCs w:val="28"/>
          <w:rtl w:val="true"/>
          <w:lang w:bidi="ar-SA"/>
        </w:rPr>
        <w:t xml:space="preserve">). </w:t>
      </w:r>
      <w:r>
        <w:rPr>
          <w:rStyle w:val="FootnoteAnchor"/>
          <w:rtl w:val="true"/>
        </w:rPr>
        <w:footnoteReference w:id="368"/>
      </w:r>
      <w:bookmarkStart w:id="671" w:name="pg11047_102810"/>
    </w:p>
    <w:p>
      <w:pPr>
        <w:pStyle w:val="BookText"/>
        <w:rPr/>
      </w:pPr>
      <w:bookmarkEnd w:id="67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لِيَجْعَلَ ما يُلْقِي الشَّيْطانُ فِتْنَةً لِلَّذِينَ فِي قُلُوبِهِمْ مَرَضٌ وَالْقاسِيَةِ قُلُوبُهُمْ وَإِنَّ الظَّالِمِينَ لَفِي شِقاقٍ بَعِيدٍ</w:t>
      </w:r>
      <w:r>
        <w:rPr>
          <w:rFonts w:eastAsia="Amiri" w:cs="Amiri" w:ascii="Amiri" w:hAnsi="Amiri"/>
          <w:color w:val="111111"/>
          <w:sz w:val="28"/>
          <w:szCs w:val="28"/>
          <w:rtl w:val="true"/>
          <w:lang w:bidi="ar-SA"/>
        </w:rPr>
        <w:t xml:space="preserve">). </w:t>
      </w:r>
      <w:r>
        <w:rPr>
          <w:rStyle w:val="FootnoteAnchor"/>
          <w:rtl w:val="true"/>
        </w:rPr>
        <w:footnoteReference w:id="3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وَلِيَعْلَمَ الَّذِينَ أُوتُوا الْعِلْمَ أَنَّهُ الْحَقُّ مِنْ رَبِّكَ فَيُؤْمِنُوا بِهِ فَتُخْبِتَ لَهُ قُلُوبُهُمْ وَإِنَّ اللهَ لَهادِ الَّذِينَ آمَنُوا إِلى صِراطٍ مُسْتَقِيمٍ</w:t>
      </w:r>
      <w:r>
        <w:rPr>
          <w:rFonts w:eastAsia="Amiri" w:cs="Amiri" w:ascii="Amiri" w:hAnsi="Amiri"/>
          <w:color w:val="111111"/>
          <w:sz w:val="28"/>
          <w:szCs w:val="28"/>
          <w:rtl w:val="true"/>
          <w:lang w:bidi="ar-SA"/>
        </w:rPr>
        <w:t xml:space="preserve">). </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وهذه الآية أو الآيات من أوثق الأدلة في نظر القائل بعدم عصمة الأنبياء ، وقد استغلها المستشرقون في مجال التشكيك في الوحي النازل على النبي على وجه سيوافيك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المستدل بهذه الآية يفسر إلقاء الشيطان في أُمنية الرسول أو النبي بالتدخل في الوحي النازل عليه فيغيّره إلى غير ما نزل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سبحانه يمحو ما يلقي الشيطان ويصحّح ما أُنزل على رسوله من الآيات ، فلو كان هذا مفاد الآية ، فهو دليل على عدم عصمة الأنبياء في مجال التحفّظ على الوحي أو إبلاغه الذي اتفقت كلمة المتكلمين على المصونية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يؤيد هذا التفسير بما رواه الطبري وغيره في سبب نزول هذه الآية ، وسيوافيك نصه وما فيه من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فالأولى تناول الآية بالبحث والتفسير حتى يتبيّن انّها تهدف إلى غير ما فسّره المستدل فنقول </w:t>
      </w:r>
      <w:r>
        <w:rPr>
          <w:rFonts w:eastAsia="Amiri" w:cs="Amiri" w:ascii="Amiri" w:hAnsi="Amiri"/>
          <w:color w:val="111111"/>
          <w:sz w:val="28"/>
          <w:szCs w:val="28"/>
          <w:rtl w:val="true"/>
          <w:lang w:bidi="ar-SA"/>
        </w:rPr>
        <w:t>:</w:t>
      </w:r>
    </w:p>
    <w:p>
      <w:pPr>
        <w:pStyle w:val="Heading5"/>
        <w:numPr>
          <w:ilvl w:val="4"/>
          <w:numId w:val="1"/>
        </w:numPr>
        <w:rPr/>
      </w:pPr>
      <w:bookmarkStart w:id="672" w:name="__RefHeading___Toc1391407_1067777946"/>
      <w:bookmarkStart w:id="673" w:name="_Toc253"/>
      <w:bookmarkEnd w:id="672"/>
      <w:r>
        <w:rPr>
          <w:rtl w:val="true"/>
        </w:rPr>
        <w:t>يجب توضيح نقاط في الآيات</w:t>
      </w:r>
      <w:r>
        <w:rPr>
          <w:rtl w:val="true"/>
        </w:rPr>
        <w:t>.</w:t>
      </w:r>
      <w:bookmarkEnd w:id="673"/>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أُمنية الرسول أو النبي؟ وإلامَ يهدف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w:t>
      </w:r>
      <w:bookmarkStart w:id="674" w:name="pg11047_102811"/>
    </w:p>
    <w:p>
      <w:pPr>
        <w:pStyle w:val="BookText"/>
        <w:rPr/>
      </w:pPr>
      <w:bookmarkEnd w:id="674"/>
      <w:r>
        <w:rPr>
          <w:rFonts w:ascii="Amiri" w:hAnsi="Amiri" w:eastAsia="Amiri" w:cs="Amiri"/>
          <w:color w:val="111111"/>
          <w:sz w:val="28"/>
          <w:sz w:val="28"/>
          <w:szCs w:val="28"/>
          <w:rtl w:val="true"/>
          <w:lang w:bidi="ar-SA"/>
        </w:rPr>
        <w:t>تَمَنَّى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مداخلة الشيطان في أُمنية النبي الذي يفيده قول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أَلْقَى الشَّيْطانُ فِي أُمْنِيَّتِهِ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نسخ الله سبحانه ما يلقيه الشيطان؟</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 يريد سبحانه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يُحْكِمُ اللهُ آياتِهِ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المراد منه الآيات القرآنية؟</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ما يلقيه الشيطان فتنة لمرضى القلوب وقاسيتها؟ وكيف يكون سبباً لإيمان المؤمنين ، وإخبات قلوبهم له؟</w:t>
      </w:r>
    </w:p>
    <w:p>
      <w:pPr>
        <w:pStyle w:val="BookText"/>
        <w:rPr/>
      </w:pPr>
      <w:r>
        <w:rPr>
          <w:rFonts w:ascii="Amiri" w:hAnsi="Amiri" w:eastAsia="Amiri" w:cs="Amiri"/>
          <w:color w:val="111111"/>
          <w:sz w:val="28"/>
          <w:sz w:val="28"/>
          <w:szCs w:val="28"/>
          <w:rtl w:val="true"/>
          <w:lang w:bidi="ar-SA"/>
        </w:rPr>
        <w:t xml:space="preserve">وبتفسير هذه النقاط الخمس يرتفع الإبهام الذي نسجته الأوهام حول الآية ومفادها فنقول </w:t>
      </w:r>
      <w:r>
        <w:rPr>
          <w:rFonts w:eastAsia="Amiri" w:cs="Amiri" w:ascii="Amiri" w:hAnsi="Amiri"/>
          <w:color w:val="111111"/>
          <w:sz w:val="28"/>
          <w:szCs w:val="28"/>
          <w:rtl w:val="true"/>
          <w:lang w:bidi="ar-SA"/>
        </w:rPr>
        <w:t>:</w:t>
      </w:r>
    </w:p>
    <w:p>
      <w:pPr>
        <w:pStyle w:val="Heading5"/>
        <w:numPr>
          <w:ilvl w:val="4"/>
          <w:numId w:val="1"/>
        </w:numPr>
        <w:rPr/>
      </w:pPr>
      <w:bookmarkStart w:id="675" w:name="__RefHeading___Toc1391409_1067777946"/>
      <w:bookmarkStart w:id="676" w:name="_Toc254"/>
      <w:bookmarkEnd w:id="675"/>
      <w:r>
        <w:rPr/>
        <w:t>1</w:t>
      </w:r>
      <w:r>
        <w:rPr>
          <w:rtl w:val="true"/>
        </w:rPr>
        <w:t xml:space="preserve">. </w:t>
      </w:r>
      <w:r>
        <w:rPr>
          <w:rtl w:val="true"/>
        </w:rPr>
        <w:t>ما معنى أُمنية الرسول أو النبي؟</w:t>
      </w:r>
      <w:bookmarkEnd w:id="676"/>
    </w:p>
    <w:p>
      <w:pPr>
        <w:pStyle w:val="BookText"/>
        <w:rPr/>
      </w:pPr>
      <w:r>
        <w:rPr>
          <w:rFonts w:ascii="Amiri" w:hAnsi="Amiri" w:eastAsia="Amiri" w:cs="Amiri"/>
          <w:color w:val="111111"/>
          <w:sz w:val="28"/>
          <w:sz w:val="28"/>
          <w:szCs w:val="28"/>
          <w:rtl w:val="true"/>
          <w:lang w:bidi="ar-SA"/>
        </w:rPr>
        <w:t xml:space="preserve">أمّا الأُمنية قال ابن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من المنى ، بمعنى تقدير شيء ونفاذ القضاء به ، منه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 له الماني أي قدر المقدر قال الهذلي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تأمنن وان أمسيت في حرم</w:t>
      </w:r>
    </w:p>
    <w:p>
      <w:pPr>
        <w:pStyle w:val="BookText"/>
        <w:rPr/>
      </w:pPr>
      <w:r>
        <w:rPr>
          <w:rFonts w:ascii="Amiri" w:hAnsi="Amiri" w:eastAsia="Amiri" w:cs="Amiri"/>
          <w:color w:val="111111"/>
          <w:sz w:val="28"/>
          <w:sz w:val="28"/>
          <w:szCs w:val="28"/>
          <w:rtl w:val="true"/>
          <w:lang w:bidi="ar-SA"/>
        </w:rPr>
        <w:t>حتى تلاقي ما يمني لك الماني</w:t>
      </w:r>
    </w:p>
    <w:p>
      <w:pPr>
        <w:pStyle w:val="BookText"/>
        <w:rPr/>
      </w:pPr>
      <w:r>
        <w:rPr>
          <w:rFonts w:ascii="Amiri" w:hAnsi="Amiri" w:eastAsia="Amiri" w:cs="Amiri"/>
          <w:color w:val="111111"/>
          <w:sz w:val="28"/>
          <w:sz w:val="28"/>
          <w:szCs w:val="28"/>
          <w:rtl w:val="true"/>
          <w:lang w:bidi="ar-SA"/>
        </w:rPr>
        <w:t xml:space="preserve">والمنا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 ، وماء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 أي يُقدّر منه خلقته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 لأنّها مقدّرة على كل أحد ، وتمنّى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 يقدِّره ، ومنى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به لما قُدِّر أن يُذبح فيه ، من قولك مناه الله</w:t>
      </w:r>
      <w:r>
        <w:rPr>
          <w:rFonts w:eastAsia="Amiri" w:cs="Amiri" w:ascii="Amiri" w:hAnsi="Amiri"/>
          <w:color w:val="111111"/>
          <w:sz w:val="28"/>
          <w:szCs w:val="28"/>
          <w:rtl w:val="true"/>
          <w:lang w:bidi="ar-SA"/>
        </w:rPr>
        <w:t xml:space="preserve">. </w:t>
      </w:r>
      <w:r>
        <w:rPr>
          <w:rStyle w:val="FootnoteAnchor"/>
          <w:rtl w:val="true"/>
        </w:rPr>
        <w:footnoteReference w:id="371"/>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ذلك فيجب علينا أن نقف على أُمنية الرسل والأنبياء من طريق </w:t>
      </w:r>
    </w:p>
    <w:p>
      <w:pPr>
        <w:pStyle w:val="BookText"/>
        <w:rPr/>
      </w:pPr>
      <w:r>
        <w:rPr>
          <w:rFonts w:ascii="Amiri" w:hAnsi="Amiri" w:eastAsia="Amiri" w:cs="Amiri"/>
          <w:color w:val="111111"/>
          <w:sz w:val="28"/>
          <w:sz w:val="28"/>
          <w:szCs w:val="28"/>
          <w:rtl w:val="true"/>
          <w:lang w:bidi="ar-SA"/>
        </w:rPr>
        <w:t xml:space="preserve">الكتاب العزيز ، ولا يشك من سبر الذكر الحكيم انّه لم يكن للرسل والأنبياء ، أُمنية سوى نشر الهداية الإلهية بين أقوامهم وإرشادهم إلى طريق الخير والسعادة ، وكانوا يدأبون في تنفيذ هذا المقصد السامي ، والهدف الرفيع ولا يألون في ذلك جهداً ، وكانوا يخططون لهذا الأمر ، ويفكّرون في الخطة بعد الخطة ، ويمهدون له قدر مستطاعهم ، ويدل على ذلك جمع من الآيات نكتفي بذكر بعضها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سبحانه في حق النبي الأكرم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أَكْثَرُ النَّاسِ وَلَوْ حَرَصْتَ بِمُؤْمِنِينَ</w:t>
      </w:r>
      <w:r>
        <w:rPr>
          <w:rFonts w:eastAsia="Amiri" w:cs="Amiri" w:ascii="Amiri" w:hAnsi="Amiri"/>
          <w:color w:val="111111"/>
          <w:sz w:val="28"/>
          <w:szCs w:val="28"/>
          <w:rtl w:val="true"/>
          <w:lang w:bidi="ar-SA"/>
        </w:rPr>
        <w:t xml:space="preserve">). </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 xml:space="preserve">ويقول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تَذْهَبْ نَفْسُكَ عَلَيْهِمْ حَسَراتٍ إِنَّ اللهَ عَلِيمٌ بِما يَصْنَعُونَ</w:t>
      </w:r>
      <w:r>
        <w:rPr>
          <w:rFonts w:eastAsia="Amiri" w:cs="Amiri" w:ascii="Amiri" w:hAnsi="Amiri"/>
          <w:color w:val="111111"/>
          <w:sz w:val="28"/>
          <w:szCs w:val="28"/>
          <w:rtl w:val="true"/>
          <w:lang w:bidi="ar-SA"/>
        </w:rPr>
        <w:t xml:space="preserve">). </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 xml:space="preserve">ويقول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تَحْرِصْ عَلى هُداهُمْ فَإِنَّ اللهَ لا يَهْدِي مَنْ يُضِلُّ وَما لَهُمْ مِنْ ناصِرِينَ</w:t>
      </w:r>
      <w:r>
        <w:rPr>
          <w:rFonts w:eastAsia="Amiri" w:cs="Amiri" w:ascii="Amiri" w:hAnsi="Amiri"/>
          <w:color w:val="111111"/>
          <w:sz w:val="28"/>
          <w:szCs w:val="28"/>
          <w:rtl w:val="true"/>
          <w:lang w:bidi="ar-SA"/>
        </w:rPr>
        <w:t xml:space="preserve">). </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 xml:space="preserve">ويقول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لا تَهْدِي مَنْ أَحْبَبْتَ وَلكِنَّ اللهَ يَهْدِي مَنْ يَشاءُ</w:t>
      </w:r>
      <w:r>
        <w:rPr>
          <w:rFonts w:eastAsia="Amiri" w:cs="Amiri" w:ascii="Amiri" w:hAnsi="Amiri"/>
          <w:color w:val="111111"/>
          <w:sz w:val="28"/>
          <w:szCs w:val="28"/>
          <w:rtl w:val="true"/>
          <w:lang w:bidi="ar-SA"/>
        </w:rPr>
        <w:t xml:space="preserve">). </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 xml:space="preserve">ويقول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فَذَكِّرْ إِنَّما أَنْتَ مُذَكِّرٌ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عَلَيْهِمْ بِمُصَيْطِرٍ</w:t>
      </w:r>
      <w:r>
        <w:rPr>
          <w:rFonts w:eastAsia="Amiri" w:cs="Amiri" w:ascii="Amiri" w:hAnsi="Amiri"/>
          <w:color w:val="111111"/>
          <w:sz w:val="28"/>
          <w:szCs w:val="28"/>
          <w:rtl w:val="true"/>
          <w:lang w:bidi="ar-SA"/>
        </w:rPr>
        <w:t xml:space="preserve">). </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 xml:space="preserve">هذا كلّه في حق النبي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سبحانه حاكياً عن استقامة نوح في طريق دعوته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وَإِنِّي كُلَّما دَعَوْتُهُمْ لِتَغْفِرَ لَهُمْ جَعَلُوا أَصابِعَهُمْ فِي آذانِهِمْ وَاسْتَغْشَوْا ثِيابَهُمْ وَأَصَرُّوا </w:t>
      </w:r>
      <w:bookmarkStart w:id="677" w:name="pg11047_102813"/>
    </w:p>
    <w:p>
      <w:pPr>
        <w:pStyle w:val="BookText"/>
        <w:rPr/>
      </w:pPr>
      <w:bookmarkEnd w:id="677"/>
      <w:r>
        <w:rPr>
          <w:rFonts w:ascii="Amiri" w:hAnsi="Amiri" w:eastAsia="Amiri" w:cs="Amiri"/>
          <w:color w:val="111111"/>
          <w:sz w:val="28"/>
          <w:sz w:val="28"/>
          <w:szCs w:val="28"/>
          <w:rtl w:val="true"/>
          <w:lang w:bidi="ar-SA"/>
        </w:rPr>
        <w:t>وَاسْتَكْبَرُوا اسْتِكْباراً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إِنِّي دَعَوْتُهُمْ جِهاراً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إِنِّي أَعْلَنْتُ لَهُمْ وَأَسْرَرْتُ لَهُمْ إِسْراراً</w:t>
      </w:r>
      <w:r>
        <w:rPr>
          <w:rFonts w:eastAsia="Amiri" w:cs="Amiri" w:ascii="Amiri" w:hAnsi="Amiri"/>
          <w:color w:val="111111"/>
          <w:sz w:val="28"/>
          <w:szCs w:val="28"/>
          <w:rtl w:val="true"/>
          <w:lang w:bidi="ar-SA"/>
        </w:rPr>
        <w:t xml:space="preserve">). </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 xml:space="preserve">ويقول سبحانه بعد عدة من الآيات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نُوحٌ رَبِّ إِنَّهُمْ عَصَوْنِي وَاتَّبَعُوا مَنْ لَمْ يَزِدْهُ مالُهُ وَوَلَدُهُ إِلاَّ خَساراً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وَمَكَرُوا مَكْراً كُبَّاراً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لا تَذَرُنَّ آلِهَتَكُمْ وَلا تَذَرُنَّ وَدًّا وَلا سُواعاً وَلا يَغُوثَ وَيَعُوقَ وَنَسْراً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أَضَلُّوا كَثِيراً وَلا تَزِدِ الظَّالِمِينَ إِلاَّ ضَلالاً</w:t>
      </w:r>
      <w:r>
        <w:rPr>
          <w:rFonts w:eastAsia="Amiri" w:cs="Amiri" w:ascii="Amiri" w:hAnsi="Amiri"/>
          <w:color w:val="111111"/>
          <w:sz w:val="28"/>
          <w:szCs w:val="28"/>
          <w:rtl w:val="true"/>
          <w:lang w:bidi="ar-SA"/>
        </w:rPr>
        <w:t xml:space="preserve">). </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فهذه الآيات ونظائرها تنبئ بوضوح عن أنّ أُمنية الأنبياء الوحيدة في حياتهم وسبيل دعوتهم هو هداية الناس إلى الله ، وتوسيع رقعة الدعوة إلى أبعد حد ممكن ، وان منعتهم من تحقيق هذا الهدف عراقيل وموانع ، فهم يسعون إلى ذلك بعزيمة راسخة ورجاء واثق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هنا تبيّن الجواب عن السؤال الأوّل ، وهلم معي الآن لنقف على جواب السؤال الثاني ، أعني </w:t>
      </w:r>
      <w:r>
        <w:rPr>
          <w:rFonts w:eastAsia="Amiri" w:cs="Amiri" w:ascii="Amiri" w:hAnsi="Amiri"/>
          <w:color w:val="111111"/>
          <w:sz w:val="28"/>
          <w:szCs w:val="28"/>
          <w:rtl w:val="true"/>
          <w:lang w:bidi="ar-SA"/>
        </w:rPr>
        <w:t>:</w:t>
      </w:r>
    </w:p>
    <w:p>
      <w:pPr>
        <w:pStyle w:val="Heading5"/>
        <w:numPr>
          <w:ilvl w:val="4"/>
          <w:numId w:val="1"/>
        </w:numPr>
        <w:rPr/>
      </w:pPr>
      <w:bookmarkStart w:id="678" w:name="__RefHeading___Toc1391411_1067777946"/>
      <w:bookmarkStart w:id="679" w:name="_Toc255"/>
      <w:bookmarkEnd w:id="678"/>
      <w:r>
        <w:rPr/>
        <w:t>2</w:t>
      </w:r>
      <w:r>
        <w:rPr>
          <w:rtl w:val="true"/>
        </w:rPr>
        <w:t xml:space="preserve">. </w:t>
      </w:r>
      <w:r>
        <w:rPr>
          <w:rtl w:val="true"/>
        </w:rPr>
        <w:t>ما معنى إلقاء الشيطان في أُمنية الرسل؟</w:t>
      </w:r>
      <w:bookmarkEnd w:id="679"/>
    </w:p>
    <w:p>
      <w:pPr>
        <w:pStyle w:val="BookText"/>
        <w:rPr/>
      </w:pPr>
      <w:r>
        <w:rPr>
          <w:rFonts w:ascii="Amiri" w:hAnsi="Amiri" w:eastAsia="Amiri" w:cs="Amiri"/>
          <w:color w:val="111111"/>
          <w:sz w:val="28"/>
          <w:sz w:val="28"/>
          <w:szCs w:val="28"/>
          <w:rtl w:val="true"/>
          <w:lang w:bidi="ar-SA"/>
        </w:rPr>
        <w:t xml:space="preserve">وهذا السؤال هو النقطة الحاسمة في استدلال المخالف ، وبالإجابة عليها يظهر وهن الاستدلال بوضوح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إلقاء الشيطان في أُمنيتهم يتحقّق بإحدى صورتين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يوسوس في قلوب الأنبياء ويوهن عزائمهم الراسخة ، ويقنعهم بعدم جدوى دعوتهم وإرشادهم ، وانّ هذه الأُمّة ، أُمّة غير قابلة للهداية ، فتظهر بسبب</w:t>
      </w:r>
    </w:p>
    <w:p>
      <w:pPr>
        <w:pStyle w:val="BookText"/>
        <w:rPr/>
      </w:pPr>
      <w:r>
        <w:rPr>
          <w:rFonts w:ascii="Amiri" w:hAnsi="Amiri" w:eastAsia="Amiri" w:cs="Amiri"/>
          <w:color w:val="111111"/>
          <w:sz w:val="28"/>
          <w:sz w:val="28"/>
          <w:szCs w:val="28"/>
          <w:rtl w:val="true"/>
          <w:lang w:bidi="ar-SA"/>
        </w:rPr>
        <w:t>ذلك سحائب اليأس في قلوبهم ويكفّوا عن دعوة الناس وينصرفوا عن هدايتهم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شك أنّ هذا المعنى لا يناسب ساحة الأنبياء بنص القرآن الكريم ، لأنّه يستلزم أن يكون للشيطان سلطان على قلوب الأنبياء وضمائرهم ، حتى يوهن عزائمهم في طريق الدعوة والإرشاد ، والقرآن الكريم ينفي تسلل الشيطان إلى ضمائر المخلصين الذين هم الأنبياء ومن دونهم ، ويقول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عِبادِي لَيْسَ لَكَ عَلَيْهِمْ سُلْطانٌ</w:t>
      </w:r>
      <w:r>
        <w:rPr>
          <w:rFonts w:eastAsia="Amiri" w:cs="Amiri" w:ascii="Amiri" w:hAnsi="Amiri"/>
          <w:color w:val="111111"/>
          <w:sz w:val="28"/>
          <w:szCs w:val="28"/>
          <w:rtl w:val="true"/>
          <w:lang w:bidi="ar-SA"/>
        </w:rPr>
        <w:t xml:space="preserve">). </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 xml:space="preserve">ويقول أيضاً ناقلاً عن نفس الشيطان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فَبِعِزَّتِكَ لَأُغْوِيَنَّهُمْ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عِبادَكَ مِنْهُمُ الْمُخْلَصِينَ</w:t>
      </w:r>
      <w:r>
        <w:rPr>
          <w:rFonts w:eastAsia="Amiri" w:cs="Amiri" w:ascii="Amiri" w:hAnsi="Amiri"/>
          <w:color w:val="111111"/>
          <w:sz w:val="28"/>
          <w:szCs w:val="28"/>
          <w:rtl w:val="true"/>
          <w:lang w:bidi="ar-SA"/>
        </w:rPr>
        <w:t xml:space="preserve">). </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وليس إيجاد الوهن في عزائم الأنبياء من جانب الشيطان إلاّ إغواءهم المنفي بنص الآيات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يكون المراد من إلقاء الشيطان في أُمنية النبي هو إغراء الناس ودعوتهم إلى مخالفة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والصمود في وجوههم حتى تصبح جهودهم ومخططاتهم عقيمة غير مفيدة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المعنى هو الظاهر من القرآن الكريم حيث يحكي في غير مورد أنّ الشيطان كان يحض أقوام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المخالفة ويعدهم بالأماني ، حتى يخالفوهم</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يَعِدُهُمْ وَيُمَنِّيهِمْ وَما يَعِدُهُمُ الشَّيْطانُ إِلاَّ غُرُوراً</w:t>
      </w:r>
      <w:r>
        <w:rPr>
          <w:rFonts w:eastAsia="Amiri" w:cs="Amiri" w:ascii="Amiri" w:hAnsi="Amiri"/>
          <w:color w:val="111111"/>
          <w:sz w:val="28"/>
          <w:szCs w:val="28"/>
          <w:rtl w:val="true"/>
          <w:lang w:bidi="ar-SA"/>
        </w:rPr>
        <w:t xml:space="preserve">). </w:t>
      </w:r>
      <w:r>
        <w:rPr>
          <w:rStyle w:val="FootnoteAnchor"/>
          <w:rtl w:val="true"/>
        </w:rPr>
        <w:footnoteReference w:id="381"/>
      </w:r>
      <w:bookmarkStart w:id="680" w:name="pg11047_102815"/>
    </w:p>
    <w:p>
      <w:pPr>
        <w:pStyle w:val="BookText"/>
        <w:rPr/>
      </w:pPr>
      <w:bookmarkEnd w:id="680"/>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الشَّيْطانُ لَمَّا قُضِيَ الْأَمْرُ إِنَّ اللهَ وَعَدَكُمْ وَعْدَ الْحَقِّ وَوَعَدْتُكُمْ فَأَخْلَفْتُكُمْ وَما كانَ لِي عَلَيْكُمْ مِنْ سُلْطانٍ إِلاَّ أَنْ دَعَوْتُكُمْ فَاسْتَجَبْتُمْ لِي فَلا تَلُومُونِي وَلُومُوا أَنْفُسَكُمْ</w:t>
      </w:r>
      <w:r>
        <w:rPr>
          <w:rFonts w:eastAsia="Amiri" w:cs="Amiri" w:ascii="Amiri" w:hAnsi="Amiri"/>
          <w:color w:val="111111"/>
          <w:sz w:val="28"/>
          <w:szCs w:val="28"/>
          <w:rtl w:val="true"/>
          <w:lang w:bidi="ar-SA"/>
        </w:rPr>
        <w:t xml:space="preserve">). </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 xml:space="preserve">وهذه الآيات ونظائرها تشهد بوضوح على أنّ الشيطان وجنوده كانوا يسعون بشدة وحماس في حضّ الناس على مخالفة الأنبياء والرسل ، وكانوا يخدعونهم بالعدة والأماني ، وعند ذلك يتضح مفاد الآية ،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 مِنْ قَبْلِكَ مِنْ رَسُولٍ وَلا نَبِيٍّ إِلاَّ إِذا تَمَنَّى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إذا فكّر في هداية أُمّته وخطّط لذلك الخطط ، وهيّأ لذلك المقدمات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أَلْقَى الشَّيْطانُ فِي أُمْنِيَّتِهِ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بحضِّ الناس على المخالفة والمعاكسة وإفشال خطط الأنبياء حتى تصبح المقدمات عقيمة غير منتجة</w:t>
      </w:r>
      <w:r>
        <w:rPr>
          <w:rFonts w:eastAsia="Amiri" w:cs="Amiri" w:ascii="Amiri" w:hAnsi="Amiri"/>
          <w:color w:val="111111"/>
          <w:sz w:val="28"/>
          <w:szCs w:val="28"/>
          <w:rtl w:val="true"/>
          <w:lang w:bidi="ar-SA"/>
        </w:rPr>
        <w:t>).</w:t>
      </w:r>
    </w:p>
    <w:p>
      <w:pPr>
        <w:pStyle w:val="Heading5"/>
        <w:numPr>
          <w:ilvl w:val="4"/>
          <w:numId w:val="1"/>
        </w:numPr>
        <w:rPr/>
      </w:pPr>
      <w:bookmarkStart w:id="681" w:name="__RefHeading___Toc1391413_1067777946"/>
      <w:bookmarkStart w:id="682" w:name="_Toc256"/>
      <w:bookmarkEnd w:id="681"/>
      <w:r>
        <w:rPr/>
        <w:t>3</w:t>
      </w:r>
      <w:r>
        <w:rPr>
          <w:rtl w:val="true"/>
        </w:rPr>
        <w:t xml:space="preserve">. </w:t>
      </w:r>
      <w:r>
        <w:rPr>
          <w:rtl w:val="true"/>
        </w:rPr>
        <w:t>ما معنى نسخه سبحانه ما يلقيه الشيطان؟</w:t>
      </w:r>
      <w:bookmarkEnd w:id="682"/>
    </w:p>
    <w:p>
      <w:pPr>
        <w:pStyle w:val="BookText"/>
        <w:rPr/>
      </w:pPr>
      <w:r>
        <w:rPr>
          <w:rFonts w:ascii="Amiri" w:hAnsi="Amiri" w:eastAsia="Amiri" w:cs="Amiri"/>
          <w:color w:val="111111"/>
          <w:sz w:val="28"/>
          <w:sz w:val="28"/>
          <w:szCs w:val="28"/>
          <w:rtl w:val="true"/>
          <w:lang w:bidi="ar-SA"/>
        </w:rPr>
        <w:t xml:space="preserve">إذا عرفت هذا المقطع من الآية يجب أن نقف على مفاد المقطع الآخر منها وهو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فَيَنْسَخُ اللهُ ما يُلْقِي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معنى هذا النسخ؟</w:t>
      </w:r>
    </w:p>
    <w:p>
      <w:pPr>
        <w:pStyle w:val="BookText"/>
        <w:rPr/>
      </w:pPr>
      <w:r>
        <w:rPr>
          <w:rFonts w:ascii="Amiri" w:hAnsi="Amiri" w:eastAsia="Amiri" w:cs="Amiri"/>
          <w:color w:val="111111"/>
          <w:sz w:val="28"/>
          <w:sz w:val="28"/>
          <w:szCs w:val="28"/>
          <w:rtl w:val="true"/>
          <w:lang w:bidi="ar-SA"/>
        </w:rPr>
        <w:t xml:space="preserve">والمراد من ذاك النسخ ما وعد الله سبحانه رسله بالنصر ، والعون والإنجاح ،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لَنَنْصُرُ رُسُلَنا وَالَّذِينَ آمَنُوا فِي الْحَياةِ الدُّنْيا</w:t>
      </w:r>
      <w:r>
        <w:rPr>
          <w:rFonts w:eastAsia="Amiri" w:cs="Amiri" w:ascii="Amiri" w:hAnsi="Amiri"/>
          <w:color w:val="111111"/>
          <w:sz w:val="28"/>
          <w:szCs w:val="28"/>
          <w:rtl w:val="true"/>
          <w:lang w:bidi="ar-SA"/>
        </w:rPr>
        <w:t xml:space="preserve">) </w:t>
      </w:r>
      <w:r>
        <w:rPr>
          <w:rStyle w:val="FootnoteAnchor"/>
          <w:rtl w:val="true"/>
        </w:rPr>
        <w:footnoteReference w:id="383"/>
      </w:r>
      <w:r>
        <w:rPr>
          <w:rFonts w:ascii="Amiri" w:hAnsi="Amiri" w:eastAsia="Amiri" w:cs="Amiri"/>
          <w:color w:val="111111"/>
          <w:sz w:val="28"/>
          <w:sz w:val="28"/>
          <w:szCs w:val="28"/>
          <w:rtl w:val="true"/>
          <w:lang w:bidi="ar-SA"/>
        </w:rPr>
        <w:t xml:space="preserve">، وقال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اللهُ لَأَغْلِبَنَّ أَنَا وَرُسُلِي إِنَّ اللهَ قَوِيٌّ عَزِيزٌ</w:t>
      </w:r>
      <w:r>
        <w:rPr>
          <w:rFonts w:eastAsia="Amiri" w:cs="Amiri" w:ascii="Amiri" w:hAnsi="Amiri"/>
          <w:color w:val="111111"/>
          <w:sz w:val="28"/>
          <w:szCs w:val="28"/>
          <w:rtl w:val="true"/>
          <w:lang w:bidi="ar-SA"/>
        </w:rPr>
        <w:t xml:space="preserve">) </w:t>
      </w:r>
      <w:r>
        <w:rPr>
          <w:rStyle w:val="FootnoteAnchor"/>
          <w:rtl w:val="true"/>
        </w:rPr>
        <w:footnoteReference w:id="384"/>
      </w:r>
      <w:r>
        <w:rPr>
          <w:rFonts w:ascii="Amiri" w:hAnsi="Amiri" w:eastAsia="Amiri" w:cs="Amiri"/>
          <w:color w:val="111111"/>
          <w:sz w:val="28"/>
          <w:sz w:val="28"/>
          <w:szCs w:val="28"/>
          <w:rtl w:val="true"/>
          <w:lang w:bidi="ar-SA"/>
        </w:rPr>
        <w:t xml:space="preserve">، وقال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نَقْذِفُ بِالْحَقِّ عَلَى الْباطِلِ فَيَدْمَغُهُ فَإِذا هُوَ زاهِقٌ</w:t>
      </w:r>
      <w:r>
        <w:rPr>
          <w:rFonts w:eastAsia="Amiri" w:cs="Amiri" w:ascii="Amiri" w:hAnsi="Amiri"/>
          <w:color w:val="111111"/>
          <w:sz w:val="28"/>
          <w:szCs w:val="28"/>
          <w:rtl w:val="true"/>
          <w:lang w:bidi="ar-SA"/>
        </w:rPr>
        <w:t xml:space="preserve">). </w:t>
      </w:r>
      <w:r>
        <w:rPr>
          <w:rStyle w:val="FootnoteAnchor"/>
          <w:rtl w:val="true"/>
        </w:rPr>
        <w:footnoteReference w:id="385"/>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سَبَقَتْ كَلِمَتُنا لِعِبادِنَا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لَهُمُ </w:t>
      </w:r>
      <w:bookmarkStart w:id="683" w:name="pg11047_102816"/>
    </w:p>
    <w:p>
      <w:pPr>
        <w:pStyle w:val="BookText"/>
        <w:rPr/>
      </w:pPr>
      <w:bookmarkEnd w:id="683"/>
      <w:r>
        <w:rPr>
          <w:rFonts w:ascii="Amiri" w:hAnsi="Amiri" w:eastAsia="Amiri" w:cs="Amiri"/>
          <w:color w:val="111111"/>
          <w:sz w:val="28"/>
          <w:sz w:val="28"/>
          <w:szCs w:val="28"/>
          <w:rtl w:val="true"/>
          <w:lang w:bidi="ar-SA"/>
        </w:rPr>
        <w:t>الْمَنْصُورُونَ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جُنْدَنا لَهُمُ الْغالِبُونَ</w:t>
      </w:r>
      <w:r>
        <w:rPr>
          <w:rFonts w:eastAsia="Amiri" w:cs="Amiri" w:ascii="Amiri" w:hAnsi="Amiri"/>
          <w:color w:val="111111"/>
          <w:sz w:val="28"/>
          <w:szCs w:val="28"/>
          <w:rtl w:val="true"/>
          <w:lang w:bidi="ar-SA"/>
        </w:rPr>
        <w:t xml:space="preserve">). </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 xml:space="preserve">وقال في حق النبي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هُوَ الَّذِي أَرْسَلَ رَسُولَهُ بِالْهُدى وَدِينِ الْحَقِّ لِيُظْهِرَهُ عَلَى الدِّينِ كُلِّهِ وَلَوْ كَرِهَ الْمُشْرِكُونَ</w:t>
      </w:r>
      <w:r>
        <w:rPr>
          <w:rFonts w:eastAsia="Amiri" w:cs="Amiri" w:ascii="Amiri" w:hAnsi="Amiri"/>
          <w:color w:val="111111"/>
          <w:sz w:val="28"/>
          <w:szCs w:val="28"/>
          <w:rtl w:val="true"/>
          <w:lang w:bidi="ar-SA"/>
        </w:rPr>
        <w:t xml:space="preserve">). </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كَتَبْنا فِي الزَّبُورِ مِنْ بَعْدِ الذِّكْرِ أَنَّ الْأَرْضَ يَرِثُها عِبادِيَ الصَّالِحُونَ</w:t>
      </w:r>
      <w:r>
        <w:rPr>
          <w:rFonts w:eastAsia="Amiri" w:cs="Amiri" w:ascii="Amiri" w:hAnsi="Amiri"/>
          <w:color w:val="111111"/>
          <w:sz w:val="28"/>
          <w:szCs w:val="28"/>
          <w:rtl w:val="true"/>
          <w:lang w:bidi="ar-SA"/>
        </w:rPr>
        <w:t xml:space="preserve">). </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إلى غير ذلك من الآيات الساطعة التي تحكي عن انتصار الحق الممثَّل في الرسالات الإلهية في صراعها مع الباطل وأتباعه</w:t>
      </w:r>
      <w:r>
        <w:rPr>
          <w:rFonts w:eastAsia="Amiri" w:cs="Amiri" w:ascii="Amiri" w:hAnsi="Amiri"/>
          <w:color w:val="111111"/>
          <w:sz w:val="28"/>
          <w:szCs w:val="28"/>
          <w:rtl w:val="true"/>
          <w:lang w:bidi="ar-SA"/>
        </w:rPr>
        <w:t>.</w:t>
      </w:r>
    </w:p>
    <w:p>
      <w:pPr>
        <w:pStyle w:val="Heading5"/>
        <w:numPr>
          <w:ilvl w:val="4"/>
          <w:numId w:val="1"/>
        </w:numPr>
        <w:rPr/>
      </w:pPr>
      <w:bookmarkStart w:id="684" w:name="__RefHeading___Toc1391415_1067777946"/>
      <w:bookmarkStart w:id="685" w:name="_Toc257"/>
      <w:bookmarkEnd w:id="684"/>
      <w:r>
        <w:rPr/>
        <w:t>4</w:t>
      </w:r>
      <w:r>
        <w:rPr>
          <w:rtl w:val="true"/>
        </w:rPr>
        <w:t xml:space="preserve">. </w:t>
      </w:r>
      <w:r>
        <w:rPr>
          <w:rtl w:val="true"/>
        </w:rPr>
        <w:t>ما معنى إحكامه سبحانه آياته؟</w:t>
      </w:r>
      <w:bookmarkEnd w:id="685"/>
    </w:p>
    <w:p>
      <w:pPr>
        <w:pStyle w:val="BookText"/>
        <w:rPr/>
      </w:pPr>
      <w:r>
        <w:rPr>
          <w:rFonts w:ascii="Amiri" w:hAnsi="Amiri" w:eastAsia="Amiri" w:cs="Amiri"/>
          <w:color w:val="111111"/>
          <w:sz w:val="28"/>
          <w:sz w:val="28"/>
          <w:szCs w:val="28"/>
          <w:rtl w:val="true"/>
          <w:lang w:bidi="ar-SA"/>
        </w:rPr>
        <w:t xml:space="preserve">إذا تبين معنى نسخه سبحانه ما يلقيه الشيطان ، يتبين المراد من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يُحْكِمُ اللهُ آياتِهِ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فالمراد من الآيات هي الدلائل الناصعة الهادية إلى الله سبحانه وإلى مرضاته وشرائعه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نسخ ما يلقيه الشيطان ، يخلفه ما يلقيه سبحانه إلى أنبيائه من الآيات الهادية إلى رضاه أوّلاً ، وسعادة الناس ثانياً</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أسخف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الآيات ، الآيات القرآنية التي نزلت على النبي الأكرم ، وذلك لأنّ موضوع البحث فيها ليس خصوص النبي الأكرم ، بل الرسل والأنبياء على وجه الإطلاق ، أضف إليه انّه ليس كل نبي ذا كتاب وآيات ، </w:t>
      </w:r>
      <w:bookmarkStart w:id="686" w:name="pg11047_102817"/>
    </w:p>
    <w:p>
      <w:pPr>
        <w:pStyle w:val="BookText"/>
        <w:rPr/>
      </w:pPr>
      <w:bookmarkEnd w:id="686"/>
      <w:r>
        <w:rPr>
          <w:rFonts w:ascii="Amiri" w:hAnsi="Amiri" w:eastAsia="Amiri" w:cs="Amiri"/>
          <w:color w:val="111111"/>
          <w:sz w:val="28"/>
          <w:sz w:val="28"/>
          <w:szCs w:val="28"/>
          <w:rtl w:val="true"/>
          <w:lang w:bidi="ar-SA"/>
        </w:rPr>
        <w:t>فكيف يمكن أن يكون ذا قرآن مثله؟</w:t>
      </w:r>
    </w:p>
    <w:p>
      <w:pPr>
        <w:pStyle w:val="BookText"/>
        <w:rPr/>
      </w:pPr>
      <w:r>
        <w:rPr>
          <w:rFonts w:ascii="Amiri" w:hAnsi="Amiri" w:eastAsia="Amiri" w:cs="Amiri"/>
          <w:color w:val="111111"/>
          <w:sz w:val="28"/>
          <w:sz w:val="28"/>
          <w:szCs w:val="28"/>
          <w:rtl w:val="true"/>
          <w:lang w:bidi="ar-SA"/>
        </w:rPr>
        <w:t>ويعود مفاد الجملة إلى أنّ الله سبحانه يحكم دينه وشرائعه وما أنزله الله إلى أنبيائه وسفرائه من الكتاب والحكمة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مجال الصراع بين أنصار الحق وجنود الباطل يكون الانتصار والظفر للأوّل ، والاندحار والهزيمة للثاني فتضمحل الخطط الشيطانية وتنهزم أذنابه ، بإرادة الله سبحانه ، فتخلفها البرامج الحيوية الإلهية وآياته الناصعة ، فيصبح الحق قائماً وثابتاً ، والباطل داثراً وزاهقاً ،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جاءَ الْحَقُّ وَزَهَقَ الْباطِلُ إِنَّ الْباطِلَ كانَ زَهُوقاً</w:t>
      </w:r>
      <w:r>
        <w:rPr>
          <w:rFonts w:eastAsia="Amiri" w:cs="Amiri" w:ascii="Amiri" w:hAnsi="Amiri"/>
          <w:color w:val="111111"/>
          <w:sz w:val="28"/>
          <w:szCs w:val="28"/>
          <w:rtl w:val="true"/>
          <w:lang w:bidi="ar-SA"/>
        </w:rPr>
        <w:t xml:space="preserve">). </w:t>
      </w:r>
      <w:r>
        <w:rPr>
          <w:rStyle w:val="FootnoteAnchor"/>
          <w:rtl w:val="true"/>
        </w:rPr>
        <w:footnoteReference w:id="389"/>
      </w:r>
    </w:p>
    <w:p>
      <w:pPr>
        <w:pStyle w:val="Heading5"/>
        <w:numPr>
          <w:ilvl w:val="4"/>
          <w:numId w:val="1"/>
        </w:numPr>
        <w:rPr/>
      </w:pPr>
      <w:bookmarkStart w:id="687" w:name="__RefHeading___Toc1391417_1067777946"/>
      <w:bookmarkStart w:id="688" w:name="_Toc258"/>
      <w:bookmarkEnd w:id="687"/>
      <w:r>
        <w:rPr/>
        <w:t>5</w:t>
      </w:r>
      <w:r>
        <w:rPr>
          <w:rtl w:val="true"/>
        </w:rPr>
        <w:t xml:space="preserve">. </w:t>
      </w:r>
      <w:r>
        <w:rPr>
          <w:rtl w:val="true"/>
        </w:rPr>
        <w:t>ما هي النتيجة من هذا الصراع؟</w:t>
      </w:r>
      <w:bookmarkEnd w:id="688"/>
    </w:p>
    <w:p>
      <w:pPr>
        <w:pStyle w:val="Heading6"/>
        <w:numPr>
          <w:ilvl w:val="5"/>
          <w:numId w:val="1"/>
        </w:numPr>
        <w:rPr/>
      </w:pPr>
      <w:bookmarkStart w:id="689" w:name="__RefHeading___Toc1391419_1067777946"/>
      <w:bookmarkStart w:id="690" w:name="_Toc259"/>
      <w:bookmarkEnd w:id="689"/>
      <w:r>
        <w:rPr>
          <w:rtl w:val="true"/>
        </w:rPr>
        <w:t>اشارة</w:t>
      </w:r>
      <w:bookmarkEnd w:id="690"/>
    </w:p>
    <w:p>
      <w:pPr>
        <w:pStyle w:val="BookText"/>
        <w:rPr/>
      </w:pPr>
      <w:r>
        <w:rPr>
          <w:rFonts w:ascii="Amiri" w:hAnsi="Amiri" w:eastAsia="Amiri" w:cs="Amiri"/>
          <w:color w:val="111111"/>
          <w:sz w:val="28"/>
          <w:sz w:val="28"/>
          <w:szCs w:val="28"/>
          <w:rtl w:val="true"/>
          <w:lang w:bidi="ar-SA"/>
        </w:rPr>
        <w:t xml:space="preserve">قد عرفت أنّ الآية تعلِّل الهدف من هذا الصراع بأنّ ما يلقيه الشيطان يكون فتنة لطوائف ثلاث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الذين في قلوبهم مرض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ذات القلوب القاسية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الذين أوتوا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نتيجة هذا الصراع تعود إلى اختبار الناس وامتحانهم حتى يظهروا ما في مكامن نفوسهم وضمائر قلوبهم من الكفر والنفاق أو من الإخلاص والإيمان</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فالنفوس المريضة التي لم تنلها التزكية والتربية الإلهية ، والقلوب القاسية التي </w:t>
      </w:r>
    </w:p>
    <w:p>
      <w:pPr>
        <w:pStyle w:val="BookText"/>
        <w:rPr/>
      </w:pPr>
      <w:r>
        <w:rPr>
          <w:rFonts w:ascii="Amiri" w:hAnsi="Amiri" w:eastAsia="Amiri" w:cs="Amiri"/>
          <w:color w:val="111111"/>
          <w:sz w:val="28"/>
          <w:sz w:val="28"/>
          <w:szCs w:val="28"/>
          <w:rtl w:val="true"/>
          <w:lang w:bidi="ar-SA"/>
        </w:rPr>
        <w:t>أسّرتها الشهوات ، وأعمتها زبارج الحياة الدنيا ، تتسابق إلى دعوة الشيطان وتتبعه فيظهر ما في مكامنها من الكفر والقسوة ، فيثبت نفاقها ويظهر كفرها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النفوس المؤمنة الواقفة على أنّ ما جاء به الرسل حق من جانب الله سبحانه ، فلا يزيدها ذلك إلاّ إيماناً وثباتاً وهداية وصمودا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النتيجة حاكمة في عامة اختبارات الله سبحانه لعباده ، فإنّ اختباراته سبحانه ليس لأجل العلم بواقع النفوس ومكامنها ، فإنّه يعلم بها قبل اختبارها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يَعْلَمُ مَنْ خَلَقَ وَهُوَ اللَّطِيفُ الْخَبِيرُ</w:t>
      </w:r>
      <w:r>
        <w:rPr>
          <w:rFonts w:eastAsia="Amiri" w:cs="Amiri" w:ascii="Amiri" w:hAnsi="Amiri"/>
          <w:color w:val="111111"/>
          <w:sz w:val="28"/>
          <w:szCs w:val="28"/>
          <w:rtl w:val="true"/>
          <w:lang w:bidi="ar-SA"/>
        </w:rPr>
        <w:t xml:space="preserve">) </w:t>
      </w:r>
      <w:r>
        <w:rPr>
          <w:rStyle w:val="FootnoteAnchor"/>
          <w:rtl w:val="true"/>
        </w:rPr>
        <w:footnoteReference w:id="390"/>
      </w:r>
      <w:r>
        <w:rPr>
          <w:rFonts w:ascii="Amiri" w:hAnsi="Amiri" w:eastAsia="Amiri" w:cs="Amiri"/>
          <w:color w:val="111111"/>
          <w:sz w:val="28"/>
          <w:sz w:val="28"/>
          <w:szCs w:val="28"/>
          <w:rtl w:val="true"/>
          <w:lang w:bidi="ar-SA"/>
        </w:rPr>
        <w:t>، وانّما الهدف من الاختبار هو إخراج تلك القوى والقابليات الكامنة في النفوس والقلوب ، إلى عالم التحقّق والفعلية وبالتالي تمكين الاستعدادات من الظهور والوجود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ذلك يقول الإمام أمير المؤمنين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الاختبار بالأموال والأولاد الوارد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أَمْوالُكُمْ وَأَوْلادُكُمْ فِتْنَةٌ</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ليتبيّن الساخط لرزقه ، والراضي بقسمه ، وان كان سبحانه أعلم بهم من أنفسهم ، ولكن لتظهر الأفعال التي بها يستحق الثواب والعقاب</w:t>
      </w:r>
      <w:r>
        <w:rPr>
          <w:rFonts w:eastAsia="Amiri" w:cs="Amiri" w:ascii="Amiri" w:hAnsi="Amiri"/>
          <w:color w:val="111111"/>
          <w:sz w:val="28"/>
          <w:szCs w:val="28"/>
          <w:rtl w:val="true"/>
          <w:lang w:bidi="ar-SA"/>
        </w:rPr>
        <w:t xml:space="preserve">». </w:t>
      </w:r>
      <w:r>
        <w:rPr>
          <w:rStyle w:val="FootnoteAnchor"/>
          <w:rtl w:val="true"/>
        </w:rPr>
        <w:footnoteReference w:id="392"/>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وقفت بعد ما حررت هذا على كلام لفقيد العلم والتفسير الشيخ محمد جواد البلاغي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قريب مما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الأُمنية هو الشيء المتمنّى كما هو الاستعمال الشائع في الشعر والنثر ، كما أنّ الظاهر من التمنّي المنسوب إلى الرسول والنبي ويشهد به سوق الآيات ، هو أن يكون ما يناسب وظيفتهما ، وهو تمنّي ظهور الهدى في الناس وانطماس الغواية والهوى ، وتأييد </w:t>
      </w:r>
      <w:bookmarkStart w:id="691" w:name="pg11047_102819"/>
    </w:p>
    <w:p>
      <w:pPr>
        <w:pStyle w:val="BookText"/>
        <w:rPr/>
      </w:pPr>
      <w:bookmarkEnd w:id="691"/>
      <w:r>
        <w:rPr>
          <w:rFonts w:ascii="Amiri" w:hAnsi="Amiri" w:eastAsia="Amiri" w:cs="Amiri"/>
          <w:color w:val="111111"/>
          <w:sz w:val="28"/>
          <w:sz w:val="28"/>
          <w:szCs w:val="28"/>
          <w:rtl w:val="true"/>
          <w:lang w:bidi="ar-SA"/>
        </w:rPr>
        <w:t>شريعة الحق ، ونحو ذلك ، فيلقي الشيطان بغوايته بين الناس في هذا المتمنّى الصالح ما يشوشه ، ويكون فتنة للذين في قلوبهم مرض ، كما ألقى بين أُمّة موسى من الضلال والغواية ما ألقى ، وألقى بين أتباع المسيح ما أوجب ارتداد كثير منهم ، وشك خواصهم فيه واضطرابهم في التعاليم ، وأحكام الشريعة بعده ، وألقى بين قوم رسول الله ما أهاجهم على تكذيبه وحربه وبين أُمّته ما أوجب الخلاف وظهور البدع ، فينسخ الله بنور الهدى غياهب الضلال وغواية الشيطان ، فيسفر للعقول السليمة صبح الحق ، ثم يحكم الله آياته ويؤيد حججه بإرسال الرسل ، أو تسديد جامعة الدين القيم</w:t>
      </w:r>
      <w:r>
        <w:rPr>
          <w:rFonts w:eastAsia="Amiri" w:cs="Amiri" w:ascii="Amiri" w:hAnsi="Amiri"/>
          <w:color w:val="111111"/>
          <w:sz w:val="28"/>
          <w:szCs w:val="28"/>
          <w:rtl w:val="true"/>
          <w:lang w:bidi="ar-SA"/>
        </w:rPr>
        <w:t xml:space="preserve">. </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 xml:space="preserve">وما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لا غبار عليه ، وقد شيدنا أساسه فيما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تبيّن مفاد جميع مقاطع الآية بوضوح وبقي الكلام في التفسير السخيف الذي تمسك به بعض القساوسة الطاعنين في الإسلام ، ومن حذا حذوهم من البسطاء</w:t>
      </w:r>
      <w:r>
        <w:rPr>
          <w:rFonts w:eastAsia="Amiri" w:cs="Amiri" w:ascii="Amiri" w:hAnsi="Amiri"/>
          <w:color w:val="111111"/>
          <w:sz w:val="28"/>
          <w:szCs w:val="28"/>
          <w:rtl w:val="true"/>
          <w:lang w:bidi="ar-SA"/>
        </w:rPr>
        <w:t>.</w:t>
      </w:r>
    </w:p>
    <w:p>
      <w:pPr>
        <w:pStyle w:val="Heading6"/>
        <w:numPr>
          <w:ilvl w:val="5"/>
          <w:numId w:val="1"/>
        </w:numPr>
        <w:rPr/>
      </w:pPr>
      <w:bookmarkStart w:id="692" w:name="__RefHeading___Toc1391421_1067777946"/>
      <w:bookmarkStart w:id="693" w:name="_Toc260"/>
      <w:bookmarkEnd w:id="692"/>
      <w:r>
        <w:rPr>
          <w:rtl w:val="true"/>
        </w:rPr>
        <w:t>التفسير الباطل للآية</w:t>
      </w:r>
      <w:bookmarkEnd w:id="693"/>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بعض القساوسة الذين أرادوا الطعن في الإسلام والتنقيص من شأن القرآن ، تمسّكوا بهذه الآية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المراد من الآية هو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رسول ولا نبي إلاّ إذا تمنّى وتلا الآيات النازلة عليه ، تدخل الشيطان في قراءته فأدخل فيها ما ليس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واستشهدوا لذلك التفسير بما رواه الطبري عن محمد بن كعب القرضي ، ومحمد بن قيس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ناد من أندية قريش كثير أهله فتمنّى يومئذ أن لا يأتيه من الله شيء فينفروا عنه ، فأنزل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وَالنَّجْمِ إِذا </w:t>
      </w:r>
    </w:p>
    <w:p>
      <w:pPr>
        <w:pStyle w:val="BookText"/>
        <w:rPr/>
      </w:pPr>
      <w:r>
        <w:rPr>
          <w:rFonts w:ascii="Amiri" w:hAnsi="Amiri" w:eastAsia="Amiri" w:cs="Amiri"/>
          <w:color w:val="111111"/>
          <w:sz w:val="28"/>
          <w:sz w:val="28"/>
          <w:szCs w:val="28"/>
          <w:rtl w:val="true"/>
          <w:lang w:bidi="ar-SA"/>
        </w:rPr>
        <w:t xml:space="preserve">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ضَلَّ صاحِبُكُمْ وَما غَوى</w:t>
      </w:r>
      <w:r>
        <w:rPr>
          <w:rFonts w:eastAsia="Amiri" w:cs="Amiri" w:ascii="Amiri" w:hAnsi="Amiri"/>
          <w:color w:val="111111"/>
          <w:sz w:val="28"/>
          <w:szCs w:val="28"/>
          <w:rtl w:val="true"/>
          <w:lang w:bidi="ar-SA"/>
        </w:rPr>
        <w:t xml:space="preserve">) </w:t>
      </w:r>
      <w:r>
        <w:rPr>
          <w:rStyle w:val="FootnoteAnchor"/>
          <w:rtl w:val="true"/>
        </w:rPr>
        <w:footnoteReference w:id="394"/>
      </w:r>
      <w:r>
        <w:rPr>
          <w:rFonts w:ascii="Amiri" w:hAnsi="Amiri" w:eastAsia="Amiri" w:cs="Amiri"/>
          <w:color w:val="111111"/>
          <w:sz w:val="28"/>
          <w:sz w:val="28"/>
          <w:szCs w:val="28"/>
          <w:rtl w:val="true"/>
          <w:lang w:bidi="ar-SA"/>
        </w:rPr>
        <w:t xml:space="preserve">فقرأها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بلغ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أَفَرَأَيْتُمُ اللاَّتَ وَالْعُزَّى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وَمَناةَ الثَّالِثَةَ الْأُخْرى</w:t>
      </w:r>
      <w:r>
        <w:rPr>
          <w:rFonts w:eastAsia="Amiri" w:cs="Amiri" w:ascii="Amiri" w:hAnsi="Amiri"/>
          <w:color w:val="111111"/>
          <w:sz w:val="28"/>
          <w:szCs w:val="28"/>
          <w:rtl w:val="true"/>
          <w:lang w:bidi="ar-SA"/>
        </w:rPr>
        <w:t xml:space="preserve">) </w:t>
      </w:r>
      <w:r>
        <w:rPr>
          <w:rStyle w:val="FootnoteAnchor"/>
          <w:rtl w:val="true"/>
        </w:rPr>
        <w:footnoteReference w:id="395"/>
      </w:r>
      <w:r>
        <w:rPr>
          <w:rFonts w:ascii="Amiri" w:hAnsi="Amiri" w:eastAsia="Amiri" w:cs="Amiri"/>
          <w:color w:val="111111"/>
          <w:sz w:val="28"/>
          <w:sz w:val="28"/>
          <w:szCs w:val="28"/>
          <w:rtl w:val="true"/>
          <w:lang w:bidi="ar-SA"/>
        </w:rPr>
        <w:t xml:space="preserve">ألقى عليه الشيطان كلمتين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الغرانقة العلى ، وإن شفاعتهن لترتجى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فتكلم بها ثم مضى فقرأ السورة كلّها ، فسجد في آخر السورة وسجد القوم جميعاً معه ، ورفع الوليد بن المغيرة تراباً إلى جبهته فسجد عليه وكان شيخاً كبيراً لا يقدر على السجود ، فرضوا بما تكلّم به وقالوا قد عرفنا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يحيي ويميت وهو الذي يخلق ويرزق ، ولكن آلهتنا هذه تشفع لنا عنده إذ جعلت لها نصيباً فنحن معك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أمسى أتاه جبرائيل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فعرض عليه السورة ، فلمّا بلغ الكلمتين اللّتين ألقى الشيطان عليه ، قال ما جئتك بهاتين ، 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افتريتُ على الله وقلتُ على الله ما لم يقل فأوحى الله إليه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كادُوا لَيَفْتِنُونَكَ عَنِ الَّذِي أَوْحَيْنا إِلَيْكَ لِتَفْتَرِيَ عَلَيْنا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لا تَجِدُ لَكَ عَلَيْنا نَصِيراً</w:t>
      </w:r>
      <w:r>
        <w:rPr>
          <w:rFonts w:eastAsia="Amiri" w:cs="Amiri" w:ascii="Amiri" w:hAnsi="Amiri"/>
          <w:color w:val="111111"/>
          <w:sz w:val="28"/>
          <w:szCs w:val="28"/>
          <w:rtl w:val="true"/>
          <w:lang w:bidi="ar-SA"/>
        </w:rPr>
        <w:t xml:space="preserve">) </w:t>
      </w:r>
      <w:r>
        <w:rPr>
          <w:rStyle w:val="FootnoteAnchor"/>
          <w:rtl w:val="true"/>
        </w:rPr>
        <w:footnoteReference w:id="396"/>
      </w:r>
      <w:r>
        <w:rPr>
          <w:rFonts w:ascii="Amiri" w:hAnsi="Amiri" w:eastAsia="Amiri" w:cs="Amiri"/>
          <w:color w:val="111111"/>
          <w:sz w:val="28"/>
          <w:sz w:val="28"/>
          <w:szCs w:val="28"/>
          <w:rtl w:val="true"/>
          <w:lang w:bidi="ar-SA"/>
        </w:rPr>
        <w:t xml:space="preserve">، فما زال مغموماً مهموماً حتى نزلت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 مِنْ قَبْلِكَ مِنْ رَسُولٍ وَلا نَبِيٍّ إِلاَّ إِذا تَمَنَّى أَلْقَى الشَّيْطانُ فِي أُمْنِيَّتِهِ فَيَنْسَخُ اللهُ ما يُلْقِي الشَّيْطانُ ثُمَّ يُحْكِمُ اللهُ آياتِهِ وَاللهُ عَلِيمٌ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فسمع من كان من المهاجرين بأرض الحبشة انّ أهل مكة قد أسلموا كلهم فرجعوا إلى عشائرهم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أحب إلينا فوجدوا قد ارتكسوا حين نسخ الله ما ألقى الشيطان</w:t>
      </w:r>
      <w:r>
        <w:rPr>
          <w:rFonts w:eastAsia="Amiri" w:cs="Amiri" w:ascii="Amiri" w:hAnsi="Amiri"/>
          <w:color w:val="111111"/>
          <w:sz w:val="28"/>
          <w:szCs w:val="28"/>
          <w:rtl w:val="true"/>
          <w:lang w:bidi="ar-SA"/>
        </w:rPr>
        <w:t xml:space="preserve">. </w:t>
      </w:r>
      <w:r>
        <w:rPr>
          <w:rStyle w:val="FootnoteAnchor"/>
          <w:rtl w:val="true"/>
        </w:rPr>
        <w:footnoteReference w:id="397"/>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ما في هذا التفسير وشأن النزول من الإشكالات التي تسقطه عن صحة الاستناد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مبني على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تلا ، وانّ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تلاوته ، وهذا الاستعمال ليس مأنوساً في لغة القرآن والحديث ولو صح فإنّما هو استعمال شاذ يجب تنزيه القرآن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استدل بعضهم بقول حسان على ذاك الاستعمال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تمنى كتاب الله أوّل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وآخره لاقى حمام المقادر</w:t>
      </w:r>
    </w:p>
    <w:p>
      <w:pPr>
        <w:pStyle w:val="BookText"/>
        <w:rPr/>
      </w:pPr>
      <w:r>
        <w:rPr>
          <w:rFonts w:ascii="IRNazanin" w:hAnsi="IRNazanin" w:eastAsia="IRNazanin"/>
          <w:color w:val="111111"/>
          <w:sz w:val="28"/>
          <w:sz w:val="28"/>
          <w:szCs w:val="28"/>
          <w:rtl w:val="true"/>
          <w:lang w:bidi="fa-IR"/>
        </w:rPr>
        <w:t xml:space="preserve">وقول الآخر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تمنّى كتاب الله آخر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تمنّيَ داود الزبور على رسل</w:t>
      </w:r>
    </w:p>
    <w:p>
      <w:pPr>
        <w:pStyle w:val="BookText"/>
        <w:rPr/>
      </w:pPr>
      <w:r>
        <w:rPr>
          <w:rFonts w:ascii="Amiri" w:hAnsi="Amiri" w:eastAsia="Amiri" w:cs="Amiri"/>
          <w:color w:val="111111"/>
          <w:sz w:val="28"/>
          <w:sz w:val="28"/>
          <w:szCs w:val="28"/>
          <w:rtl w:val="true"/>
          <w:lang w:bidi="ar-SA"/>
        </w:rPr>
        <w:t>وهذان البيتان لو صح اسنادهما إلى عربي صميم كحسان لا يحسن حمل القرآن على لغة شاذة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أضف إلى ذلك انّ البيت غير موجود في ديوان حسان ، وانّما نقله عنه المفسرون في تفاسيرهم ، وقد نقله أبو حيان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واستشهد به صاحب المقاييس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صح الاستدلال به فرضاً فإنّما يتم في اللفظ الأوّل دون الأُمنية لعدم ورودها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لا يمكن أن يحتج بها لجهات كثيرة أقلّها أنّ سندها ينتهي إلى ابن عباس مع أنّه لم يكن مولوداً في الوقت المجعول للقصة</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إلى ذلك ، الاضطراب الموجود في متنها فقد نقل بصور مختلفة يبلغ عدد الاختلاف إلى أربع وعشرين صورة وقد جمع تلك الصور المختلفة العلاّمة البلاغي في أثره النفيس ، فلاحظ</w:t>
      </w:r>
      <w:r>
        <w:rPr>
          <w:rFonts w:eastAsia="Amiri" w:cs="Amiri" w:ascii="Amiri" w:hAnsi="Amiri"/>
          <w:color w:val="111111"/>
          <w:sz w:val="28"/>
          <w:szCs w:val="28"/>
          <w:rtl w:val="true"/>
          <w:lang w:bidi="ar-SA"/>
        </w:rPr>
        <w:t xml:space="preserve">. </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القصة تكذّب نفسها ، لأنّها تتضمن أنّ النبي بعد ما أدخل الجملتين الزائدتين في ثنايا الآيات ، استرسل في تلاوة بقية السورة إلى آخرها وسجد النبي والمشركون الحاضرون معه ، فرحاً بما جاء في تينك الجملتين من الثناء على آلهتهم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الآيات التي وقعت بعدهما ، واسترسل النبي في تلاوتها عبارة عن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تِلْكَ إِذاً قِسْمَةٌ ضِيزى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هِيَ إِلاَّ أَسْماءٌ سَمَّيْتُمُوها أَنْتُمْ وَآباؤُكُمْ ما أَنْزَلَ اللهُ بِها مِنْ سُلْطانٍ</w:t>
      </w:r>
      <w:r>
        <w:rPr>
          <w:rFonts w:eastAsia="Amiri" w:cs="Amiri" w:ascii="Amiri" w:hAnsi="Amiri"/>
          <w:color w:val="111111"/>
          <w:sz w:val="28"/>
          <w:szCs w:val="28"/>
          <w:rtl w:val="true"/>
          <w:lang w:bidi="ar-SA"/>
        </w:rPr>
        <w:t xml:space="preserve">) </w:t>
      </w:r>
      <w:r>
        <w:rPr>
          <w:rStyle w:val="FootnoteAnchor"/>
          <w:rtl w:val="true"/>
        </w:rPr>
        <w:footnoteReference w:id="399"/>
      </w:r>
      <w:r>
        <w:rPr>
          <w:rFonts w:ascii="Amiri" w:hAnsi="Amiri" w:eastAsia="Amiri" w:cs="Amiri"/>
          <w:color w:val="111111"/>
          <w:sz w:val="28"/>
          <w:sz w:val="28"/>
          <w:szCs w:val="28"/>
          <w:rtl w:val="true"/>
          <w:lang w:bidi="ar-SA"/>
        </w:rPr>
        <w:t>إلى آخر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وعندئذ يطرح هذا السؤال ، وهو انّه كيف رضي متكلّم العرب ومنطقيهم وحكيمهم وشاعرهم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بن المغيرة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الثناء القصير ، وغفل عن الآيات اللاحقة التي تندد بآلهتهم بشدة وعنف ، ويعدّها معبودات خرافية لا تملك من الألوهية إلاّ الاسم والعنوان؟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ليس ذلك دليلاً على أنّ جاعل القصة من الوضّاعين الكذّابين الذي افتعل القصة في موضع غفل عن أنّه ليس محلاً لها ، 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ذاكرة لكذوب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سبحانه يصف في صدر السورة نبيه الأكرم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 xml:space="preserve">) </w:t>
      </w:r>
      <w:r>
        <w:rPr>
          <w:rStyle w:val="FootnoteAnchor"/>
          <w:rtl w:val="true"/>
        </w:rPr>
        <w:footnoteReference w:id="400"/>
      </w:r>
      <w:r>
        <w:rPr>
          <w:rFonts w:ascii="Amiri" w:hAnsi="Amiri" w:eastAsia="Amiri" w:cs="Amiri"/>
          <w:color w:val="111111"/>
          <w:sz w:val="28"/>
          <w:sz w:val="28"/>
          <w:szCs w:val="28"/>
          <w:rtl w:val="true"/>
          <w:lang w:bidi="ar-SA"/>
        </w:rPr>
        <w:t>، وعندئذ كيف يصح له سبحانه أن يصف نبيه في أوّل السورة بهذا الوصف ، ثم يبدر من نبيه ما ينافي هذا التوصيف أشد المنافاة وفي وسعه سبحانه صون نبيه عن الانزلاق إلى مثل هذا المنزلق الخطير؟</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الجملتين الزائدتين اللّتين أُلصقتا بالآيات ، تكذبهما سائر </w:t>
      </w:r>
    </w:p>
    <w:p>
      <w:pPr>
        <w:pStyle w:val="BookText"/>
        <w:rPr/>
      </w:pPr>
      <w:r>
        <w:rPr>
          <w:rFonts w:ascii="Amiri" w:hAnsi="Amiri" w:eastAsia="Amiri" w:cs="Amiri"/>
          <w:color w:val="111111"/>
          <w:sz w:val="28"/>
          <w:sz w:val="28"/>
          <w:szCs w:val="28"/>
          <w:rtl w:val="true"/>
          <w:lang w:bidi="ar-SA"/>
        </w:rPr>
        <w:t xml:space="preserve">الآيات الدالة على صيانة النبي الأكرم في مقام تلقّي الوحي والتحفظ عليه وإبلاغه كما مرّ في تفسير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يَسْلُكُ مِنْ بَيْنِ يَدَيْهِ وَمِنْ خَلْفِهِ رَصَداً</w:t>
      </w:r>
      <w:r>
        <w:rPr>
          <w:rFonts w:eastAsia="Amiri" w:cs="Amiri" w:ascii="Amiri" w:hAnsi="Amiri"/>
          <w:color w:val="111111"/>
          <w:sz w:val="28"/>
          <w:szCs w:val="28"/>
          <w:rtl w:val="true"/>
          <w:lang w:bidi="ar-SA"/>
        </w:rPr>
        <w:t xml:space="preserve">). </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تَقَوَّلَ عَلَيْنا بَعْضَ الْأَقاوِيلِ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لَأَخَذْنا مِنْهُ بِالْيَمِينِ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لَقَطَعْنا مِنْهُ الْوَتِينَ</w:t>
      </w:r>
      <w:r>
        <w:rPr>
          <w:rFonts w:eastAsia="Amiri" w:cs="Amiri" w:ascii="Amiri" w:hAnsi="Amiri"/>
          <w:color w:val="111111"/>
          <w:sz w:val="28"/>
          <w:szCs w:val="28"/>
          <w:rtl w:val="true"/>
          <w:lang w:bidi="ar-SA"/>
        </w:rPr>
        <w:t xml:space="preserve">). </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 xml:space="preserve">وسادساً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علماء الإسلام ، وأهل العلم والدراية من المسلمين قد واجهوا هذه الحكاية بالرد ، فوصفها المرتضى بالخرافة التي وضعوها</w:t>
      </w:r>
      <w:r>
        <w:rPr>
          <w:rFonts w:eastAsia="Amiri" w:cs="Amiri" w:ascii="Amiri" w:hAnsi="Amiri"/>
          <w:color w:val="111111"/>
          <w:sz w:val="28"/>
          <w:szCs w:val="28"/>
          <w:rtl w:val="true"/>
          <w:lang w:bidi="ar-SA"/>
        </w:rPr>
        <w:t xml:space="preserve">. </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 xml:space="preserve">وقال النسفي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بها غير مرضيّ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الخازن 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العلماء وهّنوا أصل القصة ولم يروها أحد من أهل الصحة ، ولا أسندها ثقة بسند صحيح ، أو سليم متصل ، وإنّما رواها المفسرون والمؤرخون المولعون بكل غريب ، الملفقون من الصحف كل صحيح وسقيم ، والذي يدل على ضعف هذه القصة اضطراب رواتها ، وانقطاع سندها واختلاف ألفاظها</w:t>
      </w:r>
      <w:r>
        <w:rPr>
          <w:rFonts w:eastAsia="Amiri" w:cs="Amiri" w:ascii="Amiri" w:hAnsi="Amiri"/>
          <w:color w:val="111111"/>
          <w:sz w:val="28"/>
          <w:szCs w:val="28"/>
          <w:rtl w:val="true"/>
          <w:lang w:bidi="ar-SA"/>
        </w:rPr>
        <w:t xml:space="preserve">. </w:t>
      </w:r>
      <w:r>
        <w:rPr>
          <w:rStyle w:val="FootnoteAnchor"/>
          <w:rtl w:val="true"/>
        </w:rPr>
        <w:footnoteReference w:id="404"/>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هي أهم الإشكالات التي ترد على القصة وتجعلها في موضع من البطلان قد ذكرها المحقّقون في الرد على هذه القصة وقد ذكرنا قسماً منها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المرسلين</w:t>
      </w:r>
      <w:r>
        <w:rPr>
          <w:rFonts w:eastAsia="Amiri" w:cs="Amiri" w:ascii="Amiri" w:hAnsi="Amiri"/>
          <w:color w:val="111111"/>
          <w:sz w:val="28"/>
          <w:szCs w:val="28"/>
          <w:rtl w:val="true"/>
          <w:lang w:bidi="ar-SA"/>
        </w:rPr>
        <w:t xml:space="preserve">» </w:t>
      </w:r>
      <w:r>
        <w:rPr>
          <w:rStyle w:val="FootnoteAnchor"/>
          <w:rtl w:val="true"/>
        </w:rPr>
        <w:footnoteReference w:id="405"/>
      </w:r>
      <w:r>
        <w:rPr>
          <w:rFonts w:ascii="Amiri" w:hAnsi="Amiri" w:eastAsia="Amiri" w:cs="Amiri"/>
          <w:color w:val="111111"/>
          <w:sz w:val="28"/>
          <w:sz w:val="28"/>
          <w:szCs w:val="28"/>
          <w:rtl w:val="true"/>
          <w:lang w:bidi="ar-SA"/>
        </w:rPr>
        <w:t>، ولا نطيل المقام بذكرها</w:t>
      </w:r>
      <w:r>
        <w:rPr>
          <w:rFonts w:eastAsia="Amiri" w:cs="Amiri" w:ascii="Amiri" w:hAnsi="Amiri"/>
          <w:color w:val="111111"/>
          <w:sz w:val="28"/>
          <w:szCs w:val="28"/>
          <w:rtl w:val="true"/>
          <w:lang w:bidi="ar-SA"/>
        </w:rPr>
        <w:t xml:space="preserve">.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4" w:name="pg11047_102825"/>
      <w:bookmarkStart w:id="695" w:name="pg11047_102825"/>
      <w:bookmarkEnd w:id="695"/>
    </w:p>
    <w:p>
      <w:pPr>
        <w:pStyle w:val="Heading2"/>
        <w:numPr>
          <w:ilvl w:val="1"/>
          <w:numId w:val="1"/>
        </w:numPr>
        <w:rPr/>
      </w:pPr>
      <w:bookmarkStart w:id="696" w:name="pg11047_102825"/>
      <w:bookmarkStart w:id="697" w:name="__RefHeading___Toc1391423_1067777946"/>
      <w:bookmarkStart w:id="698" w:name="_Toc261"/>
      <w:bookmarkEnd w:id="696"/>
      <w:bookmarkEnd w:id="697"/>
      <w:r>
        <w:rPr>
          <w:rtl w:val="true"/>
        </w:rPr>
        <w:t>الفصل السابع</w:t>
      </w:r>
      <w:r>
        <w:rPr>
          <w:rtl w:val="true"/>
        </w:rPr>
        <w:t xml:space="preserve">: </w:t>
      </w:r>
      <w:r>
        <w:rPr>
          <w:rtl w:val="true"/>
        </w:rPr>
        <w:t>المتكلّم والصفات الخبرية</w:t>
      </w:r>
      <w:bookmarkEnd w:id="698"/>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99" w:name="__RefHeading___Toc1391425_1067777946"/>
      <w:bookmarkStart w:id="700" w:name="_Toc262"/>
      <w:bookmarkEnd w:id="699"/>
      <w:r>
        <w:rPr>
          <w:rtl w:val="true"/>
        </w:rPr>
        <w:t>اشارة</w:t>
      </w:r>
      <w:bookmarkEnd w:id="700"/>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1" w:name="pg11047_102827"/>
      <w:bookmarkStart w:id="702" w:name="pg11047_102827"/>
      <w:bookmarkEnd w:id="702"/>
    </w:p>
    <w:p>
      <w:pPr>
        <w:pStyle w:val="Heading3"/>
        <w:numPr>
          <w:ilvl w:val="2"/>
          <w:numId w:val="1"/>
        </w:numPr>
        <w:rPr/>
      </w:pPr>
      <w:bookmarkStart w:id="703" w:name="pg11047_102827"/>
      <w:bookmarkStart w:id="704" w:name="__RefHeading___Toc1391427_1067777946"/>
      <w:bookmarkStart w:id="705" w:name="_Toc263"/>
      <w:bookmarkEnd w:id="703"/>
      <w:bookmarkEnd w:id="704"/>
      <w:r>
        <w:rPr>
          <w:rtl w:val="true"/>
        </w:rPr>
        <w:t>المتكلّم</w:t>
      </w:r>
      <w:bookmarkEnd w:id="705"/>
    </w:p>
    <w:p>
      <w:pPr>
        <w:pStyle w:val="BookText"/>
        <w:rPr/>
      </w:pPr>
      <w:r>
        <w:rPr>
          <w:rFonts w:ascii="Amiri" w:hAnsi="Amiri" w:eastAsia="Amiri" w:cs="Amiri"/>
          <w:color w:val="111111"/>
          <w:sz w:val="28"/>
          <w:sz w:val="28"/>
          <w:szCs w:val="28"/>
          <w:rtl w:val="true"/>
          <w:lang w:bidi="ar-SA"/>
        </w:rPr>
        <w:t xml:space="preserve">أجمع المسلمون تبعاً للكتاب والسنّة على كونه سبحانه متكلّماً ، ويبدو أنّ البحث في هذا الوصف هو أوّل مسألة في تاريخ علم الكلام طرحت على طاولة البحث ، وقد شغلت المسألة بال المُفكرين والمتكلّمين في أعصار مختلفة ، وقد تناولوها بالبحث من زاويتين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معنى كونه سبحانه متكلّماً؟ وهل هو من صفات الذات كالعلم والقدرة ، أو من صفات الفعل كالخلق والرزق؟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كلامه سبحانه حادث أو قديم؟</w:t>
      </w:r>
    </w:p>
    <w:p>
      <w:pPr>
        <w:pStyle w:val="BookText"/>
        <w:rPr/>
      </w:pPr>
      <w:r>
        <w:rPr>
          <w:rFonts w:ascii="Amiri" w:hAnsi="Amiri" w:eastAsia="Amiri" w:cs="Amiri"/>
          <w:color w:val="111111"/>
          <w:sz w:val="28"/>
          <w:sz w:val="28"/>
          <w:szCs w:val="28"/>
          <w:rtl w:val="true"/>
          <w:lang w:bidi="ar-SA"/>
        </w:rPr>
        <w:t xml:space="preserve">وقد سبّب البحث في كون كلامه حادثاً أو قديماً صدامات سجّلها التاريخ في طياته وعُرِفتْ بمحنة خلق القرآن ، وها نحن نتناول كلاً من الموضوعين بالبحث </w:t>
      </w:r>
      <w:r>
        <w:rPr>
          <w:rFonts w:eastAsia="Amiri" w:cs="Amiri" w:ascii="Amiri" w:hAnsi="Amiri"/>
          <w:color w:val="111111"/>
          <w:sz w:val="28"/>
          <w:szCs w:val="28"/>
          <w:rtl w:val="true"/>
          <w:lang w:bidi="ar-SA"/>
        </w:rPr>
        <w:t>:</w:t>
      </w:r>
    </w:p>
    <w:p>
      <w:pPr>
        <w:pStyle w:val="Heading3"/>
        <w:numPr>
          <w:ilvl w:val="2"/>
          <w:numId w:val="1"/>
        </w:numPr>
        <w:rPr/>
      </w:pPr>
      <w:bookmarkStart w:id="706" w:name="__RefHeading___Toc1391429_1067777946"/>
      <w:bookmarkStart w:id="707" w:name="_Toc264"/>
      <w:bookmarkEnd w:id="706"/>
      <w:r>
        <w:rPr>
          <w:rtl w:val="true"/>
        </w:rPr>
        <w:t>معنى كونه سبحانه متكلّماً</w:t>
      </w:r>
      <w:bookmarkEnd w:id="707"/>
    </w:p>
    <w:p>
      <w:pPr>
        <w:pStyle w:val="Heading4"/>
        <w:numPr>
          <w:ilvl w:val="3"/>
          <w:numId w:val="1"/>
        </w:numPr>
        <w:rPr/>
      </w:pPr>
      <w:bookmarkStart w:id="708" w:name="__RefHeading___Toc1391431_1067777946"/>
      <w:bookmarkStart w:id="709" w:name="_Toc265"/>
      <w:bookmarkEnd w:id="708"/>
      <w:r>
        <w:rPr>
          <w:rtl w:val="true"/>
        </w:rPr>
        <w:t>اشارة</w:t>
      </w:r>
      <w:bookmarkEnd w:id="709"/>
    </w:p>
    <w:p>
      <w:pPr>
        <w:pStyle w:val="BookText"/>
        <w:rPr/>
      </w:pPr>
      <w:r>
        <w:rPr>
          <w:rFonts w:ascii="Amiri" w:hAnsi="Amiri" w:eastAsia="Amiri" w:cs="Amiri"/>
          <w:color w:val="111111"/>
          <w:sz w:val="28"/>
          <w:sz w:val="28"/>
          <w:szCs w:val="28"/>
          <w:rtl w:val="true"/>
          <w:lang w:bidi="ar-SA"/>
        </w:rPr>
        <w:t xml:space="preserve">اختلفت كلمتهم في تفسير كونه سبحانه متكلّماً بعد اتّفاقهم على أصل الوصف ، وقد تضافرت النصوص عليه ، وإليك ما ورد في الذكر الحكيم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الرُّسُلُ فَضَّلْنا بَعْضَهُمْ عَلى بَعْضٍ مِنْهُمْ مَنْ كَلَّمَ اللهُ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وَكَلَّمَ اللهُ مُوسى تَكْلِيماً</w:t>
      </w:r>
      <w:r>
        <w:rPr>
          <w:rFonts w:eastAsia="Amiri" w:cs="Amiri" w:ascii="Amiri" w:hAnsi="Amiri"/>
          <w:color w:val="111111"/>
          <w:sz w:val="28"/>
          <w:szCs w:val="28"/>
          <w:rtl w:val="true"/>
          <w:lang w:bidi="ar-SA"/>
        </w:rPr>
        <w:t xml:space="preserve">). </w:t>
      </w:r>
      <w:r>
        <w:rPr>
          <w:rStyle w:val="FootnoteAnchor"/>
          <w:rtl w:val="true"/>
        </w:rPr>
        <w:footnoteReference w:id="40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جاءَ مُوسى لِمِيقاتِنا وَكَلَّمَهُ رَبُّهُ</w:t>
      </w:r>
      <w:r>
        <w:rPr>
          <w:rFonts w:eastAsia="Amiri" w:cs="Amiri" w:ascii="Amiri" w:hAnsi="Amiri"/>
          <w:color w:val="111111"/>
          <w:sz w:val="28"/>
          <w:szCs w:val="28"/>
          <w:rtl w:val="true"/>
          <w:lang w:bidi="ar-SA"/>
        </w:rPr>
        <w:t xml:space="preserve">). </w:t>
      </w:r>
      <w:r>
        <w:rPr>
          <w:rStyle w:val="FootnoteAnchor"/>
          <w:rtl w:val="true"/>
        </w:rPr>
        <w:footnoteReference w:id="40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لِبَشَرٍ أَنْ يُكَلِّمَهُ اللهُ إِلاَّ وَحْياً أَوْ مِنْ وَراءِ حِجابٍ أَوْ يُرْسِلَ رَسُولاً فَيُوحِيَ بِإِذْنِهِ ما يَشاءُ إِنَّهُ عَلِيٌّ حَكِيمٌ</w:t>
      </w:r>
      <w:r>
        <w:rPr>
          <w:rFonts w:eastAsia="Amiri" w:cs="Amiri" w:ascii="Amiri" w:hAnsi="Amiri"/>
          <w:color w:val="111111"/>
          <w:sz w:val="28"/>
          <w:szCs w:val="28"/>
          <w:rtl w:val="true"/>
          <w:lang w:bidi="ar-SA"/>
        </w:rPr>
        <w:t xml:space="preserve">). </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 xml:space="preserve">وقد بيّن سبحانه في الآية الأخيرة انّ تكليمه الأنبياء لا يعدو الأقسام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وَحْياً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مِنْ وَراءِ حِجابٍ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يُرْسِلَ رَسُولاً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وإليك تفسير الأقسام الثلاثة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وَحْياً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الكلام الملقى في روع الأنبياء بسرعة وخفاء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وَراءِ 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الكلام الذي سمعه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البقعة المباركة ، أعني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أَتاها نُودِيَ مِنْ شاطِئِ الْوادِ الْأَيْمَنِ فِي الْبُقْعَةِ الْمُبارَكَةِ مِنَ الشَّجَرَةِ أَنْ يا مُوسى إِنِّي أَنَا اللهُ رَبُّ الْعالَمِينَ</w:t>
      </w:r>
      <w:r>
        <w:rPr>
          <w:rFonts w:eastAsia="Amiri" w:cs="Amiri" w:ascii="Amiri" w:hAnsi="Amiri"/>
          <w:color w:val="111111"/>
          <w:sz w:val="28"/>
          <w:szCs w:val="28"/>
          <w:rtl w:val="true"/>
          <w:lang w:bidi="ar-SA"/>
        </w:rPr>
        <w:t xml:space="preserve">). </w:t>
      </w:r>
      <w:r>
        <w:rPr>
          <w:rStyle w:val="FootnoteAnchor"/>
          <w:rtl w:val="true"/>
        </w:rPr>
        <w:footnoteReference w:id="40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يُرْسِلَ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الإلقاء بتوسيط ملك الوحي وأمينه ،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لَتَنْزِيلُ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بِهِ الرُّوحُ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قَلْبِكَ لِتَكُونَ مِنَ الْمُنْذِرِينَ</w:t>
      </w:r>
      <w:r>
        <w:rPr>
          <w:rFonts w:eastAsia="Amiri" w:cs="Amiri" w:ascii="Amiri" w:hAnsi="Amiri"/>
          <w:color w:val="111111"/>
          <w:sz w:val="28"/>
          <w:szCs w:val="28"/>
          <w:rtl w:val="true"/>
          <w:lang w:bidi="ar-SA"/>
        </w:rPr>
        <w:t xml:space="preserve">). </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 xml:space="preserve">وحصيلة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سبحانه يوحي إلى أنبيائه ورسله بصور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 بلا واسطة بالإلقاء في الروع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بالتكلّم من وراء حجاب بحيث يسمع الصوت ولا يُرى المتكلّم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وثالثة بواسطة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أمين الوحي</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نصوص الآيات حول تكلمه سبحانه ومفاهيمها ، فلنذكر الآراء المختلفة حول تكلّمه تعالى</w:t>
      </w:r>
      <w:r>
        <w:rPr>
          <w:rFonts w:eastAsia="Amiri" w:cs="Amiri" w:ascii="Amiri" w:hAnsi="Amiri"/>
          <w:color w:val="111111"/>
          <w:sz w:val="28"/>
          <w:szCs w:val="28"/>
          <w:rtl w:val="true"/>
          <w:lang w:bidi="ar-SA"/>
        </w:rPr>
        <w:t xml:space="preserve">. </w:t>
      </w:r>
      <w:bookmarkStart w:id="710" w:name="pg11047_102830"/>
    </w:p>
    <w:p>
      <w:pPr>
        <w:pStyle w:val="Heading4"/>
        <w:numPr>
          <w:ilvl w:val="3"/>
          <w:numId w:val="1"/>
        </w:numPr>
        <w:rPr/>
      </w:pPr>
      <w:bookmarkStart w:id="711" w:name="__RefHeading___Toc1391433_1067777946"/>
      <w:bookmarkStart w:id="712" w:name="_Toc266"/>
      <w:bookmarkEnd w:id="710"/>
      <w:bookmarkEnd w:id="711"/>
      <w:r>
        <w:rPr/>
        <w:t>1</w:t>
      </w:r>
      <w:r>
        <w:rPr>
          <w:rtl w:val="true"/>
        </w:rPr>
        <w:t xml:space="preserve">- </w:t>
      </w:r>
      <w:r>
        <w:rPr>
          <w:rtl w:val="true"/>
        </w:rPr>
        <w:t>نظرية المعتزلة</w:t>
      </w:r>
      <w:bookmarkEnd w:id="712"/>
    </w:p>
    <w:p>
      <w:pPr>
        <w:pStyle w:val="BookText"/>
        <w:rPr/>
      </w:pPr>
      <w:r>
        <w:rPr>
          <w:rFonts w:ascii="Amiri" w:hAnsi="Amiri" w:eastAsia="Amiri" w:cs="Amiri"/>
          <w:color w:val="111111"/>
          <w:sz w:val="28"/>
          <w:sz w:val="28"/>
          <w:szCs w:val="28"/>
          <w:rtl w:val="true"/>
          <w:lang w:bidi="ar-SA"/>
        </w:rPr>
        <w:t xml:space="preserve">ذهبت المعتزلة إلى أنّ كلامه أصوات وحروف ليست قائمة بذاته تعالى ، بل يخلقها في غيره كاللوح المحفوظ أو جبرئيل أو النبي ، وقد صرّح بذلك القاضي عبد الجبار رئيس المعتزلة في القرن الخامس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الكلام ، الحروف المنظومة ، والأصوات المقطعة ، وهذا كما يكون منعماً بنعمة توجد في غيره ، ورازقاً برزق يوجد في غيره ، فهكذا يكون متكلّماً بإيجاد الكلام في غيره ، وليس من شرط الفاعل أن يحل عليه الفعل</w:t>
      </w:r>
      <w:r>
        <w:rPr>
          <w:rFonts w:eastAsia="Amiri" w:cs="Amiri" w:ascii="Amiri" w:hAnsi="Amiri"/>
          <w:color w:val="111111"/>
          <w:sz w:val="28"/>
          <w:szCs w:val="28"/>
          <w:rtl w:val="true"/>
          <w:lang w:bidi="ar-SA"/>
        </w:rPr>
        <w:t xml:space="preserve">. </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 xml:space="preserve">والظاهر انّ كونه سبحانه متكلّماً بهذا المعنى لا خلاف فيه ، إنّما الكلام في حصر تكلّمه في هذا المعنى ، قال السيّد الشريف عميد الأشاعرة في القرن التاسع في شرح المواقف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الذي قالته المعتزلة لا ننكره ، بل نحن نقوله ونسمّيه كلاماً لفظياً ونعترف بحدوثه وعدم قيامه بذاته تعالى ، ولكن نثبت أمراً وراء ذلك</w:t>
      </w:r>
      <w:r>
        <w:rPr>
          <w:rFonts w:eastAsia="Amiri" w:cs="Amiri" w:ascii="Amiri" w:hAnsi="Amiri"/>
          <w:color w:val="111111"/>
          <w:sz w:val="28"/>
          <w:szCs w:val="28"/>
          <w:rtl w:val="true"/>
          <w:lang w:bidi="ar-SA"/>
        </w:rPr>
        <w:t xml:space="preserve">. </w:t>
      </w:r>
      <w:r>
        <w:rPr>
          <w:rStyle w:val="FootnoteAnchor"/>
          <w:rtl w:val="true"/>
        </w:rPr>
        <w:footnoteReference w:id="412"/>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يرد على هذه النظرية أنّها تفسر الكلام الذي يخاطب به سبحانه شخصاً من أوليائه ، وأمّا إذا لم يكن هناك مخاطب خاص فلا بدّ أن يكون لكلامه معنى آخر ، إذ لا معنى للخطاب بالأصوات والألفاظ دون أن يكون هناك مخاطب إلاّ أن يكون كلامه سبحانه محصوراً في هذا القسم ، وسيوافيك عدم صحّته</w:t>
      </w:r>
      <w:r>
        <w:rPr>
          <w:rFonts w:eastAsia="Amiri" w:cs="Amiri" w:ascii="Amiri" w:hAnsi="Amiri"/>
          <w:color w:val="111111"/>
          <w:sz w:val="28"/>
          <w:szCs w:val="28"/>
          <w:rtl w:val="true"/>
          <w:lang w:bidi="ar-SA"/>
        </w:rPr>
        <w:t xml:space="preserve">. </w:t>
      </w:r>
      <w:bookmarkStart w:id="713" w:name="pg11047_102831"/>
    </w:p>
    <w:p>
      <w:pPr>
        <w:pStyle w:val="Heading4"/>
        <w:numPr>
          <w:ilvl w:val="3"/>
          <w:numId w:val="1"/>
        </w:numPr>
        <w:rPr/>
      </w:pPr>
      <w:bookmarkStart w:id="714" w:name="__RefHeading___Toc1391435_1067777946"/>
      <w:bookmarkStart w:id="715" w:name="_Toc267"/>
      <w:bookmarkEnd w:id="713"/>
      <w:bookmarkEnd w:id="714"/>
      <w:r>
        <w:rPr/>
        <w:t>2</w:t>
      </w:r>
      <w:r>
        <w:rPr>
          <w:rtl w:val="true"/>
        </w:rPr>
        <w:t xml:space="preserve">- </w:t>
      </w:r>
      <w:r>
        <w:rPr>
          <w:rtl w:val="true"/>
        </w:rPr>
        <w:t>نظرية الحكماء</w:t>
      </w:r>
      <w:bookmarkEnd w:id="715"/>
    </w:p>
    <w:p>
      <w:pPr>
        <w:pStyle w:val="BookText"/>
        <w:rPr/>
      </w:pPr>
      <w:r>
        <w:rPr>
          <w:rFonts w:ascii="Amiri" w:hAnsi="Amiri" w:eastAsia="Amiri" w:cs="Amiri"/>
          <w:color w:val="111111"/>
          <w:sz w:val="28"/>
          <w:sz w:val="28"/>
          <w:szCs w:val="28"/>
          <w:rtl w:val="true"/>
          <w:lang w:bidi="ar-SA"/>
        </w:rPr>
        <w:t xml:space="preserve">وهناك نظرية ثانية تفسر معنى كونه متكلّماً خصوصاً فيما إذا لم يكن هناك مخاطب خاص ، وحاصل هذه النظرية هو 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الكلام في أنظار عامة الناس هو الحروف والأصوات الصادرة من المتكلم ، القائمة به ، وهو يحصل من تموج الهواء واهتزازه بحيث إذا زالت الأمواج زال الكلام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الإنسان الاجتماعي يتوسع في إطلاقه ، فيطلق الكلام على الخطبة المنقولة أو الشعر المرويّ عن شخص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 النبي أو خطبة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 أنّ كلامهما قد زال بزوال الموجات والاهتزازات ، وما هذا إلاّ من باب التوسع في الإطلاق ومشاهدة ترتّب الأثر على المروي والمنقول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فكلّ فعل من المتكلّم أفاد نفس الأثر الذي يفيده كلامه من إبراز ما يكتنفه الفاعل في باطنه من المعاني والحقائق ، تصحّ تسميته كلاماً من باب التوسع والتطوير</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يقرب ذلك انّ المصباح وضع حينما وضع على مصداق بسيط لا يعدو الغصن المشتعل ، ولكن لمّا كان أثره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الإنارة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موجوداً في الجهاز الزيتي والغازي والكهربائي أُطلق على الجميع ؛ فإذا صحت تلك التسمية وجاز ذلك التوسع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يجوز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فهو وإن وضع يوم وضع للأصوات والحروف المتتابعة الكاشفة عمّا يقوم في ضمير المتكلّم من المعاني ، إلاّ </w:t>
      </w:r>
    </w:p>
    <w:p>
      <w:pPr>
        <w:pStyle w:val="BookText"/>
        <w:rPr/>
      </w:pPr>
      <w:r>
        <w:rPr>
          <w:rFonts w:ascii="Amiri" w:hAnsi="Amiri" w:eastAsia="Amiri" w:cs="Amiri"/>
          <w:color w:val="111111"/>
          <w:sz w:val="28"/>
          <w:sz w:val="28"/>
          <w:szCs w:val="28"/>
          <w:rtl w:val="true"/>
          <w:lang w:bidi="ar-SA"/>
        </w:rPr>
        <w:t>أنّه لو وجد هناك شيء يفيد ما تفيده الأصوات والحروف المتتابعة بنحو أعلى وأتم ، لصحّت تسميته كلاماً أو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الشيء الذي يمكن أن يقوم مقام الكلام اللفظي هو فعل الفاعل الذي يليق أن يسمّى بالكلام الفعلي ، ففعل كلّ فاعل ، يكشف عن مدى ما يكتنفه الفاعل من العلم والقدرة والعظمة والكمال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دلالة الألفاظ على السرائر والضمائر اعتبارية ، ودلالة الأفعال والآثار على ما عليه الفاعل والمؤثر من العظمة تكوينية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ذلك نرى أنّه سبحانه يصف عيسى بن مريم بانّه كلمة الله التي ألقاها إلى مريم العذراء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الْمَسِيحُ عِيسَى ابْنُ مَرْيَمَ رَسُولُ اللهِ وَكَلِمَتُهُ</w:t>
      </w:r>
      <w:r>
        <w:rPr>
          <w:rFonts w:eastAsia="Amiri" w:cs="Amiri" w:ascii="Amiri" w:hAnsi="Amiri"/>
          <w:color w:val="111111"/>
          <w:sz w:val="28"/>
          <w:szCs w:val="28"/>
          <w:rtl w:val="true"/>
          <w:lang w:bidi="ar-SA"/>
        </w:rPr>
        <w:t xml:space="preserve">) </w:t>
      </w:r>
      <w:r>
        <w:rPr>
          <w:rStyle w:val="FootnoteAnchor"/>
          <w:rtl w:val="true"/>
        </w:rPr>
        <w:footnoteReference w:id="413"/>
      </w:r>
      <w:r>
        <w:rPr>
          <w:rFonts w:ascii="Amiri" w:hAnsi="Amiri" w:eastAsia="Amiri" w:cs="Amiri"/>
          <w:color w:val="111111"/>
          <w:sz w:val="28"/>
          <w:sz w:val="28"/>
          <w:szCs w:val="28"/>
          <w:rtl w:val="true"/>
          <w:lang w:bidi="ar-SA"/>
        </w:rPr>
        <w:t xml:space="preserve">، كما يصف يحيى بها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يُبَشِّرُكَ بِيَحْيى مُصَدِّقاً بِكَلِمَةٍ مِنَ اللهِ</w:t>
      </w:r>
      <w:r>
        <w:rPr>
          <w:rFonts w:eastAsia="Amiri" w:cs="Amiri" w:ascii="Amiri" w:hAnsi="Amiri"/>
          <w:color w:val="111111"/>
          <w:sz w:val="28"/>
          <w:szCs w:val="28"/>
          <w:rtl w:val="true"/>
          <w:lang w:bidi="ar-SA"/>
        </w:rPr>
        <w:t xml:space="preserve">). </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 xml:space="preserve">بل يَعُدّ سبحانه كلّ ما في الكون من كلماته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لَوْ كانَ الْبَحْرُ مِداداً لِكَلِماتِ رَبِّي لَنَفِدَ الْبَحْرُ قَبْلَ أَنْ تَنْفَدَ كَلِماتُ رَبِّي وَلَوْ جِئْنا بِمِثْلِهِ مَدَداً</w:t>
      </w:r>
      <w:r>
        <w:rPr>
          <w:rFonts w:eastAsia="Amiri" w:cs="Amiri" w:ascii="Amiri" w:hAnsi="Amiri"/>
          <w:color w:val="111111"/>
          <w:sz w:val="28"/>
          <w:szCs w:val="28"/>
          <w:rtl w:val="true"/>
          <w:lang w:bidi="ar-SA"/>
        </w:rPr>
        <w:t xml:space="preserve">). </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 xml:space="preserve">ويقول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ما فِي الْأَرْضِ مِنْ شَجَرَةٍ أَقْلامٌ وَالْبَحْرُ يَمُدُّهُ مِنْ بَعْدِهِ سَبْعَةُ أَبْحُرٍ ما نَفِدَتْ كَلِماتُ اللهِ</w:t>
      </w:r>
      <w:r>
        <w:rPr>
          <w:rFonts w:eastAsia="Amiri" w:cs="Amiri" w:ascii="Amiri" w:hAnsi="Amiri"/>
          <w:color w:val="111111"/>
          <w:sz w:val="28"/>
          <w:szCs w:val="28"/>
          <w:rtl w:val="true"/>
          <w:lang w:bidi="ar-SA"/>
        </w:rPr>
        <w:t xml:space="preserve">). </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 xml:space="preserve">قال أمير المؤمنين وسيّد الموحدين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يُخْبِرُ لا بلسان وَلَهَوات ، وَيَسْمَعُ لا بخُروق وأدوات ، يقول ولا يَلفِظُ ، ويَحْفَظُ وَلا يَتَحَفَّظُ ، ويُريد ولا يُضمِر ، يُحِبّ ويرضى من غير رِقّة ، ويُبْغِضُ ويغضب من غير مشقّة ، يقول لمن أراد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 لا </w:t>
      </w:r>
    </w:p>
    <w:p>
      <w:pPr>
        <w:pStyle w:val="BookText"/>
        <w:rPr/>
      </w:pPr>
      <w:r>
        <w:rPr>
          <w:rFonts w:ascii="Amiri" w:hAnsi="Amiri" w:eastAsia="Amiri" w:cs="Amiri"/>
          <w:color w:val="111111"/>
          <w:sz w:val="28"/>
          <w:sz w:val="28"/>
          <w:szCs w:val="28"/>
          <w:rtl w:val="true"/>
          <w:lang w:bidi="ar-SA"/>
        </w:rPr>
        <w:t>بصوت يَقْرَع ، ولا بِنداء يُسْمَع ، وإنّما كلامه سبحانه فِعْلٌ منه أنشأه ومثَّلَهُ ، لم يكن من قبل ذلك كائناً ، ولو كان قديماً لكان إلهاً ثانياً</w:t>
      </w:r>
      <w:r>
        <w:rPr>
          <w:rFonts w:eastAsia="Amiri" w:cs="Amiri" w:ascii="Amiri" w:hAnsi="Amiri"/>
          <w:color w:val="111111"/>
          <w:sz w:val="28"/>
          <w:szCs w:val="28"/>
          <w:rtl w:val="true"/>
          <w:lang w:bidi="ar-SA"/>
        </w:rPr>
        <w:t xml:space="preserve">». </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 xml:space="preserve">وقد نقل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مبيّناً عظمة خلقة الإنسان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أتزعم أنّك جرمٌ 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وفيكَ انطوى العالمُ الأكبرُ</w:t>
      </w:r>
    </w:p>
    <w:p>
      <w:pPr>
        <w:pStyle w:val="BookText"/>
        <w:rPr/>
      </w:pPr>
      <w:r>
        <w:rPr>
          <w:rFonts w:ascii="Amiri" w:hAnsi="Amiri" w:eastAsia="Amiri" w:cs="Amiri"/>
          <w:color w:val="111111"/>
          <w:sz w:val="28"/>
          <w:sz w:val="28"/>
          <w:szCs w:val="28"/>
          <w:rtl w:val="true"/>
          <w:lang w:bidi="ar-SA"/>
        </w:rPr>
        <w:t xml:space="preserve">وأنت الكتابُ المبين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بأحرُفِهِ يَظْهَرُ المُضْمَرُ</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فكلّ ما في صحيفة الكون من الموجودات الإمكانية كلماته ، وتخبر عمّا في المبدأ من كمال وجمال وعلم وقدرة</w:t>
      </w:r>
      <w:r>
        <w:rPr>
          <w:rFonts w:eastAsia="Amiri" w:cs="Amiri" w:ascii="Amiri" w:hAnsi="Amiri"/>
          <w:color w:val="111111"/>
          <w:sz w:val="28"/>
          <w:szCs w:val="28"/>
          <w:rtl w:val="true"/>
          <w:lang w:bidi="ar-SA"/>
        </w:rPr>
        <w:t xml:space="preserve">. </w:t>
      </w:r>
      <w:bookmarkStart w:id="716" w:name="pg11047_102834"/>
    </w:p>
    <w:p>
      <w:pPr>
        <w:pStyle w:val="Heading4"/>
        <w:numPr>
          <w:ilvl w:val="3"/>
          <w:numId w:val="1"/>
        </w:numPr>
        <w:rPr/>
      </w:pPr>
      <w:bookmarkStart w:id="717" w:name="__RefHeading___Toc1391437_1067777946"/>
      <w:bookmarkStart w:id="718" w:name="_Toc268"/>
      <w:bookmarkEnd w:id="716"/>
      <w:bookmarkEnd w:id="717"/>
      <w:r>
        <w:rPr/>
        <w:t>3</w:t>
      </w:r>
      <w:r>
        <w:rPr>
          <w:rtl w:val="true"/>
        </w:rPr>
        <w:t xml:space="preserve">- </w:t>
      </w:r>
      <w:r>
        <w:rPr>
          <w:rtl w:val="true"/>
        </w:rPr>
        <w:t>نظرية الأشاعرة</w:t>
      </w:r>
      <w:bookmarkEnd w:id="718"/>
    </w:p>
    <w:p>
      <w:pPr>
        <w:pStyle w:val="BookText"/>
        <w:rPr/>
      </w:pPr>
      <w:r>
        <w:rPr>
          <w:rFonts w:ascii="Amiri" w:hAnsi="Amiri" w:eastAsia="Amiri" w:cs="Amiri"/>
          <w:color w:val="111111"/>
          <w:sz w:val="28"/>
          <w:sz w:val="28"/>
          <w:szCs w:val="28"/>
          <w:rtl w:val="true"/>
          <w:lang w:bidi="ar-SA"/>
        </w:rPr>
        <w:t>إنّ وصف التكلّم في النظريتين الماضيتين عدّ من صفات الفعل ، فهو إمّا بخلق الأصوات والألفاظ يوصف بالتكلّم ، أو بخلق العالم من جواهره وأعراضه يوصف به ، لأنّ فعله يعرب عن كماله الذاتي كما يعرب الكلام اللفظي عمّا يقوم في ذهن المتكلّم من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 الأشاعرة ذهبت إلى أنّ وصف التكلّم من صفات ذاته كالعلم والقدرة وفسروا معنى كونه متكلّماً بالكلام النفسي ، وقالوا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الكلام النفسي غير علمه سبحانه في الإخبار ، وغير إرادته وكراهته في الإنشاء مثلاً ، فإذا قال سبحانه مخبراً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اشْتَرى مِنَ الْمُؤْمِنِينَ أَنْفُسَهُمْ وَأَمْوالَهُمْ بِأَنَّ لَهُمُ الْجَنَّةَ</w:t>
      </w:r>
      <w:r>
        <w:rPr>
          <w:rFonts w:eastAsia="Amiri" w:cs="Amiri" w:ascii="Amiri" w:hAnsi="Amiri"/>
          <w:color w:val="111111"/>
          <w:sz w:val="28"/>
          <w:szCs w:val="28"/>
          <w:rtl w:val="true"/>
          <w:lang w:bidi="ar-SA"/>
        </w:rPr>
        <w:t xml:space="preserve">). </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فانّ هناك علماً ، وكلاماً نفسيّاً ، والثاني غير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قال سبحانه منشئاً حكماً شرعياً إيجابياً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حافِظُوا عَلَى الصَّلَواتِ وَالصَّلاةِ الْوُسْطى</w:t>
      </w:r>
      <w:r>
        <w:rPr>
          <w:rFonts w:eastAsia="Amiri" w:cs="Amiri" w:ascii="Amiri" w:hAnsi="Amiri"/>
          <w:color w:val="111111"/>
          <w:sz w:val="28"/>
          <w:szCs w:val="28"/>
          <w:rtl w:val="true"/>
          <w:lang w:bidi="ar-SA"/>
        </w:rPr>
        <w:t xml:space="preserve">). </w:t>
      </w:r>
      <w:r>
        <w:rPr>
          <w:rStyle w:val="FootnoteAnchor"/>
          <w:rtl w:val="true"/>
        </w:rPr>
        <w:footnoteReference w:id="419"/>
      </w:r>
      <w:r>
        <w:rPr>
          <w:rFonts w:ascii="Amiri" w:hAnsi="Amiri" w:eastAsia="Amiri" w:cs="Amiri"/>
          <w:color w:val="111111"/>
          <w:sz w:val="28"/>
          <w:sz w:val="28"/>
          <w:szCs w:val="28"/>
          <w:rtl w:val="true"/>
          <w:lang w:bidi="ar-SA"/>
        </w:rPr>
        <w:t>فهناك إرادة وكلام نفسي</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قال منشئاً نهياً تحريمياً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يَتَّخِذِ الْمُؤْمِنُونَ الْكافِرِينَ أَوْلِياءَ مِنْ دُونِ </w:t>
      </w:r>
    </w:p>
    <w:p>
      <w:pPr>
        <w:pStyle w:val="BookText"/>
        <w:rPr/>
      </w:pP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فهناك كراهة ، وكلام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فالأشاعرة ذهبوا إلى أنّ في الجمل الإخبارية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وراء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الإنشائية كالأمر والنهي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وراء الإرادة والكراهة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في ذهن كلّ متكلّم سواء أكان واجباً أم ممكناً هو المسمّى بالكلام النفسي وهو الكلام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الكلام اللفظي فهو تعبير عن الكلام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الكلام النفسي في الإنسان حادث يتبع حدوث ذاته ، وفيه سبحانه قديم يتبع قدم ذاته ، وها نحن نأتي بكلمة من أقطاب الأشاعرة في المقام الذي يوضح معنى الكلام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الفضل بن روزبهان في كتاب نهج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الكلام عندهم لفظ مشترك يطلقونه على المؤلَّف من الحروف المسموعة ، وتارة يطلقونه على المعنى القائم بالنفس الذي يعبر عنه بالألفاظ ويقولون هو الكلام حقيقة ، وهو قديم قائم بذاته ، ولا بدّ من إثبات هذا الكلام ، فانّ العرف لا يفهمون من الكلام إلاّ المؤلف من الحروف والأصوات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ليرجع الشخص إلى نفسه انّه إذا أراد التكلّم بالكلام ، فهل يفهم من ذاته انّه يزوِّر ويرتِّب معاني فيعزم على التكلم بها؟ كما أنّ من أراد الدخول على السلطان أو العالم فانّه يرتّب في نفسه معاني وأشياء ويقول في نفسه سأتكلم بهذا ، فالمصنف يجد من نفسه هذا البتة ، فها هو الكلام النفسي</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نقول على طريقة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الألفاظ التي نتكلم بها لها مدلولات قائمة </w:t>
      </w:r>
    </w:p>
    <w:p>
      <w:pPr>
        <w:pStyle w:val="BookText"/>
        <w:rPr/>
      </w:pPr>
      <w:r>
        <w:rPr>
          <w:rFonts w:ascii="Amiri" w:hAnsi="Amiri" w:eastAsia="Amiri" w:cs="Amiri"/>
          <w:color w:val="111111"/>
          <w:sz w:val="28"/>
          <w:sz w:val="28"/>
          <w:szCs w:val="28"/>
          <w:rtl w:val="true"/>
          <w:lang w:bidi="ar-SA"/>
        </w:rPr>
        <w:t>بالنفس فنقول هذه المدلولات هي الكلام النفسي</w:t>
      </w:r>
      <w:r>
        <w:rPr>
          <w:rFonts w:eastAsia="Amiri" w:cs="Amiri" w:ascii="Amiri" w:hAnsi="Amiri"/>
          <w:color w:val="111111"/>
          <w:sz w:val="28"/>
          <w:szCs w:val="28"/>
          <w:rtl w:val="true"/>
          <w:lang w:bidi="ar-SA"/>
        </w:rPr>
        <w:t xml:space="preserve">. </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 xml:space="preserve">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ذكره صحيح ولكنه ليس شيئاً وراء العلم في الجمل الخبرية ولا غير الإرادة والكراهة في الجمل الإنشائية ، وذلك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المعاني التي تدور في خلد المتكلم في الجمل الخبرية ليست إلاّ تصور المعاني المفردة أو المركبة أو الإذعان بالنسبة فيرجع الكلام النفسي إلى التصورات والتصديقات فأي شيء هنا وراء العلم حتّى نسمّيه بالكلام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عند ما يرتّب المعاني الإنشائية فلا يرتّب إلاّ إرادته وكراهته أو ما يكون مقدّمة له ، كتصور الشيء والتصديق بفائدته ، فيرجع الكلام النفسي في الإنشاء إلى الإرادة والكراهة بضميمة تصور أُمور يعدّ من مقدماتهما ، فأي شيء هنا غير الإرادة والكراهة وغير التصور والتصديق حتّى نسمّيه بالكلام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ضوء ذلك لا يكون التكلّم وصفاً وراء العلم في الاخبار ووراء الإرادة والكراهة في الإنشاء مع أنّ الأشاعرة يصرّون على إثبات وصف ذاتي لكلّ متكلّم واجباً كان أو ممكناً وراء العلم والإرادة والكراهة ، ولذلك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متكلّماً بالذات غير كونه عالماً ومريداً بالذات</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وحصيلة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الأشاعرة زعموا انّ في ذهن المتكلّم في الجملة الخبرية والإنشائية وراء التصوّرات والتصديقات في الأُولى ، ووراء الإرادة في الثانية شيئاً يسمّونه الكلام النفسي ، وربّما سمّوا الكلام النفسي في القسم الإنشائي بالطلب مشعرين بتغايره مع الإرادة ، وبذلك صحّحوا كونه سبحانه متكلّماً ، ككونه عالماً وقادراً ، وانّ الكلّ من الصفات الذاتية</w:t>
      </w:r>
      <w:r>
        <w:rPr>
          <w:rFonts w:eastAsia="Amiri" w:cs="Amiri" w:ascii="Amiri" w:hAnsi="Amiri"/>
          <w:color w:val="111111"/>
          <w:sz w:val="28"/>
          <w:szCs w:val="28"/>
          <w:rtl w:val="true"/>
          <w:lang w:bidi="ar-SA"/>
        </w:rPr>
        <w:t xml:space="preserve">. </w:t>
      </w:r>
      <w:bookmarkStart w:id="719" w:name="pg11047_102837"/>
    </w:p>
    <w:p>
      <w:pPr>
        <w:pStyle w:val="BookText"/>
        <w:rPr/>
      </w:pPr>
      <w:bookmarkEnd w:id="719"/>
      <w:r>
        <w:rPr>
          <w:rFonts w:ascii="Amiri" w:hAnsi="Amiri" w:eastAsia="Amiri" w:cs="Amiri"/>
          <w:color w:val="111111"/>
          <w:sz w:val="28"/>
          <w:sz w:val="28"/>
          <w:szCs w:val="28"/>
          <w:rtl w:val="true"/>
          <w:lang w:bidi="ar-SA"/>
        </w:rPr>
        <w:t>ولكن البحث والتحليل أوقفنا على خلاف ما ذهبوا إليه ، لما عرفت من أنّه ليس وراء العلم في الجمل الخبرية ، ولا وراء الإرادة والكراهة في الجمل الإنشائية شيء نسمّيه كلاماً نفسياً ، ولو أرادوا بالكلام النفسي معنى الكلام اللفظي أو صورته العلمية التي ينطبق على لفظه ، يرجع لبه إلى العلم ولا يزيد عليه وإن أرادوا به معنى وراء ذلك فلسنا نعرفه في نفوسنا إذا راجعناه</w:t>
      </w:r>
      <w:r>
        <w:rPr>
          <w:rFonts w:eastAsia="Amiri" w:cs="Amiri" w:ascii="Amiri" w:hAnsi="Amiri"/>
          <w:color w:val="111111"/>
          <w:sz w:val="28"/>
          <w:szCs w:val="28"/>
          <w:rtl w:val="true"/>
          <w:lang w:bidi="ar-SA"/>
        </w:rPr>
        <w:t>.</w:t>
      </w:r>
    </w:p>
    <w:p>
      <w:pPr>
        <w:pStyle w:val="Heading4"/>
        <w:numPr>
          <w:ilvl w:val="3"/>
          <w:numId w:val="1"/>
        </w:numPr>
        <w:rPr/>
      </w:pPr>
      <w:bookmarkStart w:id="720" w:name="__RefHeading___Toc1391439_1067777946"/>
      <w:bookmarkStart w:id="721" w:name="_Toc269"/>
      <w:bookmarkEnd w:id="720"/>
      <w:r>
        <w:rPr>
          <w:rtl w:val="true"/>
        </w:rPr>
        <w:t>أدلّة الأشاعرة على الكلام النفسي</w:t>
      </w:r>
      <w:bookmarkEnd w:id="721"/>
    </w:p>
    <w:p>
      <w:pPr>
        <w:pStyle w:val="BookText"/>
        <w:rPr/>
      </w:pPr>
      <w:r>
        <w:rPr>
          <w:rFonts w:ascii="Amiri" w:hAnsi="Amiri" w:eastAsia="Amiri" w:cs="Amiri"/>
          <w:color w:val="111111"/>
          <w:sz w:val="28"/>
          <w:sz w:val="28"/>
          <w:szCs w:val="28"/>
          <w:rtl w:val="true"/>
          <w:lang w:bidi="ar-SA"/>
        </w:rPr>
        <w:t>ثمّ إنّ الأشاعرة استدلّوا على وجود الكلام النفسي في كلّ متكلّم بوجوه لا تسع الرسالة لذكرها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ونقتصر بذكر دليلين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العصاة والكفّار مكلَّفون بما كلّف به أهل الطاعة والإيمان بنص القرآن الكريم ، والتكليف عليهم لا يكون ناشئاً من إرادة الله سبحانه وإلاّ لزم تفكيك إرادته عن مراده ، ولا بدّ أن يكون هناك منشأ آخر للتكليف ، وهو الذي نسمّيه بالكلام النفسي تارة ، والطلب أُخرى ، فيستنتج من ذلك انّه يوجد في الإنشاء شيء غير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ويجاب عنه بوجهين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إرادته سبحانه لو تعلّقت بفعل نفسه فلا تنفك عن المراد ، وأمّا إذا تعلّقت بفعل الغير فبما انّها تعلّقت بالفعل الصادر عن العبد عن حرية واختيار ، فلا محالة يكون الفعل مسبوقاً باختيار العبد ، فإن أراد واختار العبد يتحقّق الفعل ، وإن لم يرد فلا يتحقّق</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تتعلّق مشيئته سبحانه بصدور الفعل من العبد على كلّ تقدير ، أي سواء أراده أم لم يرده ، وإنّما تعلّقت بصدوره منه بشرط سبق الإرادة ، فإن </w:t>
      </w:r>
    </w:p>
    <w:p>
      <w:pPr>
        <w:pStyle w:val="BookText"/>
        <w:rPr/>
      </w:pPr>
      <w:r>
        <w:rPr>
          <w:rFonts w:ascii="Amiri" w:hAnsi="Amiri" w:eastAsia="Amiri" w:cs="Amiri"/>
          <w:color w:val="111111"/>
          <w:sz w:val="28"/>
          <w:sz w:val="28"/>
          <w:szCs w:val="28"/>
          <w:rtl w:val="true"/>
          <w:lang w:bidi="ar-SA"/>
        </w:rPr>
        <w:t>سبقت يتحقّق الفعل وإلاّ فلا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إرادته سبحانه لا تتخلّف عن مراده مطلقاً من غير فرق بين الإرادة التكوينية والإرادة التشريعية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الأُولى ، فلو تعلّقت إرادته بإيجاد الشيء مباشرة أو من طريق الأسباب يتحقّق لا محالة ،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أَمْرُهُ إِذا أَرادَ شَيْئاً أَنْ يَقُولَ لَهُ كُنْ فَيَكُونُ</w:t>
      </w:r>
      <w:r>
        <w:rPr>
          <w:rFonts w:eastAsia="Amiri" w:cs="Amiri" w:ascii="Amiri" w:hAnsi="Amiri"/>
          <w:color w:val="111111"/>
          <w:sz w:val="28"/>
          <w:szCs w:val="28"/>
          <w:rtl w:val="true"/>
          <w:lang w:bidi="ar-SA"/>
        </w:rPr>
        <w:t xml:space="preserve">). </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وأمّا الثانية ، فلا بد من إمعان النظر في متعلّق الإرادة ، فانّ متعلّقها في الإرادة التشريعية هو الإنشاء والبعث أو الزجر والتنفير وهو متحقّق في جميع عوامله ونواهيه ، سواء امتثل العبد أم 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فعل العبد أو انتهاؤه فليسا متعلّقين بالإرادة التشريعية في أوامره ونواهيه ، فتخلّفها لا يعدّ نقضاً للقاعدة ، لأنّ فعل الغير لا يكون متعلّقا لإرادة أحد ، لعدم كون فعل الغير في اختيار المريد ، ولأجل ذلك ذهب المحقّقون إلى أنّ الإرادة التشريعية إنّما تتعلّق بفعل النفس ، أي إنشاء البعث والزجر لا فعل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عاقل يعلم أنّ المتكلّم من قامت به صفة التكلّم ، ولو كان معنى كونه سبحانه متكلماً هو خلق الكلام ، فلا يكون ذلك الوصف قائماً به فلا يقال لخالق الكلام 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قيام المبدأ بالفاعل ليس منحصراً بالقيام الحلولي ، بل له أقسام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القيام الصدوري ، كالقتل والضرب في القاتل والضارب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القيام الحلولي ، كالعلم والقدرة في العالم والقادر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القيام الانتسابي ، كما في اللابن والتامر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أنواع القيام ، فالتكلّم كالضرب ليس من المبادئ الحلولية في الفاعل ، بل من المبادئ الصدورية ، فلأجل انّه سبحانه موجد الكلام يطلق عليه انّه متكلّم وزان إطلاق الرازق والخالق والمميت والمحيي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هنا خرجنا بالنتيجة التالية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تفسير وصفه سبحانه بكونه متكلماً إنّما يصحّ بكلا الوجهين الأوّلين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كونه خالقاً للكلام في الخارج بنحو من الأنحاء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 فعله مطلقاً كلام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تفسير كلامه بالكلام النفسي فغير صحيح</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تمّ الكلام في المقام الأوّل ، وحان البحث في المقام الثاني ، أي في حدوثه وقدمه الذي شغل بال المحدّثين والمتكلّمين عبر القرون</w:t>
      </w:r>
      <w:r>
        <w:rPr>
          <w:rFonts w:eastAsia="Amiri" w:cs="Amiri" w:ascii="Amiri" w:hAnsi="Amiri"/>
          <w:color w:val="111111"/>
          <w:sz w:val="28"/>
          <w:szCs w:val="28"/>
          <w:rtl w:val="true"/>
          <w:lang w:bidi="ar-SA"/>
        </w:rPr>
        <w:t xml:space="preserve">. </w:t>
      </w:r>
      <w:bookmarkStart w:id="722" w:name="pg11047_102840"/>
    </w:p>
    <w:p>
      <w:pPr>
        <w:pStyle w:val="Heading4"/>
        <w:numPr>
          <w:ilvl w:val="3"/>
          <w:numId w:val="1"/>
        </w:numPr>
        <w:rPr/>
      </w:pPr>
      <w:bookmarkStart w:id="723" w:name="__RefHeading___Toc1391441_1067777946"/>
      <w:bookmarkStart w:id="724" w:name="_Toc270"/>
      <w:bookmarkEnd w:id="722"/>
      <w:bookmarkEnd w:id="723"/>
      <w:r>
        <w:rPr/>
        <w:t>2</w:t>
      </w:r>
      <w:r>
        <w:rPr>
          <w:rtl w:val="true"/>
        </w:rPr>
        <w:t xml:space="preserve">- </w:t>
      </w:r>
      <w:r>
        <w:rPr>
          <w:rtl w:val="true"/>
        </w:rPr>
        <w:t>في حدوث كلامه سبحانه أو قدمه</w:t>
      </w:r>
      <w:bookmarkEnd w:id="724"/>
    </w:p>
    <w:p>
      <w:pPr>
        <w:pStyle w:val="Heading5"/>
        <w:numPr>
          <w:ilvl w:val="4"/>
          <w:numId w:val="1"/>
        </w:numPr>
        <w:rPr/>
      </w:pPr>
      <w:bookmarkStart w:id="725" w:name="__RefHeading___Toc1391443_1067777946"/>
      <w:bookmarkStart w:id="726" w:name="_Toc271"/>
      <w:bookmarkEnd w:id="725"/>
      <w:r>
        <w:rPr>
          <w:rtl w:val="true"/>
        </w:rPr>
        <w:t>اشارة</w:t>
      </w:r>
      <w:bookmarkEnd w:id="726"/>
    </w:p>
    <w:p>
      <w:pPr>
        <w:pStyle w:val="BookText"/>
        <w:rPr/>
      </w:pPr>
      <w:r>
        <w:rPr>
          <w:rFonts w:ascii="Amiri" w:hAnsi="Amiri" w:eastAsia="Amiri" w:cs="Amiri"/>
          <w:color w:val="111111"/>
          <w:sz w:val="28"/>
          <w:sz w:val="28"/>
          <w:szCs w:val="28"/>
          <w:rtl w:val="true"/>
          <w:lang w:bidi="ar-SA"/>
        </w:rPr>
        <w:t xml:space="preserve">وقبل الخوض في المقصود نقدّم أُموراً </w:t>
      </w:r>
      <w:r>
        <w:rPr>
          <w:rFonts w:eastAsia="Amiri" w:cs="Amiri" w:ascii="Amiri" w:hAnsi="Amiri"/>
          <w:color w:val="111111"/>
          <w:sz w:val="28"/>
          <w:szCs w:val="28"/>
          <w:rtl w:val="true"/>
          <w:lang w:bidi="ar-SA"/>
        </w:rPr>
        <w:t>:</w:t>
      </w:r>
    </w:p>
    <w:p>
      <w:pPr>
        <w:pStyle w:val="Heading5"/>
        <w:numPr>
          <w:ilvl w:val="4"/>
          <w:numId w:val="1"/>
        </w:numPr>
        <w:rPr/>
      </w:pPr>
      <w:bookmarkStart w:id="727" w:name="__RefHeading___Toc1391445_1067777946"/>
      <w:bookmarkStart w:id="728" w:name="_Toc272"/>
      <w:bookmarkEnd w:id="727"/>
      <w:r>
        <w:rPr/>
        <w:t>1</w:t>
      </w:r>
      <w:r>
        <w:rPr>
          <w:rtl w:val="true"/>
        </w:rPr>
        <w:t xml:space="preserve">. </w:t>
      </w:r>
      <w:r>
        <w:rPr>
          <w:rtl w:val="true"/>
        </w:rPr>
        <w:t>مبدأ فكرة قدم القرآن</w:t>
      </w:r>
      <w:bookmarkEnd w:id="728"/>
    </w:p>
    <w:p>
      <w:pPr>
        <w:pStyle w:val="BookText"/>
        <w:rPr/>
      </w:pPr>
      <w:r>
        <w:rPr>
          <w:rFonts w:ascii="Amiri" w:hAnsi="Amiri" w:eastAsia="Amiri" w:cs="Amiri"/>
          <w:color w:val="111111"/>
          <w:sz w:val="28"/>
          <w:sz w:val="28"/>
          <w:szCs w:val="28"/>
          <w:rtl w:val="true"/>
          <w:lang w:bidi="ar-SA"/>
        </w:rPr>
        <w:t>الفتوحات الإسلامية أوجبت اختلاط المسلمين بغيرهم وصارت مبدأ لاحتكاك الثقافتين الإسلامية والأجنبية ، وفي ذلك الخضمّ المشحون بتضارب الأفكار طُرِحت مسألة تكلّمه سبحانه في الأوساط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جانب آخر ، كان الخلفاء يروّجون الخوض في المسائل العقائدية حتّى تنصرف الطبقة الفاضلة عن نقد أفعالهم وانحرافاتهم</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فالمهم في المقام التنبيه على مصدر هذه الفكرة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القرآن أو حدوثه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البحث في كونه مخلوقاً أو غير مخلوق ، حادثاً أو قديماً ممّا أثاره النصارى الذين كانوا في بلاط البيت الأُموي ، وعلى رأسهم يوحنا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يشكّك المسلمين في دينهم ، فبما انّ القرآن عدّ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الْمَسِيحُ عِيسَى ابْنُ مَرْيَمَ رَسُولُ اللهِ وَكَلِمَتُهُ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ذلك وسيلة لئن يبثّ هذا الرجل بين المسلمين 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طريق خاص ، وهو أنّه كان يسألهم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أكلمة الله قديمة أو لا؟ </w:t>
      </w:r>
    </w:p>
    <w:p>
      <w:pPr>
        <w:pStyle w:val="BookText"/>
        <w:rPr/>
      </w:pPr>
      <w:r>
        <w:rPr>
          <w:rFonts w:ascii="Amiri" w:hAnsi="Amiri" w:eastAsia="Amiri" w:cs="Amiri"/>
          <w:color w:val="111111"/>
          <w:sz w:val="28"/>
          <w:sz w:val="28"/>
          <w:szCs w:val="28"/>
          <w:rtl w:val="true"/>
          <w:lang w:bidi="ar-SA"/>
        </w:rPr>
        <w:t xml:space="preserve">فإن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دعوى النصارى بأنّ عيسى قديم ، لأنّه كلمة الله حسب تعبير كتابكم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زعمتم انّ كلامه مخلوق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مختلق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يجعل المسلمين على مفترق طريقين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إمّا قديم ، فعندئذ يثبت نظرية النصارى في المسيح ، لأنّه كلمة الله حسب تنصيص القرآن ، والكلام والكلمة قديم ، فثبت انّ عيسى المسيح قديم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مخلوق ، أي مختلق مكذوب على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وبهذه القضية المنفصلة هيمن على السُّذّج من الناس وجرّ المحدِّثين إلى القول بأنّ القرآن قديم حذراً من كونه مختلقاً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غاب عنهم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نقيض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قديم ، هو كونه حادثاً ، والقول بالحدوث لا يترتب عليه أي 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قولهم مخلوق ليس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يومي إليه قول القائل الذي حكاه سبحانه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إِلاَّ قَوْلُ الْبَشَرِ</w:t>
      </w:r>
      <w:r>
        <w:rPr>
          <w:rFonts w:eastAsia="Amiri" w:cs="Amiri" w:ascii="Amiri" w:hAnsi="Amiri"/>
          <w:color w:val="111111"/>
          <w:sz w:val="28"/>
          <w:szCs w:val="28"/>
          <w:rtl w:val="true"/>
          <w:lang w:bidi="ar-SA"/>
        </w:rPr>
        <w:t xml:space="preserve">) </w:t>
      </w:r>
      <w:r>
        <w:rPr>
          <w:rStyle w:val="FootnoteAnchor"/>
          <w:rtl w:val="true"/>
        </w:rPr>
        <w:footnoteReference w:id="423"/>
      </w:r>
      <w:r>
        <w:rPr>
          <w:rFonts w:ascii="Amiri" w:hAnsi="Amiri" w:eastAsia="Amiri" w:cs="Amiri"/>
          <w:color w:val="111111"/>
          <w:sz w:val="28"/>
          <w:sz w:val="28"/>
          <w:szCs w:val="28"/>
          <w:rtl w:val="true"/>
          <w:lang w:bidi="ar-SA"/>
        </w:rPr>
        <w:t>، بل بمعنى انّه مخلوق لله سبحانه أنزله بعلمه على قلب سيّد المرسلين ، فلا فرق بين القرآن وسائر الموجودات في أنّ الجميع مخلوق له سبحانه</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يؤيد انّ فكرة قدم القرآن تعود إلى أهل الكتاب ما رواه ابن النديم في </w:t>
      </w:r>
      <w:bookmarkStart w:id="729" w:name="pg11047_102842"/>
    </w:p>
    <w:p>
      <w:pPr>
        <w:pStyle w:val="BookText"/>
        <w:rPr/>
      </w:pPr>
      <w:bookmarkEnd w:id="729"/>
      <w:r>
        <w:rPr>
          <w:rFonts w:ascii="Amiri" w:hAnsi="Amiri" w:eastAsia="Amiri" w:cs="Amiri"/>
          <w:color w:val="111111"/>
          <w:sz w:val="28"/>
          <w:sz w:val="28"/>
          <w:szCs w:val="28"/>
          <w:rtl w:val="true"/>
          <w:lang w:bidi="ar-SA"/>
        </w:rPr>
        <w:t xml:space="preserve">فهرسته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العباس البغوي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فثيون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النصراني وكان دار الروم بالجانب الغربي ، فجرى الحديث إلى أن سألته عن ابن كلاب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كان يقول بأنّ كلام الله هو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رحم الله عبد الله كان يجيء فيجلس إلى تلك الزاوية وأشار إلى ناحية من البيعة وعنّي أخذ هذا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الله هو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عاش لنصّرنا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وسأله محمد بن إسحاق الطالقاني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المسيح؟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يقوله أهل السنّة من المسلمين في القرآن</w:t>
      </w:r>
      <w:r>
        <w:rPr>
          <w:rFonts w:eastAsia="Amiri" w:cs="Amiri" w:ascii="Amiri" w:hAnsi="Amiri"/>
          <w:color w:val="111111"/>
          <w:sz w:val="28"/>
          <w:szCs w:val="28"/>
          <w:rtl w:val="true"/>
          <w:lang w:bidi="ar-SA"/>
        </w:rPr>
        <w:t xml:space="preserve">. </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وعلى ذلك فالمسألة مستوردة وليست ناجمة من صميم الدين وأُصوله وقد طرحت في أوائل القرن الثاني في عصر المأمون وامتدت إلى عصر المتوكّل وما بعده</w:t>
      </w:r>
      <w:r>
        <w:rPr>
          <w:rFonts w:eastAsia="Amiri" w:cs="Amiri" w:ascii="Amiri" w:hAnsi="Amiri"/>
          <w:color w:val="111111"/>
          <w:sz w:val="28"/>
          <w:szCs w:val="28"/>
          <w:rtl w:val="true"/>
          <w:lang w:bidi="ar-SA"/>
        </w:rPr>
        <w:t>.</w:t>
      </w:r>
    </w:p>
    <w:p>
      <w:pPr>
        <w:pStyle w:val="Heading5"/>
        <w:numPr>
          <w:ilvl w:val="4"/>
          <w:numId w:val="1"/>
        </w:numPr>
        <w:rPr/>
      </w:pPr>
      <w:bookmarkStart w:id="730" w:name="__RefHeading___Toc1391447_1067777946"/>
      <w:bookmarkStart w:id="731" w:name="_Toc273"/>
      <w:bookmarkEnd w:id="730"/>
      <w:r>
        <w:rPr/>
        <w:t>2</w:t>
      </w:r>
      <w:r>
        <w:rPr>
          <w:rtl w:val="true"/>
        </w:rPr>
        <w:t xml:space="preserve">. </w:t>
      </w:r>
      <w:r>
        <w:rPr>
          <w:rtl w:val="true"/>
        </w:rPr>
        <w:t>واجب أهل الحديث ، السكوت في هذه المسائل</w:t>
      </w:r>
      <w:bookmarkEnd w:id="731"/>
    </w:p>
    <w:p>
      <w:pPr>
        <w:pStyle w:val="BookText"/>
        <w:rPr/>
      </w:pPr>
      <w:r>
        <w:rPr>
          <w:rFonts w:ascii="Amiri" w:hAnsi="Amiri" w:eastAsia="Amiri" w:cs="Amiri"/>
          <w:color w:val="111111"/>
          <w:sz w:val="28"/>
          <w:sz w:val="28"/>
          <w:szCs w:val="28"/>
          <w:rtl w:val="true"/>
          <w:lang w:bidi="ar-SA"/>
        </w:rPr>
        <w:t>إنّ مسلك أهل الحديث في اتّخاذ العقيدة في مسائل الدين هو اقتفاء كتاب الله وسنّة رسوله ، فما جاء فيها يؤخذ به وما لم يجئ فيها يُسكت عنه ولا يبحث فيه ، ولأجل ذلك كان أهل الحديث يحرّمون علم الكلام ويمنعون البحث عن كلّ ما ليس وارداً في الكتاب والسنّة</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كان اللازم على أهل الحديث السكوت وعدم النبس ببنت شفة في هذه المسألة ، لأنّ البحث فيها حرام على أُصولهم ، سواء أكان الموقف هو قدم القرآن أو حدوثه ، لأنّه لم يرد فيه نصّ عن رسول الله ولا عن أصحابه ، ومع الأسف </w:t>
      </w:r>
      <w:bookmarkStart w:id="732" w:name="pg11047_102843"/>
    </w:p>
    <w:p>
      <w:pPr>
        <w:pStyle w:val="BookText"/>
        <w:rPr/>
      </w:pPr>
      <w:bookmarkEnd w:id="732"/>
      <w:r>
        <w:rPr>
          <w:rFonts w:ascii="Amiri" w:hAnsi="Amiri" w:eastAsia="Amiri" w:cs="Amiri"/>
          <w:color w:val="111111"/>
          <w:sz w:val="28"/>
          <w:sz w:val="28"/>
          <w:szCs w:val="28"/>
          <w:rtl w:val="true"/>
          <w:lang w:bidi="ar-SA"/>
        </w:rPr>
        <w:t>كان موقفهم وفي مقدمهم أحمد بن حنبل موقف الإيجاب وتكفير المخالف</w:t>
      </w:r>
      <w:r>
        <w:rPr>
          <w:rFonts w:eastAsia="Amiri" w:cs="Amiri" w:ascii="Amiri" w:hAnsi="Amiri"/>
          <w:color w:val="111111"/>
          <w:sz w:val="28"/>
          <w:szCs w:val="28"/>
          <w:rtl w:val="true"/>
          <w:lang w:bidi="ar-SA"/>
        </w:rPr>
        <w:t>.</w:t>
      </w:r>
    </w:p>
    <w:p>
      <w:pPr>
        <w:pStyle w:val="Heading5"/>
        <w:numPr>
          <w:ilvl w:val="4"/>
          <w:numId w:val="1"/>
        </w:numPr>
        <w:rPr/>
      </w:pPr>
      <w:bookmarkStart w:id="733" w:name="__RefHeading___Toc1391449_1067777946"/>
      <w:bookmarkStart w:id="734" w:name="_Toc274"/>
      <w:bookmarkEnd w:id="733"/>
      <w:r>
        <w:rPr/>
        <w:t>3</w:t>
      </w:r>
      <w:r>
        <w:rPr>
          <w:rtl w:val="true"/>
        </w:rPr>
        <w:t xml:space="preserve">. </w:t>
      </w:r>
      <w:r>
        <w:rPr>
          <w:rtl w:val="true"/>
        </w:rPr>
        <w:t>طرح المسألة في ظروف عصيبة</w:t>
      </w:r>
      <w:bookmarkEnd w:id="734"/>
    </w:p>
    <w:p>
      <w:pPr>
        <w:pStyle w:val="BookText"/>
        <w:rPr/>
      </w:pPr>
      <w:r>
        <w:rPr>
          <w:rFonts w:ascii="Amiri" w:hAnsi="Amiri" w:eastAsia="Amiri" w:cs="Amiri"/>
          <w:color w:val="111111"/>
          <w:sz w:val="28"/>
          <w:sz w:val="28"/>
          <w:szCs w:val="28"/>
          <w:rtl w:val="true"/>
          <w:lang w:bidi="ar-SA"/>
        </w:rPr>
        <w:t xml:space="preserve">إنّ تاريخ البحث عن حدوث القرآن وقدمه يعرب عن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المسألة طرحت في جو غير هادئ ، ولم يكن البحث لغاية كشف الحقيقة وابتداعها ، بل كلّ يصرّ على إثبات مدّعاه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موضوع البحث منقَّحاً حتّى يتوارد عليه النفي والإثبات ، وانّهم لما ذا يفرّون من القول بحدوث القرآن؟ ولما ذا يكفّرون القائل به؟ أهم يريدون من قدم القرآن ، قدم الآيات التي يتلوها القارئ أو النبي أو أمين الوحي؟ أم يريدون قدم معانيه والمفاهيم الواردة فيه؟ أو يريدون قدم علمه سبحانه إلى غير ذلك من الاحتمالات التي سيوافيك مع أنّهم لم يركّزوا البحث على واحد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علمت هذه الأُمور فلنرجع إلى تحليل القول بحدوث القرآن وقدمه ، فنقول </w:t>
      </w:r>
      <w:r>
        <w:rPr>
          <w:rFonts w:eastAsia="Amiri" w:cs="Amiri" w:ascii="Amiri" w:hAnsi="Amiri"/>
          <w:color w:val="111111"/>
          <w:sz w:val="28"/>
          <w:szCs w:val="28"/>
          <w:rtl w:val="true"/>
          <w:lang w:bidi="ar-SA"/>
        </w:rPr>
        <w:t>:</w:t>
      </w:r>
    </w:p>
    <w:p>
      <w:pPr>
        <w:pStyle w:val="Heading3"/>
        <w:numPr>
          <w:ilvl w:val="2"/>
          <w:numId w:val="1"/>
        </w:numPr>
        <w:rPr/>
      </w:pPr>
      <w:bookmarkStart w:id="735" w:name="__RefHeading___Toc1391451_1067777946"/>
      <w:bookmarkStart w:id="736" w:name="_Toc275"/>
      <w:bookmarkEnd w:id="735"/>
      <w:r>
        <w:rPr>
          <w:rtl w:val="true"/>
        </w:rPr>
        <w:t>تحليل مسألة القول بقدم القرآن</w:t>
      </w:r>
      <w:bookmarkEnd w:id="736"/>
    </w:p>
    <w:p>
      <w:pPr>
        <w:pStyle w:val="BookText"/>
        <w:rPr/>
      </w:pPr>
      <w:r>
        <w:rPr>
          <w:rFonts w:ascii="Amiri" w:hAnsi="Amiri" w:eastAsia="Amiri" w:cs="Amiri"/>
          <w:color w:val="111111"/>
          <w:sz w:val="28"/>
          <w:sz w:val="28"/>
          <w:szCs w:val="28"/>
          <w:rtl w:val="true"/>
          <w:lang w:bidi="ar-SA"/>
        </w:rPr>
        <w:t xml:space="preserve">إنّ محط النزاع لم يُحدد بشكل واضح يقدر الإنسان معه على القضاء فيه ، فهاهنا احتمالات يمكن أن تكون محطّ النظر لأهل الحديث والأشاعرة نطرحها على بساط البحث ونطلب حكمها من العقل الحصيف والقرآن الكريم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الألفاظ والجمل الفصيحة البليغة التي عجز الإنسان في جميع القرون عن الإتيان بمثلها ، وقد جاء بها أمين الوحي إلى النبي الأكرم ، وقرأها الرسول فتلقّتها الأسماع وحرّرتها الأقلام على الصحف المطهرة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ليست بمخلوقة على الإطلاق لا لله سبحانه ولا لغيره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المعاني السامية والمفاهيم الرفيعة في مجالات التكوين والتشريع والحوادث والأخلاق والآداب وغيرها الواردة في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ذاته سبحانه وصفاته من العلم والقدرة والحياة التي بحث عنها القرآن وأشار إليها بألفاظه وجُمَلِه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علمه سبحانه بكلّ ما ورد في 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الكلام النفسي القائم بذاته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ليس مخلوقاً للبشر وإن كان مخلوقاً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المحتملات لا تختص بالقرآن الكريم ، بل تطّرد في جميع الصحف السماوية النازلة إلى أنبيائه ورسله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بيان حكمها من حيث الحدوث والقدم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أظن أنّ إنساناً يملك شيئاً من الدَّرْك والعقل يعتقد بكونها غير مخلوقة أو كونها قديمة ، كيف وهي شيء من الأشياء ، وموجود من الموجودات ، ممكن غير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غير مخلوقة وجب أن تكون واجبة بالذات وهو نفس الشرك بالله سبحانه وحتّى لو فُرض أنّه سبحانه يتكلّم بهذه الألفاظ والجمل ، فلا يخرج تكلُّمه عن كونه فعله ، فهل يمكن أن يقال إنّ فعله غير مخلوق أو قديم؟</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قريب من الأوّل في البداهة ، فإنّ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سائر الصحف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يشتمل على الحوادث المحقَّقة في زمن النبي من مُحاجّة أهل الكتاب والمشركين وما جرى في غزواته وحروبه من الحوادث المؤلمة أو المُسرّة ، فهل يمكن أن نقول بأنّ الحادثة التي يحكيها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سَمِعَ اللهُ قَوْلَ الَّتِي تُجادِلُكَ </w:t>
      </w:r>
    </w:p>
    <w:p>
      <w:pPr>
        <w:pStyle w:val="BookText"/>
        <w:rPr/>
      </w:pPr>
      <w:r>
        <w:rPr>
          <w:rFonts w:ascii="Amiri" w:hAnsi="Amiri" w:eastAsia="Amiri" w:cs="Amiri"/>
          <w:color w:val="111111"/>
          <w:sz w:val="28"/>
          <w:sz w:val="28"/>
          <w:szCs w:val="28"/>
          <w:rtl w:val="true"/>
          <w:lang w:bidi="ar-SA"/>
        </w:rPr>
        <w:t>فِي زَوْجِها وَتَشْتَكِي إِلَى اللهِ وَاللهُ يَسْمَعُ تَحاوُرَكُما إِنَّ اللهَ سَمِيعٌ بَصِيرٌ</w:t>
      </w:r>
      <w:r>
        <w:rPr>
          <w:rFonts w:eastAsia="Amiri" w:cs="Amiri" w:ascii="Amiri" w:hAnsi="Amiri"/>
          <w:color w:val="111111"/>
          <w:sz w:val="28"/>
          <w:szCs w:val="28"/>
          <w:rtl w:val="true"/>
          <w:lang w:bidi="ar-SA"/>
        </w:rPr>
        <w:t xml:space="preserve">). </w:t>
      </w:r>
      <w:r>
        <w:rPr>
          <w:rStyle w:val="FootnoteAnchor"/>
          <w:rtl w:val="true"/>
        </w:rPr>
        <w:footnoteReference w:id="425"/>
      </w:r>
      <w:r>
        <w:rPr>
          <w:rFonts w:ascii="Amiri" w:hAnsi="Amiri" w:eastAsia="Amiri" w:cs="Amiri"/>
          <w:color w:val="111111"/>
          <w:sz w:val="28"/>
          <w:sz w:val="28"/>
          <w:szCs w:val="28"/>
          <w:rtl w:val="true"/>
          <w:lang w:bidi="ar-SA"/>
        </w:rPr>
        <w:t>قديمة؟</w:t>
      </w:r>
    </w:p>
    <w:p>
      <w:pPr>
        <w:pStyle w:val="BookText"/>
        <w:rPr/>
      </w:pPr>
      <w:r>
        <w:rPr>
          <w:rFonts w:ascii="Amiri" w:hAnsi="Amiri" w:eastAsia="Amiri" w:cs="Amiri"/>
          <w:color w:val="111111"/>
          <w:sz w:val="28"/>
          <w:sz w:val="28"/>
          <w:szCs w:val="28"/>
          <w:rtl w:val="true"/>
          <w:lang w:bidi="ar-SA"/>
        </w:rPr>
        <w:t>وقد أخبر الله تبارك وتعالى في القرآن والصحف السماوية عمّا جرى على أنبيائه من الحوادث وما جرى على سائر الأُمم من ألوان العذاب ، كما أخبر عمّا جرى في التكوين من الخلق والتدبير ، فهذه الحقائق الواردة في القرآن الكريم ، حادثة بلا شكّ ، لا قديمة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شكّ أنّ ذاته وصفاته من العلم والقدرة والحياة وكلّ ما يرجع إليها كشهادته أنّه لا إله إلاّ هو ، قديم بلا إشكال وليس بمخلوق بالبداهة ، ولكنّه لا يختصّ بالقرآن ، بل كلّ ما يتكلّم به البشر ويشير به إلى هذه الحقائق ، فالمشار إليها بالألفاظ والأصوات قديمة ، وفي الوقت نفسه ما يشار به من الكلام والجمل حادث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علمه سبحانه بما جاء في هذه الكتب وما ليس فيها ، فلا شكّ أنّه قديم نفس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أحد من المتكلّمين الإلهيين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شذّ من الكرّامية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بحدوث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كونه سبحانه متكلّماً بكلام قديم أزلي نفساني ليس بحروف الأصوات ، مغاير للعلم والإرادة ، فقد عرفت أنّ ما سمّاه الأشاعرة كلاماً نفسيّاً لا يخرج عن إطار العلم والإرادة ، ولا شكّ أنّ علمه وإرادته البسيطة قديمان</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الهدف من نفي كونه غير مخلوق ، كون القرآن غير مخلوق للبشر ، وفي الوقت نفسه هو مخلوق لله سبحانه ، فهذا أمر لا ينكره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القرآن مخلوق لله سبحانه والناس بأجمعهم لا يقدرون على مثله</w:t>
      </w:r>
      <w:r>
        <w:rPr>
          <w:rFonts w:eastAsia="Amiri" w:cs="Amiri" w:ascii="Amiri" w:hAnsi="Amiri"/>
          <w:color w:val="111111"/>
          <w:sz w:val="28"/>
          <w:szCs w:val="28"/>
          <w:rtl w:val="true"/>
          <w:lang w:bidi="ar-SA"/>
        </w:rPr>
        <w:t xml:space="preserve">. </w:t>
      </w:r>
      <w:bookmarkStart w:id="737" w:name="pg11047_102846"/>
    </w:p>
    <w:p>
      <w:pPr>
        <w:pStyle w:val="BookText"/>
        <w:rPr/>
      </w:pPr>
      <w:bookmarkEnd w:id="737"/>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لَئِنِ اجْتَمَعَتِ الْإِنْسُ وَالْجِنُّ عَلى أَنْ يَأْتُوا بِمِثْلِ هذَا الْقُرْآنِ لا يَأْتُونَ بِمِثْلِهِ وَلَوْ كانَ بَعْضُهُمْ لِبَعْضٍ ظَهِيراً</w:t>
      </w:r>
      <w:r>
        <w:rPr>
          <w:rFonts w:eastAsia="Amiri" w:cs="Amiri" w:ascii="Amiri" w:hAnsi="Amiri"/>
          <w:color w:val="111111"/>
          <w:sz w:val="28"/>
          <w:szCs w:val="28"/>
          <w:rtl w:val="true"/>
          <w:lang w:bidi="ar-SA"/>
        </w:rPr>
        <w:t xml:space="preserve">). </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وهذا التحليل يُعرِبُ عن أنّ المسألة كانت مطروحة في أجواء مُشَوّشة وقد اختلط فيها الحابُل بالنابِل ، ولم يكن محط البحث محرّراً على وجه الوضوح حتّى يعرف المُثْبَت عن المَنْفي ، ويُمخض الحق من الباطل</w:t>
      </w:r>
      <w:r>
        <w:rPr>
          <w:rFonts w:eastAsia="Amiri" w:cs="Amiri" w:ascii="Amiri" w:hAnsi="Amiri"/>
          <w:color w:val="111111"/>
          <w:sz w:val="28"/>
          <w:szCs w:val="28"/>
          <w:rtl w:val="true"/>
          <w:lang w:bidi="ar-SA"/>
        </w:rPr>
        <w:t>.</w:t>
      </w:r>
    </w:p>
    <w:p>
      <w:pPr>
        <w:pStyle w:val="Heading3"/>
        <w:numPr>
          <w:ilvl w:val="2"/>
          <w:numId w:val="1"/>
        </w:numPr>
        <w:rPr/>
      </w:pPr>
      <w:bookmarkStart w:id="738" w:name="__RefHeading___Toc1391453_1067777946"/>
      <w:bookmarkStart w:id="739" w:name="_Toc276"/>
      <w:bookmarkEnd w:id="738"/>
      <w:r>
        <w:rPr>
          <w:rtl w:val="true"/>
        </w:rPr>
        <w:t xml:space="preserve">موقف أهل البيت </w:t>
      </w:r>
      <w:r>
        <w:rPr>
          <w:rtl w:val="true"/>
        </w:rPr>
        <w:t xml:space="preserve">- </w:t>
      </w:r>
      <w:r>
        <w:rPr>
          <w:rtl w:val="true"/>
        </w:rPr>
        <w:t xml:space="preserve">عليهم السلام </w:t>
      </w:r>
      <w:r>
        <w:rPr>
          <w:rtl w:val="true"/>
        </w:rPr>
        <w:t xml:space="preserve">- </w:t>
      </w:r>
      <w:r>
        <w:rPr>
          <w:rtl w:val="true"/>
        </w:rPr>
        <w:t>في هذه المسألة</w:t>
      </w:r>
      <w:bookmarkEnd w:id="739"/>
    </w:p>
    <w:p>
      <w:pPr>
        <w:pStyle w:val="BookText"/>
        <w:rPr/>
      </w:pPr>
      <w:r>
        <w:rPr>
          <w:rFonts w:ascii="Amiri" w:hAnsi="Amiri" w:eastAsia="Amiri" w:cs="Amiri"/>
          <w:color w:val="111111"/>
          <w:sz w:val="28"/>
          <w:sz w:val="28"/>
          <w:szCs w:val="28"/>
          <w:rtl w:val="true"/>
          <w:lang w:bidi="ar-SA"/>
        </w:rPr>
        <w:t>إنّ تاريخ البحث وما جرى على الفريقين من المحن ، يشهد بأنّ التشدّد فيه لم يكن لإحقاق الحقّ وإزاحة الشكوك ، بل استغلت كلّ طائفة تلك المسألة للتنكيل بخصومها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فلأجل ذلك نرى أنّ 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منعوا أصحابهم من الخوض في تلك المسألة ، فقد سأل الرّيّان بن الصَّلْت الإمام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القرآن؟</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كلامُ الله لا تَتَجاوَزُوهُ وَلا تَطْلبوا الهُدى في غَيرِه ، فَتَضِلّوا</w:t>
      </w:r>
      <w:r>
        <w:rPr>
          <w:rFonts w:eastAsia="Amiri" w:cs="Amiri" w:ascii="Amiri" w:hAnsi="Amiri"/>
          <w:color w:val="111111"/>
          <w:sz w:val="28"/>
          <w:szCs w:val="28"/>
          <w:rtl w:val="true"/>
          <w:lang w:bidi="ar-SA"/>
        </w:rPr>
        <w:t xml:space="preserve">». </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 xml:space="preserve">وروى علي بن سالم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الصادق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ما تقول في القرآن؟</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كلامُ الله ، وقولُ الله ، وكتابُ الله ، ووحيُ الله ، وتنزيلُه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الكتاب العزيز لا يأتيه الباطل من بين يَدَيْه ولا من خلفه ، تنزيلٌ من حكيم حميد</w:t>
      </w:r>
      <w:r>
        <w:rPr>
          <w:rFonts w:eastAsia="Amiri" w:cs="Amiri" w:ascii="Amiri" w:hAnsi="Amiri"/>
          <w:color w:val="111111"/>
          <w:sz w:val="28"/>
          <w:szCs w:val="28"/>
          <w:rtl w:val="true"/>
          <w:lang w:bidi="ar-SA"/>
        </w:rPr>
        <w:t xml:space="preserve">». </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 xml:space="preserve">وحدّث سليمان بن جعفر الجعفري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موسى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ابن رسول الله ، ما تقول في القرآن؟ فقد اختلف فيه مَن قبْلَنا ، فقال قوم إنّه مخلوق ، وقال قوم إنّه غير مخلوق؟</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أما إنّي لا أقول في ذلك ما يقولون ، ولكنّي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كلام الله</w:t>
      </w:r>
      <w:r>
        <w:rPr>
          <w:rFonts w:eastAsia="Amiri" w:cs="Amiri" w:ascii="Amiri" w:hAnsi="Amiri"/>
          <w:color w:val="111111"/>
          <w:sz w:val="28"/>
          <w:szCs w:val="28"/>
          <w:rtl w:val="true"/>
          <w:lang w:bidi="ar-SA"/>
        </w:rPr>
        <w:t xml:space="preserve">». </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 xml:space="preserve">فإنّا نرى أنّ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يبتعد عن الخوض في هذه المسألة لما رأى من أنّ الخوض فيها ليس لصالح الإسلام ، وأنّ الاكتفاء بأنّه كلام الله أحسم لمادة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ما أحسوا بسلامة الموقف ، أدلوا برأيهم في الموضوع ، وصرّحوا بأنّ الخالق هو الله وغيره مخلوق والقرآن ليس نفسه سبحانه ، وإلاّ يلزم اتحاد المُنْزَل والمُنْزِل ، فهو غيره ، فيكون لا محالة مخلوقاً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محمد بن عيسى بن عبيد اليقطيني أنّه كتب علي بن محمد بن علي بن موسى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بعض شيعته ببغداد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 عَصَمَنا اللهُ وإيّاك من الفِتْنَةِ ، فإنْ يَفْعَل فقد أعظَمَ بِها نِعمة ، وإن لا يَفْعَل فهي الهَلَكة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نرى أنّ الجِدالَ في القرآن بِدْعَةٌ ، اشترك فيها السائل والمُجيب ، فيتعاطى السائل ما ليس له ، ويتكلّف المُجيب ما ليس عليه ، وليس الخالقُ إلاّ الله عزّ وجلّ ، وما سواهُ مخلوقٌ ، والقرآنُ كلامُ الله ، لا تَجْعَل لَه اسماً مِنْ عندِك فتكون من الضّالّين ، جعَلَنا الله ، وإياك من الّذين يَخْشَوْنَ ربّهم بالغيب وهم من السّاعة مُشفقون</w:t>
      </w:r>
      <w:r>
        <w:rPr>
          <w:rFonts w:eastAsia="Amiri" w:cs="Amiri" w:ascii="Amiri" w:hAnsi="Amiri"/>
          <w:color w:val="111111"/>
          <w:sz w:val="28"/>
          <w:szCs w:val="28"/>
          <w:rtl w:val="true"/>
          <w:lang w:bidi="ar-SA"/>
        </w:rPr>
        <w:t xml:space="preserve">». </w:t>
      </w:r>
      <w:r>
        <w:rPr>
          <w:rStyle w:val="FootnoteAnchor"/>
          <w:rtl w:val="true"/>
        </w:rPr>
        <w:footnoteReference w:id="430"/>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الرواية المروية إشارة إلى المحنة التي نقلها المؤرخون ، حيث كتب المأمون </w:t>
      </w:r>
    </w:p>
    <w:p>
      <w:pPr>
        <w:pStyle w:val="BookText"/>
        <w:rPr/>
      </w:pPr>
      <w:r>
        <w:rPr>
          <w:rFonts w:ascii="Amiri" w:hAnsi="Amiri" w:eastAsia="Amiri" w:cs="Amiri"/>
          <w:color w:val="111111"/>
          <w:sz w:val="28"/>
          <w:sz w:val="28"/>
          <w:szCs w:val="28"/>
          <w:rtl w:val="true"/>
          <w:lang w:bidi="ar-SA"/>
        </w:rPr>
        <w:t>إلى الولاة في العواصم الإسلامية أن يختبروا الفقهاء والمحدّثين في مسألة خلق القرآن ، وفرض عليهم أن يعاقبوا كلّ من لا يرى رأي حدوث القرآن في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المعتصم والواثق فطبّقا سيرته وسياسته مع خصوم المعتزلة وبلغت المحنة أشدها على المحدّثين ، وبقى أحمد بن حنبل ثمانية وعشرين شهراً تحت العذاب فلم يتراجع عن رأيه</w:t>
      </w:r>
      <w:r>
        <w:rPr>
          <w:rFonts w:eastAsia="Amiri" w:cs="Amiri" w:ascii="Amiri" w:hAnsi="Amiri"/>
          <w:color w:val="111111"/>
          <w:sz w:val="28"/>
          <w:szCs w:val="28"/>
          <w:rtl w:val="true"/>
          <w:lang w:bidi="ar-SA"/>
        </w:rPr>
        <w:t xml:space="preserve">. </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ولما جاء المتوكل العباسي ، نصر مذهب الحنابلة وأقصى خصومهم ، فعند ذلك أحسّ المحدثون بالفرج وأحاطت المحنة بأُولئك الذين كانوا بالأمس القريب يفرضون آراءهم بقوة السلطان</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يمكن عدّ مثل هذا الجدال جدالاً إسلامياً ، وقرآنياً ، لمعرفة الحقيقة وتبيّنها ، أو أنّه كان وراءه شيء آخر؟ الله العالم بالحقائق وضمائر القلوب</w:t>
      </w:r>
      <w:r>
        <w:rPr>
          <w:rFonts w:eastAsia="Amiri" w:cs="Amiri" w:ascii="Amiri" w:hAnsi="Amiri"/>
          <w:color w:val="111111"/>
          <w:sz w:val="28"/>
          <w:szCs w:val="28"/>
          <w:rtl w:val="true"/>
          <w:lang w:bidi="ar-SA"/>
        </w:rPr>
        <w:t xml:space="preserve">. </w:t>
      </w:r>
      <w:bookmarkStart w:id="740" w:name="pg11047_102849"/>
    </w:p>
    <w:p>
      <w:pPr>
        <w:pStyle w:val="Heading3"/>
        <w:numPr>
          <w:ilvl w:val="2"/>
          <w:numId w:val="1"/>
        </w:numPr>
        <w:rPr/>
      </w:pPr>
      <w:bookmarkStart w:id="741" w:name="__RefHeading___Toc1391455_1067777946"/>
      <w:bookmarkStart w:id="742" w:name="_Toc277"/>
      <w:bookmarkEnd w:id="740"/>
      <w:bookmarkEnd w:id="741"/>
      <w:r>
        <w:rPr>
          <w:rtl w:val="true"/>
        </w:rPr>
        <w:t>الصفات الخبرية</w:t>
      </w:r>
      <w:bookmarkEnd w:id="742"/>
    </w:p>
    <w:p>
      <w:pPr>
        <w:pStyle w:val="Heading4"/>
        <w:numPr>
          <w:ilvl w:val="3"/>
          <w:numId w:val="1"/>
        </w:numPr>
        <w:rPr/>
      </w:pPr>
      <w:bookmarkStart w:id="743" w:name="__RefHeading___Toc1391457_1067777946"/>
      <w:bookmarkStart w:id="744" w:name="_Toc278"/>
      <w:bookmarkEnd w:id="743"/>
      <w:r>
        <w:rPr>
          <w:rtl w:val="true"/>
        </w:rPr>
        <w:t>اشارة</w:t>
      </w:r>
      <w:bookmarkEnd w:id="744"/>
    </w:p>
    <w:p>
      <w:pPr>
        <w:pStyle w:val="BookText"/>
        <w:rPr/>
      </w:pPr>
      <w:r>
        <w:rPr>
          <w:rFonts w:ascii="Amiri" w:hAnsi="Amiri" w:eastAsia="Amiri" w:cs="Amiri"/>
          <w:color w:val="111111"/>
          <w:sz w:val="28"/>
          <w:sz w:val="28"/>
          <w:szCs w:val="28"/>
          <w:rtl w:val="true"/>
          <w:lang w:bidi="ar-SA"/>
        </w:rPr>
        <w:t xml:space="preserve">قسّم الباحثون صفاتهِ سبحانه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ذاتية وصفات خبرية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فالعِلْم والقدرة والحياة والسمع والبصر وكلّ ما تطلق عليه صفة الكمال يعدّ من الصفات الذاتية ، وأمّا ما دلّت عليه ظواهر الآيات والأحاديث كالعلوّ والوجه واليدين والاستواء والرجل إلى غير ذلك ممّا ورد في المصدرين فتعدّ من الصفات الخبريّة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لأهل الحديث والكلام آراءً في تفسير الصفات الخبرية قد أوضحنا حالها في بحوثنا الكلامية </w:t>
      </w:r>
      <w:r>
        <w:rPr>
          <w:rStyle w:val="FootnoteAnchor"/>
          <w:rtl w:val="true"/>
        </w:rPr>
        <w:footnoteReference w:id="432"/>
      </w:r>
      <w:r>
        <w:rPr>
          <w:rFonts w:ascii="Amiri" w:hAnsi="Amiri" w:eastAsia="Amiri" w:cs="Amiri"/>
          <w:color w:val="111111"/>
          <w:sz w:val="28"/>
          <w:sz w:val="28"/>
          <w:szCs w:val="28"/>
          <w:rtl w:val="true"/>
          <w:lang w:bidi="ar-SA"/>
        </w:rPr>
        <w:t xml:space="preserve">، ونحن نقتصر في المقام بنقل ما عليه سلف أهل السنّة وهم على طائفتين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نعبر عنها 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مبتدعة السلفية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ومعطِّلة السلفية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والطائفة الأُولى مغترون بظواهر بعض الآيات والأحاديث من دون إمعان وفكر في مفاهيمها ومقاصدها وهم المجسِّمة والمشبِّهة</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والطائفة الثانية يتبرّءون من التجسيم ولكنّهم لا يخوضون في فهم الآيات ولا يمعنون في معانيها ، وبذلك عدّوا من المُعطِّلة ، لأنّهم عطّلوا العقول في الإمعان في صفاته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 الطائفتين حُرمتا من الاستضاءة بنور القرآن</w:t>
      </w:r>
      <w:r>
        <w:rPr>
          <w:rFonts w:eastAsia="Amiri" w:cs="Amiri" w:ascii="Amiri" w:hAnsi="Amiri"/>
          <w:color w:val="111111"/>
          <w:sz w:val="28"/>
          <w:szCs w:val="28"/>
          <w:rtl w:val="true"/>
          <w:lang w:bidi="ar-SA"/>
        </w:rPr>
        <w:t xml:space="preserve">. </w:t>
      </w:r>
      <w:bookmarkStart w:id="745" w:name="pg11047_102850"/>
    </w:p>
    <w:p>
      <w:pPr>
        <w:pStyle w:val="BookText"/>
        <w:rPr/>
      </w:pPr>
      <w:bookmarkEnd w:id="745"/>
      <w:r>
        <w:rPr>
          <w:rFonts w:ascii="Amiri" w:hAnsi="Amiri" w:eastAsia="Amiri" w:cs="Amiri"/>
          <w:color w:val="111111"/>
          <w:sz w:val="28"/>
          <w:sz w:val="28"/>
          <w:szCs w:val="28"/>
          <w:rtl w:val="true"/>
          <w:lang w:bidi="ar-SA"/>
        </w:rPr>
        <w:t xml:space="preserve">وإليك دراسة كلتا النظريتين </w:t>
      </w:r>
      <w:r>
        <w:rPr>
          <w:rFonts w:eastAsia="Amiri" w:cs="Amiri" w:ascii="Amiri" w:hAnsi="Amiri"/>
          <w:color w:val="111111"/>
          <w:sz w:val="28"/>
          <w:szCs w:val="28"/>
          <w:rtl w:val="true"/>
          <w:lang w:bidi="ar-SA"/>
        </w:rPr>
        <w:t>:</w:t>
      </w:r>
    </w:p>
    <w:p>
      <w:pPr>
        <w:pStyle w:val="Heading4"/>
        <w:numPr>
          <w:ilvl w:val="3"/>
          <w:numId w:val="1"/>
        </w:numPr>
        <w:rPr/>
      </w:pPr>
      <w:bookmarkStart w:id="746" w:name="__RefHeading___Toc1391459_1067777946"/>
      <w:bookmarkStart w:id="747" w:name="_Toc279"/>
      <w:bookmarkEnd w:id="746"/>
      <w:r>
        <w:rPr/>
        <w:t>1</w:t>
      </w:r>
      <w:r>
        <w:rPr>
          <w:rtl w:val="true"/>
        </w:rPr>
        <w:t xml:space="preserve">. </w:t>
      </w:r>
      <w:r>
        <w:rPr>
          <w:rtl w:val="true"/>
        </w:rPr>
        <w:t>مبتدعة السلفية</w:t>
      </w:r>
      <w:bookmarkEnd w:id="747"/>
    </w:p>
    <w:p>
      <w:pPr>
        <w:pStyle w:val="BookText"/>
        <w:rPr/>
      </w:pPr>
      <w:r>
        <w:rPr>
          <w:rFonts w:ascii="Amiri" w:hAnsi="Amiri" w:eastAsia="Amiri" w:cs="Amiri"/>
          <w:color w:val="111111"/>
          <w:sz w:val="28"/>
          <w:sz w:val="28"/>
          <w:szCs w:val="28"/>
          <w:rtl w:val="true"/>
          <w:lang w:bidi="ar-SA"/>
        </w:rPr>
        <w:t>إنّ غالبية السلف اغترّوا بكل حديث وقعت أعينهم عليه ، فجمعوا في حقائبهم كلّ ما سمعوه ، وبالتالي أخذوا بالظواهر وتركوا الاستعانة بالقرائن ، ووصفوا كلّ بحث حول المعارف القرآنية تأويلاً للقرآن وخروجاً عن الدين ، وكبحوا جماح العقل بتهمة الزندقة ، فوصفوا الكمال المطلق بالحلول والنزول والصعود والاستواء على السرير ، ترى كثيراً من هذه الأحاديث في مرويات حمّاد بن سلمة ، ونعيم بن حماد ، ومقاتل بن سليمان ، ومن لفّ لفّهم ، ففي مرويّاتهم تلك الآثار المشينة ، وقد قلّدهم كثير من البسطاء في القرون المتأخرة فحسبوها حقائق راهنة وألفوا فيها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الأساس ألّف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إسحاق بن خزيمة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بن أحمد بن حنبل ،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لعثمان بن سعيد الدارمي السجزي المجسّم فانّه أوّل من اجترأ من المجسمة بالقول بأنّ الله لو شاء لاستقرّ على ظهر بعوضة فاستقلت به بقدرته فكيف على عرش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الشهرستاني يحكي عقيدة مبتدعة السلف الذين يجرون الصفات الخبرية على الله بمعانيها الحرفية من دون تدبر فيما هو المراد الواقعي من خلال هذه الصفات ، ويقول</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ورد في التنزيل من الاستواء والوجه واليدين والجنب والمجيء والإتيان والفوقية وغير ذلك ، فأجروها على ظاهرها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يفهم عند إطلاق </w:t>
      </w:r>
    </w:p>
    <w:p>
      <w:pPr>
        <w:pStyle w:val="BookText"/>
        <w:rPr/>
      </w:pPr>
      <w:r>
        <w:rPr>
          <w:rFonts w:ascii="Amiri" w:hAnsi="Amiri" w:eastAsia="Amiri" w:cs="Amiri"/>
          <w:color w:val="111111"/>
          <w:sz w:val="28"/>
          <w:sz w:val="28"/>
          <w:szCs w:val="28"/>
          <w:rtl w:val="true"/>
          <w:lang w:bidi="ar-SA"/>
        </w:rPr>
        <w:t xml:space="preserve">هذه الألفاظ على الأجسام ، وكذلك ما ورد في الأخبار من الصورة وغيرها في قوله عليه الصلاة والسلام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آدم على صورة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يضع الجبار قدمه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قلب المؤمن بين اصبعين من أصابع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خمّر طينة آدم بيده أربعين صباحاً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وضع يده أو كفّه على كتفي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وجدت برد أنامله على كتفي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 أجروها على ما يتعارف في صفات الأجسام ، وزادوا في الأخبار أكاذيب وضعوها ونسبوها إلى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وأكثرها مقتبسة من اليهود ، فانّ التشبيه فيهم طباع ، حتّى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اشتكت عيناه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فعادته الملائكة ، وبكى على طوفان نوح حتّى رمدت عيناه ، وإنّ العرش لتئط من تحته أطيط الرحل الجديد ، وأنّه ليفضل من كلّ جانب أربع أصابع ، وروى المشبهة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لقيني ربي فصافحني وكافحني ووضع يده بين كتفي حتّى وجدت برد أنامله</w:t>
      </w:r>
      <w:r>
        <w:rPr>
          <w:rFonts w:eastAsia="Amiri" w:cs="Amiri" w:ascii="Amiri" w:hAnsi="Amiri"/>
          <w:color w:val="111111"/>
          <w:sz w:val="28"/>
          <w:szCs w:val="28"/>
          <w:rtl w:val="true"/>
          <w:lang w:bidi="ar-SA"/>
        </w:rPr>
        <w:t xml:space="preserve">». </w:t>
      </w:r>
      <w:r>
        <w:rPr>
          <w:rStyle w:val="FootnoteAnchor"/>
          <w:rtl w:val="true"/>
        </w:rPr>
        <w:footnoteReference w:id="43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في الوقوف على مصادر هذه النصوص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علاقة الإثبات والتفويض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عقيدة مبتدعة السلف ، وإليك شيئاً من نصوص هؤلاء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قيل لعبد الله بن 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يعرف ربنا؟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فوق السماء السابعة على العرش بائن من خلقه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الأوزاعي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على عرشه ، ونؤمن بما وردت به السنّة من صفاته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الدارمي في مقدّمة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الجهمية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استوى على عرشه ، فبان من خلقه ، لا تخفى عليه منهم خافية ، علمه بهم محيط ، وبصره فيهم نافذ</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المقدسي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أقاويل الثقات في الصفات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ينقل عن النبي أنّه كان يحذِّر الناس من الإيمان بما يظهر في كلامه في صفة ربّه من الفوقية واليدين ونحو ذلك ، ولا نقل لهذه الصفات معاني أُخر ، باطنها غير ما يظهر من مدلولها ، وكان يحضر في مجلسه العالم والجاهل والذكي والبليد والأعرابي الجافي ، ثمّ لا تجد شيئاً يعقب تلك النصوص بما يصرفها عن حقائقها ، لا نصاً ولا ظاهراً ، ولما قال للجارية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الله؟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السماء ، لم ينكر عليها بحضرة أصحابه كي لا يتوهموا أنّ الأمر على خلاف ما هي عليه ، بل أقرّها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أعتقها فإنّها مؤمنة</w:t>
      </w:r>
      <w:r>
        <w:rPr>
          <w:rFonts w:eastAsia="Amiri" w:cs="Amiri" w:ascii="Amiri" w:hAnsi="Amiri"/>
          <w:color w:val="111111"/>
          <w:sz w:val="28"/>
          <w:szCs w:val="28"/>
          <w:rtl w:val="true"/>
          <w:lang w:bidi="ar-SA"/>
        </w:rPr>
        <w:t xml:space="preserve">. </w:t>
      </w:r>
      <w:r>
        <w:rPr>
          <w:rStyle w:val="FootnoteAnchor"/>
          <w:rtl w:val="true"/>
        </w:rPr>
        <w:footnoteReference w:id="43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القرطبي في تفسيره عند تفسير آية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الأعراف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اسْتَوى عَلَى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السلف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يقولون بنفي الجهة ولا ينطقون بذلك ، بل نطقوا هم والكافة بإثباتها لله تعالى كما نطق كتابه وأخبرت رسله ، ولم ينكر أحد من السلف الصالح أنّه استوى على عرشه حقيقة ، وخص العرش بذلك لأنّه أعظم مخلوقاته ، وإنّما جهلوا كيفية الاستواء فإنّها لا تعلم حقيقته</w:t>
      </w:r>
      <w:r>
        <w:rPr>
          <w:rFonts w:eastAsia="Amiri" w:cs="Amiri" w:ascii="Amiri" w:hAnsi="Amiri"/>
          <w:color w:val="111111"/>
          <w:sz w:val="28"/>
          <w:szCs w:val="28"/>
          <w:rtl w:val="true"/>
          <w:lang w:bidi="ar-SA"/>
        </w:rPr>
        <w:t xml:space="preserve">. </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إلى غير ذلك من الكلمات التي يتبادر منها أنّ القائل بها يريد إجلاسه سبحانه على العرش إجلاساً حقيقياً حسّياً ، وأنّ تلك هي العقيدة الإسلامية التي يشترك فيها العالم والأعرابي الجافي</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العجب انّ هذه البدع بعد إخمادها ، أخذت تنتعش في أوائل القرن الثامن بيد أحمد بن عبد الحليم بن تيمية الحراني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فجدد ما </w:t>
      </w:r>
      <w:bookmarkStart w:id="748" w:name="pg11047_102853"/>
    </w:p>
    <w:p>
      <w:pPr>
        <w:pStyle w:val="BookText"/>
        <w:rPr/>
      </w:pPr>
      <w:bookmarkEnd w:id="748"/>
      <w:r>
        <w:rPr>
          <w:rFonts w:ascii="Amiri" w:hAnsi="Amiri" w:eastAsia="Amiri" w:cs="Amiri"/>
          <w:color w:val="111111"/>
          <w:sz w:val="28"/>
          <w:sz w:val="28"/>
          <w:szCs w:val="28"/>
          <w:rtl w:val="true"/>
          <w:lang w:bidi="ar-SA"/>
        </w:rPr>
        <w:t xml:space="preserve">اندرس من آثار تلك الطائفة المشبّهة ، وقد وصفه السبكي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السيف الصقيل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بأنّه رجل جسور يقول بقيام الحوادث بذات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ولكنّه يقول بأنكر من ذلك ، وقد أتى بنفس ما ذكره الدارمي المجسم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غوث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بمصر عام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مطبعة 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ذلك فابن تيمية أذن إمام المدافعين عن بيضة أهل التشبيه وشيخ إسلام أهل التجسيم ممّن سبقه من الكرامية وجهلة المحدّثين ، الذين اهتموا بالحفظ المجرد ، وغفلوا عن الفهم والتفكير ، ولأجل ذلك نرى أنّ الشيخ الحراني يرمي المفكّرين من المسلمين كإمام الحرمين والغزالي في كتابيه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السنة والموافقة المطبوع على هامش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بأنّهما أشدّ كفراً من اليهود والنصارى مع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يعتنق عقائد يخالف فيها جمهرة المسلمين وأئمّة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p>
    <w:p>
      <w:pPr>
        <w:pStyle w:val="Heading4"/>
        <w:numPr>
          <w:ilvl w:val="3"/>
          <w:numId w:val="1"/>
        </w:numPr>
        <w:rPr/>
      </w:pPr>
      <w:bookmarkStart w:id="749" w:name="__RefHeading___Toc1391461_1067777946"/>
      <w:bookmarkStart w:id="750" w:name="_Toc280"/>
      <w:bookmarkEnd w:id="749"/>
      <w:r>
        <w:rPr/>
        <w:t>2</w:t>
      </w:r>
      <w:r>
        <w:rPr>
          <w:rtl w:val="true"/>
        </w:rPr>
        <w:t xml:space="preserve">. </w:t>
      </w:r>
      <w:r>
        <w:rPr>
          <w:rtl w:val="true"/>
        </w:rPr>
        <w:t>معطلة السلفية</w:t>
      </w:r>
      <w:bookmarkEnd w:id="750"/>
    </w:p>
    <w:p>
      <w:pPr>
        <w:pStyle w:val="Heading5"/>
        <w:numPr>
          <w:ilvl w:val="4"/>
          <w:numId w:val="1"/>
        </w:numPr>
        <w:rPr/>
      </w:pPr>
      <w:bookmarkStart w:id="751" w:name="__RefHeading___Toc1391463_1067777946"/>
      <w:bookmarkStart w:id="752" w:name="_Toc281"/>
      <w:bookmarkEnd w:id="751"/>
      <w:r>
        <w:rPr>
          <w:rtl w:val="true"/>
        </w:rPr>
        <w:t>اشارة</w:t>
      </w:r>
      <w:bookmarkEnd w:id="752"/>
    </w:p>
    <w:p>
      <w:pPr>
        <w:pStyle w:val="BookText"/>
        <w:rPr/>
      </w:pPr>
      <w:r>
        <w:rPr>
          <w:rFonts w:ascii="Amiri" w:hAnsi="Amiri" w:eastAsia="Amiri" w:cs="Amiri"/>
          <w:color w:val="111111"/>
          <w:sz w:val="28"/>
          <w:sz w:val="28"/>
          <w:szCs w:val="28"/>
          <w:rtl w:val="true"/>
          <w:lang w:bidi="ar-SA"/>
        </w:rPr>
        <w:t xml:space="preserve">لمّا كانت هذه الفكرة تُخبر عن التجسيم والجهة وغير ذلك من المضاعفات حاول الإمام الأشعري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بإصلاح عقيدة أهل الحديث بشق طريق متوسط بين الأخذ بالصفات الخبرية بحرفيتها وبين تأويلها الذي كان عليه المعتزلة فصارت عقيدة الأشعري عقيدة معدّلة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تلك النظرية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الصفات الخبرية تُحمل على الله تعالى بنفس معانيها ولكن مقيدة بعدم الكيف ، فله سبحانه يد بلا كيف ، وعين بلا كيف ، ورجل بلا كيف ، واستواء بلا كيف ، ومعنى كونه بلا كيف انّه لا يعرف كنه الصفة ولسنا مكلّفين بمعرفة تفسير هذه الآيات</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الطائفة وإن خرجت عن مغبّة التشبيه والتجسيم غير انّهم تورّطوا في أشراك التعطيل وحبائله ، فعطّلوا العقول عن التفكّر في المعارف والأُصول كما </w:t>
      </w:r>
      <w:bookmarkStart w:id="753" w:name="pg11047_102854"/>
    </w:p>
    <w:p>
      <w:pPr>
        <w:pStyle w:val="BookText"/>
        <w:rPr/>
      </w:pPr>
      <w:bookmarkEnd w:id="753"/>
      <w:r>
        <w:rPr>
          <w:rFonts w:ascii="Amiri" w:hAnsi="Amiri" w:eastAsia="Amiri" w:cs="Amiri"/>
          <w:color w:val="111111"/>
          <w:sz w:val="28"/>
          <w:sz w:val="28"/>
          <w:szCs w:val="28"/>
          <w:rtl w:val="true"/>
          <w:lang w:bidi="ar-SA"/>
        </w:rPr>
        <w:t xml:space="preserve">عطّلوها عن التدبر في الآيات والأحاديث ، فكأنّ القرآن ألغاز نزلت إلى البشر ، وليس كتاباً للتعليم والإرشاد ،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وَنَزَّلْنا عَلَيْكَ الْكِتابَ تِبْياناً لِكُلِّ شَيْءٍ</w:t>
      </w:r>
      <w:r>
        <w:rPr>
          <w:rFonts w:eastAsia="Amiri" w:cs="Amiri" w:ascii="Amiri" w:hAnsi="Amiri"/>
          <w:color w:val="111111"/>
          <w:sz w:val="28"/>
          <w:szCs w:val="28"/>
          <w:rtl w:val="true"/>
          <w:lang w:bidi="ar-SA"/>
        </w:rPr>
        <w:t xml:space="preserve">) </w:t>
      </w:r>
      <w:r>
        <w:rPr>
          <w:rStyle w:val="FootnoteAnchor"/>
          <w:rtl w:val="true"/>
        </w:rPr>
        <w:footnoteReference w:id="436"/>
      </w:r>
      <w:r>
        <w:rPr>
          <w:rFonts w:ascii="Amiri" w:hAnsi="Amiri" w:eastAsia="Amiri" w:cs="Amiri"/>
          <w:color w:val="111111"/>
          <w:sz w:val="28"/>
          <w:sz w:val="28"/>
          <w:szCs w:val="28"/>
          <w:rtl w:val="true"/>
          <w:lang w:bidi="ar-SA"/>
        </w:rPr>
        <w:t>فإذا كان القرآن مبيناً لكلّ شيء فكيف لا يكون مبيناً لنفسه؟ وكيف يكون المطلوب منه نفس الاعتقاد من دون فهم معناه؟</w:t>
      </w:r>
    </w:p>
    <w:p>
      <w:pPr>
        <w:pStyle w:val="BookText"/>
        <w:rPr/>
      </w:pPr>
      <w:r>
        <w:rPr>
          <w:rFonts w:ascii="Amiri" w:hAnsi="Amiri" w:eastAsia="Amiri" w:cs="Amiri"/>
          <w:color w:val="111111"/>
          <w:sz w:val="28"/>
          <w:sz w:val="28"/>
          <w:szCs w:val="28"/>
          <w:rtl w:val="true"/>
          <w:lang w:bidi="ar-SA"/>
        </w:rPr>
        <w:t>ولكن التتبع في سير المسائل الكلامية يثبت بأنّ هذا النوع من العقيدة حول الصفات الخبرية كانت له جذور في كلام أئمّة أهل السنّة ، ولعلّ الإمام الأشعري أخذ النظرية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نصين أحدهما من أبي حنيفة والآخر من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 الله تعالى في القرآن من ذكر الوجه واليد والنفس ، فهو له صفات بلا كيف ولا يقال انّ يده قدرته ونعمته ، لأنّ فيه إبطال الصفة ، وهذا قول أهل القدر والاعتزال ولكن يده صفته بلا كيف ، وغضبه ورضاه صفتان من صفاته بلا كيف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أسماء وصفات لا يسع أحداً ردّها ، ومن خالف بعد ثبوت الحجّة عليه كفر ، وأمّا قبل قيام الحجّة ، فانّه يعذر بالجهل ، ونثبت هذه الصفات وننفي عنه التشبيه كما نفى عن نفسه فقال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8"/>
      </w:r>
    </w:p>
    <w:p>
      <w:pPr>
        <w:pStyle w:val="Heading5"/>
        <w:numPr>
          <w:ilvl w:val="4"/>
          <w:numId w:val="1"/>
        </w:numPr>
        <w:rPr/>
      </w:pPr>
      <w:bookmarkStart w:id="754" w:name="__RefHeading___Toc1391465_1067777946"/>
      <w:bookmarkStart w:id="755" w:name="_Toc282"/>
      <w:bookmarkEnd w:id="754"/>
      <w:r>
        <w:rPr>
          <w:rtl w:val="true"/>
        </w:rPr>
        <w:t>إثبات الأشعري بين التشبيه والتعقيد</w:t>
      </w:r>
      <w:bookmarkEnd w:id="755"/>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نظرية الإمام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نظرية الإمامين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حنيفة والشافعي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تميّزت عن سابقتها بنفي التجسيم والتشبيه لكنّها انتهت إلى سقوطها في ورطة </w:t>
      </w:r>
    </w:p>
    <w:p>
      <w:pPr>
        <w:pStyle w:val="BookText"/>
        <w:rPr/>
      </w:pPr>
      <w:r>
        <w:rPr>
          <w:rFonts w:ascii="Amiri" w:hAnsi="Amiri" w:eastAsia="Amiri" w:cs="Amiri"/>
          <w:color w:val="111111"/>
          <w:sz w:val="28"/>
          <w:sz w:val="28"/>
          <w:szCs w:val="28"/>
          <w:rtl w:val="true"/>
          <w:lang w:bidi="ar-SA"/>
        </w:rPr>
        <w:t xml:space="preserve">الألغاز والتعقيد ، وذلك من خلال البيان 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العقيدة الإسلامية المستقاة من الكتاب والسنّة والعقل الحصيف تتسم بسمتين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تنزيهها عن التشبيه والتجسيم المأثورين عن اليهود والنصارى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ابتعادها عن التعقيد والالغاز التي لا تجتمع مع موقف الاسلام والقرآن في عرض العقائد بأسلوب واضح على المجتمع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أنّه يجب على الباحث التحرز عن سمة التجسيم والتشبيه ، يجب التحرز عن جعل صفاته سبحانه ألفاظاً جوفاء أو معاني معقدة لا يفهم منها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وللأسف انّ أكثر السلف ابتلوا بأحد هاتين الوصمتين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التشبيه والتجسيم كما مرّ ، وإمّا التعقيد واللغز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إثبات الصفات الخبرية لله سبحانه وإمرارها عليه عند السلف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مبتدعة ومعطّلة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عن أحد هذين الإطارين ، فالكلّ إمّا يتكلّمون عنها في إطار التشبيه والتكييف ، ويسترسلون في هذا المضمار ، كما عليه مبتدعة السلف ، أو يفسرونها في إطار من التعقيد والغموض ، والكلّ مردود ، مرفوض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 نحن نأتي ببعض نصوص القوم في هذا المجال ، حتى نرى كيف أنّ العناية بالإثبات في 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نفاة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أفضى بالقوم إلى حدّ التعقيد ومهزلة الغموض ، وكأنّ الصفات الواردة في الذكر الحكيم لم ترد للتدبر فيها ، فإليك نزراً من كلماتهم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سفيان بن عيينة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وصف الله به نفسه في القرآن فقراءته</w:t>
      </w:r>
    </w:p>
    <w:p>
      <w:pPr>
        <w:pStyle w:val="BookText"/>
        <w:rPr/>
      </w:pPr>
      <w:r>
        <w:rPr>
          <w:rFonts w:ascii="Amiri" w:hAnsi="Amiri" w:eastAsia="Amiri" w:cs="Amiri"/>
          <w:color w:val="111111"/>
          <w:sz w:val="28"/>
          <w:sz w:val="28"/>
          <w:szCs w:val="28"/>
          <w:rtl w:val="true"/>
          <w:lang w:bidi="ar-SA"/>
        </w:rPr>
        <w:t>تفسيره ، لا كيف ولا مثيل</w:t>
      </w:r>
      <w:r>
        <w:rPr>
          <w:rFonts w:eastAsia="Amiri" w:cs="Amiri" w:ascii="Amiri" w:hAnsi="Amiri"/>
          <w:color w:val="111111"/>
          <w:sz w:val="28"/>
          <w:szCs w:val="28"/>
          <w:rtl w:val="true"/>
          <w:lang w:bidi="ar-SA"/>
        </w:rPr>
        <w:t xml:space="preserve">. </w:t>
      </w:r>
      <w:r>
        <w:rPr>
          <w:rStyle w:val="FootnoteAnchor"/>
          <w:rtl w:val="true"/>
        </w:rPr>
        <w:footnoteReference w:id="43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خزيمة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نثبت لله ما أثبته لنفسه ، نقر بذلك بألسنتنا ونصدق بذلك في قلوبنا من غير أن نشبه وجه خالقنا بوجه أحد من المخلوقين</w:t>
      </w:r>
      <w:r>
        <w:rPr>
          <w:rFonts w:eastAsia="Amiri" w:cs="Amiri" w:ascii="Amiri" w:hAnsi="Amiri"/>
          <w:color w:val="111111"/>
          <w:sz w:val="28"/>
          <w:szCs w:val="28"/>
          <w:rtl w:val="true"/>
          <w:lang w:bidi="ar-SA"/>
        </w:rPr>
        <w:t xml:space="preserve">. </w:t>
      </w:r>
      <w:r>
        <w:rPr>
          <w:rStyle w:val="FootnoteAnchor"/>
          <w:rtl w:val="true"/>
        </w:rPr>
        <w:footnoteReference w:id="44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وجب إثباتها ، لأنّ التوقيف ورد بها ، ووجب نفي التشبيه عنها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 xml:space="preserve">). </w:t>
      </w:r>
      <w:r>
        <w:rPr>
          <w:rStyle w:val="FootnoteAnchor"/>
          <w:rtl w:val="true"/>
        </w:rPr>
        <w:footnoteReference w:id="44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قدامة المقدسي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درج السلف والخلف متفقون على الإمرار والإثبات لما ورد من الصفات في كتاب الله وسنّة رسوله من غير تعرض لتأويله</w:t>
      </w:r>
      <w:r>
        <w:rPr>
          <w:rFonts w:eastAsia="Amiri" w:cs="Amiri" w:ascii="Amiri" w:hAnsi="Amiri"/>
          <w:color w:val="111111"/>
          <w:sz w:val="28"/>
          <w:szCs w:val="28"/>
          <w:rtl w:val="true"/>
          <w:lang w:bidi="ar-SA"/>
        </w:rPr>
        <w:t xml:space="preserve">. </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 xml:space="preserve">إنّ أصحاب هذه العقيدة وإن كانوا يتظاهرون بإثبات معاني الصفات الخبرية عليه سبحانه ولكنّهم يصفون الصفات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يجعلهم بين مفترق طريقين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التشبيه وإمّا التعقيد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نوضحه بالبيان 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اليد والوجه والرجل موضوعة للأعضاء الخاصة في الإنسان ، ولا يتبادر منها إلاّ ما يتبادر عند أهل اللغة ، وحينئذ فإن أُريد منها المعنى الحقيقي يلزم التشبيه ، وإن أُريد غيره فذلك الغير إمّا معنى مجازي أُريد منه بحسب القرينة فيلزم التأويل ، وهم يفرّون منه فرار المزكوم من المسك</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وإمّا شيء لا هذا ولا ذاك ، فما هو ذلك الغير؟ بيّنوه لنا حتّى تتسم العقيدة </w:t>
      </w:r>
    </w:p>
    <w:p>
      <w:pPr>
        <w:pStyle w:val="BookText"/>
        <w:rPr/>
      </w:pPr>
      <w:r>
        <w:rPr>
          <w:rFonts w:ascii="Amiri" w:hAnsi="Amiri" w:eastAsia="Amiri" w:cs="Amiri"/>
          <w:color w:val="111111"/>
          <w:sz w:val="28"/>
          <w:sz w:val="28"/>
          <w:szCs w:val="28"/>
          <w:rtl w:val="true"/>
          <w:lang w:bidi="ar-SA"/>
        </w:rPr>
        <w:t>بالوضوح والسهولة ، ونبتعد عن التعقيد والإبهام ، وإلاّ فالقول بأنّ له وجهاً لا كالوجوه ، ويداً لا كالأيدي ألفاظ جوفاء وشعارات خدّاعة لا يستفاد منها شيء سوى تخدير الأفكار وتضليلها عن جادة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المعنى الصحيح لا يخرج عن المعنى الحقيقي والمجازي ، وإرادة أمر ثالث خارج عن إطار هذين المعنيين يعد غلطاً وباطلاً ، وعلى هذا الأساس لو أُريد المعنى الحقيقي لزم التشبيه بلا إشكال ، ولو أُريد المعنى المجازي لزم التأويل ، والكلّ ممنوع عندهم ، فما هو المراد من هذه الصفات الواردة في الكتاب والسنّة؟</w:t>
      </w:r>
    </w:p>
    <w:p>
      <w:pPr>
        <w:pStyle w:val="BookText"/>
        <w:rPr/>
      </w:pPr>
      <w:r>
        <w:rPr>
          <w:rFonts w:ascii="Amiri" w:hAnsi="Amiri" w:eastAsia="Amiri" w:cs="Amiri"/>
          <w:color w:val="111111"/>
          <w:sz w:val="28"/>
          <w:sz w:val="28"/>
          <w:szCs w:val="28"/>
          <w:rtl w:val="true"/>
          <w:lang w:bidi="ar-SA"/>
        </w:rPr>
        <w:t xml:space="preserve">إنّ ما يلهجون به ويكررونه من أنّ هذه الصفات تجري على الله سبحانه بنفس معانيها الحقيقية ولكن الكيفية مجهولة ، أشبه بالمهزلة ، إذ لو كان إمرارها على الله بنفس معانيها الحقيقية لوجب أن تكون الكيفية محفوظة حتّى يكون الاستعمال حقيقياً ، لأنّ الواضع إنّما وضع هذه الألفاظ على تلك المعاني التي يكون قوامها بنفس كيفيتها ، ويكون عمادها وسنادها بنفس هويتها الخارجية ، فاستعمالها في المعاني حقيقة بلا كيفية أشبه بالأسد بلا ذنب ولا مخلب ولا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هو أنّ لله يداً حقيقة لكن لا كالأيدي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أشبه بالكلام الذي يناقض ذيله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أضف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ليس في النصوص من الكتاب والسنّة من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البلكفة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ولا عين وإنّما هو شيء اخترعه الفكر ، للتدرع به في مقام الرد على الخصم والنقض عليه ، بأنّ لازم إمرارها على الله بنفس معانيها ، هو التجسيم والتشبيه</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هو الصحيح في تفسير الصفات الخبرية ، على نحو لا يلزم منه </w:t>
      </w:r>
      <w:bookmarkStart w:id="756" w:name="pg11047_102858"/>
    </w:p>
    <w:p>
      <w:pPr>
        <w:pStyle w:val="BookText"/>
        <w:rPr/>
      </w:pPr>
      <w:bookmarkEnd w:id="756"/>
      <w:r>
        <w:rPr>
          <w:rFonts w:ascii="Amiri" w:hAnsi="Amiri" w:eastAsia="Amiri" w:cs="Amiri"/>
          <w:color w:val="111111"/>
          <w:sz w:val="28"/>
          <w:sz w:val="28"/>
          <w:szCs w:val="28"/>
          <w:rtl w:val="true"/>
          <w:lang w:bidi="ar-SA"/>
        </w:rPr>
        <w:t>تعطيل العقول عن الإمعان في مفاهيمها ، ولا التأويل أي حمل ظاهر الآية على خلافها؟ فهذا ما سنبيّنه تالياً</w:t>
      </w:r>
      <w:r>
        <w:rPr>
          <w:rFonts w:eastAsia="Amiri" w:cs="Amiri" w:ascii="Amiri" w:hAnsi="Amiri"/>
          <w:color w:val="111111"/>
          <w:sz w:val="28"/>
          <w:szCs w:val="28"/>
          <w:rtl w:val="true"/>
          <w:lang w:bidi="ar-SA"/>
        </w:rPr>
        <w:t>.</w:t>
      </w:r>
    </w:p>
    <w:p>
      <w:pPr>
        <w:pStyle w:val="Heading5"/>
        <w:numPr>
          <w:ilvl w:val="4"/>
          <w:numId w:val="1"/>
        </w:numPr>
        <w:rPr/>
      </w:pPr>
      <w:bookmarkStart w:id="757" w:name="__RefHeading___Toc1391467_1067777946"/>
      <w:bookmarkStart w:id="758" w:name="_Toc283"/>
      <w:bookmarkEnd w:id="757"/>
      <w:r>
        <w:rPr>
          <w:rtl w:val="true"/>
        </w:rPr>
        <w:t>بين التعطيل والتأويل</w:t>
      </w:r>
      <w:bookmarkEnd w:id="758"/>
    </w:p>
    <w:p>
      <w:pPr>
        <w:pStyle w:val="BookText"/>
        <w:rPr/>
      </w:pPr>
      <w:r>
        <w:rPr>
          <w:rFonts w:ascii="Amiri" w:hAnsi="Amiri" w:eastAsia="Amiri" w:cs="Amiri"/>
          <w:color w:val="111111"/>
          <w:sz w:val="28"/>
          <w:sz w:val="28"/>
          <w:szCs w:val="28"/>
          <w:rtl w:val="true"/>
          <w:lang w:bidi="ar-SA"/>
        </w:rPr>
        <w:t xml:space="preserve">إنّ تفسير الصفات الخبرية على النحو الصحيح يقوم على دعامتين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ينتهي التفسير إلى التجسيم والتشبيه والجهة وما لا يصحّ وصفه سبحانه به على ما دلّت عليه الآيات القرآنية والأدلة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نزيهاً عن التأويل بمعنى صرف الآية عن ظاهرها إلى غير ظاهرها ، وذلك لأنّ الآيات القرآنية حجّة بظاهرها ولا يصحّ لنا ترك ظاهر الآية إلى غيرها ، لأنّ ذلك عمل اليهود والنصارى حيث يؤوّلون ظواهر التوراة والإنجيل لكونها مخالفة للأحكام العقلية الواضحة والعلوم القطعية التي أثبتتها التجارب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والمحقّقون من الإسلاميّين عن بكرة أبيهم يأخذون بظواهر الآيات ولا يؤوّلونها قيد شعرة ، غير أنّ الذي يجب التركيز عليه هو تشخيص ظاهر الآية ، فبعد ثبوته لا يمكن رفع اليد عنه إلاّ بدليل قرآني خاص يكون ناسخاً أو مخصصاً أو مقيّداً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مجاري النسخ والتخصيص والتقييد هو آيات الأحكام ، لا العقائد والمعارف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وراء ذلك فيجب علينا الأخذ بالظواهر دون التنازل عنه قيد شعرة</w:t>
      </w:r>
      <w:r>
        <w:rPr>
          <w:rFonts w:eastAsia="Amiri" w:cs="Amiri" w:ascii="Amiri" w:hAnsi="Amiri"/>
          <w:color w:val="111111"/>
          <w:sz w:val="28"/>
          <w:szCs w:val="28"/>
          <w:rtl w:val="true"/>
          <w:lang w:bidi="ar-SA"/>
        </w:rPr>
        <w:t>.</w:t>
      </w:r>
    </w:p>
    <w:p>
      <w:pPr>
        <w:pStyle w:val="Heading5"/>
        <w:numPr>
          <w:ilvl w:val="4"/>
          <w:numId w:val="1"/>
        </w:numPr>
        <w:rPr/>
      </w:pPr>
      <w:bookmarkStart w:id="759" w:name="__RefHeading___Toc1391469_1067777946"/>
      <w:bookmarkStart w:id="760" w:name="_Toc284"/>
      <w:bookmarkEnd w:id="759"/>
      <w:r>
        <w:rPr>
          <w:rtl w:val="true"/>
        </w:rPr>
        <w:t>الظاهر الإفرادي غير الظاهر الجملي أو التصديقي</w:t>
      </w:r>
      <w:bookmarkEnd w:id="760"/>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الظاهر الإفرادي لا يؤخذ به في منهج العقلاء وإنّما يؤخذ بالظاهر </w:t>
      </w:r>
      <w:bookmarkStart w:id="761" w:name="pg11047_102859"/>
    </w:p>
    <w:p>
      <w:pPr>
        <w:pStyle w:val="BookText"/>
        <w:rPr/>
      </w:pPr>
      <w:bookmarkEnd w:id="761"/>
      <w:r>
        <w:rPr>
          <w:rFonts w:ascii="Amiri" w:hAnsi="Amiri" w:eastAsia="Amiri" w:cs="Amiri"/>
          <w:color w:val="111111"/>
          <w:sz w:val="28"/>
          <w:sz w:val="28"/>
          <w:szCs w:val="28"/>
          <w:rtl w:val="true"/>
          <w:lang w:bidi="ar-SA"/>
        </w:rPr>
        <w:t>الجمْلي والتصديقي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رأيت أسداً في الحمام ، فلفظة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في الحيوان المفترس ، ولكنّه ظاهر أفرادي لا يؤخذ به ولا تدور عليه رحى المحاورة ، وإنّما يؤخذ بالظاهر الجمْلي أو التصديقي وهو الرجل الشجاع بقرينة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الحمام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يتكرر في مصطلحاتنا ومحاضراتنا وصف الرجل ببسط اليد وقبضه ، فله ظهور أفرادي وهو انّ يده مبسوطة لا تقبض أو مقبوضة لا تبسط ، ولكنّه لا يحتج به وله ظهور جملي وتصديقي ، وإنّما يحتج بالظهور الثاني وهو كونه كريماً وسخياً ، أو لئيماً وبخيلاً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قلنا زيد كثير الرماد فالظهور البدوي انّ بيت زيد غير نظيف ، ولكنّه ظهور بدوي ، فإذا لوحظ انّ الكلام ورد في مقام المدح يكون قرينة على أنّ المراد لازم المعنى وهو الجود ، والذي يجب الأخذ به هو الظهور الجملي لا الحرفي والظهور المستقر لا البدوي</w:t>
      </w:r>
      <w:r>
        <w:rPr>
          <w:rFonts w:eastAsia="Amiri" w:cs="Amiri" w:ascii="Amiri" w:hAnsi="Amiri"/>
          <w:color w:val="111111"/>
          <w:sz w:val="28"/>
          <w:szCs w:val="28"/>
          <w:rtl w:val="true"/>
          <w:lang w:bidi="ar-SA"/>
        </w:rPr>
        <w:t>.</w:t>
      </w:r>
    </w:p>
    <w:p>
      <w:pPr>
        <w:pStyle w:val="Heading5"/>
        <w:numPr>
          <w:ilvl w:val="4"/>
          <w:numId w:val="1"/>
        </w:numPr>
        <w:rPr/>
      </w:pPr>
      <w:bookmarkStart w:id="762" w:name="__RefHeading___Toc1391471_1067777946"/>
      <w:bookmarkStart w:id="763" w:name="_Toc285"/>
      <w:bookmarkEnd w:id="762"/>
      <w:r>
        <w:rPr>
          <w:rtl w:val="true"/>
        </w:rPr>
        <w:t>تفسير نماذج من الصفات الخبرية</w:t>
      </w:r>
      <w:bookmarkEnd w:id="763"/>
    </w:p>
    <w:p>
      <w:pPr>
        <w:pStyle w:val="BookText"/>
        <w:rPr/>
      </w:pPr>
      <w:r>
        <w:rPr>
          <w:rFonts w:ascii="Amiri" w:hAnsi="Amiri" w:eastAsia="Amiri" w:cs="Amiri"/>
          <w:color w:val="111111"/>
          <w:sz w:val="28"/>
          <w:sz w:val="28"/>
          <w:szCs w:val="28"/>
          <w:rtl w:val="true"/>
          <w:lang w:bidi="ar-SA"/>
        </w:rPr>
        <w:t>إذا عرفت ذلك فاعلم أنّ الآيات الحاكية عن الصفات الخبرية إذا لوحظت مع القرائن المحتفة بالكلام يتبيّن الظهور التصوري عن التصديقي ، والظهور الابتدائي عن الاستقراري ويتبيّن انّ هذه الآيات غنية عن التأويل بمعنى حمل ظاهر الآية على خلافه</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ولأجل توضيح تلك الفكرة التي عليها العدلية نفسر بعض الآيات على هذا الأساس ليكون مقياساً لسائر الآيات التي ربما يكون ظاهرها البدوي على خلاف التنزيه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يا إِبْلِيسُ ما مَنَعَكَ أَنْ تَسْجُدَ لِما خَلَقْتُ بِيَدَيَّ أَسْتَكْبَرْتَ أَمْ كُنْتَ مِنَ الْعالِينَ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استعمل في العضو المخصوص ولكن كُنِّي بها عن الاهتمام بخلقة آدم حتى يتسنّى بذلك ذم إبليس على ترك السجود لآدم ، فقوله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مَنَعَكَ أَنْ تَسْجُدَ لِما خَلَقْتُ 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أنّ آدم لم يكن مخلوقاً لغيري حتى يصحّ لك يا شيطان التجنّب عن السجود له ، بحجة أنّه لا صلة له بي ، مع أنّه موجود خلقتُه بنفسي ، ونفخت فيه من روحي ، فهو مخلوقي الذي قمت بخلقه ، فمع ذلك تمرّدت عن السجود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فأُطلقت الخلقةُ باليد وكُنّي بها عن قيامه سبحانه بخلقه ، وعنايته بإيجاده ، وتعليمه إيّاه أسماءه ، لأنّ الغالب في عمل الإنسان هو القيام به باستعمال اليد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بنيته بيدي ، أو ما صنعته بيدي ، أو ربّيته بيدي ، ويراد من الكل هو القيام المباشري بالعمل بكلّ الوجود ، لا خصوص اليد ، وكأنّه سبحانه يندد بالشيطان بأنّك تركتَ السجود لموجود اهتممت بخلقه وصنعه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يَرَوْا أَنَّا خَلَقْنا لَهُمْ مِمَّا عَمِلَتْ أَيْدِينا أَنْعاماً فَهُمْ لَها مالِكُونَ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فالمجسّمة المتعبّدة بظواهر النصوص البدوية تستدلّ بالآية على أنّ لله سبحانه أيدي يقوم بها بالأعمال الكبيرة ، ولكن المساكين اغترّوا بالظهور التصوريّ ولم يتدبّروا في الظهور التصديقي ، أخذوا بالظهور الجزئي دون الجملي ، فلو كانوا ممعنين في مضمون الآية وما احتفّ بها من القرائن ، لميّزوا الظهور التصديقي الذي هو الملاك عن غيره ، فإنّ الأيدي في الآية كناية عن تفرّده تعالى</w:t>
      </w:r>
    </w:p>
    <w:p>
      <w:pPr>
        <w:pStyle w:val="BookText"/>
        <w:rPr/>
      </w:pPr>
      <w:r>
        <w:rPr>
          <w:rFonts w:ascii="Amiri" w:hAnsi="Amiri" w:eastAsia="Amiri" w:cs="Amiri"/>
          <w:color w:val="111111"/>
          <w:sz w:val="28"/>
          <w:sz w:val="28"/>
          <w:szCs w:val="28"/>
          <w:rtl w:val="true"/>
          <w:lang w:bidi="ar-SA"/>
        </w:rPr>
        <w:t>بخلق الأنعام وانّه لم يشاركه أحد فيها ، فهي مصنوعة لله تعالى والناس ينتفعون بها ، فبدل أن يشكروا ، يكفرون بنعمته ، وأنت إذا قارنت بين الآيتين تقف على أنّ المقصود هو المعنى الكنائي ، والمدار في الموافقة والمخالفة هو الظهور التصديقي لا التصوري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الشريف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خَلَقْتُ 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مجرى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خلقت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مشهور في لغة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كسبتْ يداك ، وما جرت عليك يداك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أرادوا نفي الفعل عن الفاعل استعملوا فيه هذا الضرب من الكلام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لا تمشي قدمه ، ولا ينطق لسانه ، ولا تكتب يده ، وكذلك في الإثبات ، ولا يكون للفعل رجوع إلى الجوارح في الحقيقة بل الفائدة فيه النفي عن الفاعل</w:t>
      </w:r>
      <w:r>
        <w:rPr>
          <w:rFonts w:eastAsia="Amiri" w:cs="Amiri" w:ascii="Amiri" w:hAnsi="Amiri"/>
          <w:color w:val="111111"/>
          <w:sz w:val="28"/>
          <w:szCs w:val="28"/>
          <w:rtl w:val="true"/>
          <w:lang w:bidi="ar-SA"/>
        </w:rPr>
        <w:t xml:space="preserve">. </w:t>
      </w:r>
      <w:r>
        <w:rPr>
          <w:rStyle w:val="FootnoteAnchor"/>
          <w:rtl w:val="true"/>
        </w:rPr>
        <w:footnoteReference w:id="44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وَالسَّماءَ بَنَيْناها بِأَيْدٍ وَإِنَّا لَمُوسِعُونَ</w:t>
      </w:r>
      <w:r>
        <w:rPr>
          <w:rFonts w:eastAsia="Amiri" w:cs="Amiri" w:ascii="Amiri" w:hAnsi="Amiri"/>
          <w:color w:val="111111"/>
          <w:sz w:val="28"/>
          <w:szCs w:val="28"/>
          <w:rtl w:val="true"/>
          <w:lang w:bidi="ar-SA"/>
        </w:rPr>
        <w:t xml:space="preserve">) </w:t>
      </w:r>
      <w:r>
        <w:rPr>
          <w:rStyle w:val="FootnoteAnchor"/>
          <w:rtl w:val="true"/>
        </w:rPr>
        <w:footnoteReference w:id="444"/>
      </w:r>
      <w:r>
        <w:rPr>
          <w:rFonts w:ascii="Amiri" w:hAnsi="Amiri" w:eastAsia="Amiri" w:cs="Amiri"/>
          <w:color w:val="111111"/>
          <w:sz w:val="28"/>
          <w:sz w:val="28"/>
          <w:szCs w:val="28"/>
          <w:rtl w:val="true"/>
          <w:lang w:bidi="ar-SA"/>
        </w:rPr>
        <w:t xml:space="preserve">فاليد وإن كانت ظاهرة في العضو الخاص لكنّها في الآية كناية عن القوة والإحكام ، وذلك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مظاهر القدرة والقوة بقرينة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وَإِنَّا لَمُوسِعُونَ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وكأنّه سبحانه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والسماء بنيناها بقدرة لا يوصف قدرها وإنّا لذو سعة في القدرة لا يعجزها شيء ، أو بنيناها بقدرة عظيمة ونوسعها في الخلقة</w:t>
      </w:r>
      <w:r>
        <w:rPr>
          <w:rFonts w:eastAsia="Amiri" w:cs="Amiri" w:ascii="Amiri" w:hAnsi="Amiri"/>
          <w:color w:val="111111"/>
          <w:sz w:val="28"/>
          <w:szCs w:val="28"/>
          <w:rtl w:val="true"/>
          <w:lang w:bidi="ar-SA"/>
        </w:rPr>
        <w:t xml:space="preserve">. </w:t>
      </w:r>
      <w:r>
        <w:rPr>
          <w:rStyle w:val="FootnoteAnchor"/>
          <w:rtl w:val="true"/>
        </w:rPr>
        <w:footnoteReference w:id="44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 xml:space="preserve">) </w:t>
      </w:r>
      <w:r>
        <w:rPr>
          <w:rStyle w:val="FootnoteAnchor"/>
          <w:rtl w:val="true"/>
        </w:rPr>
        <w:footnoteReference w:id="446"/>
      </w:r>
      <w:r>
        <w:rPr>
          <w:rFonts w:ascii="Amiri" w:hAnsi="Amiri" w:eastAsia="Amiri" w:cs="Amiri"/>
          <w:color w:val="111111"/>
          <w:sz w:val="28"/>
          <w:sz w:val="28"/>
          <w:szCs w:val="28"/>
          <w:rtl w:val="true"/>
          <w:lang w:bidi="ar-SA"/>
        </w:rPr>
        <w:t xml:space="preserve">انّ العرش في اللغة هو السرير والاستواء عليه هو الجلوس ، غير أنّ هذا حكم مفرداتها ، وأمّا معنى الجملة فيتفرع الاستظهار منها ، على القرائن الحافة بها ، فالعرب الأقحاح لا يفهمون منها سوى السلطة والاستيلاء ، وحملها على غير ذلك يعدّ تصرّفاً في الظاهر ، وتأويلاً لها ، </w:t>
      </w:r>
    </w:p>
    <w:p>
      <w:pPr>
        <w:pStyle w:val="BookText"/>
        <w:rPr/>
      </w:pPr>
      <w:r>
        <w:rPr>
          <w:rFonts w:ascii="IRNazanin" w:hAnsi="IRNazanin" w:eastAsia="IRNazanin"/>
          <w:color w:val="111111"/>
          <w:sz w:val="28"/>
          <w:sz w:val="28"/>
          <w:szCs w:val="28"/>
          <w:rtl w:val="true"/>
          <w:lang w:bidi="fa-IR"/>
        </w:rPr>
        <w:t xml:space="preserve">فإذا سمع العرب قول القائل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استوى بشر على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سيف ودم مهراق</w:t>
      </w:r>
    </w:p>
    <w:p>
      <w:pPr>
        <w:pStyle w:val="BookText"/>
        <w:rPr/>
      </w:pPr>
      <w:r>
        <w:rPr>
          <w:rFonts w:ascii="IRNazanin" w:hAnsi="IRNazanin" w:eastAsia="IRNazanin"/>
          <w:color w:val="111111"/>
          <w:sz w:val="28"/>
          <w:sz w:val="28"/>
          <w:szCs w:val="28"/>
          <w:rtl w:val="true"/>
          <w:lang w:bidi="fa-IR"/>
        </w:rPr>
        <w:t xml:space="preserve">أو سمع قول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علونا واستوينا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تركناهم مرعى لنسر وكاسر</w:t>
      </w:r>
    </w:p>
    <w:p>
      <w:pPr>
        <w:pStyle w:val="BookText"/>
        <w:rPr/>
      </w:pPr>
      <w:r>
        <w:rPr>
          <w:rFonts w:ascii="Amiri" w:hAnsi="Amiri" w:eastAsia="Amiri" w:cs="Amiri"/>
          <w:color w:val="111111"/>
          <w:sz w:val="28"/>
          <w:sz w:val="28"/>
          <w:szCs w:val="28"/>
          <w:rtl w:val="true"/>
          <w:lang w:bidi="ar-SA"/>
        </w:rPr>
        <w:t xml:space="preserve">فلا يتبادر إلى أذهانهم سوى الاستيلاء والسيطرة والسلطة ، لا العلو المكاني الذي لا يعد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كمالاً للجسم ، وأين هو من العلو المعنوي الذي هو كمال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استعمال لفظ الاستواء على العرش في سبع آيات مقترناً بذكر فعل من أفعاله ، وهو رفع السماوات بغير عمد ، أو خلق السماوات والأرض وما بينهما في ستة أيام ، فكان ذاك قرينة على أنّ المراد منه ليس هو الاستواء المكاني بل الاستيلاء والسيطرة على العالم كله ، فكما لا شريك له في الخلق والإيجاد لا شريك له أيضاً في الملك والسلطة ، ولأجل ذلك يقول في بعض هذه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الإخبار عن استوائه على العرش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أَلا لَهُ الْخَلْقُ وَالْأَمْرُ تَبارَكَ اللهُ رَبُّ الْعالَمِينَ</w:t>
      </w:r>
      <w:r>
        <w:rPr>
          <w:rFonts w:eastAsia="Amiri" w:cs="Amiri" w:ascii="Amiri" w:hAnsi="Amiri"/>
          <w:color w:val="111111"/>
          <w:sz w:val="28"/>
          <w:szCs w:val="28"/>
          <w:rtl w:val="true"/>
          <w:lang w:bidi="ar-SA"/>
        </w:rPr>
        <w:t xml:space="preserve">). </w:t>
      </w:r>
      <w:r>
        <w:rPr>
          <w:rStyle w:val="FootnoteAnchor"/>
          <w:rtl w:val="true"/>
        </w:rPr>
        <w:footnoteReference w:id="447"/>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فالتأويل بلا قيد وشرط ، إذا كان ضلالاً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سيوافيك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الجمود على ظهور المفردات ، وترك التفكّر والتعمّق أيضاً ابتداع مفض إلى صريح الكفر ، فلو حمل القارئ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 xml:space="preserve">) </w:t>
      </w:r>
      <w:r>
        <w:rPr>
          <w:rStyle w:val="FootnoteAnchor"/>
          <w:rtl w:val="true"/>
        </w:rPr>
        <w:footnoteReference w:id="448"/>
      </w:r>
      <w:r>
        <w:rPr>
          <w:rFonts w:ascii="Amiri" w:hAnsi="Amiri" w:eastAsia="Amiri" w:cs="Amiri"/>
          <w:color w:val="111111"/>
          <w:sz w:val="28"/>
          <w:sz w:val="28"/>
          <w:szCs w:val="28"/>
          <w:rtl w:val="true"/>
          <w:lang w:bidi="ar-SA"/>
        </w:rPr>
        <w:t xml:space="preserve">على أنّ لله مثلاً ، وليس لهذا المثل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يقع في مغبّة الشرك وحبائله ، وقد نقل الرازي في تفسيره لهذه الآية كلاماً عن ابن خزيمة نأتي بنصّه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 أنّ محمد بن إسحاق بن خزيمة أورد استدلال أصحابنا بهذه الآية في الكتاب الذي سمّاه </w:t>
      </w:r>
    </w:p>
    <w:p>
      <w:pPr>
        <w:pStyle w:val="BookText"/>
        <w:rPr/>
      </w:pPr>
      <w:r>
        <w:rPr>
          <w:rFonts w:ascii="Amiri" w:hAnsi="Amiri" w:eastAsia="Amiri" w:cs="Amiri"/>
          <w:color w:val="111111"/>
          <w:sz w:val="28"/>
          <w:sz w:val="28"/>
          <w:szCs w:val="28"/>
          <w:rtl w:val="true"/>
          <w:lang w:bidi="ar-SA"/>
        </w:rPr>
        <w:t>بالتوحيد ، وهو في الحقيقة كتاب الشرك ، واعترض عليها ، وأنّا أذكر حاصل كلامه بعد حذف التطويلات ، لأنّه كان رجلاً مضطرب الكلام ، قليل الفهم ، ناقص العقل</w:t>
      </w:r>
      <w:r>
        <w:rPr>
          <w:rFonts w:eastAsia="Amiri" w:cs="Amiri" w:ascii="Amiri" w:hAnsi="Amiri"/>
          <w:color w:val="111111"/>
          <w:sz w:val="28"/>
          <w:szCs w:val="28"/>
          <w:rtl w:val="true"/>
          <w:lang w:bidi="ar-SA"/>
        </w:rPr>
        <w:t xml:space="preserve">». </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هذه نماذج قدمناها إلى القارئ الكريم لكي تسلط ضوءاً على تفسير ما لم نذكره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فخرجنا بالنتيجة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الصفات الخبرية كالوجه واليد ، والعين وغيرها ، لها حكم عند الافراد ولها حكم آخر إذا جاءت في ضمن الجمل فعند الافراد يؤخذ بمعانيها اللغوية ، وعند ما تأتي في ضمن الجمل ، تتبع القرائن الموجودة في الكلام من غير فرق بين ما وقع وصفاً لله سبحانه ، أو جاء وصفاً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تَجْعَلْ يَدَكَ مَغْلُولَةً إِلى عُنُقِكَ وَلا تَبْسُطْها كُلَّ الْبَسْطِ فَتَقْعُدَ مَلُوماً مَحْسُوراً</w:t>
      </w:r>
      <w:r>
        <w:rPr>
          <w:rFonts w:eastAsia="Amiri" w:cs="Amiri" w:ascii="Amiri" w:hAnsi="Amiri"/>
          <w:color w:val="111111"/>
          <w:sz w:val="28"/>
          <w:szCs w:val="28"/>
          <w:rtl w:val="true"/>
          <w:lang w:bidi="ar-SA"/>
        </w:rPr>
        <w:t xml:space="preserve">) </w:t>
      </w:r>
      <w:r>
        <w:rPr>
          <w:rStyle w:val="FootnoteAnchor"/>
          <w:rtl w:val="true"/>
        </w:rPr>
        <w:footnoteReference w:id="450"/>
      </w:r>
      <w:r>
        <w:rPr>
          <w:rFonts w:ascii="Amiri" w:hAnsi="Amiri" w:eastAsia="Amiri" w:cs="Amiri"/>
          <w:color w:val="111111"/>
          <w:sz w:val="28"/>
          <w:sz w:val="28"/>
          <w:szCs w:val="28"/>
          <w:rtl w:val="true"/>
          <w:lang w:bidi="ar-SA"/>
        </w:rPr>
        <w:t>تحمل اليد والعنق على ما هو المتبادر من هذه الجمل ، وهو الإسراف والتقتير ، فبسط اليد أُريد به الإنفاق بلا شرط ؛ كما أنّ جعل اليد مغلولة ، أُريد به التقتير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بسط اليد عند الإفراد بمعنى مدها وغلّ اليد إلى العنق بمعنى شدّها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يظهر لك مقاصد الآيات التي وردت فيها الصفات الخبرية ، نظير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العين ، كقوله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وَلِتُصْنَعَ عَلى عَيْنِي</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اليمين ، كقوله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وَالسَّماواتُ مَطْوِيَّاتٌ بِيَمِينِهِ</w:t>
      </w:r>
      <w:r>
        <w:rPr>
          <w:rFonts w:eastAsia="Amiri" w:cs="Amiri" w:ascii="Amiri" w:hAnsi="Amiri"/>
          <w:color w:val="111111"/>
          <w:sz w:val="28"/>
          <w:szCs w:val="28"/>
          <w:rtl w:val="true"/>
          <w:lang w:bidi="ar-SA"/>
        </w:rPr>
        <w:t xml:space="preserve">). </w:t>
      </w:r>
      <w:r>
        <w:rPr>
          <w:rStyle w:val="FootnoteAnchor"/>
          <w:rtl w:val="true"/>
        </w:rPr>
        <w:footnoteReference w:id="45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الاستواء ، كقوله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 xml:space="preserve">). </w:t>
      </w:r>
      <w:r>
        <w:rPr>
          <w:rStyle w:val="FootnoteAnchor"/>
          <w:rtl w:val="true"/>
        </w:rPr>
        <w:footnoteReference w:id="45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النفس ، كقوله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 ما فِي نَفْسِي وَلا أَعْلَمُ ما فِي نَفْسِكَ</w:t>
      </w:r>
      <w:r>
        <w:rPr>
          <w:rFonts w:eastAsia="Amiri" w:cs="Amiri" w:ascii="Amiri" w:hAnsi="Amiri"/>
          <w:color w:val="111111"/>
          <w:sz w:val="28"/>
          <w:szCs w:val="28"/>
          <w:rtl w:val="true"/>
          <w:lang w:bidi="ar-SA"/>
        </w:rPr>
        <w:t xml:space="preserve">). </w:t>
      </w:r>
      <w:r>
        <w:rPr>
          <w:rStyle w:val="FootnoteAnchor"/>
          <w:rtl w:val="true"/>
        </w:rPr>
        <w:footnoteReference w:id="45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الوجه ، كقوله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فَأَيْنَما تُوَلُّوا فَثَمَّ وَجْهُ اللهِ</w:t>
      </w:r>
      <w:r>
        <w:rPr>
          <w:rFonts w:eastAsia="Amiri" w:cs="Amiri" w:ascii="Amiri" w:hAnsi="Amiri"/>
          <w:color w:val="111111"/>
          <w:sz w:val="28"/>
          <w:szCs w:val="28"/>
          <w:rtl w:val="true"/>
          <w:lang w:bidi="ar-SA"/>
        </w:rPr>
        <w:t xml:space="preserve">). </w:t>
      </w:r>
      <w:r>
        <w:rPr>
          <w:rStyle w:val="FootnoteAnchor"/>
          <w:rtl w:val="true"/>
        </w:rPr>
        <w:footnoteReference w:id="45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الساق ، كقوله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يُكْشَفُ عَنْ ساقٍ</w:t>
      </w:r>
      <w:r>
        <w:rPr>
          <w:rFonts w:eastAsia="Amiri" w:cs="Amiri" w:ascii="Amiri" w:hAnsi="Amiri"/>
          <w:color w:val="111111"/>
          <w:sz w:val="28"/>
          <w:szCs w:val="28"/>
          <w:rtl w:val="true"/>
          <w:lang w:bidi="ar-SA"/>
        </w:rPr>
        <w:t xml:space="preserve">). </w:t>
      </w:r>
      <w:r>
        <w:rPr>
          <w:rStyle w:val="FootnoteAnchor"/>
          <w:rtl w:val="true"/>
        </w:rPr>
        <w:footnoteReference w:id="45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الجنب ، كقوله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ما فَرَّطْتُ فِي جَنْبِ اللهِ</w:t>
      </w:r>
      <w:r>
        <w:rPr>
          <w:rFonts w:eastAsia="Amiri" w:cs="Amiri" w:ascii="Amiri" w:hAnsi="Amiri"/>
          <w:color w:val="111111"/>
          <w:sz w:val="28"/>
          <w:szCs w:val="28"/>
          <w:rtl w:val="true"/>
          <w:lang w:bidi="ar-SA"/>
        </w:rPr>
        <w:t xml:space="preserve">). </w:t>
      </w:r>
      <w:r>
        <w:rPr>
          <w:rStyle w:val="FootnoteAnchor"/>
          <w:rtl w:val="true"/>
        </w:rPr>
        <w:footnoteReference w:id="45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القرب ، كقوله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قَرِيبٌ أُجِيبُ دَعْوَةَ الدَّاعِ</w:t>
      </w:r>
      <w:r>
        <w:rPr>
          <w:rFonts w:eastAsia="Amiri" w:cs="Amiri" w:ascii="Amiri" w:hAnsi="Amiri"/>
          <w:color w:val="111111"/>
          <w:sz w:val="28"/>
          <w:szCs w:val="28"/>
          <w:rtl w:val="true"/>
          <w:lang w:bidi="ar-SA"/>
        </w:rPr>
        <w:t xml:space="preserve">). </w:t>
      </w:r>
      <w:r>
        <w:rPr>
          <w:rStyle w:val="FootnoteAnchor"/>
          <w:rtl w:val="true"/>
        </w:rPr>
        <w:footnoteReference w:id="457"/>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المجيء ، كقوله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وَجاءَ رَبُّكَ</w:t>
      </w:r>
      <w:r>
        <w:rPr>
          <w:rFonts w:eastAsia="Amiri" w:cs="Amiri" w:ascii="Amiri" w:hAnsi="Amiri"/>
          <w:color w:val="111111"/>
          <w:sz w:val="28"/>
          <w:szCs w:val="28"/>
          <w:rtl w:val="true"/>
          <w:lang w:bidi="ar-SA"/>
        </w:rPr>
        <w:t xml:space="preserve">). </w:t>
      </w:r>
      <w:r>
        <w:rPr>
          <w:rStyle w:val="FootnoteAnchor"/>
          <w:rtl w:val="true"/>
        </w:rPr>
        <w:footnoteReference w:id="458"/>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الإتيان ، كما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يَأْتِيَ رَبُّكَ</w:t>
      </w:r>
      <w:r>
        <w:rPr>
          <w:rFonts w:eastAsia="Amiri" w:cs="Amiri" w:ascii="Amiri" w:hAnsi="Amiri"/>
          <w:color w:val="111111"/>
          <w:sz w:val="28"/>
          <w:szCs w:val="28"/>
          <w:rtl w:val="true"/>
          <w:lang w:bidi="ar-SA"/>
        </w:rPr>
        <w:t xml:space="preserve">). </w:t>
      </w:r>
      <w:r>
        <w:rPr>
          <w:rStyle w:val="FootnoteAnchor"/>
          <w:rtl w:val="true"/>
        </w:rPr>
        <w:footnoteReference w:id="459"/>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الغضب ، كما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وَغَضِبَ اللهُ عَلَيْهِمْ</w:t>
      </w:r>
      <w:r>
        <w:rPr>
          <w:rFonts w:eastAsia="Amiri" w:cs="Amiri" w:ascii="Amiri" w:hAnsi="Amiri"/>
          <w:color w:val="111111"/>
          <w:sz w:val="28"/>
          <w:szCs w:val="28"/>
          <w:rtl w:val="true"/>
          <w:lang w:bidi="ar-SA"/>
        </w:rPr>
        <w:t xml:space="preserve">). </w:t>
      </w:r>
      <w:r>
        <w:rPr>
          <w:rStyle w:val="FootnoteAnchor"/>
          <w:rtl w:val="true"/>
        </w:rPr>
        <w:footnoteReference w:id="460"/>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الرضا ، كما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Style w:val="FootnoteAnchor"/>
          <w:rtl w:val="true"/>
        </w:rPr>
        <w:footnoteReference w:id="461"/>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غير ذلك من الصفات الخبرية التي وردت في القرآن الكريم وأخبر عنها الوحي ، فللجميع ظواهر غير مستقرة لا تلائم الأُصول الواردة في محكمات الآيات ، ولكن بالإمعان والدقة يصل الإنسان إلى مآلها ومرجعها وواقعها ، وهذا </w:t>
      </w:r>
    </w:p>
    <w:p>
      <w:pPr>
        <w:pStyle w:val="BookText"/>
        <w:rPr/>
      </w:pPr>
      <w:r>
        <w:rPr>
          <w:rFonts w:ascii="Amiri" w:hAnsi="Amiri" w:eastAsia="Amiri" w:cs="Amiri"/>
          <w:color w:val="111111"/>
          <w:sz w:val="28"/>
          <w:sz w:val="28"/>
          <w:szCs w:val="28"/>
          <w:rtl w:val="true"/>
          <w:lang w:bidi="ar-SA"/>
        </w:rPr>
        <w:t>لا يعني حمل الظاهر على خلافه ، بل التتبع في القرائن الموجودة في نفس الآية لغاية العثور على الظاهر ، إذ ليس للمتشابه ظاهر ظهور مستقرّ في بدء الأمر حتّى نتبعه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هنا سؤال وهو انّ تفسير الصفات الخبرية في ضوء القرائن الموجودة في الآية ينتهي بنا إلى القول بالتأويل ، فأيّ فرق بين هذا والقول بالتأويل؟</w:t>
      </w:r>
    </w:p>
    <w:p>
      <w:pPr>
        <w:pStyle w:val="BookText"/>
        <w:rPr/>
      </w:pPr>
      <w:r>
        <w:rPr>
          <w:rFonts w:ascii="Amiri" w:hAnsi="Amiri" w:eastAsia="Amiri" w:cs="Amiri"/>
          <w:color w:val="111111"/>
          <w:sz w:val="28"/>
          <w:sz w:val="28"/>
          <w:szCs w:val="28"/>
          <w:rtl w:val="true"/>
          <w:lang w:bidi="ar-SA"/>
        </w:rPr>
        <w:t>والإجابة عنه واضحة ، وذلك لأنّه إن أُريد من التأويل هو حمل الكلام على ظهوره التصديقي ، سواء أكان المعنى حقيقياً أم مجازياً فهذا أمر مقبول ، سواء أسمي بالأخذ بالظاهر أو سمي بالتأويل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من التأويل هو صرف ظاهر الآية إلى خلافه فهو أمر مرفوض فانّ ظاهر القرآن حجّة قطعية لا يعدل عنها ، إنّما اللازم هو تشخيص الظاهر فانّ من يسمّي هذا النوع من التفسير تأويلاً فإنّما يأخذ بحرفية ظاهر الكلمة وظهورها الافرادي ، وقد عرفت أنّ الميزان هو الظهور التصديقي والظهور الجملي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هناك بحثان آخران ربما نفردهما بالتعريف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تأويل المتشابه الذي ورد في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يَعْلَمُ تَأْوِيلَهُ إِلاَّ اللهُ</w:t>
      </w:r>
      <w:r>
        <w:rPr>
          <w:rFonts w:eastAsia="Amiri" w:cs="Amiri" w:ascii="Amiri" w:hAnsi="Amiri"/>
          <w:color w:val="111111"/>
          <w:sz w:val="28"/>
          <w:szCs w:val="28"/>
          <w:rtl w:val="true"/>
          <w:lang w:bidi="ar-SA"/>
        </w:rPr>
        <w:t xml:space="preserve">). </w:t>
      </w:r>
      <w:r>
        <w:rPr>
          <w:rStyle w:val="FootnoteAnchor"/>
          <w:rtl w:val="true"/>
        </w:rPr>
        <w:footnoteReference w:id="46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تأويل كلّ القرآن الذي ورد في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يَنْظُرُونَ إِلاَّ تَأْوِيلَهُ يَوْمَ يَأْتِي تَأْوِيلُهُ يَقُولُ الَّذِينَ نَسُوهُ مِنْ قَبْلُ</w:t>
      </w:r>
      <w:r>
        <w:rPr>
          <w:rFonts w:eastAsia="Amiri" w:cs="Amiri" w:ascii="Amiri" w:hAnsi="Amiri"/>
          <w:color w:val="111111"/>
          <w:sz w:val="28"/>
          <w:szCs w:val="28"/>
          <w:rtl w:val="true"/>
          <w:lang w:bidi="ar-SA"/>
        </w:rPr>
        <w:t xml:space="preserve">). </w:t>
      </w:r>
      <w:r>
        <w:rPr>
          <w:rStyle w:val="FootnoteAnchor"/>
          <w:rtl w:val="true"/>
        </w:rPr>
        <w:footnoteReference w:id="463"/>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انّ البحث في هذين الموضوعين طويل الذيل نحيل القارئ الكريم في هذا الصدد إلى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المناهج التفسيرية في علوم القرآن</w:t>
      </w:r>
      <w:r>
        <w:rPr>
          <w:rFonts w:eastAsia="Amiri" w:cs="Amiri" w:ascii="Amiri" w:hAnsi="Amiri"/>
          <w:color w:val="111111"/>
          <w:sz w:val="28"/>
          <w:szCs w:val="28"/>
          <w:rtl w:val="true"/>
          <w:lang w:bidi="ar-SA"/>
        </w:rPr>
        <w:t xml:space="preserve">». </w:t>
      </w:r>
      <w:r>
        <w:rPr>
          <w:rStyle w:val="FootnoteAnchor"/>
          <w:rtl w:val="true"/>
        </w:rPr>
        <w:footnoteReference w:id="464"/>
      </w:r>
      <w:bookmarkStart w:id="764" w:name="pg11047_102866"/>
    </w:p>
    <w:p>
      <w:pPr>
        <w:pStyle w:val="Heading5"/>
        <w:numPr>
          <w:ilvl w:val="4"/>
          <w:numId w:val="1"/>
        </w:numPr>
        <w:rPr/>
      </w:pPr>
      <w:bookmarkStart w:id="765" w:name="__RefHeading___Toc1391473_1067777946"/>
      <w:bookmarkStart w:id="766" w:name="_Toc286"/>
      <w:bookmarkEnd w:id="764"/>
      <w:bookmarkEnd w:id="765"/>
      <w:r>
        <w:rPr>
          <w:rtl w:val="true"/>
        </w:rPr>
        <w:t>كلمة شيخ الأزهر الشيخ سليم البشري حول الصفات الخبريّة</w:t>
      </w:r>
      <w:bookmarkEnd w:id="766"/>
    </w:p>
    <w:p>
      <w:pPr>
        <w:pStyle w:val="BookText"/>
        <w:rPr/>
      </w:pPr>
      <w:r>
        <w:rPr>
          <w:rFonts w:ascii="Amiri" w:hAnsi="Amiri" w:eastAsia="Amiri" w:cs="Amiri"/>
          <w:color w:val="111111"/>
          <w:sz w:val="28"/>
          <w:sz w:val="28"/>
          <w:szCs w:val="28"/>
          <w:rtl w:val="true"/>
          <w:lang w:bidi="ar-SA"/>
        </w:rPr>
        <w:t xml:space="preserve">كلمة شيخ الأزهر الشيخ سليم البشري </w:t>
      </w:r>
      <w:r>
        <w:rPr>
          <w:rStyle w:val="FootnoteAnchor"/>
          <w:rtl w:val="true"/>
        </w:rPr>
        <w:footnoteReference w:id="465"/>
      </w:r>
      <w:r>
        <w:rPr>
          <w:rFonts w:ascii="Amiri" w:hAnsi="Amiri" w:eastAsia="Amiri" w:cs="Amiri"/>
          <w:color w:val="111111"/>
          <w:sz w:val="28"/>
          <w:sz w:val="28"/>
          <w:szCs w:val="28"/>
          <w:rtl w:val="true"/>
          <w:lang w:bidi="ar-SA"/>
        </w:rPr>
        <w:t>حول الصفات الخبريّة</w:t>
      </w:r>
    </w:p>
    <w:p>
      <w:pPr>
        <w:pStyle w:val="BookText"/>
        <w:rPr/>
      </w:pPr>
      <w:r>
        <w:rPr>
          <w:rFonts w:ascii="Amiri" w:hAnsi="Amiri" w:eastAsia="Amiri" w:cs="Amiri"/>
          <w:color w:val="111111"/>
          <w:sz w:val="28"/>
          <w:sz w:val="28"/>
          <w:szCs w:val="28"/>
          <w:rtl w:val="true"/>
          <w:lang w:bidi="ar-SA"/>
        </w:rPr>
        <w:t xml:space="preserve">ونحن نختم هذا البحث بذكر كلمة شيخ الأزهر الشيخ سليم البشري كتبه حول سؤال رفعه إليه الشيخ أحمد علي بدر شيخ معهد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بلصفورة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وإليك خلاصة السؤال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قولكم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فضلكم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من أهل العلم يتظاهر باعتقاد ثبوت جهة الفوقية لله سبحانه وتعالى ويدّعي انّ ذلك مذهب السلف ، وتبعه على ذلك بعض الناس وجمهور أهل العلم ينكرون ذلك ، والسبب في تظاهره بهذا المعتقد عثوره على كتاب لبعض علماء الهند نقل فيه صاحبه كلاماً كثيراً عن ابن تيمية في إثبات الجهة للباري سبحانه وتعالى ويخطئ أبا البركات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خريدته </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منزه عن الحلول والجهة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والاتصال الانفصال والسفه </w:t>
      </w:r>
      <w:bookmarkStart w:id="767" w:name="pg11047_102867"/>
    </w:p>
    <w:p>
      <w:pPr>
        <w:pStyle w:val="BookText"/>
        <w:rPr/>
      </w:pPr>
      <w:bookmarkEnd w:id="767"/>
      <w:r>
        <w:rPr>
          <w:rFonts w:ascii="Amiri" w:hAnsi="Amiri" w:eastAsia="Amiri" w:cs="Amiri"/>
          <w:color w:val="111111"/>
          <w:sz w:val="28"/>
          <w:sz w:val="28"/>
          <w:szCs w:val="28"/>
          <w:rtl w:val="true"/>
          <w:lang w:bidi="ar-SA"/>
        </w:rPr>
        <w:t xml:space="preserve">يخطئه في موضعين من البيت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والجهة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والانفصال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والشيخ اللقاني في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ويستحيل ضدّ ذي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حقّه كالكون في الجهات</w:t>
      </w:r>
    </w:p>
    <w:p>
      <w:pPr>
        <w:pStyle w:val="BookText"/>
        <w:rPr/>
      </w:pPr>
      <w:r>
        <w:rPr>
          <w:rFonts w:ascii="Amiri" w:hAnsi="Amiri" w:eastAsia="Amiri" w:cs="Amiri"/>
          <w:color w:val="111111"/>
          <w:sz w:val="28"/>
          <w:sz w:val="28"/>
          <w:szCs w:val="28"/>
          <w:rtl w:val="true"/>
          <w:lang w:bidi="ar-SA"/>
        </w:rPr>
        <w:t>وبالجملة هو مخطئ لكلّ من يقول بنفي الجهة مهما كان 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على فضيلتكم أنّ الكلام في مسألة الجهة شهير ، إلاّ أنّه من المعلوم أنّ قول فضيلتكم سيما في مثل هذا الأمر هو الفصل ، وأرجو أن يكون عليه إمضاؤكم بخطكم والختم ولا مؤاخذة ، لا زلتم محفوظين ولمذهب أهل السنّة والجماعة ناصرين آمين</w:t>
      </w:r>
      <w:r>
        <w:rPr>
          <w:rFonts w:eastAsia="Amiri" w:cs="Amiri" w:ascii="Amiri" w:hAnsi="Amiri"/>
          <w:color w:val="111111"/>
          <w:sz w:val="28"/>
          <w:szCs w:val="28"/>
          <w:rtl w:val="true"/>
          <w:lang w:bidi="ar-SA"/>
        </w:rPr>
        <w:t>.</w:t>
      </w:r>
    </w:p>
    <w:p>
      <w:pPr>
        <w:pStyle w:val="Heading5"/>
        <w:numPr>
          <w:ilvl w:val="4"/>
          <w:numId w:val="1"/>
        </w:numPr>
        <w:rPr/>
      </w:pPr>
      <w:bookmarkStart w:id="768" w:name="__RefHeading___Toc1391475_1067777946"/>
      <w:bookmarkStart w:id="769" w:name="_Toc287"/>
      <w:bookmarkEnd w:id="768"/>
      <w:r>
        <w:rPr>
          <w:rtl w:val="true"/>
        </w:rPr>
        <w:t>نصّ الجواب</w:t>
      </w:r>
      <w:bookmarkEnd w:id="769"/>
    </w:p>
    <w:p>
      <w:pPr>
        <w:pStyle w:val="BookText"/>
        <w:rPr/>
      </w:pPr>
      <w:r>
        <w:rPr>
          <w:rFonts w:ascii="Amiri" w:hAnsi="Amiri" w:eastAsia="Amiri" w:cs="Amiri"/>
          <w:color w:val="111111"/>
          <w:sz w:val="28"/>
          <w:sz w:val="28"/>
          <w:szCs w:val="28"/>
          <w:rtl w:val="true"/>
          <w:lang w:bidi="ar-SA"/>
        </w:rPr>
        <w:t xml:space="preserve">وقد كتب إليه شيخ الأزهر جواباً لسؤاله وهذا نصّه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حضرة الفاضل العلاّمة الشيخ أحمد علي بدر خادم العلم الشريف ببلصفورة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أرسلتم بتاريخ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سنة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مكتوباً مصحوباً بسؤال عن حكم من يعتقد ثبوت الجهة له تعالى ، فحررنا لكم الجواب الآتي وفيه الكفاية لمن اتّبع الحق وأنصف ، جزاكم الله عن المسلمين خيراً</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أيدك الله بتوفيقه وسلك بنا وبك سواء طريقه ، أنّ مذهب الفرقة الناجية وما عليه أجمع السنّيون أنّ الله تعالى منزّه عن مشابهة الحوادث ، مخالف لها في جميع سمات الحدوث ، ومن ذلك تنزهه عن الجهة والمكان كما دلّت على ذلك البراهين القطعية ، فانّ كونه في جهة يستلزم قدم الجهة أو المكان وهما من العالم ، </w:t>
      </w:r>
    </w:p>
    <w:p>
      <w:pPr>
        <w:pStyle w:val="BookText"/>
        <w:rPr/>
      </w:pPr>
      <w:r>
        <w:rPr>
          <w:rFonts w:ascii="Amiri" w:hAnsi="Amiri" w:eastAsia="Amiri" w:cs="Amiri"/>
          <w:color w:val="111111"/>
          <w:sz w:val="28"/>
          <w:sz w:val="28"/>
          <w:szCs w:val="28"/>
          <w:rtl w:val="true"/>
          <w:lang w:bidi="ar-SA"/>
        </w:rPr>
        <w:t>وهو ما سوى الله تعالى ، وقد قام البرهان القاطع على حدوث كلّ ما سوى الله تعالى بإجماع من أثبت الجهة ومن نفاها ، ولأنّ المتمكن يستحيل وجود ذاته بدون المكان مع أنّ المكان يمكن وجوده بدون المتمكن لجواز الخلاء ، فيلزم إمكان الواجب ووجوب الممكن ، وكلاهما باطل ، ولأنّه لو تحيز لمكان جوهراً لاستحالة كونه عرضاً ، ولو كان جوهراً فامّا أن ينقسم وإمّا أن لا ينقسم ، وكلاهما باطل ، فانّ غير المنقسم هو الجزء الذي لا يتجزأ وهو أحقر الأشياء ، تعالى الله عن ذلك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والمنقسم جسم وهو مركّب والتركيب ينافي الوجوب الذاتي ، فيكون المركّب ممكناً يحتاج إلى علّة مؤثرة ، وقد ثبت بالبرهان القاطع أنّه تعالى واجب الوجود لذاته ، غنيّ عن كلّ ما سواه ، مفتقر إليه كلّ ما عداه ، سبحانه ليس كمثله شيء وهو السّميع البصير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خذل الله أقواماً أغواهم الشيطان وأزلّهم ، اتّبعوا أهواءهم وتمسّكوا بما لا يجدي فاعتقدوا ثبوت الجهة تعالى الله عن ذلك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واتّفقوا على أنّها جهة فوق إلاّ أنّهم افترقوا ؛ فمنهم من اعتقد أنّه جسم مماس للسطح الأعلى من العرش ، وبه قال الكرامية واليهود ، وهؤلاء لا نزاع في كفرهم</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 من أثبت الجهة مع التنزيه ، وأنّ كونه فيها ليس ككون الأجسام ، وهؤلاء ضلاّل فسّاق في عقيدتهم ، وإطلاقهم على الله ما لم يأذن به الشارع ، ولا مرية أنّ فاسق العقيدة أقبح وأشنع من فاسق الجارحة بكثير سيما من كان داعية أو مقتدى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نسب إليه القول بالجهة من المتأخّرين أحمد بن عبد الحليم بن عبد السلام بن تيمية الحراني الحنبلي الدمشقي من علماء القرن الثامن ، في ضمن </w:t>
      </w:r>
    </w:p>
    <w:p>
      <w:pPr>
        <w:pStyle w:val="BookText"/>
        <w:rPr/>
      </w:pPr>
      <w:r>
        <w:rPr>
          <w:rFonts w:ascii="Amiri" w:hAnsi="Amiri" w:eastAsia="Amiri" w:cs="Amiri"/>
          <w:color w:val="111111"/>
          <w:sz w:val="28"/>
          <w:sz w:val="28"/>
          <w:szCs w:val="28"/>
          <w:rtl w:val="true"/>
          <w:lang w:bidi="ar-SA"/>
        </w:rPr>
        <w:t>أُمور نسبت إليه خالف الإجماع فيها عملاً برأيه وشنع عليه معاصروه بل البعض منهم كفروه ، ولقى من الذل والهوان ما لقى ، وقد انتدب بعض تلامذته للذب عنه وتبرئته ممّا نسب إليه وساق له عبارات أوضح معناها ، وأبان غلط الناس في فهم مراده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واستشهد بعبارات له أُخرى صريحة في دفع التهمة عنه ، وأنّه لم يخرج عمّا عليه الإجماع ، وذلك هو المظنون بالرجل لجلالة قدره ورسوخ قدمه ، وما تمسّك به المخالفون القائلون بالجهة أُمور واهية وهمية ، لا تصلح أدلّة عقلية ولا نقلية ، قد أبطلها العلماء بما لا مزيد عليه ، وما تمسكوا به ظواهر آيات وأحاديث موهمة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إِلَيْهِ يَصْعَدُ الْكَلِمُ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تَعْرُجُ الْمَلائِكَةُ وَالرُّوحُ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أَأَمِنْتُمْ مَنْ فِي السَّماءِ أَنْ يَخْسِفَ بِكُمُ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الْقاهِرُ فَوْقَ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تعالى ينزل إلى سماء الدنيا كلّ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ليلة جمعة فيقول هل من تائب فأتوب عليه؟ هل من مستغفر فأغفر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وكقوله للجارية الخرساء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الله فأشارت إلى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سأل بأين التي للمكان ولم ينكر عليها الإشارة إلى السماء ، بل قال إنّها مؤمنة</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هذه يجاب عنها بأنّها ظواهر ظنيّة لا تعارض الأدلّة القطعية اليقينيّة الدالّة على انتفاء المكان والجهة ، فيجب تأويلها وحملها على محامل صحيحة لا تأباها الدلائل والنصوص الشرعية ، إمّا تأويلاً إجمالياً بلا تعيين للمراد منها كما هو مذهب السلف ، وإمّا تأويلاً تفصيلياً بتعيين محاملها وما يراد منها كما هو رأي الخلف ،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الاستواء بمعنى الاستيلاء كما في قول القائل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قد استوى بشر على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سيف ودم مُهراق</w:t>
      </w:r>
    </w:p>
    <w:p>
      <w:pPr>
        <w:pStyle w:val="BookText"/>
        <w:rPr/>
      </w:pPr>
      <w:r>
        <w:rPr>
          <w:rFonts w:ascii="Amiri" w:hAnsi="Amiri" w:eastAsia="Amiri" w:cs="Amiri"/>
          <w:color w:val="111111"/>
          <w:sz w:val="28"/>
          <w:sz w:val="28"/>
          <w:szCs w:val="28"/>
          <w:rtl w:val="true"/>
          <w:lang w:bidi="ar-SA"/>
        </w:rPr>
        <w:t xml:space="preserve">وصعود الكلم الطيب إليه قبوله إياه ورضاه به ، لأنّ الكلم عرض يستحيل صعوده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في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أمره وسلطانه أو ملك من ملائكته موكّل بالعذاب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وعروج الملائكة والروح إليه صعودهم إلى مكان يتقرب إليه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 عباده أي بالقدرة والغلبة ، فإنّ كلّ من قهر غيره وغلبه فهو فوقه أي عال عليه بالقهر والغلبة ،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فلان فوق أمر فلان ، أي أنّه أقدر منه وأغلب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ونزوله إلى السماء محمول على لطفه ورحمته وعدم المعاملة بما يستدعيه علوّ رتبته وعظم شأنه على سبيل التمثيل ، وخصّ الليل لأنّه مظنّة الخلوة والخضوع وحضور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وسؤاله للجارية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استكشاف لما يظن بها اعتقاده من أينية المعبود كما يعتقده الوثنيون ، فلمّا أشارت إلى السماء فهم أنّها أرادت خالق السماء ، فاستبان أنّها ليست وثنية ، وحكم بإيمانها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بسط العلماء في مطولاتهم تأويل كلّ ما ورد من أمثال ذلك ، عملاً بالقطعي وحملاً للظني عليه ، فجزاهم الله عن الدين وأهله خير الجزاء</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العجيب أن يدع مسلم قول جماعة المسلمين وأئمّتهم ويتمشدق بتُرهات المبتدعين وضلالتهم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سمعوا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وَيَتَّبِعْ غَيْرَ سَبِيلِ الْمُؤْمِنِينَ نُوَلِّهِ ما تَوَلَّى وَنُصْلِهِ جَهَنَّمَ وَساءَتْ مَصِيراً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فليتب إلى الله تعالى من تلطخ بشيء من هذه القاذورات ولا يتبع خطوات الشيطان فانّه يأمر بالفحشاء والمنكر ، ولا يحملنه العناد على التمادي والإصرار عليه فانّ الرجوع إلى الصواب </w:t>
      </w:r>
      <w:bookmarkStart w:id="770" w:name="pg11047_102871"/>
    </w:p>
    <w:p>
      <w:pPr>
        <w:pStyle w:val="BookText"/>
        <w:rPr/>
      </w:pPr>
      <w:bookmarkEnd w:id="770"/>
      <w:r>
        <w:rPr>
          <w:rFonts w:ascii="Amiri" w:hAnsi="Amiri" w:eastAsia="Amiri" w:cs="Amiri"/>
          <w:color w:val="111111"/>
          <w:sz w:val="28"/>
          <w:sz w:val="28"/>
          <w:szCs w:val="28"/>
          <w:rtl w:val="true"/>
          <w:lang w:bidi="ar-SA"/>
        </w:rPr>
        <w:t xml:space="preserve">عين الصواب والتمادي على الباطل يفضي إلى أشدّ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يَهْدِ اللهُ فَهُوَ الْمُهْتَدِ وَمَنْ يُضْلِلْ فَلَنْ تَجِدَ لَهُ وَلِيًّا مُرْشِداً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الله تعالى أن يهدينا جميعاً سواء السبيل وهو حسبنا ونعم الوكيل ، وصلّى الله تعالى وسلّم على سيّدنا محمّد وصحبه أجمعين ومن تبعهم بإحسان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أملاه الفقير إليه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البشري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خادم العلم والسادة المالكية بالأزهر عفى عنه آمين آمين</w:t>
      </w:r>
      <w:r>
        <w:rPr>
          <w:rFonts w:eastAsia="Amiri" w:cs="Amiri" w:ascii="Amiri" w:hAnsi="Amiri"/>
          <w:color w:val="111111"/>
          <w:sz w:val="28"/>
          <w:szCs w:val="28"/>
          <w:rtl w:val="true"/>
          <w:lang w:bidi="ar-SA"/>
        </w:rPr>
        <w:t xml:space="preserve">. </w:t>
      </w:r>
      <w:r>
        <w:rPr>
          <w:rStyle w:val="FootnoteAnchor"/>
          <w:rtl w:val="true"/>
        </w:rPr>
        <w:footnoteReference w:id="466"/>
      </w:r>
    </w:p>
    <w:p>
      <w:pPr>
        <w:pStyle w:val="Heading5"/>
        <w:numPr>
          <w:ilvl w:val="4"/>
          <w:numId w:val="1"/>
        </w:numPr>
        <w:rPr/>
      </w:pPr>
      <w:bookmarkStart w:id="771" w:name="__RefHeading___Toc1391477_1067777946"/>
      <w:bookmarkStart w:id="772" w:name="_Toc288"/>
      <w:bookmarkEnd w:id="771"/>
      <w:r>
        <w:rPr>
          <w:rtl w:val="true"/>
        </w:rPr>
        <w:t>اقتراح</w:t>
      </w:r>
      <w:bookmarkEnd w:id="772"/>
    </w:p>
    <w:p>
      <w:pPr>
        <w:pStyle w:val="BookText"/>
        <w:rPr/>
      </w:pPr>
      <w:r>
        <w:rPr>
          <w:rFonts w:ascii="Amiri" w:hAnsi="Amiri" w:eastAsia="Amiri" w:cs="Amiri"/>
          <w:color w:val="111111"/>
          <w:sz w:val="28"/>
          <w:sz w:val="28"/>
          <w:szCs w:val="28"/>
          <w:rtl w:val="true"/>
          <w:lang w:bidi="ar-SA"/>
        </w:rPr>
        <w:t>وفي الختام نوصي رؤساء الطوائف الإسلامية بالابتعاد عن العصبية وعن الآراء التي ورثوها عن أُناس غير معصومين ، وإجراء الحوار الهادئ فيم اختلف فيه كلمة المحقّقين من العلماء حتّى يرتفع كثير من الخلافات النابعة من تقديم الهوى على الحقّ</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أمير المؤمنين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أخوف ما أخاف عليكم اثنان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الهوى وطول الأمل ؛ فأمّا اتباع الهوى فيصدّ عن الحقّ ، وأمّا طول الأمل فينسي الآخرة</w:t>
      </w:r>
      <w:r>
        <w:rPr>
          <w:rFonts w:eastAsia="Amiri" w:cs="Amiri" w:ascii="Amiri" w:hAnsi="Amiri"/>
          <w:color w:val="111111"/>
          <w:sz w:val="28"/>
          <w:szCs w:val="28"/>
          <w:rtl w:val="true"/>
          <w:lang w:bidi="ar-SA"/>
        </w:rPr>
        <w:t xml:space="preserve">». </w:t>
      </w:r>
      <w:r>
        <w:rPr>
          <w:rStyle w:val="FootnoteAnchor"/>
          <w:rtl w:val="true"/>
        </w:rPr>
        <w:footnoteReference w:id="467"/>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3" w:name="pg11047_102873"/>
      <w:bookmarkStart w:id="774" w:name="pg11047_102873"/>
      <w:bookmarkEnd w:id="774"/>
    </w:p>
    <w:p>
      <w:pPr>
        <w:pStyle w:val="Heading2"/>
        <w:numPr>
          <w:ilvl w:val="1"/>
          <w:numId w:val="1"/>
        </w:numPr>
        <w:rPr/>
      </w:pPr>
      <w:bookmarkStart w:id="775" w:name="pg11047_102873"/>
      <w:bookmarkStart w:id="776" w:name="__RefHeading___Toc1391479_1067777946"/>
      <w:bookmarkStart w:id="777" w:name="_Toc289"/>
      <w:bookmarkEnd w:id="775"/>
      <w:bookmarkEnd w:id="776"/>
      <w:r>
        <w:rPr>
          <w:rtl w:val="true"/>
        </w:rPr>
        <w:t>الفصل الثامن</w:t>
      </w:r>
      <w:r>
        <w:rPr>
          <w:rtl w:val="true"/>
        </w:rPr>
        <w:t xml:space="preserve">: </w:t>
      </w:r>
      <w:r>
        <w:rPr>
          <w:rtl w:val="true"/>
        </w:rPr>
        <w:t>البداء في الكتاب والسنّة</w:t>
      </w:r>
      <w:bookmarkEnd w:id="777"/>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78" w:name="__RefHeading___Toc1391481_1067777946"/>
      <w:bookmarkStart w:id="779" w:name="_Toc290"/>
      <w:bookmarkEnd w:id="778"/>
      <w:r>
        <w:rPr>
          <w:rtl w:val="true"/>
        </w:rPr>
        <w:t>اشارة</w:t>
      </w:r>
      <w:bookmarkEnd w:id="779"/>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0" w:name="pg11047_102875"/>
      <w:bookmarkStart w:id="781" w:name="pg11047_102875"/>
      <w:bookmarkEnd w:id="781"/>
    </w:p>
    <w:p>
      <w:pPr>
        <w:pStyle w:val="Heading3"/>
        <w:numPr>
          <w:ilvl w:val="2"/>
          <w:numId w:val="1"/>
        </w:numPr>
        <w:rPr/>
      </w:pPr>
      <w:bookmarkStart w:id="782" w:name="pg11047_102875"/>
      <w:bookmarkStart w:id="783" w:name="__RefHeading___Toc1391483_1067777946"/>
      <w:bookmarkStart w:id="784" w:name="_Toc291"/>
      <w:bookmarkEnd w:id="782"/>
      <w:bookmarkEnd w:id="783"/>
      <w:r>
        <w:rPr>
          <w:rtl w:val="true"/>
        </w:rPr>
        <w:t xml:space="preserve">البداء في حديث الرسول </w:t>
      </w:r>
      <w:r>
        <w:rPr>
          <w:rtl w:val="true"/>
        </w:rPr>
        <w:t xml:space="preserve">- </w:t>
      </w:r>
      <w:r>
        <w:rPr>
          <w:rtl w:val="true"/>
        </w:rPr>
        <w:t>صلى الله عليه وآله وسلم</w:t>
      </w:r>
      <w:bookmarkEnd w:id="784"/>
    </w:p>
    <w:p>
      <w:pPr>
        <w:pStyle w:val="Heading3"/>
        <w:numPr>
          <w:ilvl w:val="2"/>
          <w:numId w:val="1"/>
        </w:numPr>
        <w:rPr/>
      </w:pPr>
      <w:bookmarkStart w:id="785" w:name="__RefHeading___Toc1391485_1067777946"/>
      <w:bookmarkStart w:id="786" w:name="_Toc292"/>
      <w:bookmarkEnd w:id="785"/>
      <w:r>
        <w:rPr>
          <w:rtl w:val="true"/>
        </w:rPr>
        <w:t>تمهيد</w:t>
      </w:r>
      <w:bookmarkEnd w:id="786"/>
    </w:p>
    <w:p>
      <w:pPr>
        <w:pStyle w:val="BookText"/>
        <w:rPr/>
      </w:pPr>
      <w:r>
        <w:rPr>
          <w:rFonts w:ascii="Amiri" w:hAnsi="Amiri" w:eastAsia="Amiri" w:cs="Amiri"/>
          <w:color w:val="111111"/>
          <w:sz w:val="28"/>
          <w:sz w:val="28"/>
          <w:szCs w:val="28"/>
          <w:rtl w:val="true"/>
          <w:lang w:bidi="ar-SA"/>
        </w:rPr>
        <w:t>البداء في اللغة هو ظهورُ ما 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وَبَدا لَهُمْ سَيِّئاتُ ما عَمِلُوا وَحاقَ بِهِمْ ما كانُوا بِهِ يَسْتَهْزِؤُنَ</w:t>
      </w:r>
      <w:r>
        <w:rPr>
          <w:rFonts w:eastAsia="Amiri" w:cs="Amiri" w:ascii="Amiri" w:hAnsi="Amiri"/>
          <w:color w:val="111111"/>
          <w:sz w:val="28"/>
          <w:szCs w:val="28"/>
          <w:rtl w:val="true"/>
          <w:lang w:bidi="ar-SA"/>
        </w:rPr>
        <w:t xml:space="preserve">) </w:t>
      </w:r>
      <w:r>
        <w:rPr>
          <w:rStyle w:val="FootnoteAnchor"/>
          <w:rtl w:val="true"/>
        </w:rPr>
        <w:footnoteReference w:id="468"/>
      </w:r>
      <w:r>
        <w:rPr>
          <w:rFonts w:ascii="Amiri" w:hAnsi="Amiri" w:eastAsia="Amiri" w:cs="Amiri"/>
          <w:color w:val="111111"/>
          <w:sz w:val="28"/>
          <w:sz w:val="28"/>
          <w:szCs w:val="28"/>
          <w:rtl w:val="true"/>
          <w:lang w:bidi="ar-SA"/>
        </w:rPr>
        <w:t>، أي ظهر لهم آثار ما عملوا من السيّئات وأحاط بهم ما كانوا به يستهزءون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عزّ من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بَدا لَهُمْ مِنْ بَعْدِ ما رَأَوُا الْآياتِ لَيَسْجُنُنَّهُ حَتَّى حِينٍ</w:t>
      </w:r>
      <w:r>
        <w:rPr>
          <w:rFonts w:eastAsia="Amiri" w:cs="Amiri" w:ascii="Amiri" w:hAnsi="Amiri"/>
          <w:color w:val="111111"/>
          <w:sz w:val="28"/>
          <w:szCs w:val="28"/>
          <w:rtl w:val="true"/>
          <w:lang w:bidi="ar-SA"/>
        </w:rPr>
        <w:t xml:space="preserve">) </w:t>
      </w:r>
      <w:r>
        <w:rPr>
          <w:rStyle w:val="FootnoteAnchor"/>
          <w:rtl w:val="true"/>
        </w:rPr>
        <w:footnoteReference w:id="469"/>
      </w:r>
      <w:r>
        <w:rPr>
          <w:rFonts w:ascii="Amiri" w:hAnsi="Amiri" w:eastAsia="Amiri" w:cs="Amiri"/>
          <w:color w:val="111111"/>
          <w:sz w:val="28"/>
          <w:sz w:val="28"/>
          <w:szCs w:val="28"/>
          <w:rtl w:val="true"/>
          <w:lang w:bidi="ar-SA"/>
        </w:rPr>
        <w:t>، أي ظهر لهم بعد ما رأوا الآيات الدالّة على براءة يوسف أن يسجنوه إلى حين ينقطع فيه كلام النّاس ، وإلى غيرهما من الآيات التي تدلّ على أنّ البداء عبارة عن ظهور ما 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فالبداء بهذا المعنى من خصائص من كان جاهلاً بعواقب الأُمور ثمّ يبدو له ما خفي عليه ، ولأجل ذلك نسب البداء في القرآن إلى غيره سبحانه</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نرى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يستعمل كلمة البداء وينسبها إلى الله سبحانه ، فقد أخرج البخاري في صحيحه عن أبي هريرة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إنّه سمع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ثلاثة في 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أبرص وأقرع وأعمى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يبتليهم ، فبعث إليهم ملكاً فأتى الأبرصَ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أحب إليك؟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لون حسن ، وجلد حسن ، قد قذّرني الناس ، قال فمسحه فذهب عنه فأُعطي لوناً حسناً وجلداً حسناً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المال أحب إليك؟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الإبل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شك في ذلك أنّ الأبرص والأقرع ، قال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الإبل ، وقال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فأُعطي ناقة عشراء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يبارك الله لك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وأتى الأقرع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أحبّ إليك؟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حسن ويذهب عنّي هذا قد قذرني الناس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فمسحه ، فذهب ، وأُعطي شعراً حسناً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المال أحب إليك؟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فأعطاه بقرة حاملاً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يبارك لك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وأتى الأعمى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أحب إليك؟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الله إليّ بصري ، فأبصر به الناس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فمسحه فردّ الله إليه 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المال أحب إليك؟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الغنم ، فأعطاه شاة والداً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فأُنتج هذان وولّد هذا ، فكان لهذا واد من إبل ، ولهذا واد من بقر ، ولهذا واد من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أتى الأبرص في صورته وهيئته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مسكين تقطّعت بي الحبال في سفري ، فلابلاغ اليوم إلاّ بالله ثمّ بك ، أسألك بالذي أعطاك اللون الحسن والجلد الحسن والمال ، بعيراً أتبلّغ عليه في سفري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الحقوق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أعرفك ألم تكن أبرص يقذرك الناس ، فقيراً فأعطاك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ورثت لكابر عن كابر؟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كاذباً فصيّرك الله إلى ما كنت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وأتى الأقرع في صورته وهيئته فقال له مثل ما قال لهذا فرد عليه مثلما رد عليه هذا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كاذباً فصيّرك الله إلى ما كنت</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وأتى الأعمى في صورته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مسكين وابن سبيل وتقطّعت بي </w:t>
      </w:r>
    </w:p>
    <w:p>
      <w:pPr>
        <w:pStyle w:val="BookText"/>
        <w:rPr/>
      </w:pPr>
      <w:r>
        <w:rPr>
          <w:rFonts w:ascii="Amiri" w:hAnsi="Amiri" w:eastAsia="Amiri" w:cs="Amiri"/>
          <w:color w:val="111111"/>
          <w:sz w:val="28"/>
          <w:sz w:val="28"/>
          <w:szCs w:val="28"/>
          <w:rtl w:val="true"/>
          <w:lang w:bidi="ar-SA"/>
        </w:rPr>
        <w:t xml:space="preserve">الحبال في سفري ، فلابلاغ اليوم إلاّ بالله ، ثمّ بك ، أسألك بالذي رد عليك بصرك ، شاة أتبلّغ بها في سفري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كنت أعمى فرد الله بصري ، وفقيراً فقد أغناني ، فخذ ما شئت ، فو الله لا أجحدك اليوم بشيء أخذته 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مالك فإنّما ابتليتم فقد رضي الله عنك وسخط على صاحبيك</w:t>
      </w:r>
      <w:r>
        <w:rPr>
          <w:rFonts w:eastAsia="Amiri" w:cs="Amiri" w:ascii="Amiri" w:hAnsi="Amiri"/>
          <w:color w:val="111111"/>
          <w:sz w:val="28"/>
          <w:szCs w:val="28"/>
          <w:rtl w:val="true"/>
          <w:lang w:bidi="ar-SA"/>
        </w:rPr>
        <w:t xml:space="preserve">. </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 xml:space="preserve">هذا هو كلام الرسول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استعمل لفظ البداء في حقّه سبحانه ، ومن الطبيعي انّ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يستعمل هذا اللفظ في معناه اللغوي لاستلزامه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 على الله سبحانه ، بل استعمله في معنى آخر لمناسبة بينه وبين المعنى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 له من نظير في الكتاب والسنّة ، وقد اشتهر انّ كلام البلغاء مشحون بالمجاز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البراهين العقلية الرصينة والآيات الباهرة القرآنية قد أسفرت عن إحاطة علمه سبحانه بكلّ شيء في الأرض والسماء وما مضى وما يأتي على نحو لا يتصوّر في مثله الظهور بعد الخفاء ، ولنتبرك بذكر بعض الآيات وترك ذكر البراهين العقلية إلى محلها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عزّ من قائل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يَخْفى عَلَيْهِ شَيْءٌ فِي الْأَرْضِ وَلا فِي السَّماءِ</w:t>
      </w:r>
      <w:r>
        <w:rPr>
          <w:rFonts w:eastAsia="Amiri" w:cs="Amiri" w:ascii="Amiri" w:hAnsi="Amiri"/>
          <w:color w:val="111111"/>
          <w:sz w:val="28"/>
          <w:szCs w:val="28"/>
          <w:rtl w:val="true"/>
          <w:lang w:bidi="ar-SA"/>
        </w:rPr>
        <w:t xml:space="preserve">). </w:t>
      </w:r>
      <w:r>
        <w:rPr>
          <w:rStyle w:val="FootnoteAnchor"/>
          <w:rtl w:val="true"/>
        </w:rPr>
        <w:footnoteReference w:id="4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يَخْفى عَلَى اللهِ مِنْ شَيْءٍ فِي الْأَرْضِ وَلا فِي السَّماءِ</w:t>
      </w:r>
      <w:r>
        <w:rPr>
          <w:rFonts w:eastAsia="Amiri" w:cs="Amiri" w:ascii="Amiri" w:hAnsi="Amiri"/>
          <w:color w:val="111111"/>
          <w:sz w:val="28"/>
          <w:szCs w:val="28"/>
          <w:rtl w:val="true"/>
          <w:lang w:bidi="ar-SA"/>
        </w:rPr>
        <w:t xml:space="preserve">). </w:t>
      </w:r>
      <w:r>
        <w:rPr>
          <w:rStyle w:val="FootnoteAnchor"/>
          <w:rtl w:val="true"/>
        </w:rPr>
        <w:footnoteReference w:id="472"/>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أَصابَ مِنْ مُصِيبَةٍ فِي الْأَرْضِ وَلا فِي أَنْفُسِكُمْ إِلاَّ فِي كِتابٍ مِنْ قَبْلِ أَنْ نَبْرَأَها إِنَّ ذلِكَ عَلَى اللهِ يَسِيرٌ</w:t>
      </w:r>
      <w:r>
        <w:rPr>
          <w:rFonts w:eastAsia="Amiri" w:cs="Amiri" w:ascii="Amiri" w:hAnsi="Amiri"/>
          <w:color w:val="111111"/>
          <w:sz w:val="28"/>
          <w:szCs w:val="28"/>
          <w:rtl w:val="true"/>
          <w:lang w:bidi="ar-SA"/>
        </w:rPr>
        <w:t xml:space="preserve">). </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كيف يمكن طروء الخفاء عليه سبحانه مع أنّه محيط بالعالم صغيره وكبيره ، مادّيه ومجرّده ، والأشياء كلّها قائمة به قياماً قيّومياً كقيام المعنى الحرفي بالاسمي؟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وغيبوبة المعنى الحرفي عن المعنى الاسمي تساوي فناءه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ذلك يقودنا إلى التفتيش عن تفسير آخر للبداء ينسجم مع ما جاء في الحديث المنقول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وإلاّ فالرسول وخلفاؤه وقاطبة علماء المسلمين أجل من أن ينسبوا إلى الله سبحانه البداء بالمعنى اللغوي الآنف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الرسالة الماثلة بين يديك عزيزي القارئ الكريم أخذت على عاتقها بيان التفسير الصحيح للبداء والمنسجم مع حديث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ويأتي كلّ ذلك ضمن أُمور </w:t>
      </w:r>
      <w:r>
        <w:rPr>
          <w:rFonts w:eastAsia="Amiri" w:cs="Amiri" w:ascii="Amiri" w:hAnsi="Amiri"/>
          <w:color w:val="111111"/>
          <w:sz w:val="28"/>
          <w:szCs w:val="28"/>
          <w:rtl w:val="true"/>
          <w:lang w:bidi="ar-SA"/>
        </w:rPr>
        <w:t xml:space="preserve">: </w:t>
      </w:r>
      <w:bookmarkStart w:id="787" w:name="pg11047_102879"/>
    </w:p>
    <w:p>
      <w:pPr>
        <w:pStyle w:val="Heading3"/>
        <w:numPr>
          <w:ilvl w:val="2"/>
          <w:numId w:val="1"/>
        </w:numPr>
        <w:rPr/>
      </w:pPr>
      <w:bookmarkStart w:id="788" w:name="__RefHeading___Toc1391487_1067777946"/>
      <w:bookmarkStart w:id="789" w:name="_Toc293"/>
      <w:bookmarkEnd w:id="787"/>
      <w:bookmarkEnd w:id="788"/>
      <w:r>
        <w:rPr/>
        <w:t>1</w:t>
      </w:r>
      <w:r>
        <w:rPr>
          <w:rtl w:val="true"/>
        </w:rPr>
        <w:t xml:space="preserve">- </w:t>
      </w:r>
      <w:r>
        <w:rPr>
          <w:rtl w:val="true"/>
        </w:rPr>
        <w:t>تغيير المصير بالأعمال الصالحة والطالحة</w:t>
      </w:r>
      <w:bookmarkEnd w:id="789"/>
    </w:p>
    <w:p>
      <w:pPr>
        <w:pStyle w:val="Heading4"/>
        <w:numPr>
          <w:ilvl w:val="3"/>
          <w:numId w:val="1"/>
        </w:numPr>
        <w:rPr/>
      </w:pPr>
      <w:bookmarkStart w:id="790" w:name="__RefHeading___Toc1391489_1067777946"/>
      <w:bookmarkStart w:id="791" w:name="_Toc294"/>
      <w:bookmarkEnd w:id="790"/>
      <w:r>
        <w:rPr>
          <w:rtl w:val="true"/>
        </w:rPr>
        <w:t>اشارة</w:t>
      </w:r>
      <w:bookmarkEnd w:id="791"/>
    </w:p>
    <w:p>
      <w:pPr>
        <w:pStyle w:val="BookText"/>
        <w:rPr/>
      </w:pPr>
      <w:r>
        <w:rPr>
          <w:rFonts w:ascii="Amiri" w:hAnsi="Amiri" w:eastAsia="Amiri" w:cs="Amiri"/>
          <w:color w:val="111111"/>
          <w:sz w:val="28"/>
          <w:sz w:val="28"/>
          <w:szCs w:val="28"/>
          <w:rtl w:val="true"/>
          <w:lang w:bidi="ar-SA"/>
        </w:rPr>
        <w:t xml:space="preserve">ذهبت اليهود إلى استحالة تعلّق مشيئة الله بغير ما جرى عليه قلم القضاء والقدر ، فيمتنع تغيير ما قُدِّر إلى خلافه ، وقد تبلورت تلك العقيدة في كلامهم بأنّ يد الله مغلولة ، قال سبحانه حاكياً عنهم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وَقالَتِ الْيَهُودُ يَدُ اللهِ مَغْلُولَةٌ غُلَّتْ أَيْدِيهِمْ وَلُعِنُوا بِما قالُوا بَلْ يَداهُ مَبْسُوطَتانِ يُنْفِقُ كَيْفَ يَشاءُ وَلَيَزِيدَنَّ كَثِيراً مِنْهُمْ ما أُنْزِلَ إِلَيْكَ مِنْ رَبِّكَ طُغْياناً وَكُفْراً</w:t>
      </w:r>
      <w:r>
        <w:rPr>
          <w:rFonts w:eastAsia="Amiri" w:cs="Amiri" w:ascii="Amiri" w:hAnsi="Amiri"/>
          <w:color w:val="111111"/>
          <w:sz w:val="28"/>
          <w:szCs w:val="28"/>
          <w:rtl w:val="true"/>
          <w:lang w:bidi="ar-SA"/>
        </w:rPr>
        <w:t xml:space="preserve">). </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وعلى هذا الأساس قالوا يد الله مغلولة عن القبض والبسط والأخذ والعطاء ، وانّه إذا جرى قلمه وتقديره على شيء لا يبدّل ولا يغيّر فيخرج عن إطار قدرته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واستنتجوا من هذا الأصل ، امتناع نسخ الأحكام الشرعية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سبحانه يردّ على تلك العقيدة في غير واحدة من الآيات ويقول </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فاطِرِ السَّماواتِ وَالْأَرْضِ</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يَزِيدُ فِي الْخَلْقِ ما يَشاءُ إِنَّ اللهَ عَلى كُلِّ شَيْءٍ قَدِيرٌ</w:t>
      </w:r>
      <w:r>
        <w:rPr>
          <w:rFonts w:eastAsia="Amiri" w:cs="Amiri" w:ascii="Amiri" w:hAnsi="Amiri"/>
          <w:color w:val="111111"/>
          <w:sz w:val="28"/>
          <w:szCs w:val="28"/>
          <w:rtl w:val="true"/>
          <w:lang w:bidi="ar-SA"/>
        </w:rPr>
        <w:t xml:space="preserve">). </w:t>
      </w:r>
      <w:r>
        <w:rPr>
          <w:rStyle w:val="FootnoteAnchor"/>
          <w:rtl w:val="true"/>
        </w:rPr>
        <w:footnoteReference w:id="4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تَحْمِلُ مِنْ أُنْثى وَلا تَضَعُ إِلاَّ بِعِلْمِهِ وَما يُعَمَّرُ مِنْ مُعَمَّرٍ وَلا يُنْقَصُ مِنْ عُمُرِهِ إِلاَّ فِي كِتابٍ إِنَّ ذلِكَ عَلَى اللهِ يَسِيرٌ</w:t>
      </w:r>
      <w:r>
        <w:rPr>
          <w:rFonts w:eastAsia="Amiri" w:cs="Amiri" w:ascii="Amiri" w:hAnsi="Amiri"/>
          <w:color w:val="111111"/>
          <w:sz w:val="28"/>
          <w:szCs w:val="28"/>
          <w:rtl w:val="true"/>
          <w:lang w:bidi="ar-SA"/>
        </w:rPr>
        <w:t xml:space="preserve">). </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فالله سبحانه كما هو المقدِّر للمصير الأوّل ، هو المقدّر أيضاً للمصير الثاني ، فهو في كلّ يوم في شأن ، وانّه جلّ وعلى يبدئ ويعيد ، ويحيي ويميت ، يزيد في الرزق والعمر ويُنقص ، كلّ ذلك حسب مشيئته الحكمية والمصالح الكامنة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هو عالم بالتقدير الأوّل ،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 ذلك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سوف يزول ويخلفه تقدير آخر ، لكن لا بمعنى وجود الفوضى في التقدير ، بل بتبعية كلّ تقدير لملاكه وسببه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في هذه الآيات إلماع إلى إخلاف تقدير مكان تقدير ، ففي الآيات التالية تصريحات بأنّ الإنسان هو الذي يستطيع أن يغيّر مصيره بصالح أعماله وطالحها ، وأنّ التقدير الأوّل الذي نجم عن سبب في حياة العبد ليس تقديراً قطعياً لا يغيّر ، بل هو تقدير معلّق سيتغيّر إذا تغيّر 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أَهْلَ الْقُرى آمَنُوا وَاتَّقَوْا لَفَتَحْنا عَلَيْهِمْ بَرَكاتٍ مِنَ السَّماءِ وَالْأَرْضِ وَلكِنْ كَذَّبُوا فَأَخَذْناهُمْ بِما كانُوا يَكْسِبُونَ</w:t>
      </w:r>
      <w:r>
        <w:rPr>
          <w:rFonts w:eastAsia="Amiri" w:cs="Amiri" w:ascii="Amiri" w:hAnsi="Amiri"/>
          <w:color w:val="111111"/>
          <w:sz w:val="28"/>
          <w:szCs w:val="28"/>
          <w:rtl w:val="true"/>
          <w:lang w:bidi="ar-SA"/>
        </w:rPr>
        <w:t xml:space="preserve">) </w:t>
      </w:r>
      <w:r>
        <w:rPr>
          <w:rStyle w:val="FootnoteAnchor"/>
          <w:rtl w:val="true"/>
        </w:rPr>
        <w:footnoteReference w:id="477"/>
      </w:r>
      <w:r>
        <w:rPr>
          <w:rFonts w:ascii="Amiri" w:hAnsi="Amiri" w:eastAsia="Amiri" w:cs="Amiri"/>
          <w:color w:val="111111"/>
          <w:sz w:val="28"/>
          <w:sz w:val="28"/>
          <w:szCs w:val="28"/>
          <w:rtl w:val="true"/>
          <w:lang w:bidi="ar-SA"/>
        </w:rPr>
        <w:t>وليست هذه الآية ، آية فريدة ، بل هناك آيات كثيرة تُبيّن بأنّ للإنسان مقدرة واسعة على إخلاف تقدير مكان تقدير وقضاء مكان قضاء ، كلّ ذلك بمشيئته سبحانه وإرادته حيث زوّد العبدَ بحرية ومشيئة على أن يُخلف تقديراً مكان تقدير آخر ، وها نحن نقتصر على نزر قليل منها حتّى يتّضح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اسْتَغْفِرُوا رَبَّكُمْ إِنَّهُ كانَ غَفَّاراً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يُرْسِلِ السَّماءَ عَلَيْكُمْ مِدْراراً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يُمْدِدْكُمْ بِأَمْوالٍ وَبَنِينَ وَيَجْعَلْ لَكُمْ جَنَّاتٍ وَيَجْعَلْ لَكُمْ أَنْهاراً</w:t>
      </w:r>
      <w:r>
        <w:rPr>
          <w:rFonts w:eastAsia="Amiri" w:cs="Amiri" w:ascii="Amiri" w:hAnsi="Amiri"/>
          <w:color w:val="111111"/>
          <w:sz w:val="28"/>
          <w:szCs w:val="28"/>
          <w:rtl w:val="true"/>
          <w:lang w:bidi="ar-SA"/>
        </w:rPr>
        <w:t xml:space="preserve">). </w:t>
      </w:r>
      <w:r>
        <w:rPr>
          <w:rStyle w:val="FootnoteAnchor"/>
          <w:rtl w:val="true"/>
        </w:rPr>
        <w:footnoteReference w:id="47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 xml:space="preserve">). </w:t>
      </w:r>
      <w:r>
        <w:rPr>
          <w:rStyle w:val="FootnoteAnchor"/>
          <w:rtl w:val="true"/>
        </w:rPr>
        <w:footnoteReference w:id="47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 اللهَ لَمْ يَكُ مُغَيِّراً نِعْمَةً أَنْعَمَها عَلى قَوْمٍ حَتَّى يُغَيِّرُوا ما بِأَنْفُسِهِمْ</w:t>
      </w:r>
      <w:r>
        <w:rPr>
          <w:rFonts w:eastAsia="Amiri" w:cs="Amiri" w:ascii="Amiri" w:hAnsi="Amiri"/>
          <w:color w:val="111111"/>
          <w:sz w:val="28"/>
          <w:szCs w:val="28"/>
          <w:rtl w:val="true"/>
          <w:lang w:bidi="ar-SA"/>
        </w:rPr>
        <w:t xml:space="preserve">). </w:t>
      </w:r>
      <w:r>
        <w:rPr>
          <w:rStyle w:val="FootnoteAnchor"/>
          <w:rtl w:val="true"/>
        </w:rPr>
        <w:footnoteReference w:id="48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يَتَّقِ اللهَ يَجْعَلْ لَهُ مَخْرَجاً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وَيَرْزُقْهُ مِنْ حَيْثُ لا يَحْتَسِبُ</w:t>
      </w:r>
      <w:r>
        <w:rPr>
          <w:rFonts w:eastAsia="Amiri" w:cs="Amiri" w:ascii="Amiri" w:hAnsi="Amiri"/>
          <w:color w:val="111111"/>
          <w:sz w:val="28"/>
          <w:szCs w:val="28"/>
          <w:rtl w:val="true"/>
          <w:lang w:bidi="ar-SA"/>
        </w:rPr>
        <w:t xml:space="preserve">). </w:t>
      </w:r>
      <w:r>
        <w:rPr>
          <w:rStyle w:val="FootnoteAnchor"/>
          <w:rtl w:val="true"/>
        </w:rPr>
        <w:footnoteReference w:id="48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تَأَذَّنَ رَبُّكُمْ لَئِنْ شَكَرْتُمْ لَأَزِيدَنَّكُمْ وَلَئِنْ كَفَرْتُمْ إِنَّ عَذابِي لَشَدِيدٌ</w:t>
      </w:r>
      <w:r>
        <w:rPr>
          <w:rFonts w:eastAsia="Amiri" w:cs="Amiri" w:ascii="Amiri" w:hAnsi="Amiri"/>
          <w:color w:val="111111"/>
          <w:sz w:val="28"/>
          <w:szCs w:val="28"/>
          <w:rtl w:val="true"/>
          <w:lang w:bidi="ar-SA"/>
        </w:rPr>
        <w:t xml:space="preserve">). </w:t>
      </w:r>
      <w:r>
        <w:rPr>
          <w:rStyle w:val="FootnoteAnchor"/>
          <w:rtl w:val="true"/>
        </w:rPr>
        <w:footnoteReference w:id="48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وَنُوحاً إِذْ نادى مِنْ قَبْلُ فَاسْتَجَبْنا لَهُ فَنَجَّيْناهُ وَأَهْلَهُ مِنَ الْكَرْبِ الْعَظِيمِ</w:t>
      </w:r>
      <w:r>
        <w:rPr>
          <w:rFonts w:eastAsia="Amiri" w:cs="Amiri" w:ascii="Amiri" w:hAnsi="Amiri"/>
          <w:color w:val="111111"/>
          <w:sz w:val="28"/>
          <w:szCs w:val="28"/>
          <w:rtl w:val="true"/>
          <w:lang w:bidi="ar-SA"/>
        </w:rPr>
        <w:t xml:space="preserve">). </w:t>
      </w:r>
      <w:r>
        <w:rPr>
          <w:rStyle w:val="FootnoteAnchor"/>
          <w:rtl w:val="true"/>
        </w:rPr>
        <w:footnoteReference w:id="48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وَأَيُّوبَ إِذْ نادى رَبَّهُ أَنِّي مَسَّنِيَ الضُّرُّ وَأَنْتَ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فَاسْتَجَبْنا لَهُ فَكَشَفْنا ما بِهِ مِنْ ضُرٍّ</w:t>
      </w:r>
      <w:r>
        <w:rPr>
          <w:rFonts w:eastAsia="Amiri" w:cs="Amiri" w:ascii="Amiri" w:hAnsi="Amiri"/>
          <w:color w:val="111111"/>
          <w:sz w:val="28"/>
          <w:szCs w:val="28"/>
          <w:rtl w:val="true"/>
          <w:lang w:bidi="ar-SA"/>
        </w:rPr>
        <w:t xml:space="preserve">). </w:t>
      </w:r>
      <w:r>
        <w:rPr>
          <w:rStyle w:val="FootnoteAnchor"/>
          <w:rtl w:val="true"/>
        </w:rPr>
        <w:footnoteReference w:id="484"/>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 أَنَّهُ كانَ مِنَ الْمُسَبِّحِينَ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لَلَبِثَ فِي بَطْنِهِ إِلى يَوْمِ يُبْعَثُونَ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فَنَبَذْناهُ بِالْعَراءِ وَهُوَ سَقِيمٌ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وَأَنْبَتْنا عَلَيْهِ شَجَرَةً مِنْ يَقْطِينٍ</w:t>
      </w:r>
      <w:r>
        <w:rPr>
          <w:rFonts w:eastAsia="Amiri" w:cs="Amiri" w:ascii="Amiri" w:hAnsi="Amiri"/>
          <w:color w:val="111111"/>
          <w:sz w:val="28"/>
          <w:szCs w:val="28"/>
          <w:rtl w:val="true"/>
          <w:lang w:bidi="ar-SA"/>
        </w:rPr>
        <w:t xml:space="preserve">). </w:t>
      </w:r>
      <w:r>
        <w:rPr>
          <w:rStyle w:val="FootnoteAnchor"/>
          <w:rtl w:val="true"/>
        </w:rPr>
        <w:footnoteReference w:id="485"/>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الآيات تعرب عن أنّ الأعمال الصالحة مؤثّرة في مصير الإنسان وانّه يقدر بعمله الصالح على تغيير التقدير وتبديل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المبرم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ليس في أفعال الإنسان الاختيارية مقدَّر محتوم حتّى يكون العبد في مقابله مكتوف الأيدي والأرجل</w:t>
      </w:r>
      <w:r>
        <w:rPr>
          <w:rFonts w:eastAsia="Amiri" w:cs="Amiri" w:ascii="Amiri" w:hAnsi="Amiri"/>
          <w:color w:val="111111"/>
          <w:sz w:val="28"/>
          <w:szCs w:val="28"/>
          <w:rtl w:val="true"/>
          <w:lang w:bidi="ar-SA"/>
        </w:rPr>
        <w:t xml:space="preserve">. </w:t>
      </w:r>
      <w:bookmarkStart w:id="792" w:name="pg11047_102882"/>
    </w:p>
    <w:p>
      <w:pPr>
        <w:pStyle w:val="Heading4"/>
        <w:numPr>
          <w:ilvl w:val="3"/>
          <w:numId w:val="1"/>
        </w:numPr>
        <w:rPr/>
      </w:pPr>
      <w:bookmarkStart w:id="793" w:name="__RefHeading___Toc1391491_1067777946"/>
      <w:bookmarkStart w:id="794" w:name="_Toc295"/>
      <w:bookmarkEnd w:id="792"/>
      <w:bookmarkEnd w:id="793"/>
      <w:r>
        <w:rPr>
          <w:rtl w:val="true"/>
        </w:rPr>
        <w:t>تغيير المصير بالأعمال في الروايات</w:t>
      </w:r>
      <w:bookmarkEnd w:id="794"/>
    </w:p>
    <w:p>
      <w:pPr>
        <w:pStyle w:val="BookText"/>
        <w:rPr/>
      </w:pPr>
      <w:r>
        <w:rPr>
          <w:rFonts w:ascii="Amiri" w:hAnsi="Amiri" w:eastAsia="Amiri" w:cs="Amiri"/>
          <w:color w:val="111111"/>
          <w:sz w:val="28"/>
          <w:sz w:val="28"/>
          <w:szCs w:val="28"/>
          <w:rtl w:val="true"/>
          <w:lang w:bidi="ar-SA"/>
        </w:rPr>
        <w:t xml:space="preserve">دلّ غير واحد من الروايات على أنّ الأعمال الصالحة أو غيرها تُغيّر التقدير ، كما ورد عن 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الصدقة والاستغفار والدعاء وصلة الرحم وما أشبه ذلك يغير 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هذا إلاّ لأنّ التقدير لم يكن تقديراً قطعياً ، بل تقديراً معلّقاً على عدم الإتيان بصالح الأعمال أو بطالحها ، فإذا وجد المعلّق عليه يتبدّل التقدير بتقدير آخر ، كلّ ذلك بعلم ومشيئة منه سبحانه ، فهو عند ما يقدر عالم ببقاء التقدير أو بتبدّله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تقدير آخر ، فلو كان هناك جهل فإنّما هو في جانب العباد لا في ساحة المقدِّر ، فانّه عالم بعامة الأشياء والتقديرات ثابتها ومتغيّرها</w:t>
      </w:r>
      <w:r>
        <w:rPr>
          <w:rFonts w:eastAsia="Amiri" w:cs="Amiri" w:ascii="Amiri" w:hAnsi="Amiri"/>
          <w:color w:val="111111"/>
          <w:sz w:val="28"/>
          <w:szCs w:val="28"/>
          <w:rtl w:val="true"/>
          <w:lang w:bidi="ar-SA"/>
        </w:rPr>
        <w:t>.</w:t>
      </w:r>
    </w:p>
    <w:p>
      <w:pPr>
        <w:pStyle w:val="Heading4"/>
        <w:numPr>
          <w:ilvl w:val="3"/>
          <w:numId w:val="1"/>
        </w:numPr>
        <w:rPr/>
      </w:pPr>
      <w:bookmarkStart w:id="795" w:name="__RefHeading___Toc1391493_1067777946"/>
      <w:bookmarkStart w:id="796" w:name="_Toc296"/>
      <w:bookmarkEnd w:id="795"/>
      <w:r>
        <w:rPr>
          <w:rtl w:val="true"/>
        </w:rPr>
        <w:t>سنّة الله الحكيمة في عباده</w:t>
      </w:r>
      <w:bookmarkEnd w:id="796"/>
    </w:p>
    <w:p>
      <w:pPr>
        <w:pStyle w:val="BookText"/>
        <w:rPr/>
      </w:pPr>
      <w:r>
        <w:rPr>
          <w:rFonts w:ascii="Amiri" w:hAnsi="Amiri" w:eastAsia="Amiri" w:cs="Amiri"/>
          <w:color w:val="111111"/>
          <w:sz w:val="28"/>
          <w:sz w:val="28"/>
          <w:szCs w:val="28"/>
          <w:rtl w:val="true"/>
          <w:lang w:bidi="ar-SA"/>
        </w:rPr>
        <w:t xml:space="preserve">إنّه سبحانه حسب حكمته الحكيمة جعل تقدير العباد على قسمين نذكرهما بالتفصيل التالي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تقدير قطعي لا يقبل المحو والتغيير ، وذلك كسنّته سبحانه في موت الإنسان وفنائه ، فقوله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مَيِّتٌ وَإِنَّهُمْ مَيِّتُونَ</w:t>
      </w:r>
      <w:r>
        <w:rPr>
          <w:rFonts w:eastAsia="Amiri" w:cs="Amiri" w:ascii="Amiri" w:hAnsi="Amiri"/>
          <w:color w:val="111111"/>
          <w:sz w:val="28"/>
          <w:szCs w:val="28"/>
          <w:rtl w:val="true"/>
          <w:lang w:bidi="ar-SA"/>
        </w:rPr>
        <w:t xml:space="preserve">) </w:t>
      </w:r>
      <w:r>
        <w:rPr>
          <w:rStyle w:val="FootnoteAnchor"/>
          <w:rtl w:val="true"/>
        </w:rPr>
        <w:footnoteReference w:id="486"/>
      </w:r>
      <w:r>
        <w:rPr>
          <w:rFonts w:ascii="Amiri" w:hAnsi="Amiri" w:eastAsia="Amiri" w:cs="Amiri"/>
          <w:color w:val="111111"/>
          <w:sz w:val="28"/>
          <w:sz w:val="28"/>
          <w:szCs w:val="28"/>
          <w:rtl w:val="true"/>
          <w:lang w:bidi="ar-SA"/>
        </w:rPr>
        <w:t xml:space="preserve">من السنن القطعية التي لا تتغيّر ولا تتبدّل ، وكم له من نظير كقوله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الْأَرْضَ يَرِثُها عِبادِيَ الصَّالِحُونَ</w:t>
      </w:r>
      <w:r>
        <w:rPr>
          <w:rFonts w:eastAsia="Amiri" w:cs="Amiri" w:ascii="Amiri" w:hAnsi="Amiri"/>
          <w:color w:val="111111"/>
          <w:sz w:val="28"/>
          <w:szCs w:val="28"/>
          <w:rtl w:val="true"/>
          <w:lang w:bidi="ar-SA"/>
        </w:rPr>
        <w:t xml:space="preserve">). </w:t>
      </w:r>
      <w:r>
        <w:rPr>
          <w:rStyle w:val="FootnoteAnchor"/>
          <w:rtl w:val="true"/>
        </w:rPr>
        <w:footnoteReference w:id="48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تقدير معلق غير قطعي مشروط بشرط خاص ، فلو قدّر الصلاح فهو مشروط بعدم ارتكاب ما يخرجه من الصلاح ، وإذا قدّر الضلال فهو أيضاً </w:t>
      </w:r>
      <w:bookmarkStart w:id="797" w:name="pg11047_102883"/>
    </w:p>
    <w:p>
      <w:pPr>
        <w:pStyle w:val="BookText"/>
        <w:rPr/>
      </w:pPr>
      <w:bookmarkEnd w:id="797"/>
      <w:r>
        <w:rPr>
          <w:rFonts w:ascii="Amiri" w:hAnsi="Amiri" w:eastAsia="Amiri" w:cs="Amiri"/>
          <w:color w:val="111111"/>
          <w:sz w:val="28"/>
          <w:sz w:val="28"/>
          <w:szCs w:val="28"/>
          <w:rtl w:val="true"/>
          <w:lang w:bidi="ar-SA"/>
        </w:rPr>
        <w:t>مشروط بعدم تعاطيه ما يدخله مدخل الهدى ، كلّ ذلك 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تلك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تُمكّن الإنسان من تغيير مصيره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بصيص أمل للمذنبين ، لئلاّ يقنطوا ، ولئلاّ ينقطع رجاؤهم من رحمته سبحانه ، بل تبقى اضبارة أعمالهم مفتوحة حتّى السنين الأخيرة من أعمارهم ، كما هي إنذار للصالحين بأن لا يغتروا بأعمالهم الصالحة ، وذلك لأنّ العبرة بخواتيم الأعمال ، فلو صدر منهم في فترة أُخرى من حياتهم ما يغضب الرب فسوف يتغيّر تقديره سبحانه من صلاح إلى طلاح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انّ لهذه السنة أثراً تربوياً في الأُمّة ، نرى أنّ الروايات كالآيات تركّز على تمكّن الإنسان من تغيير مصيره من خير إلى شر ومن شر إلى خير ، وقد تضافرت الروايات عن النبيّ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المقام نذكر فيما يلي نماذج منها</w:t>
      </w:r>
      <w:r>
        <w:rPr>
          <w:rFonts w:eastAsia="Amiri" w:cs="Amiri" w:ascii="Amiri" w:hAnsi="Amiri"/>
          <w:color w:val="111111"/>
          <w:sz w:val="28"/>
          <w:szCs w:val="28"/>
          <w:rtl w:val="true"/>
          <w:lang w:bidi="ar-SA"/>
        </w:rPr>
        <w:t>.</w:t>
      </w:r>
    </w:p>
    <w:p>
      <w:pPr>
        <w:pStyle w:val="Heading4"/>
        <w:numPr>
          <w:ilvl w:val="3"/>
          <w:numId w:val="1"/>
        </w:numPr>
        <w:rPr/>
      </w:pPr>
      <w:bookmarkStart w:id="798" w:name="__RefHeading___Toc1391495_1067777946"/>
      <w:bookmarkStart w:id="799" w:name="_Toc297"/>
      <w:bookmarkEnd w:id="798"/>
      <w:r>
        <w:rPr>
          <w:rtl w:val="true"/>
        </w:rPr>
        <w:t>أثر الدعاء في تغيير المصير</w:t>
      </w:r>
      <w:bookmarkEnd w:id="799"/>
    </w:p>
    <w:p>
      <w:pPr>
        <w:pStyle w:val="BookText"/>
        <w:rPr/>
      </w:pPr>
      <w:r>
        <w:rPr>
          <w:rFonts w:ascii="Amiri" w:hAnsi="Amiri" w:eastAsia="Amiri" w:cs="Amiri"/>
          <w:color w:val="111111"/>
          <w:sz w:val="28"/>
          <w:sz w:val="28"/>
          <w:szCs w:val="28"/>
          <w:rtl w:val="true"/>
          <w:lang w:bidi="ar-SA"/>
        </w:rPr>
        <w:t xml:space="preserve">أخرج الحاكم عن ابن عباس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ينفع الحذر عن القدر ولكن الله يمحو بالدعاء ما يشاء من القدر</w:t>
      </w:r>
      <w:r>
        <w:rPr>
          <w:rFonts w:eastAsia="Amiri" w:cs="Amiri" w:ascii="Amiri" w:hAnsi="Amiri"/>
          <w:color w:val="111111"/>
          <w:sz w:val="28"/>
          <w:szCs w:val="28"/>
          <w:rtl w:val="true"/>
          <w:lang w:bidi="ar-SA"/>
        </w:rPr>
        <w:t xml:space="preserve">. </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 xml:space="preserve">وأخرج ابن أبي شيبة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أبي الدنيا في الدعاء عن ابن مسعود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دعا عبد بهذه الدعوات إلاّ وسّع الله له في معيشته </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ذا المن ولا يُمنّ عليه ، يا ذا الجلال والإكرام يا ذا الطول ، لا إله إلاّ أنت ظهر اللاجين وجار المستجيرين ، ومأمن الخائفين إن كنت كتبتني </w:t>
      </w:r>
      <w:bookmarkStart w:id="800" w:name="pg11047_102884"/>
    </w:p>
    <w:p>
      <w:pPr>
        <w:pStyle w:val="BookText"/>
        <w:rPr/>
      </w:pPr>
      <w:bookmarkEnd w:id="800"/>
      <w:r>
        <w:rPr>
          <w:rFonts w:ascii="Amiri" w:hAnsi="Amiri" w:eastAsia="Amiri" w:cs="Amiri"/>
          <w:color w:val="111111"/>
          <w:sz w:val="28"/>
          <w:sz w:val="28"/>
          <w:szCs w:val="28"/>
          <w:rtl w:val="true"/>
          <w:lang w:bidi="ar-SA"/>
        </w:rPr>
        <w:t xml:space="preserve">عندك في أُمّ الكتاب شقياً فامح عني اسم الشقاء واثبتني عندك سعيداً ، وإن كنت كتبتني عندك في أُمّ الكتاب محروماً مقتراً على رزقي ، فامح حرماني ويسّر رزقي وأثبتني عندك سعيداً موفقاً للخير ، فإنّك تقول في كتابك الذي أنزلت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يَمْحُوا اللهُ ما يَشاءُ وَيُثْبِتُ وَعِنْدَهُ أُمُّ الْكِتابِ</w:t>
      </w:r>
      <w:r>
        <w:rPr>
          <w:rFonts w:eastAsia="Amiri" w:cs="Amiri" w:ascii="Amiri" w:hAnsi="Amiri"/>
          <w:color w:val="111111"/>
          <w:sz w:val="28"/>
          <w:szCs w:val="28"/>
          <w:rtl w:val="true"/>
          <w:lang w:bidi="ar-SA"/>
        </w:rPr>
        <w:t xml:space="preserve">). </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 xml:space="preserve">روى الكليني بسنده عن حماد بن عثمان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الدعاء يرد القضاء ينقضه كما يُنقض السلك وقد أُبرم إبراماً</w:t>
      </w:r>
      <w:r>
        <w:rPr>
          <w:rFonts w:eastAsia="Amiri" w:cs="Amiri" w:ascii="Amiri" w:hAnsi="Amiri"/>
          <w:color w:val="111111"/>
          <w:sz w:val="28"/>
          <w:szCs w:val="28"/>
          <w:rtl w:val="true"/>
          <w:lang w:bidi="ar-SA"/>
        </w:rPr>
        <w:t xml:space="preserve">». </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 xml:space="preserve">وروى الكليني بسند عن أبي الحسن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عليكم بالدعاء ، فانّ الدعاء لله والطلب إلى الله يردّ البلاء وقد قدّر وقضى ولم يبق إلاّ إمضاؤه ، فإذا دعي الله عز وجلّ وسئل صرف البلاء صرفة</w:t>
      </w:r>
      <w:r>
        <w:rPr>
          <w:rFonts w:eastAsia="Amiri" w:cs="Amiri" w:ascii="Amiri" w:hAnsi="Amiri"/>
          <w:color w:val="111111"/>
          <w:sz w:val="28"/>
          <w:szCs w:val="28"/>
          <w:rtl w:val="true"/>
          <w:lang w:bidi="ar-SA"/>
        </w:rPr>
        <w:t xml:space="preserve">». </w:t>
      </w:r>
      <w:r>
        <w:rPr>
          <w:rStyle w:val="FootnoteAnchor"/>
          <w:rtl w:val="true"/>
        </w:rPr>
        <w:footnoteReference w:id="491"/>
      </w:r>
    </w:p>
    <w:p>
      <w:pPr>
        <w:pStyle w:val="Heading4"/>
        <w:numPr>
          <w:ilvl w:val="3"/>
          <w:numId w:val="1"/>
        </w:numPr>
        <w:rPr/>
      </w:pPr>
      <w:bookmarkStart w:id="801" w:name="__RefHeading___Toc1391497_1067777946"/>
      <w:bookmarkStart w:id="802" w:name="_Toc298"/>
      <w:bookmarkEnd w:id="801"/>
      <w:r>
        <w:rPr>
          <w:rtl w:val="true"/>
        </w:rPr>
        <w:t>أثر الصدقة في تغيير المصير</w:t>
      </w:r>
      <w:bookmarkEnd w:id="802"/>
    </w:p>
    <w:p>
      <w:pPr>
        <w:pStyle w:val="BookText"/>
        <w:rPr/>
      </w:pPr>
      <w:r>
        <w:rPr>
          <w:rFonts w:ascii="Amiri" w:hAnsi="Amiri" w:eastAsia="Amiri" w:cs="Amiri"/>
          <w:color w:val="111111"/>
          <w:sz w:val="28"/>
          <w:sz w:val="28"/>
          <w:szCs w:val="28"/>
          <w:rtl w:val="true"/>
          <w:lang w:bidi="ar-SA"/>
        </w:rPr>
        <w:t xml:space="preserve">روى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سأل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لأقرّنّ عينيك بتفسيرها ولأقرّنّ عين أُمّتي بعدي بتفسيرها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على وجهها ، وبرّ الوالدين ، واصطناع المعروف يحوّل الشقاء سعادة ، ويزيد في العمر ، ويقي مصارع السوء</w:t>
      </w:r>
      <w:r>
        <w:rPr>
          <w:rFonts w:eastAsia="Amiri" w:cs="Amiri" w:ascii="Amiri" w:hAnsi="Amiri"/>
          <w:color w:val="111111"/>
          <w:sz w:val="28"/>
          <w:szCs w:val="28"/>
          <w:rtl w:val="true"/>
          <w:lang w:bidi="ar-SA"/>
        </w:rPr>
        <w:t xml:space="preserve">». </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وكما أنّ للأعمال الصالحة أثراً في المصير وحسن العاقبة ، وشمول الرحمة وزيادة العمر وسعة الرزق ، كذلك الأعمال الطالحة والسيئات في الأفعال فانّ لها تأثيراً ضد أثر الأعمال الحسنة</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ذلك من الآيات قوله سبحانه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وَضَرَبَ اللهُ مَثَلاً قَرْيَةً كانَتْ آمِنَةً مُطْمَئِنَّةً يَأْتِيها رِزْقُها رَغَداً مِنْ كُلِّ مَكانٍ فَكَفَرَتْ بِأَنْعُمِ اللهِ فَأَذاقَهَا اللهُ لِباسَ الْجُوعِ وَالْخَوْفِ بِما كانُوا يَصْنَعُونَ</w:t>
      </w:r>
      <w:r>
        <w:rPr>
          <w:rFonts w:eastAsia="Amiri" w:cs="Amiri" w:ascii="Amiri" w:hAnsi="Amiri"/>
          <w:color w:val="111111"/>
          <w:sz w:val="28"/>
          <w:szCs w:val="28"/>
          <w:rtl w:val="true"/>
          <w:lang w:bidi="ar-SA"/>
        </w:rPr>
        <w:t xml:space="preserve">). </w:t>
      </w:r>
      <w:r>
        <w:rPr>
          <w:rStyle w:val="FootnoteAnchor"/>
          <w:rtl w:val="true"/>
        </w:rPr>
        <w:footnoteReference w:id="493"/>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أَخَذْنا آلَ فِرْعَوْنَ بِالسِّنِينَ وَنَقْصٍ مِنَ الثَّمَراتِ لَعَلَّهُمْ يَذَّكَّرُونَ</w:t>
      </w:r>
      <w:r>
        <w:rPr>
          <w:rFonts w:eastAsia="Amiri" w:cs="Amiri" w:ascii="Amiri" w:hAnsi="Amiri"/>
          <w:color w:val="111111"/>
          <w:sz w:val="28"/>
          <w:szCs w:val="28"/>
          <w:rtl w:val="true"/>
          <w:lang w:bidi="ar-SA"/>
        </w:rPr>
        <w:t xml:space="preserve">). </w:t>
      </w:r>
      <w:r>
        <w:rPr>
          <w:rStyle w:val="FootnoteAnchor"/>
          <w:rtl w:val="true"/>
        </w:rPr>
        <w:footnoteReference w:id="494"/>
      </w:r>
      <w:bookmarkStart w:id="803" w:name="pg11047_102886"/>
    </w:p>
    <w:p>
      <w:pPr>
        <w:pStyle w:val="Heading3"/>
        <w:numPr>
          <w:ilvl w:val="2"/>
          <w:numId w:val="1"/>
        </w:numPr>
        <w:rPr/>
      </w:pPr>
      <w:bookmarkStart w:id="804" w:name="__RefHeading___Toc1391499_1067777946"/>
      <w:bookmarkStart w:id="805" w:name="_Toc299"/>
      <w:bookmarkEnd w:id="803"/>
      <w:bookmarkEnd w:id="804"/>
      <w:r>
        <w:rPr/>
        <w:t>2</w:t>
      </w:r>
      <w:r>
        <w:rPr>
          <w:rtl w:val="true"/>
        </w:rPr>
        <w:t xml:space="preserve">- </w:t>
      </w:r>
      <w:r>
        <w:rPr>
          <w:rtl w:val="true"/>
        </w:rPr>
        <w:t>البداء في الكتاب العزيز</w:t>
      </w:r>
      <w:bookmarkEnd w:id="805"/>
    </w:p>
    <w:p>
      <w:pPr>
        <w:pStyle w:val="BookText"/>
        <w:rPr/>
      </w:pPr>
      <w:r>
        <w:rPr>
          <w:rFonts w:ascii="Amiri" w:hAnsi="Amiri" w:eastAsia="Amiri" w:cs="Amiri"/>
          <w:color w:val="111111"/>
          <w:sz w:val="28"/>
          <w:sz w:val="28"/>
          <w:szCs w:val="28"/>
          <w:rtl w:val="true"/>
          <w:lang w:bidi="ar-SA"/>
        </w:rPr>
        <w:t>لقد عرفت أنّه ليس للإنسان مصير واحد لا يُردّ ولا يبدّل ، بل ما كتب وقدّر يتغيّر بصالح الأعمال وطالحها ، فليس الإنسان في مقابل التقدير مسيّراً ، ولكنّه بعدُ مخيّر في أن يغيّر التقدير بصالح أفعاله أو بسيّئاتها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حسن الحظ انّ الكتاب يركّز على ذلك ويعرب عن أنّ لله سبحانه لوحين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لوح المحو والإثبات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في اللوح الأوّل خاضع للتغيير والتبديل ، فليس ما كتب فيه أمراً قطعياً لا يغيّر ولا يتبدّل ،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لِرَسُولٍ أَنْ يَأْتِيَ بِآيَةٍ إِلاَّ بِإِذْنِ اللهِ لِكُلِّ أَجَلٍ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يَمْحُوا اللهُ ما يَشاءُ وَيُثْبِتُ وَعِنْدَهُ أُمُّ الْكِتابِ</w:t>
      </w:r>
      <w:r>
        <w:rPr>
          <w:rFonts w:eastAsia="Amiri" w:cs="Amiri" w:ascii="Amiri" w:hAnsi="Amiri"/>
          <w:color w:val="111111"/>
          <w:sz w:val="28"/>
          <w:szCs w:val="28"/>
          <w:rtl w:val="true"/>
          <w:lang w:bidi="ar-SA"/>
        </w:rPr>
        <w:t xml:space="preserve">). </w:t>
      </w:r>
      <w:r>
        <w:rPr>
          <w:rStyle w:val="FootnoteAnchor"/>
          <w:rtl w:val="true"/>
        </w:rPr>
        <w:footnoteReference w:id="495"/>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الآية هي الأصل في البداء في الشريعة الإسلامية ، وها نحن ننقل </w:t>
      </w:r>
    </w:p>
    <w:p>
      <w:pPr>
        <w:pStyle w:val="BookText"/>
        <w:rPr/>
      </w:pPr>
      <w:r>
        <w:rPr>
          <w:rFonts w:ascii="Amiri" w:hAnsi="Amiri" w:eastAsia="Amiri" w:cs="Amiri"/>
          <w:color w:val="111111"/>
          <w:sz w:val="28"/>
          <w:sz w:val="28"/>
          <w:szCs w:val="28"/>
          <w:rtl w:val="true"/>
          <w:lang w:bidi="ar-SA"/>
        </w:rPr>
        <w:t>بعض كلمات المحقّقين من المفسّرين حتّى يقف القارئ على المعنى الصحيح للبداء ويعلم أنّه ممّا أصفقت عليه الأُمّة ولا يوجد بينهم أيُّ خلاف في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الآية عن لفيف من الصحابة والتابعين أنّهم كانوا يدعون الله سبحانه بتغيير المصير وإخراجهم من الشقاء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كتب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السعادة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وهو يطوف بالكعبة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كنت كتبتني في أهل السعادة فأثبتني فيها ، وإن كنت كتبتني على الذنب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الشقاوة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فامحني وأثبتني في أهل السعادة ، فإنّك تمحو ما تشاء وتثبت وعندك أُمّ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نظير هذا الكلام عن ابن مسعود ، وابن عباس ، وشقيق وأبي وائل</w:t>
      </w:r>
      <w:r>
        <w:rPr>
          <w:rFonts w:eastAsia="Amiri" w:cs="Amiri" w:ascii="Amiri" w:hAnsi="Amiri"/>
          <w:color w:val="111111"/>
          <w:sz w:val="28"/>
          <w:szCs w:val="28"/>
          <w:rtl w:val="true"/>
          <w:lang w:bidi="ar-SA"/>
        </w:rPr>
        <w:t xml:space="preserve">. </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 xml:space="preserve">وروى عن ابن زيد أنّه قال في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يُنزِّلُ على الأنبياء ، ويُثبت ما يشاء مما ينزله إلى الأنبياء وقال وعنده أُمّ الكتاب لا يُغيّر ولا يُبدَّل</w:t>
      </w:r>
      <w:r>
        <w:rPr>
          <w:rFonts w:eastAsia="Amiri" w:cs="Amiri" w:ascii="Amiri" w:hAnsi="Amiri"/>
          <w:color w:val="111111"/>
          <w:sz w:val="28"/>
          <w:szCs w:val="28"/>
          <w:rtl w:val="true"/>
          <w:lang w:bidi="ar-SA"/>
        </w:rPr>
        <w:t xml:space="preserve">. </w:t>
      </w:r>
      <w:r>
        <w:rPr>
          <w:rStyle w:val="FootnoteAnchor"/>
          <w:rtl w:val="true"/>
        </w:rPr>
        <w:footnoteReference w:id="49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الزمخشرى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يَمْحُوا اللهُ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ينسخ ما يستصوب نسخه ويثبت بدله ما يرى المصلحة في إثباته أو ينزله غير منسوخ</w:t>
      </w:r>
      <w:r>
        <w:rPr>
          <w:rFonts w:eastAsia="Amiri" w:cs="Amiri" w:ascii="Amiri" w:hAnsi="Amiri"/>
          <w:color w:val="111111"/>
          <w:sz w:val="28"/>
          <w:szCs w:val="28"/>
          <w:rtl w:val="true"/>
          <w:lang w:bidi="ar-SA"/>
        </w:rPr>
        <w:t xml:space="preserve">. </w:t>
      </w:r>
      <w:r>
        <w:rPr>
          <w:rStyle w:val="FootnoteAnchor"/>
          <w:rtl w:val="true"/>
        </w:rPr>
        <w:footnoteReference w:id="49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الطبرسي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لتفسير الآية وجوهاً متقاربة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عامٌّ في كل شيء فيمحو من الرزق ويزيد فيه ، ومن الأجل ، ويمحو السعادة والشقاوة ويثبتهما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الخطاب ، وابن مسعود وأبي وائل ، وقتادة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 الكتاب أصل الكتاب الذي أُثبتت فيه الحادثات والكائنات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أبو قلابَة عن ابن مسعود أنّه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كنت كتبتني في الأشقياء فامحنى من الأشقياء </w:t>
      </w:r>
      <w:r>
        <w:rPr>
          <w:rFonts w:eastAsia="Amiri" w:cs="Amiri" w:ascii="Amiri" w:hAnsi="Amiri"/>
          <w:color w:val="111111"/>
          <w:sz w:val="28"/>
          <w:szCs w:val="28"/>
          <w:rtl w:val="true"/>
          <w:lang w:bidi="ar-SA"/>
        </w:rPr>
        <w:t xml:space="preserve">...». </w:t>
      </w:r>
      <w:r>
        <w:rPr>
          <w:rStyle w:val="FootnoteAnchor"/>
          <w:rtl w:val="true"/>
        </w:rPr>
        <w:footnoteReference w:id="49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في هذه الآية قولين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عامّة في كل شيء كما يقتضيه ظاهر اللفظ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يمحو من الرزق ويزيد فيه ، وكذا القول في الأجل والسعادة والشقاوة والإيمان والكفر ، وهو مذهب عمر وابن مسعود ، والقائلون بهذا القول كانوا يدعون ويتضرّعون إلى الله تعالى في أن يجعلهم سعداء لا أشقياء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التأويل رواه جابر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الآية خاصّة في بعض الأشقياء دون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تزعمون إنّ المقادير سابقة قد جفَّ بها القلم وليس الأمر بأنف ، فكيف يستقيم مع هذا المعنى ، المحو والإثبات؟</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المحو والإثبات أيضاً مما جفّ به القلم ، فلأنّه لا يمحو إلا ما سبق في علمه وقضائه محوه</w:t>
      </w:r>
      <w:r>
        <w:rPr>
          <w:rFonts w:eastAsia="Amiri" w:cs="Amiri" w:ascii="Amiri" w:hAnsi="Amiri"/>
          <w:color w:val="111111"/>
          <w:sz w:val="28"/>
          <w:szCs w:val="28"/>
          <w:rtl w:val="true"/>
          <w:lang w:bidi="ar-SA"/>
        </w:rPr>
        <w:t xml:space="preserve">. </w:t>
      </w:r>
      <w:r>
        <w:rPr>
          <w:rStyle w:val="FootnoteAnchor"/>
          <w:rtl w:val="true"/>
        </w:rPr>
        <w:footnoteReference w:id="50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نقل القولين وإن المحو والإثبات هل يعمّان جميع الأشياء أو يختصان ببعضها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هذا لا يدرك بالرأي والاجتهاد ، وإنّما يؤخذ توقيفاً فإن صحَّ فالقول به يجب أن يوقف عنده ، وإلاّ فتكون الآية عامّة في جميع الأشياء ، وهو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دعاء عمر بن الخطاب في حال الطواف ودعاء عبد الله بن مسعود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في الصحيحين عن أبي</w:t>
      </w:r>
    </w:p>
    <w:p>
      <w:pPr>
        <w:pStyle w:val="BookText"/>
        <w:rPr/>
      </w:pPr>
      <w:r>
        <w:rPr>
          <w:rFonts w:ascii="Amiri" w:hAnsi="Amiri" w:eastAsia="Amiri" w:cs="Amiri"/>
          <w:color w:val="111111"/>
          <w:sz w:val="28"/>
          <w:sz w:val="28"/>
          <w:szCs w:val="28"/>
          <w:rtl w:val="true"/>
          <w:lang w:bidi="ar-SA"/>
        </w:rPr>
        <w:t xml:space="preserve">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سرّه أن يبسط له في رزقهِ ويُنسَأ له في أثره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فليصل رحمه</w:t>
      </w:r>
      <w:r>
        <w:rPr>
          <w:rFonts w:eastAsia="Amiri" w:cs="Amiri" w:ascii="Amiri" w:hAnsi="Amiri"/>
          <w:color w:val="111111"/>
          <w:sz w:val="28"/>
          <w:szCs w:val="28"/>
          <w:rtl w:val="true"/>
          <w:lang w:bidi="ar-SA"/>
        </w:rPr>
        <w:t xml:space="preserve">». </w:t>
      </w:r>
      <w:r>
        <w:rPr>
          <w:rStyle w:val="FootnoteAnchor"/>
          <w:rtl w:val="true"/>
        </w:rPr>
        <w:footnoteReference w:id="50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قسم من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هذه الروايات أنّ الأقدار ينسخ الله ما يشاء منها ويثبت منها ما يشاء ، وقد يُستأنس لهذا القول بما رواه الإمام أحمد عن ثوبان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الرجل ليُحْرَمُ الرزقَ بالذنب يصيبه ولا يرد القَدَرُ إلاّ بالدعاء ، ولا يزيد في العمر إلا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كتابان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فكتاب يمحو الله منه ما يشاء ويثبت عنده ما يشاء ، وعنده أُمّ الكتاب</w:t>
      </w:r>
      <w:r>
        <w:rPr>
          <w:rFonts w:eastAsia="Amiri" w:cs="Amiri" w:ascii="Amiri" w:hAnsi="Amiri"/>
          <w:color w:val="111111"/>
          <w:sz w:val="28"/>
          <w:szCs w:val="28"/>
          <w:rtl w:val="true"/>
          <w:lang w:bidi="ar-SA"/>
        </w:rPr>
        <w:t xml:space="preserve">. </w:t>
      </w:r>
      <w:r>
        <w:rPr>
          <w:rStyle w:val="FootnoteAnchor"/>
          <w:rtl w:val="true"/>
        </w:rPr>
        <w:footnoteReference w:id="50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في تفسير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الرجل يعمل الزمان بطاعة الله ، ثم يعود لمعصية الله فيموت على ضلالة فهو الذي يمحو ، والذي يثبت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يعمل بمعصية الله تعالى وقد سبق له خير حتى يموت وهو في طاعة الله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ما نقلناه من الدعاء عن لفيف من الصحابة والتابعين</w:t>
      </w:r>
      <w:r>
        <w:rPr>
          <w:rFonts w:eastAsia="Amiri" w:cs="Amiri" w:ascii="Amiri" w:hAnsi="Amiri"/>
          <w:color w:val="111111"/>
          <w:sz w:val="28"/>
          <w:szCs w:val="28"/>
          <w:rtl w:val="true"/>
          <w:lang w:bidi="ar-SA"/>
        </w:rPr>
        <w:t xml:space="preserve">. </w:t>
      </w:r>
      <w:r>
        <w:rPr>
          <w:rStyle w:val="FootnoteAnchor"/>
          <w:rtl w:val="true"/>
        </w:rPr>
        <w:footnoteReference w:id="50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الألوسي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تفسير الآية قسماً من الآثار الواردة حولها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ابن مردويه وابن عساكر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سأل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يَمْحُوا اللهُ ما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فقال له عليه الصلاة والسلام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لأقرَّنَّ عينك بتفسيرها ، ولأُقرَّنَّ عين أُمّتي بعدي بتفسيرها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الصدقة على وجهها ، وبر الوالدين واصطناع المعروف ، محوِّل الشقاء سعادة ، ويزيد في العمر ، </w:t>
      </w:r>
    </w:p>
    <w:p>
      <w:pPr>
        <w:pStyle w:val="BookText"/>
        <w:rPr/>
      </w:pPr>
      <w:r>
        <w:rPr>
          <w:rFonts w:ascii="Amiri" w:hAnsi="Amiri" w:eastAsia="Amiri" w:cs="Amiri"/>
          <w:color w:val="111111"/>
          <w:sz w:val="28"/>
          <w:sz w:val="28"/>
          <w:szCs w:val="28"/>
          <w:rtl w:val="true"/>
          <w:lang w:bidi="ar-SA"/>
        </w:rPr>
        <w:t>ويقي مصارع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الإشكال عن استلزام ذلك ، بتغير علم الله سبحانه ، ومن شاء فليرجع</w:t>
      </w:r>
      <w:r>
        <w:rPr>
          <w:rFonts w:eastAsia="Amiri" w:cs="Amiri" w:ascii="Amiri" w:hAnsi="Amiri"/>
          <w:color w:val="111111"/>
          <w:sz w:val="28"/>
          <w:szCs w:val="28"/>
          <w:rtl w:val="true"/>
          <w:lang w:bidi="ar-SA"/>
        </w:rPr>
        <w:t xml:space="preserve">. </w:t>
      </w:r>
      <w:r>
        <w:rPr>
          <w:rStyle w:val="FootnoteAnchor"/>
          <w:rtl w:val="true"/>
        </w:rPr>
        <w:footnoteReference w:id="504"/>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صديق حسن 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النظم القرآني العموم في كل شيء ممّا في الكتاب ، فيمحو ما يشاء محوه من شقاوة أو سعادة أو رزق أو عمر أو خير أو شرّ ، ويبدل هذا بهذا ، ويجعل هذا مكان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يُسأل عما يفعل وهم يُسألون وإلى هذا ذهب عمر بن الخطاب وابن مسعود وابن عباس وأبو وائل وقتادة والضحاك وابن جريج وغيرهم </w:t>
      </w:r>
      <w:r>
        <w:rPr>
          <w:rFonts w:eastAsia="Amiri" w:cs="Amiri" w:ascii="Amiri" w:hAnsi="Amiri"/>
          <w:color w:val="111111"/>
          <w:sz w:val="28"/>
          <w:szCs w:val="28"/>
          <w:rtl w:val="true"/>
          <w:lang w:bidi="ar-SA"/>
        </w:rPr>
        <w:t xml:space="preserve">... </w:t>
      </w:r>
      <w:r>
        <w:rPr>
          <w:rStyle w:val="FootnoteAnchor"/>
          <w:rtl w:val="true"/>
        </w:rPr>
        <w:footnoteReference w:id="505"/>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القاسمي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تمسك جماعة بظاهر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عامَّة في كل شيء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يقتضيه ظاهر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يمحو الله من الرزق ويزيد فيه ، وكذا القول في الأجل والسعادة والشقاوة والإيمان والكفر</w:t>
      </w:r>
      <w:r>
        <w:rPr>
          <w:rFonts w:eastAsia="Amiri" w:cs="Amiri" w:ascii="Amiri" w:hAnsi="Amiri"/>
          <w:color w:val="111111"/>
          <w:sz w:val="28"/>
          <w:szCs w:val="28"/>
          <w:rtl w:val="true"/>
          <w:lang w:bidi="ar-SA"/>
        </w:rPr>
        <w:t xml:space="preserve">. </w:t>
      </w:r>
      <w:r>
        <w:rPr>
          <w:rStyle w:val="FootnoteAnchor"/>
          <w:rtl w:val="true"/>
        </w:rPr>
        <w:footnoteReference w:id="506"/>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المراغي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أُثر عن أئمة السلف أقوال لا تناقض فيها ، بل هي داخلة فيما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الأقوال بإجمال</w:t>
      </w:r>
      <w:r>
        <w:rPr>
          <w:rFonts w:eastAsia="Amiri" w:cs="Amiri" w:ascii="Amiri" w:hAnsi="Amiri"/>
          <w:color w:val="111111"/>
          <w:sz w:val="28"/>
          <w:szCs w:val="28"/>
          <w:rtl w:val="true"/>
          <w:lang w:bidi="ar-SA"/>
        </w:rPr>
        <w:t xml:space="preserve">. </w:t>
      </w:r>
      <w:r>
        <w:rPr>
          <w:rStyle w:val="FootnoteAnchor"/>
          <w:rtl w:val="true"/>
        </w:rPr>
        <w:footnoteReference w:id="507"/>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الجمل والكلم الدرّية المضيئة عن الصحابة والتابعين لهم بإحسان ، والمفسرين تعرب عن الرأي العام بين المسلمين في مجال إمكان تغيير المصير بالأعمال الصالحة والطالحة ومنها الدعاء والسؤال ، وأنّه ليس كل تقدير حتمياً </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يُغيّر ولا يبدّل ، وإنّ لله سبحانه لوحين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لوح المحو والإثبات ، ولوح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لا يتطرق التغيير إليه هو الثاني دون الأوّل ، وإنّ القول بسيادة القدر على اختيار الإنسان في مجال الطاعة والمعصية ، قول بالجبر ، الباطل بالعقل والضرورة ، ومحكمات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جنح إليه لزمه القول بلغوية إرسال الرسل وإنزال الكتب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ظَنُّ الَّذِينَ كَفَرُوا فَوَيْلٌ لِلَّذِينَ كَفَرُوا مِنَ النَّارِ</w:t>
      </w:r>
      <w:r>
        <w:rPr>
          <w:rFonts w:eastAsia="Amiri" w:cs="Amiri" w:ascii="Amiri" w:hAnsi="Amiri"/>
          <w:color w:val="111111"/>
          <w:sz w:val="28"/>
          <w:szCs w:val="28"/>
          <w:rtl w:val="true"/>
          <w:lang w:bidi="ar-SA"/>
        </w:rPr>
        <w:t xml:space="preserve">). </w:t>
      </w:r>
      <w:r>
        <w:rPr>
          <w:rStyle w:val="FootnoteAnchor"/>
          <w:rtl w:val="true"/>
        </w:rPr>
        <w:footnoteReference w:id="508"/>
      </w:r>
      <w:bookmarkStart w:id="806" w:name="pg11047_102892"/>
    </w:p>
    <w:p>
      <w:pPr>
        <w:pStyle w:val="Heading3"/>
        <w:numPr>
          <w:ilvl w:val="2"/>
          <w:numId w:val="1"/>
        </w:numPr>
        <w:rPr/>
      </w:pPr>
      <w:bookmarkStart w:id="807" w:name="__RefHeading___Toc1391501_1067777946"/>
      <w:bookmarkStart w:id="808" w:name="_Toc300"/>
      <w:bookmarkEnd w:id="806"/>
      <w:bookmarkEnd w:id="807"/>
      <w:r>
        <w:rPr/>
        <w:t>3</w:t>
      </w:r>
      <w:r>
        <w:rPr>
          <w:rtl w:val="true"/>
        </w:rPr>
        <w:t xml:space="preserve">- </w:t>
      </w:r>
      <w:r>
        <w:rPr>
          <w:rtl w:val="true"/>
        </w:rPr>
        <w:t>النزاع في البداء لفظي</w:t>
      </w:r>
      <w:bookmarkEnd w:id="808"/>
    </w:p>
    <w:p>
      <w:pPr>
        <w:pStyle w:val="Heading4"/>
        <w:numPr>
          <w:ilvl w:val="3"/>
          <w:numId w:val="1"/>
        </w:numPr>
        <w:rPr/>
      </w:pPr>
      <w:bookmarkStart w:id="809" w:name="__RefHeading___Toc1391503_1067777946"/>
      <w:bookmarkStart w:id="810" w:name="_Toc301"/>
      <w:bookmarkEnd w:id="809"/>
      <w:r>
        <w:rPr>
          <w:rtl w:val="true"/>
        </w:rPr>
        <w:t>اشارة</w:t>
      </w:r>
      <w:bookmarkEnd w:id="810"/>
    </w:p>
    <w:p>
      <w:pPr>
        <w:pStyle w:val="BookText"/>
        <w:rPr/>
      </w:pPr>
      <w:r>
        <w:rPr>
          <w:rFonts w:ascii="Amiri" w:hAnsi="Amiri" w:eastAsia="Amiri" w:cs="Amiri"/>
          <w:color w:val="111111"/>
          <w:sz w:val="28"/>
          <w:sz w:val="28"/>
          <w:szCs w:val="28"/>
          <w:rtl w:val="true"/>
          <w:lang w:bidi="ar-SA"/>
        </w:rPr>
        <w:t>لم يزل النزاع بين الشيعة والسنّة في وصف الله سبحانه بالبداء قائماً على قدم وساق ، فالشيعة الإمامية تعتبر البداء من صميم الدين بحجّة انّه بمعنى تغيّر المصير بصالح الأعمال وطالحها ، وتنكره بمعنى الظهور بعد الخفاء كما سيوافيك ؛ والسنّة ترفض البداء بالمعنى المحال وهو ظهور الشيء بعد الخفاء ، وتكفّر القائل به لاستلزامه نسبة الجهل إلى الله سبحانه وتنسبه إلى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انّ المقبول لدى الشيعة يغاير موضوعاً ومحمولاً مع ما هو المرفوض لدى السنّة ، فلا يرد مثل ذلك الإيجاب والسلب على مورد واحد ، حيث لا نجد بين الأُمّة الإسلامية من ينكر علم الله سبحانه وإحاطته بما في الأرض والسماء ، كما لا نجد فيهم من ينكر تغير المصير بصالح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فالفريقان يتنازعان ولكنّهما يتفقان في المعنى الإيجابي ، كما أنّهما يتّفقان في المعنى السلبي</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إن دلّ على شيء فإنّما يدلّ على أنّ المسألة لم تطرح في جوّ هادئ حتّى تقف كلّ طائفة على ما لدى الطائفة الأُخرى من المعنى لهذا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ندعو إلى عقد مؤتمر علمي لدراسة هذه المسألة بدقة لإزالة الشكّ والالتباس فيها وفي غيرها من المسائل المختلف فيها</w:t>
      </w:r>
      <w:r>
        <w:rPr>
          <w:rFonts w:eastAsia="Amiri" w:cs="Amiri" w:ascii="Amiri" w:hAnsi="Amiri"/>
          <w:color w:val="111111"/>
          <w:sz w:val="28"/>
          <w:szCs w:val="28"/>
          <w:rtl w:val="true"/>
          <w:lang w:bidi="ar-SA"/>
        </w:rPr>
        <w:t xml:space="preserve">. </w:t>
      </w:r>
      <w:bookmarkStart w:id="811" w:name="pg11047_102893"/>
    </w:p>
    <w:p>
      <w:pPr>
        <w:pStyle w:val="Heading4"/>
        <w:numPr>
          <w:ilvl w:val="3"/>
          <w:numId w:val="1"/>
        </w:numPr>
        <w:rPr/>
      </w:pPr>
      <w:bookmarkStart w:id="812" w:name="__RefHeading___Toc1391505_1067777946"/>
      <w:bookmarkStart w:id="813" w:name="_Toc302"/>
      <w:bookmarkEnd w:id="811"/>
      <w:bookmarkEnd w:id="812"/>
      <w:r>
        <w:rPr>
          <w:rtl w:val="true"/>
        </w:rPr>
        <w:t>نصوص علماء الإمامية في البداء</w:t>
      </w:r>
      <w:bookmarkEnd w:id="8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الاعتقاد بالبداء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اليهود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قد فرغ من الأمر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يوم هو في 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يشغله شأن عن شأن ، يحيي ويميت ، ويخلق ويرزق ويفعل ما يشاء ، وقلنا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وَيُثْبِتُ وَعِنْدَهُ أُمُّ الْكِتابِ</w:t>
      </w:r>
      <w:r>
        <w:rPr>
          <w:rFonts w:eastAsia="Amiri" w:cs="Amiri" w:ascii="Amiri" w:hAnsi="Amiri"/>
          <w:color w:val="111111"/>
          <w:sz w:val="28"/>
          <w:szCs w:val="28"/>
          <w:rtl w:val="true"/>
          <w:lang w:bidi="ar-SA"/>
        </w:rPr>
        <w:t xml:space="preserve">)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المفيد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معنى البداء ما يقوله المسلمون بأجمعهم في النسخ وأمثاله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الإفقار بعد الإغناء ، والإمراض بعد الإعفاء ، والإماتة بعد الإحياء ، وما يذهب إليه أهل العدل خاصة ، من الزيادة في الآجال والأرزاق والنقصان منها بالأعمال</w:t>
      </w:r>
      <w:r>
        <w:rPr>
          <w:rFonts w:eastAsia="Amiri" w:cs="Amiri" w:ascii="Amiri" w:hAnsi="Amiri"/>
          <w:color w:val="111111"/>
          <w:sz w:val="28"/>
          <w:szCs w:val="28"/>
          <w:rtl w:val="true"/>
          <w:lang w:bidi="ar-SA"/>
        </w:rPr>
        <w:t xml:space="preserve">. </w:t>
      </w:r>
      <w:r>
        <w:rPr>
          <w:rStyle w:val="FootnoteAnchor"/>
          <w:rtl w:val="true"/>
        </w:rPr>
        <w:footnoteReference w:id="51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السيد المرتضى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البداء في لغة العرب هو الظهور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بدا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ظهر وبان ، والمتكلّمون تعرّفوا فيما بينهم أن يسمّوا ما يقتضي هذا البداء باسمه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أمر الله تعالى بالشيء في وقت مخصوص على وجه معيّن ومكلّف واحد ، ثمّ نهى عنه ، فهو بداء ، والبداء على ما حدّدناه لا يجوز على الله تعالى لأنّه علم بنفسه ، ولا يجوز له أن يتجدّد كونه عالماً ، ولا أن يظهر له من المعلومات ما لم يكن ظاهراً</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وردت أخبار آحاد لا توجب علماً ، ولا تقتضي قطعاً بإضافة البداء إلى الله ، وحملها محقّقو أصحابنا على أنّ المراد بلفظة البداء فيها النسخ للشرائع ولا </w:t>
      </w:r>
    </w:p>
    <w:p>
      <w:pPr>
        <w:pStyle w:val="BookText"/>
        <w:rPr/>
      </w:pPr>
      <w:r>
        <w:rPr>
          <w:rFonts w:ascii="Amiri" w:hAnsi="Amiri" w:eastAsia="Amiri" w:cs="Amiri"/>
          <w:color w:val="111111"/>
          <w:sz w:val="28"/>
          <w:sz w:val="28"/>
          <w:szCs w:val="28"/>
          <w:rtl w:val="true"/>
          <w:lang w:bidi="ar-SA"/>
        </w:rPr>
        <w:t>خلاف بين العلماء في جواز النسخ للشرائع</w:t>
      </w:r>
      <w:r>
        <w:rPr>
          <w:rFonts w:eastAsia="Amiri" w:cs="Amiri" w:ascii="Amiri" w:hAnsi="Amiri"/>
          <w:color w:val="111111"/>
          <w:sz w:val="28"/>
          <w:szCs w:val="28"/>
          <w:rtl w:val="true"/>
          <w:lang w:bidi="ar-SA"/>
        </w:rPr>
        <w:t xml:space="preserve">. </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ترى أنّ السيد الشريف يتبرّأ من البداء بمعنى ظهور الشيء بعد خفائه ، ويفسّر الروايات بمعنى النسخ وهو صحيح ، لكن يجب أن يضاف إليه بأنّ النسخ يستعمل في التشريع والبداء في التكوين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البداء حقيقة في الظهور ، ولذلك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 لنا سور المدينة ، وبدا لنا وجه الرأي وقال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وَبَدا لَهُمْ سَيِّئاتُ ما عَمِلُوا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وَبَدا لَهُمْ سَيِّئاتُ ما كَسَبُوا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فأمّا إذا أُضيفت هذه اللفظة إلى الله تعالى ، فمنه ما يجوز إطلاقه عليه ومنه ما لا يجوز ؛ فأمّا ما يجوز من ذلك ، فهو ما إذا أفاد النسخ بعينه ، ويكون إطلاق ذلك عليه ضرباً من التوسّع ، وعلى هذا الوجه يحمل جميع ما ورد عن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الأخبار المتضمّنة لإضافة البداء إلى الله ، دون ما لا يجوز عليه من حصول العلم بعد أن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إطلاق ذلك فيه تعالى ، هو أنّه إذا كان منه ما يدلّ على النسخ ، يظهر به للمكلّفين ما لم يكن ظاهراً ، ويحصل لهم العلم به بعد أن لم يكن حاصلاً لهم ، أطلق على ذلك لفظ البداء</w:t>
      </w:r>
      <w:r>
        <w:rPr>
          <w:rFonts w:eastAsia="Amiri" w:cs="Amiri" w:ascii="Amiri" w:hAnsi="Amiri"/>
          <w:color w:val="111111"/>
          <w:sz w:val="28"/>
          <w:szCs w:val="28"/>
          <w:rtl w:val="true"/>
          <w:lang w:bidi="ar-SA"/>
        </w:rPr>
        <w:t xml:space="preserve">. </w:t>
      </w:r>
      <w:r>
        <w:rPr>
          <w:rStyle w:val="FootnoteAnchor"/>
          <w:rtl w:val="true"/>
        </w:rPr>
        <w:footnoteReference w:id="513"/>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ترى أنّ شيخ الطائفة أيضاً يفسّر البداء بالنسخ ، ولكن نضيف إلى ما ذكره أنّ النسخ يستعمل في نسخ الحكم والبداء في نسخ التكوين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تغيير المصير </w:t>
      </w:r>
    </w:p>
    <w:p>
      <w:pPr>
        <w:pStyle w:val="BookText"/>
        <w:rPr/>
      </w:pPr>
      <w:r>
        <w:rPr>
          <w:rFonts w:ascii="IRNazanin" w:hAnsi="IRNazanin" w:eastAsia="IRNazanin"/>
          <w:color w:val="111111"/>
          <w:sz w:val="28"/>
          <w:sz w:val="28"/>
          <w:szCs w:val="28"/>
          <w:rtl w:val="true"/>
          <w:lang w:bidi="fa-IR"/>
        </w:rPr>
        <w:t>بصالح الأعمال وطالحها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أيضاً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لا يمتنع أن يكون الله تعالى قد وقّت هذا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الحادثة المعيّنة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الأوقات التي ذكرت ، فلما تجدّد ما تجدّد ، تغيّرت المصلحة واقتضت تأخيره إلى وقت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وعلى هذا يُتأوّل ما روي في تأخير الأعمار عن أوقاتها والزيادة فيها عند الدعاء وصلة الأرحام ، وما روي في تنقيص الأعمار عن أوقاتها إلى ما قبله عند فعل الظلم وقطع الرحم ، وغير ذلك ، وهو تعالى وإن كان عالماً بالأمرين ، فلا يمتنع أن يكون أحدهما معلوماً بشرط ، والآخر بلا شرط ، وهذه الجملة لا خلاف فيها بين أهل العدل ، وعلى هذا يتأوّل أيضاً ما روي من أخبارنا المتضمّنة للفظ البداء ويبيّن أنّ معناها النسخ على ما يريده جميع أهل العدل ، فيما يجوز فيه النسخ أو تغيّر شروطها ، إن كان طريقها الخبر عن الكائنات</w:t>
      </w:r>
      <w:r>
        <w:rPr>
          <w:rFonts w:eastAsia="Amiri" w:cs="Amiri" w:ascii="Amiri" w:hAnsi="Amiri"/>
          <w:color w:val="111111"/>
          <w:sz w:val="28"/>
          <w:szCs w:val="28"/>
          <w:rtl w:val="true"/>
          <w:lang w:bidi="ar-SA"/>
        </w:rPr>
        <w:t xml:space="preserve">. </w:t>
      </w:r>
      <w:r>
        <w:rPr>
          <w:rStyle w:val="FootnoteAnchor"/>
          <w:rtl w:val="true"/>
        </w:rPr>
        <w:footnoteReference w:id="51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السيّد المحقّق الداماد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البداء منزلته في التكوين منزلة النسخ في التشريع ، فما في الأمر التشريعي والأحكام التكليفية فهو نسخ وفي الأمر التكويني والمكوّنات الزمانية بداء ، فالنسخ كأنّه بداء تشريعي ، والبداء كأنّه نسخ تكويني ، ولا بداء في القضاء ولا بالنسبة إلى جناب القدّوس 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وكما حقيقة النسخ عند التحقيق انتهاء الحكم التشريعي وانقطاع استمراره ، لا رفعه وارتفاعه عن وعاء الواقع ، فكذلك حقيقة البداء انبتات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استمرار الأمر التكويني وانتهاء اتصال الإفاضة</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11101037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بالغوا في البداء ردّاً على اليهود الذين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 فرغ من الأمر ، وردّاً على النظّام وبعض المعتزلة الذين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الموجودات دفعة واحدة على ما هي عليه وإنّما التقدّم يقع في ظهورها لا في حدوثها ووجودها ، فنفت أئمّة أهل البيت ذلك المعنى وأثبتوا انّه تعالى كلّ يوم في شأن ، في إعدام شيء وإحداث آخر ، وإماتة شخص وإحياء آخر ، إلى غير ذلك ، لئلاّ يترك العباد التضرّع إلى الله ومسألته وطاعته والتقرّب إليه ما يصلح أُمور دنياهم وعقباهم ، وليرجوا عند التصدّق على الفقراء وصلة الأرحام وبر الوالدين والمعروف والإحسان ما وُعدوا عليها من طول العمر وزيادة الرزق وغير ذلك</w:t>
      </w:r>
      <w:r>
        <w:rPr>
          <w:rFonts w:eastAsia="Amiri" w:cs="Amiri" w:ascii="Amiri" w:hAnsi="Amiri"/>
          <w:color w:val="111111"/>
          <w:sz w:val="28"/>
          <w:szCs w:val="28"/>
          <w:rtl w:val="true"/>
          <w:lang w:bidi="ar-SA"/>
        </w:rPr>
        <w:t xml:space="preserve">. </w:t>
      </w:r>
      <w:r>
        <w:rPr>
          <w:rStyle w:val="FootnoteAnchor"/>
          <w:rtl w:val="true"/>
        </w:rPr>
        <w:footnoteReference w:id="51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السيد عبد الله شبّر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للبداء معان ، بعضها يجوز عليه ، وبعضها يمتنع ، وهو بالفتح والمدّ أكثر ما يطلق في اللغة على ظهور الشيء بعد خفائه ، وحصول العلم به بعد الجهل ، واتّفقت الأُمّة على امتناع ذلك على الله سبحانه إلاّ من لا يعتدّ به ، ومن نسب إلى الإماميّة فقد افترى عليهم كذباً ، والإمامية براء منه ، وقد يطلق على النسخ ، وعلى القضاء المجدّد ، وعلى مطلق الظهور ، وعلى غير ذلك من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استشهد على هذا بما ورد من أنّ الصدقة والدعاء يغيّران القضاء ، إلى غير ذلك ممّا روي في هذا المضمار</w:t>
      </w:r>
      <w:r>
        <w:rPr>
          <w:rFonts w:eastAsia="Amiri" w:cs="Amiri" w:ascii="Amiri" w:hAnsi="Amiri"/>
          <w:color w:val="111111"/>
          <w:sz w:val="28"/>
          <w:szCs w:val="28"/>
          <w:rtl w:val="true"/>
          <w:lang w:bidi="ar-SA"/>
        </w:rPr>
        <w:t xml:space="preserve">. </w:t>
      </w:r>
      <w:r>
        <w:rPr>
          <w:rStyle w:val="FootnoteAnchor"/>
          <w:rtl w:val="true"/>
        </w:rPr>
        <w:footnoteReference w:id="516"/>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قول علماء الشيعة وأكابرهم ، ترى أنّ الجميع يفسّر البداء بما </w:t>
      </w:r>
      <w:bookmarkStart w:id="814" w:name="pg11047_102897"/>
    </w:p>
    <w:p>
      <w:pPr>
        <w:pStyle w:val="BookText"/>
        <w:rPr/>
      </w:pPr>
      <w:bookmarkEnd w:id="814"/>
      <w:r>
        <w:rPr>
          <w:rFonts w:ascii="Amiri" w:hAnsi="Amiri" w:eastAsia="Amiri" w:cs="Amiri"/>
          <w:color w:val="111111"/>
          <w:sz w:val="28"/>
          <w:sz w:val="28"/>
          <w:szCs w:val="28"/>
          <w:rtl w:val="true"/>
          <w:lang w:bidi="ar-SA"/>
        </w:rPr>
        <w:t>يقارب النسخ الذي اتّفق المسلمون على جوازه ، غير أنّ مجال النسخ هو التشريع ومجاله هو التكوين</w:t>
      </w:r>
      <w:r>
        <w:rPr>
          <w:rFonts w:eastAsia="Amiri" w:cs="Amiri" w:ascii="Amiri" w:hAnsi="Amiri"/>
          <w:color w:val="111111"/>
          <w:sz w:val="28"/>
          <w:szCs w:val="28"/>
          <w:rtl w:val="true"/>
          <w:lang w:bidi="ar-SA"/>
        </w:rPr>
        <w:t>.</w:t>
      </w:r>
    </w:p>
    <w:p>
      <w:pPr>
        <w:pStyle w:val="Heading4"/>
        <w:numPr>
          <w:ilvl w:val="3"/>
          <w:numId w:val="1"/>
        </w:numPr>
        <w:rPr/>
      </w:pPr>
      <w:bookmarkStart w:id="815" w:name="__RefHeading___Toc1391507_1067777946"/>
      <w:bookmarkStart w:id="816" w:name="_Toc303"/>
      <w:bookmarkEnd w:id="815"/>
      <w:r>
        <w:rPr>
          <w:rtl w:val="true"/>
        </w:rPr>
        <w:t>كلام الإمام شرف الدين في البداء</w:t>
      </w:r>
      <w:bookmarkEnd w:id="816"/>
    </w:p>
    <w:p>
      <w:pPr>
        <w:pStyle w:val="BookText"/>
        <w:rPr/>
      </w:pPr>
      <w:r>
        <w:rPr>
          <w:rFonts w:ascii="Amiri" w:hAnsi="Amiri" w:eastAsia="Amiri" w:cs="Amiri"/>
          <w:color w:val="111111"/>
          <w:sz w:val="28"/>
          <w:sz w:val="28"/>
          <w:szCs w:val="28"/>
          <w:rtl w:val="true"/>
          <w:lang w:bidi="ar-SA"/>
        </w:rPr>
        <w:t xml:space="preserve">وهناك كلامٌ للإمام شرف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كشف اللثام عن حقيقة البداء بوجه يقنع كلّ باحث يرتاد الحقيقة ، وبما أنّ كلامه فصل حاسم نأتي به تفصيلاً ليقف القارئ على مدى اضطهاد الشيعة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 ينقص من الرزق وقد يزيد فيه ، وكذا الأجل والصحّة والمرض والسعادة والشقاء ، والمحن والمصائب والإيمان والكفر وسائر الأشياء كما يقتضيه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وَيُثْبِتُ وَعِنْدَهُ أُمُّ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مذهب عمر بن الخطاب وابن مسعود وأبي وائل وقتادة ، وقد رواه جابر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كثير من السلف الصالح يدعون ويتضرّعون إلى الله تعالى أن يجعلهم سعداء لا أشقياء ، وقد تواتر ذلك عن أئمّتنا في أدعيتهم المأثورة وورد في السنن الكثيرة ، أنّ الصدقة على وجهها ، وبرّ الوالدين ، واصطناع المعروف يحوّل الشقاء ، سعادة ويزيد في العمر ، وصحّ عن ابن عباس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ينفع الحذر من القدر ولكنّ الله يمحو بالدعاء ما يشاء من القدر</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البداء الذي تقول به الشيعة ، تجوّزوا في إطلاق البداء عليه بعلاقة المشابهة ، لأنّ الله عزّ وجلّ أجرى كثيراً من الأشياء التي ذكرناها على خلاف ما كان يظنّه الناس فأوقعها مخالفة لما تقتضيه الأمارات والدلائل ، وكان مآل الأُمور فيها مناقضاً لأوائلها ، والله عز وجلّ هو العالم بمصيرها ومصير الأشياء كلّها ، وعلمه بهذا كلّه قديم أزليّ ، لكن لمّا كان تقديره لمصير الأُمور يخالف تقديره لأوائلها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p>
    <w:p>
      <w:pPr>
        <w:pStyle w:val="BookText"/>
        <w:rPr/>
      </w:pPr>
      <w:r>
        <w:rPr>
          <w:rFonts w:ascii="Amiri" w:hAnsi="Amiri" w:eastAsia="Amiri" w:cs="Amiri"/>
          <w:color w:val="111111"/>
          <w:sz w:val="28"/>
          <w:sz w:val="28"/>
          <w:szCs w:val="28"/>
          <w:rtl w:val="true"/>
          <w:lang w:bidi="ar-SA"/>
        </w:rPr>
        <w:t xml:space="preserve">تقدير المصير أمراً يشبه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فاستعار له بعض سلفنا الصالح هذا اللّفظ مجازاً ، أو كأنّ الحكمة قد اقتضت يومئذ هذا التجوّز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ردّ بعض أئمّتنا قول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قدّر في الأزل مقتضيات الأشياء ، وفرغ الله من كلّ عمل إذا جرت الأشياء على مقتضياته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لله عزّ وجلّ في كلّ يوم قضاءً مجدّداً بحسب مصالح العباد لم يكن ظاهراً لهم ، وما بدا لله في شيء إلاّ كان في علمه الأزلي ، فالنزاع في هذه بيننا وبين أهل السنّة لفظيّ لأنّ ما ينكرونه من البداء الذي لا يجوز على الله عزّ وجلّ تبرّأ الشيعة منه ، وممّن يقول به ، براءتها من الشرك بالله ومن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يقوله الشيعة من البداء بالمعنى الذي ذكرناه يقول به عامّة المسلمين ، وهو مذهب عمر بن الخطّاب وغيره كما سمعت ، وبه جاء التنزيل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يَمْحُوا اللهُ ما يَشاءُ وَيُثْبِتُ وَعِنْدَهُ أُمُّ الْكِتابِ</w:t>
      </w:r>
      <w:r>
        <w:rPr>
          <w:rFonts w:eastAsia="Amiri" w:cs="Amiri" w:ascii="Amiri" w:hAnsi="Amiri"/>
          <w:color w:val="111111"/>
          <w:sz w:val="28"/>
          <w:szCs w:val="28"/>
          <w:rtl w:val="true"/>
          <w:lang w:bidi="ar-SA"/>
        </w:rPr>
        <w:t xml:space="preserve">) </w:t>
      </w:r>
      <w:r>
        <w:rPr>
          <w:rStyle w:val="FootnoteAnchor"/>
          <w:rtl w:val="true"/>
        </w:rPr>
        <w:footnoteReference w:id="51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يَسْئَلُهُ مَنْ فِي السَّماواتِ وَالْأَرْضِ كُلَّ يَوْمٍ هُوَ فِي شَأْنٍ</w:t>
      </w:r>
      <w:r>
        <w:rPr>
          <w:rFonts w:eastAsia="Amiri" w:cs="Amiri" w:ascii="Amiri" w:hAnsi="Amiri"/>
          <w:color w:val="111111"/>
          <w:sz w:val="28"/>
          <w:szCs w:val="28"/>
          <w:rtl w:val="true"/>
          <w:lang w:bidi="ar-SA"/>
        </w:rPr>
        <w:t xml:space="preserve">) </w:t>
      </w:r>
      <w:r>
        <w:rPr>
          <w:rStyle w:val="FootnoteAnchor"/>
          <w:rtl w:val="true"/>
        </w:rPr>
        <w:footnoteReference w:id="518"/>
      </w:r>
      <w:r>
        <w:rPr>
          <w:rFonts w:ascii="Amiri" w:hAnsi="Amiri" w:eastAsia="Amiri" w:cs="Amiri"/>
          <w:color w:val="111111"/>
          <w:sz w:val="28"/>
          <w:sz w:val="28"/>
          <w:szCs w:val="28"/>
          <w:rtl w:val="true"/>
          <w:lang w:bidi="ar-SA"/>
        </w:rPr>
        <w:t xml:space="preserve">، أي كلّ وقت وحين يُحدث أُموراً ويجدّد أحوالاً من إهلاك وإنجاء وحرمان وإعطاء ، وغير ذلك كما روي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ذلك الشأن؟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شأنه سبحانه وتعالى أن يغفر ذنباً ويفرّج كرباً ويرفع قوماً ، ويضع آخرين</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الذي تقول به الشيعة وتسمّيه بداءً ، وغير الشيعة يقولون به ، لكنّهم لا يسمّونه بداءً ، فالنزاع في الحقيقة إنّما هو في تسميته بهذا الاسم وعدم تسميته به ، ولو عرف غير الشيعة أنّ الشيعة إنّما تُطلِق عليه هذا الاسم مجازاً لا حقيقة ، لتبيّن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أنّه لا نزاع بيننا وبينهم حتّى في اللفظ ، لأنّ باب المجاز واسع عند العرب إلى الغاية ، ومع هذا كلّه فان أصرّ غيرنا على هذا النزاع اللفظي وأبى </w:t>
      </w:r>
      <w:bookmarkStart w:id="817" w:name="pg11047_102899"/>
    </w:p>
    <w:p>
      <w:pPr>
        <w:pStyle w:val="BookText"/>
        <w:rPr/>
      </w:pPr>
      <w:bookmarkEnd w:id="817"/>
      <w:r>
        <w:rPr>
          <w:rFonts w:ascii="Amiri" w:hAnsi="Amiri" w:eastAsia="Amiri" w:cs="Amiri"/>
          <w:color w:val="111111"/>
          <w:sz w:val="28"/>
          <w:sz w:val="28"/>
          <w:szCs w:val="28"/>
          <w:rtl w:val="true"/>
          <w:lang w:bidi="ar-SA"/>
        </w:rPr>
        <w:t xml:space="preserve">التجوّز بإطلاق البداء على ما قلناه ، فنحن نازلون على حكمه فليبدل لفظ البداء بما 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وليتّق الله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أخيه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يبخس منه شيئاً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تَبْخَسُوا النَّاسَ أَشْياءَهُمْ وَلا تَعْثَوْا فِي الْأَرْضِ مُفْسِدِينَ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اللهِ خَيْرٌ لَكُمْ إِنْ كُنْتُمْ مُؤْمِنِينَ</w:t>
      </w:r>
      <w:r>
        <w:rPr>
          <w:rFonts w:eastAsia="Amiri" w:cs="Amiri" w:ascii="Amiri" w:hAnsi="Amiri"/>
          <w:color w:val="111111"/>
          <w:sz w:val="28"/>
          <w:szCs w:val="28"/>
          <w:rtl w:val="true"/>
          <w:lang w:bidi="ar-SA"/>
        </w:rPr>
        <w:t xml:space="preserve">)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0"/>
      </w:r>
    </w:p>
    <w:p>
      <w:pPr>
        <w:pStyle w:val="Heading4"/>
        <w:numPr>
          <w:ilvl w:val="3"/>
          <w:numId w:val="1"/>
        </w:numPr>
        <w:rPr/>
      </w:pPr>
      <w:bookmarkStart w:id="818" w:name="__RefHeading___Toc1391509_1067777946"/>
      <w:bookmarkStart w:id="819" w:name="_Toc304"/>
      <w:bookmarkEnd w:id="818"/>
      <w:r>
        <w:rPr>
          <w:rtl w:val="true"/>
        </w:rPr>
        <w:t>كلام المصلح الكبير كاشف الغطاء في البداء</w:t>
      </w:r>
      <w:bookmarkEnd w:id="819"/>
    </w:p>
    <w:p>
      <w:pPr>
        <w:pStyle w:val="BookText"/>
        <w:rPr/>
      </w:pPr>
      <w:r>
        <w:rPr>
          <w:rFonts w:ascii="Amiri" w:hAnsi="Amiri" w:eastAsia="Amiri" w:cs="Amiri"/>
          <w:color w:val="111111"/>
          <w:sz w:val="28"/>
          <w:sz w:val="28"/>
          <w:szCs w:val="28"/>
          <w:rtl w:val="true"/>
          <w:lang w:bidi="ar-SA"/>
        </w:rPr>
        <w:t xml:space="preserve">وممّن صرّح بأنّ النزاع بين الشيعة والسنة نزاع لفظي ، وأنّ الإيجاب والسلب من الطرفين لا يتوجهان على موضوع واحد ، هو العلاّمة المصلح الكبير الشيخ محمد حسين كاشف الغطاء حيث يقول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والإسلام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يحسب عامّة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الله كلمتهم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انفردت به الإمامية واعتدُّوها شناعة عليهم ، ولو تمحّصت الحقائق واستوضحت المقاصد وزالت أغشيةُ الأوهام التي تحول بين الحقيقة والأفهام لانكسرت السورة وانكبحت الشرّة ، ولعرف الجميع أنّهم متّفقون على مقالة واحدة وأنّ النزاع بينهم لم يكن إلاّ لفظياً</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أكثر الخلافيات التي تضارب فيها المسلمون ، التضارب الذي جرّ عليهم الويلات وآل بجمعهم إلى الشتات وصيّرهم بالحالة التي تراها وتسمع بها اليوم ، وكلّ تلك المنازعات إلاّ الطفيف قد عملت فيها عوامل الشدّة ونظر الشنآن والحدّة وعدم التروّي والأناة في تبلُّغ المقاصد وتفهُّم المرامي والغايات ، حتّى بلغ الأمر إلى أوخم عاقبة وأسود مغبّة ، وإلى الله المشتكى والرغبةُ في إدالة هذه الحال والنزوع عن تلك الضرائب فإنّه الحريّ بالإجابة إن شاء الله</w:t>
      </w:r>
      <w:r>
        <w:rPr>
          <w:rFonts w:eastAsia="Amiri" w:cs="Amiri" w:ascii="Amiri" w:hAnsi="Amiri"/>
          <w:color w:val="111111"/>
          <w:sz w:val="28"/>
          <w:szCs w:val="28"/>
          <w:rtl w:val="true"/>
          <w:lang w:bidi="ar-SA"/>
        </w:rPr>
        <w:t xml:space="preserve">. </w:t>
      </w:r>
      <w:r>
        <w:rPr>
          <w:rStyle w:val="FootnoteAnchor"/>
          <w:rtl w:val="true"/>
        </w:rPr>
        <w:footnoteReference w:id="521"/>
      </w:r>
      <w:bookmarkStart w:id="820" w:name="pg11047_102900"/>
    </w:p>
    <w:p>
      <w:pPr>
        <w:pStyle w:val="Heading4"/>
        <w:numPr>
          <w:ilvl w:val="3"/>
          <w:numId w:val="1"/>
        </w:numPr>
        <w:rPr/>
      </w:pPr>
      <w:bookmarkStart w:id="821" w:name="__RefHeading___Toc1391511_1067777946"/>
      <w:bookmarkStart w:id="822" w:name="_Toc305"/>
      <w:bookmarkEnd w:id="820"/>
      <w:bookmarkEnd w:id="821"/>
      <w:r>
        <w:rPr>
          <w:rtl w:val="true"/>
        </w:rPr>
        <w:t>فذلكة البحث</w:t>
      </w:r>
      <w:bookmarkEnd w:id="822"/>
    </w:p>
    <w:p>
      <w:pPr>
        <w:pStyle w:val="BookText"/>
        <w:rPr/>
      </w:pPr>
      <w:r>
        <w:rPr>
          <w:rFonts w:ascii="Amiri" w:hAnsi="Amiri" w:eastAsia="Amiri" w:cs="Amiri"/>
          <w:color w:val="111111"/>
          <w:sz w:val="28"/>
          <w:sz w:val="28"/>
          <w:szCs w:val="28"/>
          <w:rtl w:val="true"/>
          <w:lang w:bidi="ar-SA"/>
        </w:rPr>
        <w:t xml:space="preserve">هذه بعض نصوص علماء الإمامية </w:t>
      </w:r>
      <w:r>
        <w:rPr>
          <w:rStyle w:val="FootnoteAnchor"/>
          <w:rtl w:val="true"/>
        </w:rPr>
        <w:footnoteReference w:id="522"/>
      </w:r>
      <w:r>
        <w:rPr>
          <w:rFonts w:ascii="Amiri" w:hAnsi="Amiri" w:eastAsia="Amiri" w:cs="Amiri"/>
          <w:color w:val="111111"/>
          <w:sz w:val="28"/>
          <w:sz w:val="28"/>
          <w:szCs w:val="28"/>
          <w:rtl w:val="true"/>
          <w:lang w:bidi="ar-SA"/>
        </w:rPr>
        <w:t>قديماً وحديثاً أتينا بها ليقف القارئ على أنّ البداء عقيدة مشتركة بين المسلمين ، وإنّما يستوحش منه من يستوحش لأجل عدم وقوفه على معناه ، ولتصوّره أنّ المراد هو ظهور الأمر لله بعد الخفاء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اتّفاق علمائنا تبعاً للقرآن والسنّة على امتناع إطلاقه على الله سبحانه ، وإنّما المراد تغيير ما قدِّر بالدعاء والعمل ، وهناك كلمات لسائر مشايخنا لم نذكرها وإنّما نشير إلى أسمائهم فمن أراد الوقوف عليها فليرجع إلى مؤلفاتهم نظراء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ميرزا رفيع النائيني في شرح الكافي ، وقد نقله العلاّمة المجلسي في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المحدّث الكبير محمد محسن الفيض الكاشاني في علم اليقين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والوافي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الباب الخامس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شيخنا المجيز الشيخ آقا بزرگ الطهراني في الذريعة إلى تصانيف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5351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المحقّق العلاّمة الشيخ فضل الله الزنجاني في تعليقاته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أوائل المقالات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حسين مكي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عقيدة الشيعة في الإمام الصادق وسائر الأئمّة</w:t>
      </w:r>
      <w:r>
        <w:rPr>
          <w:rFonts w:eastAsia="Amiri" w:cs="Amiri" w:ascii="Amiri" w:hAnsi="Amiri"/>
          <w:color w:val="111111"/>
          <w:sz w:val="28"/>
          <w:szCs w:val="28"/>
          <w:rtl w:val="true"/>
          <w:lang w:bidi="ar-SA"/>
        </w:rPr>
        <w:t xml:space="preserve">». </w:t>
      </w:r>
      <w:r>
        <w:rPr>
          <w:rStyle w:val="FootnoteAnchor"/>
          <w:rtl w:val="true"/>
        </w:rPr>
        <w:footnoteReference w:id="523"/>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المحقّقين العظام</w:t>
      </w:r>
      <w:r>
        <w:rPr>
          <w:rFonts w:eastAsia="Amiri" w:cs="Amiri" w:ascii="Amiri" w:hAnsi="Amiri"/>
          <w:color w:val="111111"/>
          <w:sz w:val="28"/>
          <w:szCs w:val="28"/>
          <w:rtl w:val="true"/>
          <w:lang w:bidi="ar-SA"/>
        </w:rPr>
        <w:t xml:space="preserve">. </w:t>
      </w:r>
      <w:bookmarkStart w:id="823" w:name="pg11047_102901"/>
    </w:p>
    <w:p>
      <w:pPr>
        <w:pStyle w:val="Heading3"/>
        <w:numPr>
          <w:ilvl w:val="2"/>
          <w:numId w:val="1"/>
        </w:numPr>
        <w:rPr/>
      </w:pPr>
      <w:bookmarkStart w:id="824" w:name="__RefHeading___Toc1391513_1067777946"/>
      <w:bookmarkStart w:id="825" w:name="_Toc306"/>
      <w:bookmarkEnd w:id="823"/>
      <w:bookmarkEnd w:id="824"/>
      <w:r>
        <w:rPr/>
        <w:t>4</w:t>
      </w:r>
      <w:r>
        <w:rPr>
          <w:rtl w:val="true"/>
        </w:rPr>
        <w:t xml:space="preserve">- </w:t>
      </w:r>
      <w:r>
        <w:rPr>
          <w:rtl w:val="true"/>
        </w:rPr>
        <w:t>التفسير الخاطئ للبداء عند مشايخ السنّة</w:t>
      </w:r>
      <w:bookmarkEnd w:id="825"/>
    </w:p>
    <w:p>
      <w:pPr>
        <w:pStyle w:val="Heading4"/>
        <w:numPr>
          <w:ilvl w:val="3"/>
          <w:numId w:val="1"/>
        </w:numPr>
        <w:rPr/>
      </w:pPr>
      <w:bookmarkStart w:id="826" w:name="__RefHeading___Toc1391515_1067777946"/>
      <w:bookmarkStart w:id="827" w:name="_Toc307"/>
      <w:bookmarkEnd w:id="826"/>
      <w:r>
        <w:rPr>
          <w:rtl w:val="true"/>
        </w:rPr>
        <w:t>اشارة</w:t>
      </w:r>
      <w:bookmarkEnd w:id="827"/>
    </w:p>
    <w:p>
      <w:pPr>
        <w:pStyle w:val="BookText"/>
        <w:rPr/>
      </w:pPr>
      <w:r>
        <w:rPr>
          <w:rFonts w:ascii="Amiri" w:hAnsi="Amiri" w:eastAsia="Amiri" w:cs="Amiri"/>
          <w:color w:val="111111"/>
          <w:sz w:val="28"/>
          <w:sz w:val="28"/>
          <w:szCs w:val="28"/>
          <w:rtl w:val="true"/>
          <w:lang w:bidi="ar-SA"/>
        </w:rPr>
        <w:t xml:space="preserve">قد تعرّفت في صدر البحث على أنّ للبداء معنى إيجابياً وقد اتّفق عليه الفريقان ، ومعنى سلبيّاً ، قد نفاه الفريقان بحماس ، فكان المتوقّع عدم وجود النقاش والجدال في تلك المسألة كسائر المسائل التي اتّفق الفريقان عليها ، ولكن يا للأسف كان في حياة المسلمين عوامل خاصّة تزرع بذور الخلاف بين الفريقين ، وبالتالي لا تحصد الأُمّة منها إلاّ التناحر والدماء ، ومن هذه المسائل ، مسألة البداء ، فنذكر كلمات بعضهم لترى أنّهم يتّبعون ظاهر حرفية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يشنّعون على الشيعة ويرمونهم بالأباطيل التي لا أساس لها بزعم انّ مرادهم منه هذا المعنى ، منهم </w:t>
      </w:r>
      <w:r>
        <w:rPr>
          <w:rFonts w:eastAsia="Amiri" w:cs="Amiri" w:ascii="Amiri" w:hAnsi="Amiri"/>
          <w:color w:val="111111"/>
          <w:sz w:val="28"/>
          <w:szCs w:val="28"/>
          <w:rtl w:val="true"/>
          <w:lang w:bidi="ar-SA"/>
        </w:rPr>
        <w:t>:</w:t>
      </w:r>
    </w:p>
    <w:p>
      <w:pPr>
        <w:pStyle w:val="Heading4"/>
        <w:numPr>
          <w:ilvl w:val="3"/>
          <w:numId w:val="1"/>
        </w:numPr>
        <w:rPr/>
      </w:pPr>
      <w:bookmarkStart w:id="828" w:name="__RefHeading___Toc1391517_1067777946"/>
      <w:bookmarkStart w:id="829" w:name="_Toc308"/>
      <w:bookmarkEnd w:id="828"/>
      <w:r>
        <w:rPr/>
        <w:t>1</w:t>
      </w:r>
      <w:r>
        <w:rPr>
          <w:rtl w:val="true"/>
        </w:rPr>
        <w:t xml:space="preserve">. </w:t>
      </w:r>
      <w:r>
        <w:rPr>
          <w:rtl w:val="true"/>
        </w:rPr>
        <w:t xml:space="preserve">البلخي </w:t>
      </w:r>
      <w:r>
        <w:rPr>
          <w:rtl w:val="true"/>
        </w:rPr>
        <w:t>(</w:t>
      </w:r>
      <w:r>
        <w:rPr>
          <w:rtl w:val="true"/>
        </w:rPr>
        <w:t xml:space="preserve">المتوفّى </w:t>
      </w:r>
      <w:r>
        <w:rPr/>
        <w:t>317</w:t>
      </w:r>
      <w:r>
        <w:rPr>
          <w:rtl w:val="true"/>
        </w:rPr>
        <w:t xml:space="preserve"> </w:t>
      </w:r>
      <w:r>
        <w:rPr>
          <w:rtl w:val="true"/>
        </w:rPr>
        <w:t>ه</w:t>
      </w:r>
      <w:r>
        <w:rPr>
          <w:rtl w:val="true"/>
        </w:rPr>
        <w:t>)</w:t>
      </w:r>
      <w:bookmarkEnd w:id="829"/>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الشيخ البلخي فسّر البداء من قبل نفسه وافترى على الشيعة ثمّ ردّ عليه ، وقد حكى كلامه شيخنا الأكبر شيخ الطائفة الطوسي في تبيانه إذ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ممّن يعتبرون ولكنّهم من الأُمة على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الأئمّة المنصوص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بزعمهم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مفوض إليهم نسخ القرآن وتدبيره ، وتجاوز بعضهم حتّى خرج من </w:t>
      </w:r>
      <w:bookmarkStart w:id="830" w:name="pg11047_102902"/>
    </w:p>
    <w:p>
      <w:pPr>
        <w:pStyle w:val="BookText"/>
        <w:rPr/>
      </w:pPr>
      <w:bookmarkEnd w:id="830"/>
      <w:r>
        <w:rPr>
          <w:rFonts w:ascii="Amiri" w:hAnsi="Amiri" w:eastAsia="Amiri" w:cs="Amiri"/>
          <w:color w:val="111111"/>
          <w:sz w:val="28"/>
          <w:sz w:val="28"/>
          <w:szCs w:val="28"/>
          <w:rtl w:val="true"/>
          <w:lang w:bidi="ar-SA"/>
        </w:rPr>
        <w:t xml:space="preserve">الدين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النسخ قد يجوز على وجه البداء ، وهو أن يأمر الله عز وجلّ عندهم بالشيء ولا يبدو له ، ثمّ يبدو له فيغيّره ، ولا يريد في وقت أمره به أن يغيّره هو ويبدله وينسخه ، لأنّه عندهم لا يعلم الشيء حتّى يكون ، إلاّ ما يقدره فيعلمه علم تقدير ، وتعجرفوا فزعموا انّ ما نزل بالمدينة ناسخ لما نزل بمكة</w:t>
      </w:r>
      <w:r>
        <w:rPr>
          <w:rFonts w:eastAsia="Amiri" w:cs="Amiri" w:ascii="Amiri" w:hAnsi="Amiri"/>
          <w:color w:val="111111"/>
          <w:sz w:val="28"/>
          <w:szCs w:val="28"/>
          <w:rtl w:val="true"/>
          <w:lang w:bidi="ar-SA"/>
        </w:rPr>
        <w:t xml:space="preserve">. </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هذا كلام البلخي الذي هو من أئمّة المعتزلة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وكلامه يعرب عن أنّه تبع ظاهر حرفية البداء ولم يرجع فيه إلى تأليف شيعي أو رواية مرويّة عن أئمّتهم ، ولذلك قال الشيخ الطوسي بعد كلامه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وأظن انّه عنى بهذا أصحابنا الإمامية ، لأنّه ليس في الأُمّة من يقول بالنصّ على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عناهم فجميع ما حكاه عنهم باطل وكذب عليهم ، لأنّهم لا يجيزون النسخ على أحد من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أحد منهم يقول بحدوث العلم</w:t>
      </w:r>
      <w:r>
        <w:rPr>
          <w:rFonts w:eastAsia="Amiri" w:cs="Amiri" w:ascii="Amiri" w:hAnsi="Amiri"/>
          <w:color w:val="111111"/>
          <w:sz w:val="28"/>
          <w:szCs w:val="28"/>
          <w:rtl w:val="true"/>
          <w:lang w:bidi="ar-SA"/>
        </w:rPr>
        <w:t xml:space="preserve">. </w:t>
      </w:r>
      <w:r>
        <w:rPr>
          <w:rStyle w:val="FootnoteAnchor"/>
          <w:rtl w:val="true"/>
        </w:rPr>
        <w:footnoteReference w:id="525"/>
      </w:r>
    </w:p>
    <w:p>
      <w:pPr>
        <w:pStyle w:val="Heading4"/>
        <w:numPr>
          <w:ilvl w:val="3"/>
          <w:numId w:val="1"/>
        </w:numPr>
        <w:rPr/>
      </w:pPr>
      <w:bookmarkStart w:id="831" w:name="__RefHeading___Toc1391519_1067777946"/>
      <w:bookmarkStart w:id="832" w:name="_Toc309"/>
      <w:bookmarkEnd w:id="831"/>
      <w:r>
        <w:rPr/>
        <w:t>2</w:t>
      </w:r>
      <w:r>
        <w:rPr>
          <w:rtl w:val="true"/>
        </w:rPr>
        <w:t xml:space="preserve">. </w:t>
      </w:r>
      <w:r>
        <w:rPr>
          <w:rtl w:val="true"/>
        </w:rPr>
        <w:t xml:space="preserve">أبو الحسن الأشعري </w:t>
      </w:r>
      <w:r>
        <w:rPr>
          <w:rtl w:val="true"/>
        </w:rPr>
        <w:t>(</w:t>
      </w:r>
      <w:r>
        <w:rPr/>
        <w:t>260</w:t>
      </w:r>
      <w:r>
        <w:rPr>
          <w:rtl w:val="true"/>
        </w:rPr>
        <w:t xml:space="preserve"> - </w:t>
      </w:r>
      <w:r>
        <w:rPr/>
        <w:t>324</w:t>
      </w:r>
      <w:r>
        <w:rPr>
          <w:rtl w:val="true"/>
        </w:rPr>
        <w:t xml:space="preserve"> </w:t>
      </w:r>
      <w:r>
        <w:rPr>
          <w:rtl w:val="true"/>
        </w:rPr>
        <w:t>ه</w:t>
      </w:r>
      <w:r>
        <w:rPr>
          <w:rtl w:val="true"/>
        </w:rPr>
        <w:t>)</w:t>
      </w:r>
      <w:bookmarkEnd w:id="832"/>
    </w:p>
    <w:p>
      <w:pPr>
        <w:pStyle w:val="BookText"/>
        <w:rPr/>
      </w:pPr>
      <w:r>
        <w:rPr>
          <w:rFonts w:ascii="Amiri" w:hAnsi="Amiri" w:eastAsia="Amiri" w:cs="Amiri"/>
          <w:color w:val="111111"/>
          <w:sz w:val="28"/>
          <w:sz w:val="28"/>
          <w:szCs w:val="28"/>
          <w:rtl w:val="true"/>
          <w:lang w:bidi="ar-SA"/>
        </w:rPr>
        <w:t xml:space="preserve">إنّ الشيخ أبا الحسن الأشعري تربّى في أحضان الاعتزال طيلة أربعة عقود ، ولكنّه عدل عن الاعتزال والتحق عام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بركب إمام الحنابلة أحمد بن حنبل في تفكيره وعقيدته وألّف كتاباً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مقالات الإسلاميين واختلاف المصلين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فيه عقائد الشيعة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الروافض إلاّ شرذمة قليلة يزعمون انّه يريد الشيء ثمّ يبدو له</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وتبعه محقّق الكتاب وفسّر كلامه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يظهر له وجه المصلحة بعد </w:t>
      </w:r>
    </w:p>
    <w:p>
      <w:pPr>
        <w:pStyle w:val="BookText"/>
        <w:rPr/>
      </w:pPr>
      <w:r>
        <w:rPr>
          <w:rFonts w:ascii="Amiri" w:hAnsi="Amiri" w:eastAsia="Amiri" w:cs="Amiri"/>
          <w:color w:val="111111"/>
          <w:sz w:val="28"/>
          <w:sz w:val="28"/>
          <w:szCs w:val="28"/>
          <w:rtl w:val="true"/>
          <w:lang w:bidi="ar-SA"/>
        </w:rPr>
        <w:t>خفائه عليه فيتغيّر 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الإمام الأشعري بعد صفحتين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افترقت الرافضة هل الباري يجوز أن يبدو له إذا أراد شيئاً أم لا؟ على ثلاث مقالات ثمّ فسرها</w:t>
      </w:r>
      <w:r>
        <w:rPr>
          <w:rFonts w:eastAsia="Amiri" w:cs="Amiri" w:ascii="Amiri" w:hAnsi="Amiri"/>
          <w:color w:val="111111"/>
          <w:sz w:val="28"/>
          <w:szCs w:val="28"/>
          <w:rtl w:val="true"/>
          <w:lang w:bidi="ar-SA"/>
        </w:rPr>
        <w:t xml:space="preserve">. </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إنّ الإمام الأشعري كان يعيش في البصرة وبغداد ويتردد بينهما ، والبصرة مرفأ الكلام والمقالات ، ولو رجع إلى علماء الشيعة فيها وفي بغداد لكشفوا له عن حقيقة البداء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انّه ينسب البداء بالمعنى الباطل إلى كلّ الشيعة ثمّ يأتي بخلافه بعد صفحتين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والفرقة الثانية منهم يزعمون أنّه لا يجوز وقوع النسخ في الأخبار ، وأن يخبر الله سبحانه انّ شيئاً يكون ثمّ لا يكون ، لأنّ ذلك يوجب التكذيب في أحد الخبرين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المتوقّع من شيخ الأشاعرة هو نزاهة القلم ورعاية الأدب ، فكان اللائق أن لا يعبّر عن الشيعة بالرافضة ، فانّه من أوضح مصاديق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تَنابَزُوا بِالْأَلْقابِ</w:t>
      </w:r>
      <w:r>
        <w:rPr>
          <w:rFonts w:eastAsia="Amiri" w:cs="Amiri" w:ascii="Amiri" w:hAnsi="Amiri"/>
          <w:color w:val="111111"/>
          <w:sz w:val="28"/>
          <w:szCs w:val="28"/>
          <w:rtl w:val="true"/>
          <w:lang w:bidi="ar-SA"/>
        </w:rPr>
        <w:t xml:space="preserve">). </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وأسوأ من ذلك ما ارتكبه المعلّق في تعاليقه من لعن الرافضة وتقبيحهم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غفر الله ذنوب الجميع</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الشيعة ليسوا إلاّ نفس المسلمين في صدر الإسلام ، ويمتازون عمّن سواهم بأنّهم بقوا على وصية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 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الثقلين وعدل القرآن الكريم كما جاء على لسان الصادق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الثقلين </w:t>
      </w:r>
      <w:bookmarkStart w:id="833" w:name="pg11047_102904"/>
    </w:p>
    <w:p>
      <w:pPr>
        <w:pStyle w:val="BookText"/>
        <w:rPr/>
      </w:pPr>
      <w:bookmarkEnd w:id="833"/>
      <w:r>
        <w:rPr>
          <w:rFonts w:ascii="Amiri" w:hAnsi="Amiri" w:eastAsia="Amiri" w:cs="Amiri"/>
          <w:color w:val="111111"/>
          <w:sz w:val="28"/>
          <w:sz w:val="28"/>
          <w:szCs w:val="28"/>
          <w:rtl w:val="true"/>
          <w:lang w:bidi="ar-SA"/>
        </w:rPr>
        <w:t xml:space="preserve">الذي رواه أصحاب الصحاح والسنن </w:t>
      </w:r>
      <w:r>
        <w:rPr>
          <w:rStyle w:val="FootnoteAnchor"/>
          <w:rtl w:val="true"/>
        </w:rPr>
        <w:footnoteReference w:id="528"/>
      </w:r>
      <w:r>
        <w:rPr>
          <w:rFonts w:ascii="Amiri" w:hAnsi="Amiri" w:eastAsia="Amiri" w:cs="Amiri"/>
          <w:color w:val="111111"/>
          <w:sz w:val="28"/>
          <w:sz w:val="28"/>
          <w:szCs w:val="28"/>
          <w:rtl w:val="true"/>
          <w:lang w:bidi="ar-SA"/>
        </w:rPr>
        <w:t>، وتبعهم التابعون منهم إلى يومنا هذا ، فلا وجه لتفريقهم عن المسلمين بهذه الكلمات اللاذعة</w:t>
      </w:r>
      <w:r>
        <w:rPr>
          <w:rFonts w:eastAsia="Amiri" w:cs="Amiri" w:ascii="Amiri" w:hAnsi="Amiri"/>
          <w:color w:val="111111"/>
          <w:sz w:val="28"/>
          <w:szCs w:val="28"/>
          <w:rtl w:val="true"/>
          <w:lang w:bidi="ar-SA"/>
        </w:rPr>
        <w:t>.</w:t>
      </w:r>
    </w:p>
    <w:p>
      <w:pPr>
        <w:pStyle w:val="Heading4"/>
        <w:numPr>
          <w:ilvl w:val="3"/>
          <w:numId w:val="1"/>
        </w:numPr>
        <w:rPr/>
      </w:pPr>
      <w:bookmarkStart w:id="834" w:name="__RefHeading___Toc1391521_1067777946"/>
      <w:bookmarkStart w:id="835" w:name="_Toc310"/>
      <w:bookmarkEnd w:id="834"/>
      <w:r>
        <w:rPr/>
        <w:t>3</w:t>
      </w:r>
      <w:r>
        <w:rPr>
          <w:rtl w:val="true"/>
        </w:rPr>
        <w:t xml:space="preserve">. </w:t>
      </w:r>
      <w:r>
        <w:rPr>
          <w:rtl w:val="true"/>
        </w:rPr>
        <w:t xml:space="preserve">فخر الدين الرازي </w:t>
      </w:r>
      <w:r>
        <w:rPr>
          <w:rtl w:val="true"/>
        </w:rPr>
        <w:t>(</w:t>
      </w:r>
      <w:r>
        <w:rPr>
          <w:rtl w:val="true"/>
        </w:rPr>
        <w:t xml:space="preserve">المتوفّى </w:t>
      </w:r>
      <w:r>
        <w:rPr/>
        <w:t>606</w:t>
      </w:r>
      <w:r>
        <w:rPr>
          <w:rtl w:val="true"/>
        </w:rPr>
        <w:t xml:space="preserve"> </w:t>
      </w:r>
      <w:r>
        <w:rPr>
          <w:rtl w:val="true"/>
        </w:rPr>
        <w:t>ه</w:t>
      </w:r>
      <w:r>
        <w:rPr>
          <w:rtl w:val="true"/>
        </w:rPr>
        <w:t>)</w:t>
      </w:r>
      <w:bookmarkEnd w:id="835"/>
    </w:p>
    <w:p>
      <w:pPr>
        <w:pStyle w:val="BookText"/>
        <w:rPr/>
      </w:pPr>
      <w:r>
        <w:rPr>
          <w:rFonts w:ascii="Amiri" w:hAnsi="Amiri" w:eastAsia="Amiri" w:cs="Amiri"/>
          <w:color w:val="111111"/>
          <w:sz w:val="28"/>
          <w:sz w:val="28"/>
          <w:szCs w:val="28"/>
          <w:rtl w:val="true"/>
          <w:lang w:bidi="ar-SA"/>
        </w:rPr>
        <w:t xml:space="preserve">إنّ الإمام الرازي كأسلافه تبع ظاهر حرفية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ونسبه إلى الشيعة ثمّ ناقشه ، بل ردّ عليه بعنف ، مع أنّه كان رازي المولد وكان موطنه معقل الشيعة ، ومن مقاربي عصره المفسّر الكبير أبو الفتوح الرازي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 الجنان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عشرة أجزاء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حوالي سنة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معاصريه الشيخ محمود الحمصي المتكلّم الكبير الذي يذكر اسمه في تفسيره عند تفسير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 xml:space="preserve">). </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 xml:space="preserve">ومع ذلك فقد وضع من عنده للبداء تفسيراً خاطئاً جعله أساساً للردّ على الشيعة وأتى في خاتمة المحصل بما يحكى عن سليمان بن جرير الزيدي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أئمّة الرافضة وضعوا مقالتين لشيعتهم ، لا يظفر معهما أحد عليهم ،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بالبداء ، فإذا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سيكون لهم قوّة وشوكة ثمّ لا يكون الأمر على ما أخبروه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الله تعالى فيه</w:t>
      </w:r>
      <w:r>
        <w:rPr>
          <w:rFonts w:eastAsia="Amiri" w:cs="Amiri" w:ascii="Amiri" w:hAnsi="Amiri"/>
          <w:color w:val="111111"/>
          <w:sz w:val="28"/>
          <w:szCs w:val="28"/>
          <w:rtl w:val="true"/>
          <w:lang w:bidi="ar-SA"/>
        </w:rPr>
        <w:t xml:space="preserve">. </w:t>
      </w:r>
      <w:r>
        <w:rPr>
          <w:rStyle w:val="FootnoteAnchor"/>
          <w:rtl w:val="true"/>
        </w:rPr>
        <w:footnoteReference w:id="530"/>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المترقّب من فخر الدين الرازي أن لا يصدر إلاّ عن دليل ، وهذا التفسير الذي وضعه للبداء ممّا اخترعه خصوم الشيعة ، ولا يحتجّ به وقد علمت نصوص </w:t>
      </w:r>
      <w:bookmarkStart w:id="836" w:name="pg11047_102905"/>
    </w:p>
    <w:p>
      <w:pPr>
        <w:pStyle w:val="BookText"/>
        <w:rPr/>
      </w:pPr>
      <w:bookmarkEnd w:id="836"/>
      <w:r>
        <w:rPr>
          <w:rFonts w:ascii="IRNazanin" w:hAnsi="IRNazanin" w:eastAsia="IRNazanin"/>
          <w:color w:val="111111"/>
          <w:sz w:val="28"/>
          <w:sz w:val="28"/>
          <w:szCs w:val="28"/>
          <w:rtl w:val="true"/>
          <w:lang w:bidi="fa-IR"/>
        </w:rPr>
        <w:t>علمائهم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وأعجب من ذلك تعبيره اللاذع بأنّ أئمّة الشيعة وضعوا مقالتين لشيعتهم ، فهل يريد بذلك 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الباقر والصادق والكاظم والرضا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أتقى الناس وأعلاهم شأناً ، وأبرأ الناس من الكذب والحيلة والخدعة ، وقد أثنى فخر الدين نفسه على أئمّة الشيعة في كتابه عند تفسير سورة الكوثر 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الكوثر أولاده ، لأنّ هذه السورة إمّا نزلت ردّاً على من عابه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الأولاد ، فالمعنى أنّه يعطيه نسلاً يبقون على مرّ الزمان ، فانظر كم قتل من أهل البيت ثمّ العالم ممتلئ منهم ، ولم يبق من بني أُميّة في الدنيا أحد يعبأ به ، ثمّ انظر كم كان فيهم من الأكابر من العلماء كالباقر والصادق والكاظم والرضا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والنفس الزكية وأمثالهم</w:t>
      </w:r>
      <w:r>
        <w:rPr>
          <w:rFonts w:eastAsia="Amiri" w:cs="Amiri" w:ascii="Amiri" w:hAnsi="Amiri"/>
          <w:color w:val="111111"/>
          <w:sz w:val="28"/>
          <w:szCs w:val="28"/>
          <w:rtl w:val="true"/>
          <w:lang w:bidi="ar-SA"/>
        </w:rPr>
        <w:t xml:space="preserve">. </w:t>
      </w:r>
      <w:r>
        <w:rPr>
          <w:rStyle w:val="FootnoteAnchor"/>
          <w:rtl w:val="true"/>
        </w:rPr>
        <w:footnoteReference w:id="531"/>
      </w:r>
      <w:r>
        <w:rPr>
          <w:rFonts w:ascii="Amiri" w:hAnsi="Amiri" w:eastAsia="Amiri" w:cs="Amiri"/>
          <w:color w:val="111111"/>
          <w:sz w:val="28"/>
          <w:sz w:val="28"/>
          <w:szCs w:val="28"/>
          <w:rtl w:val="true"/>
          <w:lang w:bidi="ar-SA"/>
        </w:rPr>
        <w:t xml:space="preserve">وبذلك يصدق المثل السائر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ذاكرة لكذوب</w:t>
      </w:r>
      <w:r>
        <w:rPr>
          <w:rFonts w:eastAsia="Amiri" w:cs="Amiri" w:ascii="Amiri" w:hAnsi="Amiri"/>
          <w:color w:val="111111"/>
          <w:sz w:val="28"/>
          <w:szCs w:val="28"/>
          <w:rtl w:val="true"/>
          <w:lang w:bidi="ar-SA"/>
        </w:rPr>
        <w:t>»!!</w:t>
      </w:r>
    </w:p>
    <w:p>
      <w:pPr>
        <w:pStyle w:val="Heading4"/>
        <w:numPr>
          <w:ilvl w:val="3"/>
          <w:numId w:val="1"/>
        </w:numPr>
        <w:rPr/>
      </w:pPr>
      <w:bookmarkStart w:id="837" w:name="__RefHeading___Toc1391523_1067777946"/>
      <w:bookmarkStart w:id="838" w:name="_Toc311"/>
      <w:bookmarkEnd w:id="837"/>
      <w:r>
        <w:rPr/>
        <w:t>4</w:t>
      </w:r>
      <w:r>
        <w:rPr>
          <w:rtl w:val="true"/>
        </w:rPr>
        <w:t xml:space="preserve">. </w:t>
      </w:r>
      <w:r>
        <w:rPr>
          <w:rtl w:val="true"/>
        </w:rPr>
        <w:t>أبو زهرة وهفوته في تفسير البداء</w:t>
      </w:r>
      <w:bookmarkEnd w:id="838"/>
    </w:p>
    <w:p>
      <w:pPr>
        <w:pStyle w:val="Heading5"/>
        <w:numPr>
          <w:ilvl w:val="4"/>
          <w:numId w:val="1"/>
        </w:numPr>
        <w:rPr/>
      </w:pPr>
      <w:bookmarkStart w:id="839" w:name="__RefHeading___Toc1391525_1067777946"/>
      <w:bookmarkStart w:id="840" w:name="_Toc312"/>
      <w:bookmarkEnd w:id="839"/>
      <w:r>
        <w:rPr>
          <w:rtl w:val="true"/>
        </w:rPr>
        <w:t>اشارة</w:t>
      </w:r>
      <w:bookmarkEnd w:id="840"/>
    </w:p>
    <w:p>
      <w:pPr>
        <w:pStyle w:val="BookText"/>
        <w:rPr/>
      </w:pPr>
      <w:r>
        <w:rPr>
          <w:rFonts w:ascii="Amiri" w:hAnsi="Amiri" w:eastAsia="Amiri" w:cs="Amiri"/>
          <w:color w:val="111111"/>
          <w:sz w:val="28"/>
          <w:sz w:val="28"/>
          <w:szCs w:val="28"/>
          <w:rtl w:val="true"/>
          <w:lang w:bidi="ar-SA"/>
        </w:rPr>
        <w:t>ولعلّ خطأ البلخي والأشعري والرازي في تفسير البداء ليس بخطير ، لأنّ ظروفهم كانت تحكم ضد الشيعة وتعكس عقائدهم حسب ميول الحكام والخلفاء ، ولكن بعد ما انكشفت الحقائق وارتفعت الحواجز وسهل الاطّلاع على عقائد الآخرين لا تُغتفر أيّة زلّة في تفسير عقائد الآخرين</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هو العلاّمة المفضال الشيخ أبو زهرة المصري خريج الأزهر والباحث الكبير في القرن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خدم المكتبة العربية ببيانه وقلمه وكتبه ، وخدماته مشكورة ، غير أنّ له ردّاً هادئاً بالنسبة إلى البداء في </w:t>
      </w:r>
    </w:p>
    <w:p>
      <w:pPr>
        <w:pStyle w:val="BookText"/>
        <w:rPr/>
      </w:pPr>
      <w:r>
        <w:rPr>
          <w:rFonts w:ascii="Amiri" w:hAnsi="Amiri" w:eastAsia="Amiri" w:cs="Amiri"/>
          <w:color w:val="111111"/>
          <w:sz w:val="28"/>
          <w:sz w:val="28"/>
          <w:szCs w:val="28"/>
          <w:rtl w:val="true"/>
          <w:lang w:bidi="ar-SA"/>
        </w:rPr>
        <w:t xml:space="preserve">عقيدة الشيعة حيث إنّه نقل نظريّتهم عن تعليقة المحقّق الزنجاني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أوائل المقالات في المذاهب المختارات</w:t>
      </w:r>
      <w:r>
        <w:rPr>
          <w:rFonts w:eastAsia="Amiri" w:cs="Amiri" w:ascii="Amiri" w:hAnsi="Amiri"/>
          <w:color w:val="111111"/>
          <w:sz w:val="28"/>
          <w:szCs w:val="28"/>
          <w:rtl w:val="true"/>
          <w:lang w:bidi="ar-SA"/>
        </w:rPr>
        <w:t xml:space="preserve">» </w:t>
      </w:r>
      <w:r>
        <w:rPr>
          <w:rStyle w:val="FootnoteAnchor"/>
          <w:rtl w:val="true"/>
        </w:rPr>
        <w:footnoteReference w:id="532"/>
      </w:r>
      <w:r>
        <w:rPr>
          <w:rFonts w:ascii="Amiri" w:hAnsi="Amiri" w:eastAsia="Amiri" w:cs="Amiri"/>
          <w:color w:val="111111"/>
          <w:sz w:val="28"/>
          <w:sz w:val="28"/>
          <w:szCs w:val="28"/>
          <w:rtl w:val="true"/>
          <w:lang w:bidi="ar-SA"/>
        </w:rPr>
        <w:t xml:space="preserve">، وعلّق عليه بما نذكره بنصّه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البداء بمعنى أن ينزل بالناس ما لم يحتسبوا ويقدّروا كالغنى بعد الفقر ، والمرض بعد العافية ، فهذا موضع اتّفاق بين الشيعة والسنّة ولكنّهم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البداء الزيادة في الآجال ، والأرزاق والنقصان منها بالأعمال ، ولا شكّ أنّ الزيادة في الآجال إن أُريد بالزيادة ما قدّره الله تعالى في علمه الأزلي ، والزيادة عمّا قدّر ، فذلك يقتضي تغيير علم الله ، وإن أُريد بالزيادة عمّا يتوقّعه الناس فذلك ممّا ينطبق عليه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وَبَدا لَهُمْ مِنَ اللهِ ما لَمْ يَكُونُوا يَحْتَسِبُونَ</w:t>
      </w:r>
      <w:r>
        <w:rPr>
          <w:rFonts w:eastAsia="Amiri" w:cs="Amiri" w:ascii="Amiri" w:hAnsi="Amiri"/>
          <w:color w:val="111111"/>
          <w:sz w:val="28"/>
          <w:szCs w:val="28"/>
          <w:rtl w:val="true"/>
          <w:lang w:bidi="ar-SA"/>
        </w:rPr>
        <w:t xml:space="preserve">). </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 xml:space="preserve">وعلى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البداء في ما يحتسبه الناس ويقدّرونه فيجيء الأمر على خلاف ما توقّعوا فانّ ذلك موضع إجماع ، وإن كان البداء هو التغيير في المقدور فذلك ما لم يقله أحد من أهل السنّة ، لأنّه تغيير لعلمه وذلك لا يجوز</w:t>
      </w:r>
      <w:r>
        <w:rPr>
          <w:rFonts w:eastAsia="Amiri" w:cs="Amiri" w:ascii="Amiri" w:hAnsi="Amiri"/>
          <w:color w:val="111111"/>
          <w:sz w:val="28"/>
          <w:szCs w:val="28"/>
          <w:rtl w:val="true"/>
          <w:lang w:bidi="ar-SA"/>
        </w:rPr>
        <w:t xml:space="preserve">. </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 xml:space="preserve">يلاحظ على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ما يدّعيه الشيعة الإمامية من زيادة الآجال والأرزاق والنقصان بالأعمال ممّا لا يتفردون به ، فقد عرفت أنّ أهل السنّة قالوا به كما يظهر من الروايات التي رواها أئمّة أهل الحديث ومن كلمات المفسّرين ، وقد مرّ قول بعضهم من أنّ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وليس بخاص هذا أوّلاً</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الزيادة في الآجال والأرزاق تغيّر التقدير ولكن لا تحدث التغيّر في علم الله ، ومنشأ الخلط هو جعل تقديره سبحانه نفس علمه تعالى ، وتوهّم انّ التغيير في الأوّل يوجب التغيير في الثاني ، مع أنّ مركز التغيير هو لوح المحو </w:t>
      </w:r>
    </w:p>
    <w:p>
      <w:pPr>
        <w:pStyle w:val="BookText"/>
        <w:rPr/>
      </w:pPr>
      <w:r>
        <w:rPr>
          <w:rFonts w:ascii="Amiri" w:hAnsi="Amiri" w:eastAsia="Amiri" w:cs="Amiri"/>
          <w:color w:val="111111"/>
          <w:sz w:val="28"/>
          <w:sz w:val="28"/>
          <w:szCs w:val="28"/>
          <w:rtl w:val="true"/>
          <w:lang w:bidi="ar-SA"/>
        </w:rPr>
        <w:t>والإثبات وهو لوح مخلوق لله لا نعلم كنهه ، وأمّا علمه سبحانه فهو قائم بذاته بل عين ذاته ، لا يتغيّر ولا يتبدّل وهو سبحانه حينما يقدّر التقدير الأوّل في كتاب المحو والإثبات يعلم عن مصير ذلك التقدير وانّه هل يثبت ولا يمحى لتمادي العبد على ما كان عليه ، أو انّه يتغيّر بحسب حياة العبد وطروء التغير إلى أفعاله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إيضاح الحقّ نأتي بما ألقيناه في سالف الزمان في ذلك المجال ونقتبس منه 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العبد الفارغ من الدعاء والعمل الصالح التارك لهما ، قُدّر له قصر العمر ، وقلّة الرزق ؛ كما أنّ العبد المقبل على الدعاء والعمل الصالح كتب عليه طول العمر وسعة الرزق ، وكلا التقديرين تقدير من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الرجل في إبّان شبابه غير متفرّغ للدعاء والعمل الصالح فهو داخل تحت التقدير الأوّل ، فقد قدر في حقّه قصر العمر ونقصان الأرزاق بشرط البقاء على تلك الحالة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إذا تحول إلى حالة أُخرى في أُخريات حياته وأقبل على الدعاء والعمل الصالح ، انقلب التقدير الأوّل إلى خلافه وضده ، فيكتب في حقّه الزيادة في الأجل والرزق وغيرهما</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هو سبحانه يعلم من الأزل أنّ أيَّ عبد يختار أيَّ واحد من التقديرين طول حياته ، أو انّ أيّ عبد ينتقل من تقدير إلى تقدير آخر ، فليس هاهنا تقدير واحد ، وقضاء فارد ، لا ينفك عنه الإنسان ولا مناص له منه ، وإن كان هناك علم واحد أزلي غير متغيّر</w:t>
      </w:r>
      <w:r>
        <w:rPr>
          <w:rFonts w:eastAsia="Amiri" w:cs="Amiri" w:ascii="Amiri" w:hAnsi="Amiri"/>
          <w:color w:val="111111"/>
          <w:sz w:val="28"/>
          <w:szCs w:val="28"/>
          <w:rtl w:val="true"/>
          <w:lang w:bidi="ar-SA"/>
        </w:rPr>
        <w:t xml:space="preserve">. </w:t>
      </w:r>
      <w:bookmarkStart w:id="841" w:name="pg11047_102908"/>
    </w:p>
    <w:p>
      <w:pPr>
        <w:pStyle w:val="Heading5"/>
        <w:numPr>
          <w:ilvl w:val="4"/>
          <w:numId w:val="1"/>
        </w:numPr>
        <w:rPr/>
      </w:pPr>
      <w:bookmarkStart w:id="842" w:name="__RefHeading___Toc1391527_1067777946"/>
      <w:bookmarkStart w:id="843" w:name="_Toc313"/>
      <w:bookmarkEnd w:id="841"/>
      <w:bookmarkEnd w:id="842"/>
      <w:r>
        <w:rPr>
          <w:rtl w:val="true"/>
        </w:rPr>
        <w:t>لا تخصيص في القاعدة العقلية</w:t>
      </w:r>
      <w:bookmarkEnd w:id="843"/>
    </w:p>
    <w:p>
      <w:pPr>
        <w:pStyle w:val="BookText"/>
        <w:rPr/>
      </w:pPr>
      <w:r>
        <w:rPr>
          <w:rFonts w:ascii="Amiri" w:hAnsi="Amiri" w:eastAsia="Amiri" w:cs="Amiri"/>
          <w:color w:val="111111"/>
          <w:sz w:val="28"/>
          <w:sz w:val="28"/>
          <w:szCs w:val="28"/>
          <w:rtl w:val="true"/>
          <w:lang w:bidi="ar-SA"/>
        </w:rPr>
        <w:t xml:space="preserve">والعجب من أبي زهرة ، حيث يتفاعل مع الشيعة في معنى البداء في موضع دون موضع آخر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البداء بمعنى أن ينزل بالناس ما لم يحتسبوا ويقدروا كالغنى بعد الفقر والمرض بعد العافية ، فهذا موضع اتّفاق بين الشيعة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فنسأله أيّ فرق بين تغيير الفقر إلى الغنى والمرض إلى العافية وبين الزيادة في الآجال والأرزاق والنقصان منها بالأعمال ، حيث جوّز الأوّل دون الثاني ، مع أنّ الجميع في تغيير ما قُدِّر سيّان ، حيث كان المقدّر هو الفقر والمرض ، فتغيّرا إلى ضدهما ، ولو كان التغير في المقدَّر مستلزماً للتغيّر في علمه سبحانه فما هو الفرق بين الموردين ، ولما ذا تمسّك بالقاعدة العقلية في مورد دون مورد؟</w:t>
      </w:r>
    </w:p>
    <w:p>
      <w:pPr>
        <w:pStyle w:val="Heading5"/>
        <w:numPr>
          <w:ilvl w:val="4"/>
          <w:numId w:val="1"/>
        </w:numPr>
        <w:rPr/>
      </w:pPr>
      <w:bookmarkStart w:id="844" w:name="__RefHeading___Toc1391529_1067777946"/>
      <w:bookmarkStart w:id="845" w:name="_Toc314"/>
      <w:bookmarkEnd w:id="844"/>
      <w:r>
        <w:rPr>
          <w:rtl w:val="true"/>
        </w:rPr>
        <w:t>وزان التقديرين وزان الأجلين</w:t>
      </w:r>
      <w:bookmarkEnd w:id="845"/>
    </w:p>
    <w:p>
      <w:pPr>
        <w:pStyle w:val="BookText"/>
        <w:rPr/>
      </w:pPr>
      <w:r>
        <w:rPr>
          <w:rFonts w:ascii="Amiri" w:hAnsi="Amiri" w:eastAsia="Amiri" w:cs="Amiri"/>
          <w:color w:val="111111"/>
          <w:sz w:val="28"/>
          <w:sz w:val="28"/>
          <w:szCs w:val="28"/>
          <w:rtl w:val="true"/>
          <w:lang w:bidi="ar-SA"/>
        </w:rPr>
        <w:t xml:space="preserve">وهذا مثل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خَلَقَكُمْ مِنْ طِينٍ ثُمَّ قَضى أَجَلاً وَأَجَلٌ مُسَمًّى عِنْدَهُ ثُمَّ أَنْتُمْ تَمْتَرُونَ</w:t>
      </w:r>
      <w:r>
        <w:rPr>
          <w:rFonts w:eastAsia="Amiri" w:cs="Amiri" w:ascii="Amiri" w:hAnsi="Amiri"/>
          <w:color w:val="111111"/>
          <w:sz w:val="28"/>
          <w:szCs w:val="28"/>
          <w:rtl w:val="true"/>
          <w:lang w:bidi="ar-SA"/>
        </w:rPr>
        <w:t xml:space="preserve">). </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والمراد من الأجل الأوّل ، هو القابليّة الطبيعيّة لأفراد النوع الإنساني ، والعمر الطبيعي لنوع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الأجل المسمّى ، فهو الأجل القطعي الذي لا يتجاوزه الفرد ، وإليه يشير سبحانه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جاءَ أَجَلُهُمْ لا يَسْتَأْخِرُونَ ساعَةً وَلا يَسْتَقْدِمُونَ</w:t>
      </w:r>
      <w:r>
        <w:rPr>
          <w:rFonts w:eastAsia="Amiri" w:cs="Amiri" w:ascii="Amiri" w:hAnsi="Amiri"/>
          <w:color w:val="111111"/>
          <w:sz w:val="28"/>
          <w:szCs w:val="28"/>
          <w:rtl w:val="true"/>
          <w:lang w:bidi="ar-SA"/>
        </w:rPr>
        <w:t xml:space="preserve">). </w:t>
      </w:r>
      <w:r>
        <w:rPr>
          <w:rStyle w:val="FootnoteAnchor"/>
          <w:rtl w:val="true"/>
        </w:rPr>
        <w:footnoteReference w:id="536"/>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الأجل المسمّى كثيراً ما ينقص عن الأجل المطلق ، فلو جعلنا مقدار </w:t>
      </w:r>
    </w:p>
    <w:p>
      <w:pPr>
        <w:pStyle w:val="BookText"/>
        <w:rPr/>
      </w:pPr>
      <w:r>
        <w:rPr>
          <w:rFonts w:ascii="Amiri" w:hAnsi="Amiri" w:eastAsia="Amiri" w:cs="Amiri"/>
          <w:color w:val="111111"/>
          <w:sz w:val="28"/>
          <w:sz w:val="28"/>
          <w:szCs w:val="28"/>
          <w:rtl w:val="true"/>
          <w:lang w:bidi="ar-SA"/>
        </w:rPr>
        <w:t xml:space="preserve">الأجل المطلق لطبيعة الإنسان مائة وعشرين سنة ، فقلّما يتّفق أن يبلغ الإنسان إلى ذلك الحدّ من العمر ، فإنّ هناك موانع وعراقيل تمنعه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الوصول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قلّما يزيد هذا الأجل على الأجل المطلق إذا توفّرت لذلك مقتضيات وقابليّات خارجة عن المتعارف تؤثّر في طول العمر وامتداده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 فكما أنّ وجود الأجلين لا يوجب تغييراً في علم الله سبحانه ، فهكذا وجود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وتغيير التقدير الأوّل بالتقدير الثاني مثل تغيير الأجل المطلق بالأجل المسمّى في ناحيتي الزيادة والنقصان ، بل لا معنى للأجلين إلاّ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المراد من تغيير المقدّر هو تغيير المكتوب في لوحي المحو والإثبات ، فإنّ لله سبحانه لوحين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اللوح المحفوظ الذي لا يتطرّق إليه التغيير ، وقد أشار إليه سبحانه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 مِنْ مُصِيبَةٍ فِي الْأَرْضِ وَلا فِي أَنْفُسِكُمْ إِلاَّ فِي كِتابٍ مِنْ قَبْلِ أَنْ نَبْرَأَها إِنَّ ذلِكَ عَلَى اللهِ يَسِيرٌ</w:t>
      </w:r>
      <w:r>
        <w:rPr>
          <w:rFonts w:eastAsia="Amiri" w:cs="Amiri" w:ascii="Amiri" w:hAnsi="Amiri"/>
          <w:color w:val="111111"/>
          <w:sz w:val="28"/>
          <w:szCs w:val="28"/>
          <w:rtl w:val="true"/>
          <w:lang w:bidi="ar-SA"/>
        </w:rPr>
        <w:t xml:space="preserve">). </w:t>
      </w:r>
      <w:r>
        <w:rPr>
          <w:rStyle w:val="FootnoteAnchor"/>
          <w:rtl w:val="true"/>
        </w:rPr>
        <w:footnoteReference w:id="537"/>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لوح المحو والإثبات ، فيكتب فيه التقدير الأوّل ، وهو وإن كان بظاهره مطلقاً وظاهراً في الاستمرار ، إلاّ أنّه مشروط بشروط ، فإذا تغيّرت الشروط انتهى أمر التقدير الأوّل ، وحان وقت التقدير الثاني ، وإلى هذا اللوح أشار سبحانه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وَيُثْبِتُ وَعِنْدَهُ أُمُّ الْكِتابِ</w:t>
      </w:r>
      <w:r>
        <w:rPr>
          <w:rFonts w:eastAsia="Amiri" w:cs="Amiri" w:ascii="Amiri" w:hAnsi="Amiri"/>
          <w:color w:val="111111"/>
          <w:sz w:val="28"/>
          <w:szCs w:val="28"/>
          <w:rtl w:val="true"/>
          <w:lang w:bidi="ar-SA"/>
        </w:rPr>
        <w:t xml:space="preserve">). </w:t>
      </w:r>
      <w:r>
        <w:rPr>
          <w:rStyle w:val="FootnoteAnchor"/>
          <w:rtl w:val="true"/>
        </w:rPr>
        <w:footnoteReference w:id="538"/>
      </w:r>
      <w:bookmarkStart w:id="846" w:name="pg11047_102910"/>
    </w:p>
    <w:p>
      <w:pPr>
        <w:pStyle w:val="BookText"/>
        <w:rPr/>
      </w:pPr>
      <w:bookmarkEnd w:id="846"/>
      <w:r>
        <w:rPr>
          <w:rFonts w:ascii="Amiri" w:hAnsi="Amiri" w:eastAsia="Amiri" w:cs="Amiri"/>
          <w:color w:val="111111"/>
          <w:sz w:val="28"/>
          <w:sz w:val="28"/>
          <w:szCs w:val="28"/>
          <w:rtl w:val="true"/>
          <w:lang w:bidi="ar-SA"/>
        </w:rPr>
        <w:t>ومثل هذا التغيّر في التقدير لا يمسّ كرامة العلم الإلهي الأزلي أبداً</w:t>
      </w:r>
      <w:r>
        <w:rPr>
          <w:rFonts w:eastAsia="Amiri" w:cs="Amiri" w:ascii="Amiri" w:hAnsi="Amiri"/>
          <w:color w:val="111111"/>
          <w:sz w:val="28"/>
          <w:szCs w:val="28"/>
          <w:rtl w:val="true"/>
          <w:lang w:bidi="ar-SA"/>
        </w:rPr>
        <w:t>.</w:t>
      </w:r>
    </w:p>
    <w:p>
      <w:pPr>
        <w:pStyle w:val="Heading5"/>
        <w:numPr>
          <w:ilvl w:val="4"/>
          <w:numId w:val="1"/>
        </w:numPr>
        <w:rPr/>
      </w:pPr>
      <w:bookmarkStart w:id="847" w:name="__RefHeading___Toc1391531_1067777946"/>
      <w:bookmarkStart w:id="848" w:name="_Toc315"/>
      <w:bookmarkEnd w:id="847"/>
      <w:r>
        <w:rPr>
          <w:rtl w:val="true"/>
        </w:rPr>
        <w:t>أحد أعلام السنّة يصحر بالحقيقة</w:t>
      </w:r>
      <w:bookmarkEnd w:id="848"/>
    </w:p>
    <w:p>
      <w:pPr>
        <w:pStyle w:val="BookText"/>
        <w:rPr/>
      </w:pPr>
      <w:r>
        <w:rPr>
          <w:rFonts w:ascii="Amiri" w:hAnsi="Amiri" w:eastAsia="Amiri" w:cs="Amiri"/>
          <w:color w:val="111111"/>
          <w:sz w:val="28"/>
          <w:sz w:val="28"/>
          <w:szCs w:val="28"/>
          <w:rtl w:val="true"/>
          <w:lang w:bidi="ar-SA"/>
        </w:rPr>
        <w:t xml:space="preserve">انّ الشيخ عبد العزيز البلوشي من أعضاء مجلس الخبراء لكتابة الدستور للجمهورية الإسلامية الإيرانية ، اجتمع بي وسألني عن حقيقة البداء ، وقد شرحت له مغزى المسألة ، واستمع لما نقوله بهدوء وتفهم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البداء بهذا المعنى فهو ممّا يعتقده أهل السنّة أجمع غير أنّكم لا تريدون من البداء هذا ، وإنّما تريدون معنى آخر يلازم جهله سبحانه وظهور الحقيقة بعد الخفاء</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أتيت بكتاب من قدماء الشيعة يتبنّى هذه العقيدة كما شرحتها لصدّقت كلامك وآمنت بالبداء ، فنزلت عند رغبته ، وآتيت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أوائل المقالات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عقائد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الشيخ المفيد ، فأخذ الكتاب وطالعه بدقّة وقلّبه ظهراً لبطن ، وجاء بعد أيّام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البداء بنفس المعنى الذي فسّره معلم الشيعة الشيخ المفيد ، فأهل السنّة قاطبة معه في هذه العقيدة من لدن ضرب الإسلام بجرانه في الأرض</w:t>
      </w:r>
      <w:r>
        <w:rPr>
          <w:rFonts w:eastAsia="Amiri" w:cs="Amiri" w:ascii="Amiri" w:hAnsi="Amiri"/>
          <w:color w:val="111111"/>
          <w:sz w:val="28"/>
          <w:szCs w:val="28"/>
          <w:rtl w:val="true"/>
          <w:lang w:bidi="ar-SA"/>
        </w:rPr>
        <w:t xml:space="preserve">. </w:t>
      </w:r>
      <w:bookmarkStart w:id="849" w:name="pg11047_102911"/>
    </w:p>
    <w:p>
      <w:pPr>
        <w:pStyle w:val="Heading3"/>
        <w:numPr>
          <w:ilvl w:val="2"/>
          <w:numId w:val="1"/>
        </w:numPr>
        <w:rPr/>
      </w:pPr>
      <w:bookmarkStart w:id="850" w:name="__RefHeading___Toc1391533_1067777946"/>
      <w:bookmarkStart w:id="851" w:name="_Toc316"/>
      <w:bookmarkEnd w:id="849"/>
      <w:bookmarkEnd w:id="850"/>
      <w:r>
        <w:rPr/>
        <w:t>5</w:t>
      </w:r>
      <w:r>
        <w:rPr>
          <w:rtl w:val="true"/>
        </w:rPr>
        <w:t xml:space="preserve">- </w:t>
      </w:r>
      <w:r>
        <w:rPr>
          <w:rtl w:val="true"/>
        </w:rPr>
        <w:t>الأثر التربوي للإيمان بالبداء</w:t>
      </w:r>
      <w:bookmarkEnd w:id="851"/>
    </w:p>
    <w:p>
      <w:pPr>
        <w:pStyle w:val="BookText"/>
        <w:rPr/>
      </w:pPr>
      <w:r>
        <w:rPr>
          <w:rFonts w:ascii="Amiri" w:hAnsi="Amiri" w:eastAsia="Amiri" w:cs="Amiri"/>
          <w:color w:val="111111"/>
          <w:sz w:val="28"/>
          <w:sz w:val="28"/>
          <w:szCs w:val="28"/>
          <w:rtl w:val="true"/>
          <w:lang w:bidi="ar-SA"/>
        </w:rPr>
        <w:t>إذا كان البداء هو تمكّن العبد من تغيير المصير بنواياه الصادقة وأعماله الطاهرة ، فهو يبعث الرجاء في نفس العبد ويكون نظيرَ تشريع قبول التوبة والشفاعة وتكفير الصغائر بالاجتناب عن الكبائر ، فتشريع الكلّ لأجل بعث الرجاء وإيقاد نوره في قلوب المكلّفين حتّى لا ييأسوا من روح الله ، ولا يتنكّبُوا عن الصراط المستقيم ، بتصوّر انّهم بأعمالهم السابقة صاروا من الأشقياء وكتبت عليهم النار تقديراً حتمياً لا تبديل فيه</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علم الإنسان أنّه سبحانه لم يجفّ قلمُه في لوح المحو والإثبات ، وله أن يمحو ما يشاء ويثبت ما يشاء ، يُسعِد من يشاء ويُشقي من يشاء ، لسعى في إسعاده وإخراجه من ديوان الأشقياء ، وتسجيله في قائمة السعداء ، إذ ليست مشيئته جزافية غير تابعة لضابطة خاصّة ، بل إذا تاب وعمل بالفرائض وتمسّك بالعروة الوثقى يخرج من سلك الأشقياء ويدخل في صنف السعداء وبالعكس ، وهكذا كلّ ما قدر في حقّه من الأجل والمرض والفقر والشقاء ، يمكن تغييره بالدعاء والصدقة وصلة الرحم وإكرام الوالدين وغير ذلك ، فالكلّ لأجل بثّ الأمل في قلب الإنسان ، وعلى هذا فالاعتقاد بذلك من ضروريات </w:t>
      </w:r>
    </w:p>
    <w:p>
      <w:pPr>
        <w:pStyle w:val="BookText"/>
        <w:rPr/>
      </w:pPr>
      <w:r>
        <w:rPr>
          <w:rFonts w:ascii="Amiri" w:hAnsi="Amiri" w:eastAsia="Amiri" w:cs="Amiri"/>
          <w:color w:val="111111"/>
          <w:sz w:val="28"/>
          <w:sz w:val="28"/>
          <w:szCs w:val="28"/>
          <w:rtl w:val="true"/>
          <w:lang w:bidi="ar-SA"/>
        </w:rPr>
        <w:t>الكتاب وصريح آياته وأخبار الأئمّة الهداة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يظهر أنّ البداء من المعارف العليا التي اتّفقت عليه كلمة المسلمين وإن غفل عن معناه الجمهور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عرفوه لأذعنوا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خذلهم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باستحالة تعلّق المشيئة بغير ما جرى عليه القلم ، ولأجل ذلك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الله مغلولة عن القبض والبسط ، والأخذ والإعطاء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للإنسان عندهم مصيراً واحداً لا يمكن تغييره ولا تبديله ، وأنّه ينال ما قُدِّر له من الخير والشر بلا 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صحّ ذلك لبطل الدعاء والتضرّع ، ولبطل القول بأنّ للأعمال الصالحة وغير الصالحة ممّا عددناه تأثيراً كبيراً في تغيير مصير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ضوء هذا البيان نتمكّن من فهم ما جاء في فضيلة البداء وأهميته في الروايات عن 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 ما روى زرارة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الباقر أو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عُبد الله عز وجلّ بشيء مثل البداء</w:t>
      </w:r>
      <w:r>
        <w:rPr>
          <w:rFonts w:eastAsia="Amiri" w:cs="Amiri" w:ascii="Amiri" w:hAnsi="Amiri"/>
          <w:color w:val="111111"/>
          <w:sz w:val="28"/>
          <w:szCs w:val="28"/>
          <w:rtl w:val="true"/>
          <w:lang w:bidi="ar-SA"/>
        </w:rPr>
        <w:t xml:space="preserve">». </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 xml:space="preserve">ولقد أدرك قوم يونس إمكان تغيير التقدير بالتوبة والعمل الصالح ، فلمّا نزل بهم العذاب مشوا إلى رجل من علمائهم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علّمنا دعاءً ندعُو به لعلّ اللهَ يكشفُ عنّا العذابَ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حيّ ، حينَ لا حيَّ ، يا حيّ محيي الموتى ، يا حي لا إله إلاّ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فكشف عنهم العذاب</w:t>
      </w:r>
      <w:r>
        <w:rPr>
          <w:rFonts w:eastAsia="Amiri" w:cs="Amiri" w:ascii="Amiri" w:hAnsi="Amiri"/>
          <w:color w:val="111111"/>
          <w:sz w:val="28"/>
          <w:szCs w:val="28"/>
          <w:rtl w:val="true"/>
          <w:lang w:bidi="ar-SA"/>
        </w:rPr>
        <w:t xml:space="preserve">. </w:t>
      </w:r>
      <w:r>
        <w:rPr>
          <w:rStyle w:val="FootnoteAnchor"/>
          <w:rtl w:val="true"/>
        </w:rPr>
        <w:footnoteReference w:id="540"/>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ممّا رواه السيوطي أنّهم وقفوا بين يدي الله سبحانه بحالة تستنزل الرحمة وتدفع النقمة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أبو الشيخ عن ابن عباس رضي الله عنه قال </w:t>
      </w:r>
      <w:r>
        <w:rPr>
          <w:rFonts w:eastAsia="Amiri" w:cs="Amiri" w:ascii="Amiri" w:hAnsi="Amiri"/>
          <w:color w:val="111111"/>
          <w:sz w:val="28"/>
          <w:szCs w:val="28"/>
          <w:rtl w:val="true"/>
          <w:lang w:bidi="ar-SA"/>
        </w:rPr>
        <w:t xml:space="preserve">: </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دعا يونس على قومه أوحى الله إليه انّ العذاب مُصْبحهم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كذب يونس وليُصبحنا العذاب ، فتعالوا حتّى نُخرج سخالَ كلّ شيء فنجعلها مع أولادنا فلعلّ الله أن يرحمهم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فأخرجوا النساء معهن الولدان ، وأخرجوا الإبل معها فَصلانها ، وأخرجوا البقر معها عجاجيلها ، وأخرجوا الغنم معها سخالها فجعلوه أمامهم ، وأقبل العذاب فلما أن رأوه جأروا إلى الله ودعوا ، وبكت النساء والولدان ، ورغت الإبل وفصلانها ، وخارت البقر وعجاجيلها ، وثغت الغنم وسخالها ، فرحمهم الله ، فصرف عنهم العذاب</w:t>
      </w:r>
      <w:r>
        <w:rPr>
          <w:rFonts w:eastAsia="Amiri" w:cs="Amiri" w:ascii="Amiri" w:hAnsi="Amiri"/>
          <w:color w:val="111111"/>
          <w:sz w:val="28"/>
          <w:szCs w:val="28"/>
          <w:rtl w:val="true"/>
          <w:lang w:bidi="ar-SA"/>
        </w:rPr>
        <w:t xml:space="preserve">. </w:t>
      </w:r>
      <w:r>
        <w:rPr>
          <w:rStyle w:val="FootnoteAnchor"/>
          <w:rtl w:val="true"/>
        </w:rPr>
        <w:footnoteReference w:id="541"/>
      </w:r>
      <w:bookmarkStart w:id="852" w:name="pg11047_102914"/>
    </w:p>
    <w:p>
      <w:pPr>
        <w:pStyle w:val="Heading3"/>
        <w:numPr>
          <w:ilvl w:val="2"/>
          <w:numId w:val="1"/>
        </w:numPr>
        <w:rPr/>
      </w:pPr>
      <w:bookmarkStart w:id="853" w:name="__RefHeading___Toc1391535_1067777946"/>
      <w:bookmarkStart w:id="854" w:name="_Toc317"/>
      <w:bookmarkEnd w:id="852"/>
      <w:bookmarkEnd w:id="853"/>
      <w:r>
        <w:rPr/>
        <w:t>6</w:t>
      </w:r>
      <w:r>
        <w:rPr>
          <w:rtl w:val="true"/>
        </w:rPr>
        <w:t xml:space="preserve">- </w:t>
      </w:r>
      <w:r>
        <w:rPr>
          <w:rtl w:val="true"/>
        </w:rPr>
        <w:t>الحوادث التي بدا لله تبارك وتعالى فيها</w:t>
      </w:r>
      <w:bookmarkEnd w:id="854"/>
    </w:p>
    <w:p>
      <w:pPr>
        <w:pStyle w:val="Heading4"/>
        <w:numPr>
          <w:ilvl w:val="3"/>
          <w:numId w:val="1"/>
        </w:numPr>
        <w:rPr/>
      </w:pPr>
      <w:bookmarkStart w:id="855" w:name="__RefHeading___Toc1391537_1067777946"/>
      <w:bookmarkStart w:id="856" w:name="_Toc318"/>
      <w:bookmarkEnd w:id="855"/>
      <w:r>
        <w:rPr>
          <w:rtl w:val="true"/>
        </w:rPr>
        <w:t>اشارة</w:t>
      </w:r>
      <w:bookmarkEnd w:id="856"/>
    </w:p>
    <w:p>
      <w:pPr>
        <w:pStyle w:val="BookText"/>
        <w:rPr/>
      </w:pPr>
      <w:r>
        <w:rPr>
          <w:rFonts w:ascii="Amiri" w:hAnsi="Amiri" w:eastAsia="Amiri" w:cs="Amiri"/>
          <w:color w:val="111111"/>
          <w:sz w:val="28"/>
          <w:sz w:val="28"/>
          <w:szCs w:val="28"/>
          <w:rtl w:val="true"/>
          <w:lang w:bidi="ar-SA"/>
        </w:rPr>
        <w:t>تفسير البداء بتغيير المصير بالأعمال الصالحة والطالحة تفسير له في مقام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مصطلح آخر للبداء نعبّر عنه بالبداء في مقام الإثبات وهو انّه ربّما يلهم النبي أو يوحى إليه وقوع شيء ولكنّه لا يقع ، وهذا ما يعبّر عنه بأنّه بدا لله في تلك الحادثة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استعمال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فسيوافيك انّه 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تبع المسلمون في هذا النوع من الاستعمال سنّةَ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أبرص وأقرع وأعمى كما مرّ</w:t>
      </w:r>
      <w:r>
        <w:rPr>
          <w:rFonts w:eastAsia="Amiri" w:cs="Amiri" w:ascii="Amiri" w:hAnsi="Amiri"/>
          <w:color w:val="111111"/>
          <w:sz w:val="28"/>
          <w:szCs w:val="28"/>
          <w:rtl w:val="true"/>
          <w:lang w:bidi="ar-SA"/>
        </w:rPr>
        <w:t xml:space="preserve">. </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 xml:space="preserve">إنّما الكلام في كيفية الإلهام أو الوحي إلى النبي وأخباره للناس وعدم وقوعه ، فبيانه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ربما تقتضي المصلحةُ اطّلاعَ النبي على المقتضي للشيء دون العلّة التامة لوقوعه ، فيخبر استناداً إلى المقتضي مع عدم الوقوف على العلّة التامة التي من أجزائها عدم المانع من تأثير المقتضي</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فإخباره يستند إلى وجود المقتضي للشيء ، وأمّا عدم وقوعه فلاستناده إلى وجود المانع من تأثير المقتضي ، وها نحن نذكر شيئاً من هذه الإخبارات الواردة في الكتاب والسنّة والتي بدا لله فيها </w:t>
      </w:r>
      <w:r>
        <w:rPr>
          <w:rFonts w:eastAsia="Amiri" w:cs="Amiri" w:ascii="Amiri" w:hAnsi="Amiri"/>
          <w:color w:val="111111"/>
          <w:sz w:val="28"/>
          <w:szCs w:val="28"/>
          <w:rtl w:val="true"/>
          <w:lang w:bidi="ar-SA"/>
        </w:rPr>
        <w:t xml:space="preserve">: </w:t>
      </w:r>
      <w:bookmarkStart w:id="857" w:name="pg11047_102915"/>
    </w:p>
    <w:p>
      <w:pPr>
        <w:pStyle w:val="Heading4"/>
        <w:numPr>
          <w:ilvl w:val="3"/>
          <w:numId w:val="1"/>
        </w:numPr>
        <w:rPr/>
      </w:pPr>
      <w:bookmarkStart w:id="858" w:name="__RefHeading___Toc1391539_1067777946"/>
      <w:bookmarkStart w:id="859" w:name="_Toc319"/>
      <w:bookmarkEnd w:id="857"/>
      <w:bookmarkEnd w:id="858"/>
      <w:r>
        <w:rPr/>
        <w:t>1</w:t>
      </w:r>
      <w:r>
        <w:rPr>
          <w:rtl w:val="true"/>
        </w:rPr>
        <w:t xml:space="preserve">. </w:t>
      </w:r>
      <w:r>
        <w:rPr>
          <w:rtl w:val="true"/>
        </w:rPr>
        <w:t>حادثة رفع العذاب عن قوم يونس</w:t>
      </w:r>
      <w:bookmarkEnd w:id="859"/>
    </w:p>
    <w:p>
      <w:pPr>
        <w:pStyle w:val="BookText"/>
        <w:rPr/>
      </w:pPr>
      <w:r>
        <w:rPr>
          <w:rFonts w:ascii="Amiri" w:hAnsi="Amiri" w:eastAsia="Amiri" w:cs="Amiri"/>
          <w:color w:val="111111"/>
          <w:sz w:val="28"/>
          <w:sz w:val="28"/>
          <w:szCs w:val="28"/>
          <w:rtl w:val="true"/>
          <w:lang w:bidi="ar-SA"/>
        </w:rPr>
        <w:t xml:space="preserve">أخبر يونسُ قومَه بنزول العذاب ثمّ ترك القوم وكان في وعده صادقاً معتمداً على مقتضي العذاب الذي اطّلع عليه ، لكن نزول العذاب كان مشروطاً بعدم المانع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والتضرّع ، إذ مع المانع لا تجتمع العلة التامة للعذاب ،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 كانَتْ قَرْيَةٌ آمَنَتْ فَنَفَعَها إِيمانُها إِلاَّ قَوْمَ يُونُسَ لَمَّا آمَنُوا كَشَفْنا عَنْهُمْ عَذابَ الْخِزْيِ فِي الْحَياةِ الدُّنْيا وَمَتَّعْناهُمْ إِلى حِينٍ</w:t>
      </w:r>
      <w:r>
        <w:rPr>
          <w:rFonts w:eastAsia="Amiri" w:cs="Amiri" w:ascii="Amiri" w:hAnsi="Amiri"/>
          <w:color w:val="111111"/>
          <w:sz w:val="28"/>
          <w:szCs w:val="28"/>
          <w:rtl w:val="true"/>
          <w:lang w:bidi="ar-SA"/>
        </w:rPr>
        <w:t xml:space="preserve">). </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 xml:space="preserve">أخرج عبد الرزاق عن طاوس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يُونُسَ لَمِنَ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أَبَقَ إِلَى الْفُلْكِ الْمَشْحُونِ</w:t>
      </w:r>
      <w:r>
        <w:rPr>
          <w:rFonts w:eastAsia="Amiri" w:cs="Amiri" w:ascii="Amiri" w:hAnsi="Amiri"/>
          <w:color w:val="111111"/>
          <w:sz w:val="28"/>
          <w:szCs w:val="28"/>
          <w:rtl w:val="true"/>
          <w:lang w:bidi="ar-SA"/>
        </w:rPr>
        <w:t xml:space="preserve">) </w:t>
      </w:r>
      <w:r>
        <w:rPr>
          <w:rStyle w:val="FootnoteAnchor"/>
          <w:rtl w:val="true"/>
        </w:rPr>
        <w:footnoteReference w:id="54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قومك يأتيهم العذاب يوم 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يومئذ ، خرج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ففقده قومه ، فخرجوا بالصغير والكبير والدواب وكلّ شيء ، ثمّ عزلوا الوالدة عن ولدها ، والشاة عن ولدها ، والناقة والبقرة عن ولدها ، فسمعت لهم عجيجاً فأتاهم العذاب حتّى نظروا إليه ثمّ صرف عنهم فلما لم يصبهم العذاب ، ذهب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مغاضباً فركب في البحر في سفينة مع أناس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Style w:val="FootnoteAnchor"/>
          <w:rtl w:val="true"/>
        </w:rPr>
        <w:footnoteReference w:id="545"/>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ابن جرير وابن أبي حاتم ،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بعث الله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أهل قريته ، فردوا عليه ما جاءهم به ، فامتنعوا منه ، فلمّا فعلوا ذلك أوحى الله إليه إنّي مرسل عليهم العذاب في يوم كذا وكذا ، فأخرج من بين أظهرهم ، فأعلم قومه الذي وعد الله من عذابه إيّاهم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ارمقوه فإن هو خرج من بين أظهركم فهو والله كائن ما وعدكم ، فلمّا كانت الليلة التي وُعِدُوا </w:t>
      </w:r>
      <w:bookmarkStart w:id="860" w:name="pg11047_102916"/>
    </w:p>
    <w:p>
      <w:pPr>
        <w:pStyle w:val="BookText"/>
        <w:rPr/>
      </w:pPr>
      <w:bookmarkEnd w:id="860"/>
      <w:r>
        <w:rPr>
          <w:rFonts w:ascii="Amiri" w:hAnsi="Amiri" w:eastAsia="Amiri" w:cs="Amiri"/>
          <w:color w:val="111111"/>
          <w:sz w:val="28"/>
          <w:sz w:val="28"/>
          <w:szCs w:val="28"/>
          <w:rtl w:val="true"/>
          <w:lang w:bidi="ar-SA"/>
        </w:rPr>
        <w:t xml:space="preserve">العذاب في صبيحتها ، أدلج فرآه القوم ، فحذروا فخرجوا من القرية إلى براز من أرضهم وفرقوا بين كلّ دابة وولدها ، ثمّ عجّوا إلى الله وأنابوا واستقالوا فأقالهم ، وانتظر يونس عليه خبر القرية وأهلها ، حتّى مرّ مارّ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أهل القرية؟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فعلوا أنّ نبيهم لمّا خرج من بين أظهرهم عرفوا أنّه قد صدقهم ما وعدهم من العذاب ، فخرجوا من قريتهم إلى براز من الأرض ، ثمّ فرقوا بين كلّ ذات ولد وولدها ، ثمّ عجُّوا إلى الله ، وتابوا إليه فقُبِل منهم وأخّر عنهم العذاب</w:t>
      </w:r>
      <w:r>
        <w:rPr>
          <w:rFonts w:eastAsia="Amiri" w:cs="Amiri" w:ascii="Amiri" w:hAnsi="Amiri"/>
          <w:color w:val="111111"/>
          <w:sz w:val="28"/>
          <w:szCs w:val="28"/>
          <w:rtl w:val="true"/>
          <w:lang w:bidi="ar-SA"/>
        </w:rPr>
        <w:t xml:space="preserve">. </w:t>
      </w:r>
      <w:r>
        <w:rPr>
          <w:rStyle w:val="FootnoteAnchor"/>
          <w:rtl w:val="true"/>
        </w:rPr>
        <w:footnoteReference w:id="546"/>
      </w:r>
    </w:p>
    <w:p>
      <w:pPr>
        <w:pStyle w:val="Heading4"/>
        <w:numPr>
          <w:ilvl w:val="3"/>
          <w:numId w:val="1"/>
        </w:numPr>
        <w:rPr/>
      </w:pPr>
      <w:bookmarkStart w:id="861" w:name="__RefHeading___Toc1391541_1067777946"/>
      <w:bookmarkStart w:id="862" w:name="_Toc320"/>
      <w:bookmarkEnd w:id="861"/>
      <w:r>
        <w:rPr/>
        <w:t>2</w:t>
      </w:r>
      <w:r>
        <w:rPr>
          <w:rtl w:val="true"/>
        </w:rPr>
        <w:t xml:space="preserve">. </w:t>
      </w:r>
      <w:r>
        <w:rPr>
          <w:rtl w:val="true"/>
        </w:rPr>
        <w:t>حادثة الإعراض عن ذبح إسماعيل</w:t>
      </w:r>
      <w:bookmarkEnd w:id="862"/>
    </w:p>
    <w:p>
      <w:pPr>
        <w:pStyle w:val="BookText"/>
        <w:rPr/>
      </w:pPr>
      <w:r>
        <w:rPr>
          <w:rFonts w:ascii="Amiri" w:hAnsi="Amiri" w:eastAsia="Amiri" w:cs="Amiri"/>
          <w:color w:val="111111"/>
          <w:sz w:val="28"/>
          <w:sz w:val="28"/>
          <w:szCs w:val="28"/>
          <w:rtl w:val="true"/>
          <w:lang w:bidi="ar-SA"/>
        </w:rPr>
        <w:t>قد تضافر في الآثار انّ رؤية الأنبياء رؤيا صادقة وربّما يكون وحياً</w:t>
      </w:r>
      <w:r>
        <w:rPr>
          <w:rFonts w:eastAsia="Amiri" w:cs="Amiri" w:ascii="Amiri" w:hAnsi="Amiri"/>
          <w:color w:val="111111"/>
          <w:sz w:val="28"/>
          <w:szCs w:val="28"/>
          <w:rtl w:val="true"/>
          <w:lang w:bidi="ar-SA"/>
        </w:rPr>
        <w:t xml:space="preserve">. </w:t>
      </w:r>
      <w:r>
        <w:rPr>
          <w:rStyle w:val="FootnoteAnchor"/>
          <w:rtl w:val="true"/>
        </w:rPr>
        <w:footnoteReference w:id="547"/>
      </w:r>
      <w:r>
        <w:rPr>
          <w:rFonts w:ascii="Amiri" w:hAnsi="Amiri" w:eastAsia="Amiri" w:cs="Amiri"/>
          <w:color w:val="111111"/>
          <w:sz w:val="28"/>
          <w:sz w:val="28"/>
          <w:szCs w:val="28"/>
          <w:rtl w:val="true"/>
          <w:lang w:bidi="ar-SA"/>
        </w:rPr>
        <w:t xml:space="preserve">وقد رأى إبراهيم في منامه انّه يذبح إسماعيل ، وأعلم ابنه بذلك ، ليكون أهون عليه ، وليختبر صبره وجلده وعزمه على طاعة الله وطاعة أبيه ، يقول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فَبَشَّرْناهُ بِغُلامٍ حَلِيمٍ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مَعَهُ السَّعْيَ قالَ يا بُنَيَّ إِنِّي أَرى فِي الْمَنامِ أَنِّي أَذْبَحُكَ فَانْظُرْ ما ذا تَرى قالَ يا أَبَتِ افْعَلْ ما تُؤْمَرُ سَتَجِدُنِي إِنْ شاءَ اللهُ مِنَ الصَّابِرِينَ</w:t>
      </w:r>
      <w:r>
        <w:rPr>
          <w:rFonts w:eastAsia="Amiri" w:cs="Amiri" w:ascii="Amiri" w:hAnsi="Amiri"/>
          <w:color w:val="111111"/>
          <w:sz w:val="28"/>
          <w:szCs w:val="28"/>
          <w:rtl w:val="true"/>
          <w:lang w:bidi="ar-SA"/>
        </w:rPr>
        <w:t xml:space="preserve">). </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أَنِّي أَذْبَحُكَ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يحكي عن حقيقة ثابتة وواقعية مسلّمة ، وهو أمر الله لإبراهيم بذبح ولده أوّلاً ، وتحقّق ذلك في عالم الوجود ثانياً ، وكأنّ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أَرى فِي الْمَنامِ أَنِّي أَذْبَحُكَ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يكشف عن أمرين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بذبح الولد وهو أمر تشريعي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الكناية عن تحقّق ذلك في الواقع الخارجي</w:t>
      </w:r>
      <w:r>
        <w:rPr>
          <w:rFonts w:eastAsia="Amiri" w:cs="Amiri" w:ascii="Amiri" w:hAnsi="Amiri"/>
          <w:color w:val="111111"/>
          <w:sz w:val="28"/>
          <w:szCs w:val="28"/>
          <w:rtl w:val="true"/>
          <w:lang w:bidi="ar-SA"/>
        </w:rPr>
        <w:t xml:space="preserve">. </w:t>
      </w:r>
      <w:bookmarkStart w:id="863" w:name="pg11047_102917"/>
    </w:p>
    <w:p>
      <w:pPr>
        <w:pStyle w:val="BookText"/>
        <w:rPr/>
      </w:pPr>
      <w:bookmarkEnd w:id="863"/>
      <w:r>
        <w:rPr>
          <w:rFonts w:ascii="Amiri" w:hAnsi="Amiri" w:eastAsia="Amiri" w:cs="Amiri"/>
          <w:color w:val="111111"/>
          <w:sz w:val="28"/>
          <w:sz w:val="28"/>
          <w:szCs w:val="28"/>
          <w:rtl w:val="true"/>
          <w:lang w:bidi="ar-SA"/>
        </w:rPr>
        <w:t xml:space="preserve">فقد أخبر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 بطريق من طرق الوحي ، وأخبر هو ولده بذلك ، ومع ذلك كلّه لم يتحقّق ونُسخ نسخاً تشريعياً ، كما لم يتحقّق ذبح إبراهيم إسماعيل في الخارج فكان نسخاً تكوينياً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ويحكي عن كلا الأمرين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وَفَدَيْناهُ بِذِبْحٍ عَظِيمٍ</w:t>
      </w:r>
      <w:r>
        <w:rPr>
          <w:rFonts w:eastAsia="Amiri" w:cs="Amiri" w:ascii="Amiri" w:hAnsi="Amiri"/>
          <w:color w:val="111111"/>
          <w:sz w:val="28"/>
          <w:szCs w:val="28"/>
          <w:rtl w:val="true"/>
          <w:lang w:bidi="ar-SA"/>
        </w:rPr>
        <w:t xml:space="preserve">). </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وسيوافيك انّ اخبار الأنبياء عن حوادث مستقبلية مع عدم وقوعها لا يستلزم كذبهم ولا يمسّ كرامتهم بشيء ، وذلك لدلالة القرائن على وجود المقتضي للحوادث وإنّما لم يقع لأجل موانع حالت بين المقتضي وتأثيره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سبحانه يحكي لنا عزمَ إبراهيم لذبح ولده ، وانّ الوالد والولد سلّما ما أُمرا به ، ووضع إبراهيم وجهه للأرض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وَتَلَّهُ لِلْجَبِينِ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أخذ الشفرة وأراد أن يذبحه ، نودي مِن خلفه أن يا إبراهيمُ قد صدّقتَ الرؤيا وخرجتَ من الاختبار مرفوع الرأس ، قال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أَسْلَما وَتَلَّهُ لِلْجَبِينِ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وَنادَيْناهُ أَنْ يا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صَدَّقْتَ الرُّؤْيا إِنَّا كَذلِكَ نَجْزِي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لَهُوَ الْبَلاءُ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وَفَدَيْناهُ بِذِبْحٍ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وَتَرَكْنا عَلَيْهِ فِي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نَجْزِي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عِبادِنَا الْمُؤْمِنِينَ</w:t>
      </w:r>
      <w:r>
        <w:rPr>
          <w:rFonts w:eastAsia="Amiri" w:cs="Amiri" w:ascii="Amiri" w:hAnsi="Amiri"/>
          <w:color w:val="111111"/>
          <w:sz w:val="28"/>
          <w:szCs w:val="28"/>
          <w:rtl w:val="true"/>
          <w:lang w:bidi="ar-SA"/>
        </w:rPr>
        <w:t xml:space="preserve">). </w:t>
      </w:r>
      <w:r>
        <w:rPr>
          <w:rStyle w:val="FootnoteAnchor"/>
          <w:rtl w:val="true"/>
        </w:rPr>
        <w:footnoteReference w:id="550"/>
      </w:r>
    </w:p>
    <w:p>
      <w:pPr>
        <w:pStyle w:val="Heading4"/>
        <w:numPr>
          <w:ilvl w:val="3"/>
          <w:numId w:val="1"/>
        </w:numPr>
        <w:rPr/>
      </w:pPr>
      <w:bookmarkStart w:id="864" w:name="__RefHeading___Toc1391543_1067777946"/>
      <w:bookmarkStart w:id="865" w:name="_Toc321"/>
      <w:bookmarkEnd w:id="864"/>
      <w:r>
        <w:rPr/>
        <w:t>3</w:t>
      </w:r>
      <w:r>
        <w:rPr>
          <w:rtl w:val="true"/>
        </w:rPr>
        <w:t xml:space="preserve">. </w:t>
      </w:r>
      <w:r>
        <w:rPr>
          <w:rtl w:val="true"/>
        </w:rPr>
        <w:t xml:space="preserve">حادثة إكمال ميقات موسى </w:t>
      </w:r>
      <w:r>
        <w:rPr>
          <w:rtl w:val="true"/>
        </w:rPr>
        <w:t xml:space="preserve">- </w:t>
      </w:r>
      <w:r>
        <w:rPr>
          <w:rtl w:val="true"/>
        </w:rPr>
        <w:t xml:space="preserve">عليه السلام </w:t>
      </w:r>
      <w:r>
        <w:rPr>
          <w:rtl w:val="true"/>
        </w:rPr>
        <w:t>-</w:t>
      </w:r>
      <w:bookmarkEnd w:id="865"/>
    </w:p>
    <w:p>
      <w:pPr>
        <w:pStyle w:val="Heading5"/>
        <w:numPr>
          <w:ilvl w:val="4"/>
          <w:numId w:val="1"/>
        </w:numPr>
        <w:rPr/>
      </w:pPr>
      <w:bookmarkStart w:id="866" w:name="__RefHeading___Toc1391545_1067777946"/>
      <w:bookmarkStart w:id="867" w:name="_Toc322"/>
      <w:bookmarkEnd w:id="866"/>
      <w:r>
        <w:rPr>
          <w:rtl w:val="true"/>
        </w:rPr>
        <w:t>اشارة</w:t>
      </w:r>
      <w:bookmarkEnd w:id="867"/>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المفسّرون انّه سبحانه واعد موسى ثلاثين ليلة ، فصامها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وطواها ، فلمّا تمّ الميقات استاك بلحاء شجرة فأمره الله تعالى أن يُكْمل بعشر ، يقول </w:t>
      </w:r>
    </w:p>
    <w:p>
      <w:pPr>
        <w:pStyle w:val="BookText"/>
        <w:rPr/>
      </w:pP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وَواعَدْنا مُوسى ثَلاثِينَ لَيْلَةً وَأَتْمَمْناها بِعَشْرٍ فَتَمَّ مِيقاتُ رَبِّهِ أَرْبَعِينَ لَيْلَةً وَقالَ مُوسى لِأَخِيهِ هارُونَ اخْلُفْنِي فِي قَوْمِي وَأَصْلِحْ وَلا تَتَّبِعْ سَبِيلَ الْمُفْسِدِينَ</w:t>
      </w:r>
      <w:r>
        <w:rPr>
          <w:rFonts w:eastAsia="Amiri" w:cs="Amiri" w:ascii="Amiri" w:hAnsi="Amiri"/>
          <w:color w:val="111111"/>
          <w:sz w:val="28"/>
          <w:szCs w:val="28"/>
          <w:rtl w:val="true"/>
          <w:lang w:bidi="ar-SA"/>
        </w:rPr>
        <w:t xml:space="preserve">). </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 xml:space="preserve">إنّه سبحانه لمّا واعد موسى ثلاثين ليلة ، كلّم بما وعده الله سبحانه قومه الذين صحبوه إلى الميقات ، فلمّا طوى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ثلاثين ليلة أمر بإكمال بأربعين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ابن المنذر وابن أبي حاتم عن ابن عباس في تفسير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موسى قال لقومه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ربّي وعدني ثلاثين ليلة أن ألقاه وأخلف هارون فيكم ، فلمّا فصل موسى إلى ربّه زاده الله عشراً ، فكانت فتنتهم في العشر التي زاده الله</w:t>
      </w:r>
      <w:r>
        <w:rPr>
          <w:rFonts w:eastAsia="Amiri" w:cs="Amiri" w:ascii="Amiri" w:hAnsi="Amiri"/>
          <w:color w:val="111111"/>
          <w:sz w:val="28"/>
          <w:szCs w:val="28"/>
          <w:rtl w:val="true"/>
          <w:lang w:bidi="ar-SA"/>
        </w:rPr>
        <w:t xml:space="preserve">. </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 xml:space="preserve">فكان هناك إخباران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بأنّه يمكث في الميقات ثلاثين ليلة ، ثمّ نسخه خبر آخر بأنّه يمكث أربعين ليلة ، وكان موسى صادقاً في كلا الأخبارين ، حيث كان الخبر الأوّل مستنداً إلى جهات يقتضي إقامة ثلاثين ليلة ، لو لا طروء ملاك آخر يقتضي أن يكون الوقوف أزيد من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جملة الحوادث التي تنبّأ أنبياء الله بوقوعها في الذكر الحكيم إلاّ أنّها لم تقع ، وهذا ما يعبّر عنه بأنّه بدا لله فيها</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وسيوافيك وجه استعمال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وكيفية نسبته إلى الله</w:t>
      </w:r>
      <w:r>
        <w:rPr>
          <w:rFonts w:eastAsia="Amiri" w:cs="Amiri" w:ascii="Amiri" w:hAnsi="Amiri"/>
          <w:color w:val="111111"/>
          <w:sz w:val="28"/>
          <w:szCs w:val="28"/>
          <w:rtl w:val="true"/>
          <w:lang w:bidi="ar-SA"/>
        </w:rPr>
        <w:t xml:space="preserve">. </w:t>
      </w:r>
      <w:bookmarkStart w:id="868" w:name="pg11047_102919"/>
    </w:p>
    <w:p>
      <w:pPr>
        <w:pStyle w:val="Heading5"/>
        <w:numPr>
          <w:ilvl w:val="4"/>
          <w:numId w:val="1"/>
        </w:numPr>
        <w:rPr/>
      </w:pPr>
      <w:bookmarkStart w:id="869" w:name="__RefHeading___Toc1391547_1067777946"/>
      <w:bookmarkStart w:id="870" w:name="_Toc323"/>
      <w:bookmarkEnd w:id="868"/>
      <w:bookmarkEnd w:id="869"/>
      <w:r>
        <w:rPr>
          <w:rtl w:val="true"/>
        </w:rPr>
        <w:t>حوادث بدا لله تعالى فيها في الأحاديث</w:t>
      </w:r>
      <w:bookmarkEnd w:id="870"/>
    </w:p>
    <w:p>
      <w:pPr>
        <w:pStyle w:val="BookText"/>
        <w:rPr/>
      </w:pPr>
      <w:r>
        <w:rPr>
          <w:rFonts w:ascii="Amiri" w:hAnsi="Amiri" w:eastAsia="Amiri" w:cs="Amiri"/>
          <w:color w:val="111111"/>
          <w:sz w:val="28"/>
          <w:sz w:val="28"/>
          <w:szCs w:val="28"/>
          <w:rtl w:val="true"/>
          <w:lang w:bidi="ar-SA"/>
        </w:rPr>
        <w:t xml:space="preserve">المتتبع في الآثار والروايات يجد نظائر هذه الحوادث فيها ، ونذكر نزراً قليلاً منها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 يهوديّ بالنبي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السام عليك ، فقال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سلّم عليك بالموت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عليك؟ فقال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وكذلك رددت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لأصحابه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اليهودي يعضّه أسود في قفاه فيقتله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اليهودي فاحتطب حطباً كثيراً فاحتمله ، ثمّ لم يلبث أن 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فوضع الحطب فإذا أسود في جوف الحطب عاض على عود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يهوديّ ما عملت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عملت عملاً إلاّ حطبي هذا حملته فجئت به ، وكان معي كعكتان فأكلت واحدة وتصدّقت بواحدة على مسكين ، 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بها دفع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الصدقة تدفع ميتة السوء عن الإنسان</w:t>
      </w:r>
      <w:r>
        <w:rPr>
          <w:rFonts w:eastAsia="Amiri" w:cs="Amiri" w:ascii="Amiri" w:hAnsi="Amiri"/>
          <w:color w:val="111111"/>
          <w:sz w:val="28"/>
          <w:szCs w:val="28"/>
          <w:rtl w:val="true"/>
          <w:lang w:bidi="ar-SA"/>
        </w:rPr>
        <w:t xml:space="preserve">». </w:t>
      </w:r>
      <w:r>
        <w:rPr>
          <w:rStyle w:val="FootnoteAnchor"/>
          <w:rtl w:val="true"/>
        </w:rPr>
        <w:footnoteReference w:id="55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المسيح مرّ بقوم مجلبين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لهؤلاء؟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روح الله فلانة بنت فلانة تُهدى إلى فلان في ليلته هذه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يُجلَبُون اليوم ويَبكوُن غداً ، فقال قائل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صاحبتهم ميتة في ليلتها هذه ، فلما أصبحوا وجدوها على حالها ، ليس بها شيء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روح الله إنّ التي اخبرتَنا أمس انّها ميتة لم تمت ، فدخل المسيح دارها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صنعت ليلتك هذه؟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أصنع شيئاً إلاّ وكنت أصنعه فيما مضى ، انّه كان يعترينا سائل في كلّ ليلة جمعة فننيله ما</w:t>
      </w:r>
    </w:p>
    <w:p>
      <w:pPr>
        <w:pStyle w:val="BookText"/>
        <w:rPr/>
      </w:pPr>
      <w:r>
        <w:rPr>
          <w:rFonts w:ascii="Amiri" w:hAnsi="Amiri" w:eastAsia="Amiri" w:cs="Amiri"/>
          <w:color w:val="111111"/>
          <w:sz w:val="28"/>
          <w:sz w:val="28"/>
          <w:szCs w:val="28"/>
          <w:rtl w:val="true"/>
          <w:lang w:bidi="ar-SA"/>
        </w:rPr>
        <w:t>يقوته إلى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تنحّ عن مجلسك فإذا تحت ثيابها أفعى مثل جذعة ، عاضّ على ذنبه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بما صنعت ، صرف عنك هذا</w:t>
      </w:r>
      <w:r>
        <w:rPr>
          <w:rFonts w:eastAsia="Amiri" w:cs="Amiri" w:ascii="Amiri" w:hAnsi="Amiri"/>
          <w:color w:val="111111"/>
          <w:sz w:val="28"/>
          <w:szCs w:val="28"/>
          <w:rtl w:val="true"/>
          <w:lang w:bidi="ar-SA"/>
        </w:rPr>
        <w:t xml:space="preserve">. </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الأخبارات الصادرة من الأنبياء لأجل اتّصالهم باللوح الثاني الذي في معرض التغيّر والتبدّل كثيرة مبثوثة في الكتب ، فيخبرون لمصالح حسب ما يقتضي المقتضي مع احتمال تغيّرها حسب توفّر الشروط وعدمها أو الموانع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المجال يقول العلاّمة المجلسي في عالم الإثبات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أنّ الآيات والأخبار تدلّ على أنّ الله خلق لوحين أثبت فيها ما يحدث في الكائنات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اللوح المحفوظ الذي لا تغيّر فيه أصلاً وهو مطابق لعلمه تعالى</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لوح المحو والإثبات ، فيثبت فيه شيئاً ثمّ يمحوه ، لحكم كثيرة لا تخفى على أُولي الألباب</w:t>
      </w:r>
      <w:r>
        <w:rPr>
          <w:rFonts w:eastAsia="Amiri" w:cs="Amiri" w:ascii="Amiri" w:hAnsi="Amiri"/>
          <w:color w:val="111111"/>
          <w:sz w:val="28"/>
          <w:szCs w:val="28"/>
          <w:rtl w:val="true"/>
          <w:lang w:bidi="ar-SA"/>
        </w:rPr>
        <w:t xml:space="preserve">. </w:t>
      </w:r>
      <w:bookmarkStart w:id="871" w:name="pg11047_102921"/>
    </w:p>
    <w:p>
      <w:pPr>
        <w:pStyle w:val="Heading3"/>
        <w:numPr>
          <w:ilvl w:val="2"/>
          <w:numId w:val="1"/>
        </w:numPr>
        <w:rPr/>
      </w:pPr>
      <w:bookmarkStart w:id="872" w:name="__RefHeading___Toc1391549_1067777946"/>
      <w:bookmarkStart w:id="873" w:name="_Toc324"/>
      <w:bookmarkEnd w:id="871"/>
      <w:bookmarkEnd w:id="872"/>
      <w:r>
        <w:rPr/>
        <w:t>7</w:t>
      </w:r>
      <w:r>
        <w:rPr>
          <w:rtl w:val="true"/>
        </w:rPr>
        <w:t xml:space="preserve">- </w:t>
      </w:r>
      <w:r>
        <w:rPr>
          <w:rtl w:val="true"/>
        </w:rPr>
        <w:t>شبهات وحلول</w:t>
      </w:r>
      <w:bookmarkEnd w:id="873"/>
    </w:p>
    <w:p>
      <w:pPr>
        <w:pStyle w:val="Heading4"/>
        <w:numPr>
          <w:ilvl w:val="3"/>
          <w:numId w:val="1"/>
        </w:numPr>
        <w:rPr/>
      </w:pPr>
      <w:bookmarkStart w:id="874" w:name="__RefHeading___Toc1391551_1067777946"/>
      <w:bookmarkStart w:id="875" w:name="_Toc325"/>
      <w:bookmarkEnd w:id="874"/>
      <w:r>
        <w:rPr>
          <w:rtl w:val="true"/>
        </w:rPr>
        <w:t>اشارة</w:t>
      </w:r>
      <w:bookmarkEnd w:id="875"/>
    </w:p>
    <w:p>
      <w:pPr>
        <w:pStyle w:val="BookText"/>
        <w:rPr/>
      </w:pPr>
      <w:r>
        <w:rPr>
          <w:rFonts w:ascii="Amiri" w:hAnsi="Amiri" w:eastAsia="Amiri" w:cs="Amiri"/>
          <w:color w:val="111111"/>
          <w:sz w:val="28"/>
          <w:sz w:val="28"/>
          <w:szCs w:val="28"/>
          <w:rtl w:val="true"/>
          <w:lang w:bidi="ar-SA"/>
        </w:rPr>
        <w:t xml:space="preserve">تثار حول البداء شبهات عديدة تطلب لنفسها الإجابة ، ونحن بدورنا نذكر المهم منها </w:t>
      </w:r>
      <w:r>
        <w:rPr>
          <w:rFonts w:eastAsia="Amiri" w:cs="Amiri" w:ascii="Amiri" w:hAnsi="Amiri"/>
          <w:color w:val="111111"/>
          <w:sz w:val="28"/>
          <w:szCs w:val="28"/>
          <w:rtl w:val="true"/>
          <w:lang w:bidi="ar-SA"/>
        </w:rPr>
        <w:t>:</w:t>
      </w:r>
    </w:p>
    <w:p>
      <w:pPr>
        <w:pStyle w:val="Heading4"/>
        <w:numPr>
          <w:ilvl w:val="3"/>
          <w:numId w:val="1"/>
        </w:numPr>
        <w:rPr/>
      </w:pPr>
      <w:bookmarkStart w:id="876" w:name="__RefHeading___Toc1391553_1067777946"/>
      <w:bookmarkStart w:id="877" w:name="_Toc326"/>
      <w:bookmarkEnd w:id="876"/>
      <w:r>
        <w:rPr>
          <w:rtl w:val="true"/>
        </w:rPr>
        <w:t xml:space="preserve">الأُولى </w:t>
      </w:r>
      <w:r>
        <w:rPr>
          <w:rtl w:val="true"/>
        </w:rPr>
        <w:t xml:space="preserve">: </w:t>
      </w:r>
      <w:r>
        <w:rPr>
          <w:rtl w:val="true"/>
        </w:rPr>
        <w:t>استحالة إطلاق البداء على الله سبحانه</w:t>
      </w:r>
      <w:bookmarkEnd w:id="877"/>
    </w:p>
    <w:p>
      <w:pPr>
        <w:pStyle w:val="BookText"/>
        <w:rPr/>
      </w:pPr>
      <w:r>
        <w:rPr>
          <w:rFonts w:ascii="Amiri" w:hAnsi="Amiri" w:eastAsia="Amiri" w:cs="Amiri"/>
          <w:color w:val="111111"/>
          <w:sz w:val="28"/>
          <w:sz w:val="28"/>
          <w:szCs w:val="28"/>
          <w:rtl w:val="true"/>
          <w:lang w:bidi="ar-SA"/>
        </w:rPr>
        <w:t>إنّ البداء في اللغة هو الظهور بعد الخفاء ، وهو يلازم العلم بعد الجهل ، والله سبحانه عالم بكلّ شيء قبل الخلقة ومعها وبعدها فكيف يقال بدا لله في هذه الحادثة؟</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الشبهة صارت ذريعة لإنكار البداء حتّى بالمعنى الصحيح ، غير انّا نُلفت نظر القارئ الكريم إلى أنّ النزاع ليس في إطلاق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الله ، وإنّما النزاع في المسمّى ، فسواء أصحت تسميته بالبداء أم لم تصحّ ، فالبداء عبارة عن تغيير المصير بالعمل الصالح والطالح ، فلو كان إطلاق البداء عليه غير صحيح عند شخص فليسمّه بلفظ آخر ، على أنّ إطلاقه على الله صحيح لإحدى الجهات التالية أو جميعها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الشيعة الإمامية اقتفوا أثر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إطلاق البداء على الله سبحانه</w:t>
      </w:r>
    </w:p>
    <w:p>
      <w:pPr>
        <w:pStyle w:val="BookText"/>
        <w:rPr/>
      </w:pPr>
      <w:r>
        <w:rPr>
          <w:rFonts w:ascii="Amiri" w:hAnsi="Amiri" w:eastAsia="Amiri" w:cs="Amiri"/>
          <w:color w:val="111111"/>
          <w:sz w:val="28"/>
          <w:sz w:val="28"/>
          <w:szCs w:val="28"/>
          <w:rtl w:val="true"/>
          <w:lang w:bidi="ar-SA"/>
        </w:rPr>
        <w:t xml:space="preserve">حيث جاء في حديث الأقرع والأبرص والأعمى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بدا لله عزّ وجلّ أن يبتليهم</w:t>
      </w:r>
      <w:r>
        <w:rPr>
          <w:rFonts w:eastAsia="Amiri" w:cs="Amiri" w:ascii="Amiri" w:hAnsi="Amiri"/>
          <w:color w:val="111111"/>
          <w:sz w:val="28"/>
          <w:szCs w:val="28"/>
          <w:rtl w:val="true"/>
          <w:lang w:bidi="ar-SA"/>
        </w:rPr>
        <w:t xml:space="preserve">) </w:t>
      </w:r>
      <w:r>
        <w:rPr>
          <w:rStyle w:val="FootnoteAnchor"/>
          <w:rtl w:val="true"/>
        </w:rPr>
        <w:footnoteReference w:id="555"/>
      </w:r>
      <w:r>
        <w:rPr>
          <w:rFonts w:ascii="Amiri" w:hAnsi="Amiri" w:eastAsia="Amiri" w:cs="Amiri"/>
          <w:color w:val="111111"/>
          <w:sz w:val="28"/>
          <w:sz w:val="28"/>
          <w:szCs w:val="28"/>
          <w:rtl w:val="true"/>
          <w:lang w:bidi="ar-SA"/>
        </w:rPr>
        <w:t xml:space="preserve">وقد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لَكُمْ فِي رَسُولِ اللهِ أُسْوَةٌ حَسَنَةٌ لِمَنْ كانَ يَرْجُوا اللهَ وَالْيَوْمَ الْآخِرَ وَذَكَرَ اللهَ كَثِيراً</w:t>
      </w:r>
      <w:r>
        <w:rPr>
          <w:rFonts w:eastAsia="Amiri" w:cs="Amiri" w:ascii="Amiri" w:hAnsi="Amiri"/>
          <w:color w:val="111111"/>
          <w:sz w:val="28"/>
          <w:szCs w:val="28"/>
          <w:rtl w:val="true"/>
          <w:lang w:bidi="ar-SA"/>
        </w:rPr>
        <w:t xml:space="preserve">). </w:t>
      </w:r>
      <w:r>
        <w:rPr>
          <w:rStyle w:val="FootnoteAnchor"/>
          <w:rtl w:val="true"/>
        </w:rPr>
        <w:footnoteReference w:id="55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وصفه سبحانه بهذا الوصف من باب المشاكلة ، وهو باب واسع في كلام العرب ، فانّه سبحانه في مجالات خاصة يعبّر عن فعل نفسه بما يعبّر به الناس عن فعل أنفسهم ، وما ذلك إلاّ لأجل المشاكلة الظاهرية ، وقد صرّح بها القرآن الكريم في مواضع عديدة ، نذكر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الْمُنافِقِينَ يُخادِعُونَ اللهَ وَهُوَ خادِعُهُمْ</w:t>
      </w:r>
      <w:r>
        <w:rPr>
          <w:rFonts w:eastAsia="Amiri" w:cs="Amiri" w:ascii="Amiri" w:hAnsi="Amiri"/>
          <w:color w:val="111111"/>
          <w:sz w:val="28"/>
          <w:szCs w:val="28"/>
          <w:rtl w:val="true"/>
          <w:lang w:bidi="ar-SA"/>
        </w:rPr>
        <w:t xml:space="preserve">). </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 xml:space="preserve">ويقول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وَمَكَرُوا وَمَكَرَ اللهُ وَاللهُ خَيْرُ الْماكِرِينَ</w:t>
      </w:r>
      <w:r>
        <w:rPr>
          <w:rFonts w:eastAsia="Amiri" w:cs="Amiri" w:ascii="Amiri" w:hAnsi="Amiri"/>
          <w:color w:val="111111"/>
          <w:sz w:val="28"/>
          <w:szCs w:val="28"/>
          <w:rtl w:val="true"/>
          <w:lang w:bidi="ar-SA"/>
        </w:rPr>
        <w:t xml:space="preserve">). </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 xml:space="preserve">وقال عزّ من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وَيَمْكُرُونَ وَيَمْكُرُ اللهُ وَاللهُ خَيْرُ الْماكِرِينَ</w:t>
      </w:r>
      <w:r>
        <w:rPr>
          <w:rFonts w:eastAsia="Amiri" w:cs="Amiri" w:ascii="Amiri" w:hAnsi="Amiri"/>
          <w:color w:val="111111"/>
          <w:sz w:val="28"/>
          <w:szCs w:val="28"/>
          <w:rtl w:val="true"/>
          <w:lang w:bidi="ar-SA"/>
        </w:rPr>
        <w:t xml:space="preserve">). </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 xml:space="preserve">وقال عزّ اسمه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 الْيَوْمَ نَنْساكُمْ كَما نَسِيتُمْ لِقاءَ يَوْمِكُمْ هذا</w:t>
      </w:r>
      <w:r>
        <w:rPr>
          <w:rFonts w:eastAsia="Amiri" w:cs="Amiri" w:ascii="Amiri" w:hAnsi="Amiri"/>
          <w:color w:val="111111"/>
          <w:sz w:val="28"/>
          <w:szCs w:val="28"/>
          <w:rtl w:val="true"/>
          <w:lang w:bidi="ar-SA"/>
        </w:rPr>
        <w:t xml:space="preserve">). </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 xml:space="preserve">وقال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فَالْيَوْمَ نَنْساهُمْ كَما نَسُوا لِقاءَ يَوْمِهِمْ هذا</w:t>
      </w:r>
      <w:r>
        <w:rPr>
          <w:rFonts w:eastAsia="Amiri" w:cs="Amiri" w:ascii="Amiri" w:hAnsi="Amiri"/>
          <w:color w:val="111111"/>
          <w:sz w:val="28"/>
          <w:szCs w:val="28"/>
          <w:rtl w:val="true"/>
          <w:lang w:bidi="ar-SA"/>
        </w:rPr>
        <w:t xml:space="preserve">). </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إذ لا شكّ انّه سبحانه لا يخدع ولا يمكر ولا ينسى ، لأنّها من صفات الإنسان الضعيف ، ولكنّه سبحانه وصف أفعاله بما وصف به أفعال الإنسان من باب المشاكلة ، والجميع كناية عن إبطال خدعتهم ومكرهم وحرمانهم من مغفرة الله سبحانه وبالتالي عن جنّته ونعيمها</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ضوء ذلك فلا غرو في أن نعبّر عن فعله بما نعبّر عن أفعالنا ، إذا كان </w:t>
      </w:r>
      <w:bookmarkStart w:id="878" w:name="pg11047_102923"/>
    </w:p>
    <w:p>
      <w:pPr>
        <w:pStyle w:val="BookText"/>
        <w:rPr/>
      </w:pPr>
      <w:bookmarkEnd w:id="878"/>
      <w:r>
        <w:rPr>
          <w:rFonts w:ascii="Amiri" w:hAnsi="Amiri" w:eastAsia="Amiri" w:cs="Amiri"/>
          <w:color w:val="111111"/>
          <w:sz w:val="28"/>
          <w:sz w:val="28"/>
          <w:szCs w:val="28"/>
          <w:rtl w:val="true"/>
          <w:lang w:bidi="ar-SA"/>
        </w:rPr>
        <w:t xml:space="preserve">التعبير مقروناً بالقرينة الدالّة على المراد ، فإذا ظهر الشيء بعد الخفاء ، فبما انّه بداء بالنسبة إلينا نوصف فعله سبحانه به أيضاً وفقاً للمشاكلة ، وإلاّ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بداء من الله للناس ، ولكنّه يتوسّع كما يتوسّع في غيره من الألفاظ ، ويقال بدا لله تمشّياً مع ما في حسبان الناس وأذهانهم وقياس أمره سبحانه بأمرهم ، ولا غرو في ذلك إذا كانت هناك قرينة على المجاز والمشاكلة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اللام هنا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بدا من الله للناس ، يقول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بدا لفلان عمل صحيح أو بدا له كلام فصيح ، كما يقولون بدا من فلان كذا ، فيجعلون اللام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لله أي بدا من الله سبحانه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فعلى ضوء هذه الجهات يصحّ إطلاق البداء على الله سبحانه ووصفه به ، حتّى لو قلنا بتوقيفية الأسماء والصفات وما ينسب إليه تعالى من الأفعال ، لوروده في الحديث النبوي الآنف الذكر</w:t>
      </w:r>
      <w:r>
        <w:rPr>
          <w:rFonts w:eastAsia="Amiri" w:cs="Amiri" w:ascii="Amiri" w:hAnsi="Amiri"/>
          <w:color w:val="111111"/>
          <w:sz w:val="28"/>
          <w:szCs w:val="28"/>
          <w:rtl w:val="true"/>
          <w:lang w:bidi="ar-SA"/>
        </w:rPr>
        <w:t>.</w:t>
      </w:r>
    </w:p>
    <w:p>
      <w:pPr>
        <w:pStyle w:val="Heading4"/>
        <w:numPr>
          <w:ilvl w:val="3"/>
          <w:numId w:val="1"/>
        </w:numPr>
        <w:rPr/>
      </w:pPr>
      <w:bookmarkStart w:id="879" w:name="__RefHeading___Toc1391555_1067777946"/>
      <w:bookmarkStart w:id="880" w:name="_Toc327"/>
      <w:bookmarkEnd w:id="879"/>
      <w:r>
        <w:rPr>
          <w:rtl w:val="true"/>
        </w:rPr>
        <w:t xml:space="preserve">الثانية </w:t>
      </w:r>
      <w:r>
        <w:rPr>
          <w:rtl w:val="true"/>
        </w:rPr>
        <w:t xml:space="preserve">: </w:t>
      </w:r>
      <w:r>
        <w:rPr>
          <w:rtl w:val="true"/>
        </w:rPr>
        <w:t>استلزام البداء في مقام الإثبات الكذب</w:t>
      </w:r>
      <w:bookmarkEnd w:id="880"/>
    </w:p>
    <w:p>
      <w:pPr>
        <w:pStyle w:val="BookText"/>
        <w:rPr/>
      </w:pPr>
      <w:r>
        <w:rPr>
          <w:rFonts w:ascii="Amiri" w:hAnsi="Amiri" w:eastAsia="Amiri" w:cs="Amiri"/>
          <w:color w:val="111111"/>
          <w:sz w:val="28"/>
          <w:sz w:val="28"/>
          <w:szCs w:val="28"/>
          <w:rtl w:val="true"/>
          <w:lang w:bidi="ar-SA"/>
        </w:rPr>
        <w:t xml:space="preserve">قد عرفت أنّ للبداء مجالين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الثبوت ومقام الإثبات ، والمراد من الثاني كما تقدّم هو إخبار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حادثة وعدم وقوعها لانتفاء شرطها ، فحينئذ تطرح الشبهة التالية بأنّه إذا أخبر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يتحقّق ما أخبر به يلزم حينها كذبه وزوال الاعتماد على قوله</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مصدر خبر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الوحي كما هو الحال في الإخبار عن أمره سبحانه بذبح إسماعيل أو نزول العذاب على قوم يونس ، أو اتّصال النبي بلوح المحو والإثبات ، أو الألواح التي يكتب فيها الحوادث الثابتة والمتغيّرة ، فربّما </w:t>
      </w:r>
    </w:p>
    <w:p>
      <w:pPr>
        <w:pStyle w:val="BookText"/>
        <w:rPr/>
      </w:pPr>
      <w:r>
        <w:rPr>
          <w:rFonts w:ascii="Amiri" w:hAnsi="Amiri" w:eastAsia="Amiri" w:cs="Amiri"/>
          <w:color w:val="111111"/>
          <w:sz w:val="28"/>
          <w:sz w:val="28"/>
          <w:szCs w:val="28"/>
          <w:rtl w:val="true"/>
          <w:lang w:bidi="ar-SA"/>
        </w:rPr>
        <w:t xml:space="preserve">يكتب فيها الموت بالنظر إلى مقتضياته فيتّصل به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فيطلع على موته مع أنّه كان مشروطاً بشرط لم يتحقّق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 هذا النوع من الإخبار لا يستلزم كذب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لدلالة القرائن على صدق النبي ، وهو وجود المقتضي للحادثة وانّها لم تقع لأجل فقدان الشرط ، مثلاً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نسخ ذبح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إبراهيم بالفداء عنه بذبح عظيم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وَفَدَيْناهُ بِذِبْحٍ عَظِيمٍ</w:t>
      </w:r>
      <w:r>
        <w:rPr>
          <w:rFonts w:eastAsia="Amiri" w:cs="Amiri" w:ascii="Amiri" w:hAnsi="Amiri"/>
          <w:color w:val="111111"/>
          <w:sz w:val="28"/>
          <w:szCs w:val="28"/>
          <w:rtl w:val="true"/>
          <w:lang w:bidi="ar-SA"/>
        </w:rPr>
        <w:t xml:space="preserve">) </w:t>
      </w:r>
      <w:r>
        <w:rPr>
          <w:rStyle w:val="FootnoteAnchor"/>
          <w:rtl w:val="true"/>
        </w:rPr>
        <w:footnoteReference w:id="562"/>
      </w:r>
      <w:r>
        <w:rPr>
          <w:rFonts w:ascii="Amiri" w:hAnsi="Amiri" w:eastAsia="Amiri" w:cs="Amiri"/>
          <w:color w:val="111111"/>
          <w:sz w:val="28"/>
          <w:sz w:val="28"/>
          <w:szCs w:val="28"/>
          <w:rtl w:val="true"/>
          <w:lang w:bidi="ar-SA"/>
        </w:rPr>
        <w:t>، ففي هذه الفدية دليل على صدق ما أخبر به النبي من الرؤيا ، وقد كانت هناك مصلحة للأمر بالذبح ، غير أنّه نسخ لمصلحة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ونظير هذا قصة يونس حيث أخبر عن العذاب وقد تقدّم أنّ القوم رأوا طلائعه ، فقال لهم عالمهم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افزعوا إلى الله فلعلّ الله يرحمكم ، ويرد العذاب عنكم ، فاخرجوا إلى المفازة ، وفرّقوا بين النساء والأولاد وبين سائر الحيوان وأولادها ثمّ ابكوا وادعوا ، ففعلوا فصرف عنهم العذاب</w:t>
      </w:r>
      <w:r>
        <w:rPr>
          <w:rFonts w:eastAsia="Amiri" w:cs="Amiri" w:ascii="Amiri" w:hAnsi="Amiri"/>
          <w:color w:val="111111"/>
          <w:sz w:val="28"/>
          <w:szCs w:val="28"/>
          <w:rtl w:val="true"/>
          <w:lang w:bidi="ar-SA"/>
        </w:rPr>
        <w:t xml:space="preserve">. </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 xml:space="preserve">وقد مضى في قصة المسيح انّه أخبر بهلاك العروس ولم يقع ، لكنّه برهن على صحّة إخباره بقوله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تنحّي عن مجلسك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تحت ثيابها أفعى مثل جذعة عاض على ذنبه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بما صنعت صرف عنك هذا</w:t>
      </w:r>
      <w:r>
        <w:rPr>
          <w:rFonts w:eastAsia="Amiri" w:cs="Amiri" w:ascii="Amiri" w:hAnsi="Amiri"/>
          <w:color w:val="111111"/>
          <w:sz w:val="28"/>
          <w:szCs w:val="28"/>
          <w:rtl w:val="true"/>
          <w:lang w:bidi="ar-SA"/>
        </w:rPr>
        <w:t xml:space="preserve">». </w:t>
      </w:r>
      <w:r>
        <w:rPr>
          <w:rStyle w:val="FootnoteAnchor"/>
          <w:rtl w:val="true"/>
        </w:rPr>
        <w:footnoteReference w:id="564"/>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في إخبار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بهلاك اليهودي كان مقروناً بمشاهدة الأسود في جوف الحطب عاض على عود</w:t>
      </w:r>
      <w:r>
        <w:rPr>
          <w:rFonts w:eastAsia="Amiri" w:cs="Amiri" w:ascii="Amiri" w:hAnsi="Amiri"/>
          <w:color w:val="111111"/>
          <w:sz w:val="28"/>
          <w:szCs w:val="28"/>
          <w:rtl w:val="true"/>
          <w:lang w:bidi="ar-SA"/>
        </w:rPr>
        <w:t xml:space="preserve">. </w:t>
      </w:r>
      <w:bookmarkStart w:id="881" w:name="pg11047_102925"/>
    </w:p>
    <w:p>
      <w:pPr>
        <w:pStyle w:val="BookText"/>
        <w:rPr/>
      </w:pPr>
      <w:bookmarkEnd w:id="881"/>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تنبّؤات الأنبياء والأولياء بوقوع حوادث مستقبلية تتحقّق غالباً ، وعند ما تتخلّف يكون الإخبار مقروناً بأمارات دالّة على صدقه كما تقدّم</w:t>
      </w:r>
      <w:r>
        <w:rPr>
          <w:rFonts w:eastAsia="Amiri" w:cs="Amiri" w:ascii="Amiri" w:hAnsi="Amiri"/>
          <w:color w:val="111111"/>
          <w:sz w:val="28"/>
          <w:szCs w:val="28"/>
          <w:rtl w:val="true"/>
          <w:lang w:bidi="ar-SA"/>
        </w:rPr>
        <w:t>.</w:t>
      </w:r>
    </w:p>
    <w:p>
      <w:pPr>
        <w:pStyle w:val="Heading4"/>
        <w:numPr>
          <w:ilvl w:val="3"/>
          <w:numId w:val="1"/>
        </w:numPr>
        <w:rPr/>
      </w:pPr>
      <w:bookmarkStart w:id="882" w:name="__RefHeading___Toc1391557_1067777946"/>
      <w:bookmarkStart w:id="883" w:name="_Toc328"/>
      <w:bookmarkEnd w:id="882"/>
      <w:r>
        <w:rPr>
          <w:rtl w:val="true"/>
        </w:rPr>
        <w:t xml:space="preserve">الثالثة </w:t>
      </w:r>
      <w:r>
        <w:rPr>
          <w:rtl w:val="true"/>
        </w:rPr>
        <w:t xml:space="preserve">: </w:t>
      </w:r>
      <w:r>
        <w:rPr>
          <w:rtl w:val="true"/>
        </w:rPr>
        <w:t>استلزام البداء للتشكيك في مطلق ما أخبر</w:t>
      </w:r>
      <w:bookmarkEnd w:id="883"/>
    </w:p>
    <w:p>
      <w:pPr>
        <w:pStyle w:val="Heading5"/>
        <w:numPr>
          <w:ilvl w:val="4"/>
          <w:numId w:val="1"/>
        </w:numPr>
        <w:rPr/>
      </w:pPr>
      <w:bookmarkStart w:id="884" w:name="__RefHeading___Toc1391559_1067777946"/>
      <w:bookmarkStart w:id="885" w:name="_Toc329"/>
      <w:bookmarkEnd w:id="884"/>
      <w:r>
        <w:rPr>
          <w:rtl w:val="true"/>
        </w:rPr>
        <w:t>اشارة</w:t>
      </w:r>
      <w:bookmarkEnd w:id="885"/>
    </w:p>
    <w:p>
      <w:pPr>
        <w:pStyle w:val="BookText"/>
        <w:rPr/>
      </w:pPr>
      <w:r>
        <w:rPr>
          <w:rFonts w:ascii="Amiri" w:hAnsi="Amiri" w:eastAsia="Amiri" w:cs="Amiri"/>
          <w:color w:val="111111"/>
          <w:sz w:val="28"/>
          <w:sz w:val="28"/>
          <w:szCs w:val="28"/>
          <w:rtl w:val="true"/>
          <w:lang w:bidi="ar-SA"/>
        </w:rPr>
        <w:t xml:space="preserve">إذا كان إخبار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خاضعاً للبداء فلا يبقى أيُّ اعتماد بتنبّؤات الأنبياء والأولياء ، فإذا أخبر المسيح بمجيء نبي بعده اسمه أحمد ، أو أخبر النبي عن كونه خاتم الأنبياء ، أو عن ظهور المهدي في آخر الزمان ، وكان الجميع خاضعاً للبداء والتغيير فلا يبقى وثوق بما أخبر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البداء إنّما يتعلّق بموارد جزئية وحوادث خاصّة ، كما عرفت من ذبح إسماعيل ونزول البلاء على قوم يونس وموت العروس واليهودي بالأسود ، فهذا القسم من التنبؤات تقتضي المصلحة وقوع البداء فيها ، وهي أُمور نادرة بالنسبة إلى ما جاء به الأنبياء من السنن والقضايا والسياسات ، فلا يورث البداء في مورد أو موارد لا تتعدى عن عدد الأصابع ، شكاً وترديداً فيما أخبر به الأنبياء أو جاءوا به من الأحكام ، وإن شئت التفصيل فنذكر بعض ما لا يتطرّق إليه البداء فنقول </w:t>
      </w:r>
      <w:r>
        <w:rPr>
          <w:rFonts w:eastAsia="Amiri" w:cs="Amiri" w:ascii="Amiri" w:hAnsi="Amiri"/>
          <w:color w:val="111111"/>
          <w:sz w:val="28"/>
          <w:szCs w:val="28"/>
          <w:rtl w:val="true"/>
          <w:lang w:bidi="ar-SA"/>
        </w:rPr>
        <w:t>:</w:t>
      </w:r>
    </w:p>
    <w:p>
      <w:pPr>
        <w:pStyle w:val="Heading5"/>
        <w:numPr>
          <w:ilvl w:val="4"/>
          <w:numId w:val="1"/>
        </w:numPr>
        <w:rPr/>
      </w:pPr>
      <w:bookmarkStart w:id="886" w:name="__RefHeading___Toc1391561_1067777946"/>
      <w:bookmarkStart w:id="887" w:name="_Toc330"/>
      <w:bookmarkEnd w:id="886"/>
      <w:r>
        <w:rPr/>
        <w:t>1</w:t>
      </w:r>
      <w:r>
        <w:rPr>
          <w:rtl w:val="true"/>
        </w:rPr>
        <w:t xml:space="preserve">. </w:t>
      </w:r>
      <w:r>
        <w:rPr>
          <w:rtl w:val="true"/>
        </w:rPr>
        <w:t>السنن الكونية لا تخضع للبداء</w:t>
      </w:r>
      <w:bookmarkEnd w:id="887"/>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لله سبحانه تبارك وتعالى سنناً كونية غير محددة بزمان ومكان ، وهي ثابتة لا تخضع للبداء ، لأنّها سنة ، والسنّة بطبعها تقتضي الشمول والعموم وتأبى التخصيص والتبعيض ، قال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تَجِدَ لِسُنَّةِ اللهِ تَبْدِيلاً</w:t>
      </w:r>
      <w:r>
        <w:rPr>
          <w:rFonts w:eastAsia="Amiri" w:cs="Amiri" w:ascii="Amiri" w:hAnsi="Amiri"/>
          <w:color w:val="111111"/>
          <w:sz w:val="28"/>
          <w:szCs w:val="28"/>
          <w:rtl w:val="true"/>
          <w:lang w:bidi="ar-SA"/>
        </w:rPr>
        <w:t xml:space="preserve">) </w:t>
      </w:r>
      <w:r>
        <w:rPr>
          <w:rStyle w:val="FootnoteAnchor"/>
          <w:rtl w:val="true"/>
        </w:rPr>
        <w:footnoteReference w:id="565"/>
      </w:r>
      <w:bookmarkStart w:id="888" w:name="pg11047_102926"/>
    </w:p>
    <w:p>
      <w:pPr>
        <w:pStyle w:val="BookText"/>
        <w:rPr/>
      </w:pPr>
      <w:bookmarkEnd w:id="888"/>
      <w:r>
        <w:rPr>
          <w:rFonts w:ascii="Amiri" w:hAnsi="Amiri" w:eastAsia="Amiri" w:cs="Amiri"/>
          <w:color w:val="111111"/>
          <w:sz w:val="28"/>
          <w:sz w:val="28"/>
          <w:szCs w:val="28"/>
          <w:rtl w:val="true"/>
          <w:lang w:bidi="ar-SA"/>
        </w:rPr>
        <w:t>وإليك نزراً من هذه السنن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سبحانه حاكياً عن شيخ الأنبياء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اسْتَغْفِرُوا رَبَّكُمْ إِنَّهُ كانَ غَفَّاراً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يُرْسِلِ السَّماءَ عَلَيْكُمْ مِدْراراً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وَيُمْدِدْكُمْ بِأَمْوالٍ وَبَنِينَ وَيَجْعَلْ لَكُمْ جَنَّاتٍ وَيَجْعَلْ لَكُمْ أَنْهاراً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فهل يتصوّر طروء البداء إلى هذه السنن الكونية التي لا تقصر عن السنن الطبيعية؟ كلا ولا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تَأَذَّنَ رَبُّكُمْ لَئِنْ شَكَرْتُمْ لَأَزِيدَنَّكُمْ وَلَئِنْ كَفَرْتُمْ إِنَّ عَذابِي لَشَدِيدٌ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فالآية تتكفّل ببيان سنّتين إلهيّتين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ايجابية وسلبية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يتطرق إليهما البداء ولا النسخ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يَتَّقِ اللهَ يَجْعَلْ لَهُ مَخْرَجاً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وَيَرْزُقْهُ مِنْ حَيْثُ لا يَحْتَسِبُ</w:t>
      </w:r>
      <w:r>
        <w:rPr>
          <w:rFonts w:eastAsia="Amiri" w:cs="Amiri" w:ascii="Amiri" w:hAnsi="Amiri"/>
          <w:color w:val="111111"/>
          <w:sz w:val="28"/>
          <w:szCs w:val="28"/>
          <w:rtl w:val="true"/>
          <w:lang w:bidi="ar-SA"/>
        </w:rPr>
        <w:t xml:space="preserve">). </w:t>
      </w:r>
      <w:r>
        <w:rPr>
          <w:rStyle w:val="FootnoteAnchor"/>
          <w:rtl w:val="true"/>
        </w:rPr>
        <w:footnoteReference w:id="56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كَتَبْنا فِي الزَّبُورِ مِنْ بَعْدِ الذِّكْرِ أَنَّ الْأَرْضَ يَرِثُها عِبادِيَ الصَّالِحُونَ</w:t>
      </w:r>
      <w:r>
        <w:rPr>
          <w:rFonts w:eastAsia="Amiri" w:cs="Amiri" w:ascii="Amiri" w:hAnsi="Amiri"/>
          <w:color w:val="111111"/>
          <w:sz w:val="28"/>
          <w:szCs w:val="28"/>
          <w:rtl w:val="true"/>
          <w:lang w:bidi="ar-SA"/>
        </w:rPr>
        <w:t xml:space="preserve">). </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فهذه السنن قد أخذ الله على ذمته أن تكون ثابتة في عامّة الأجيال والأزمان لا تخضع للتغيّر لمنافاته للسنّة الإلهية</w:t>
      </w:r>
      <w:r>
        <w:rPr>
          <w:rFonts w:eastAsia="Amiri" w:cs="Amiri" w:ascii="Amiri" w:hAnsi="Amiri"/>
          <w:color w:val="111111"/>
          <w:sz w:val="28"/>
          <w:szCs w:val="28"/>
          <w:rtl w:val="true"/>
          <w:lang w:bidi="ar-SA"/>
        </w:rPr>
        <w:t>.</w:t>
      </w:r>
    </w:p>
    <w:p>
      <w:pPr>
        <w:pStyle w:val="Heading5"/>
        <w:numPr>
          <w:ilvl w:val="4"/>
          <w:numId w:val="1"/>
        </w:numPr>
        <w:rPr/>
      </w:pPr>
      <w:bookmarkStart w:id="889" w:name="__RefHeading___Toc1391563_1067777946"/>
      <w:bookmarkStart w:id="890" w:name="_Toc331"/>
      <w:bookmarkEnd w:id="889"/>
      <w:r>
        <w:rPr/>
        <w:t>2</w:t>
      </w:r>
      <w:r>
        <w:rPr>
          <w:rtl w:val="true"/>
        </w:rPr>
        <w:t xml:space="preserve">. </w:t>
      </w:r>
      <w:r>
        <w:rPr>
          <w:rtl w:val="true"/>
        </w:rPr>
        <w:t>التنبّؤ بالنبوّة والإمامة لا يخضع للبداء</w:t>
      </w:r>
      <w:bookmarkEnd w:id="890"/>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تقتضي المصلحة تنبّؤ النبي بنبيّ لاحق بعده كما تنبّأ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بظهور </w:t>
      </w:r>
      <w:bookmarkStart w:id="891" w:name="pg11047_102927"/>
    </w:p>
    <w:p>
      <w:pPr>
        <w:pStyle w:val="BookText"/>
        <w:rPr/>
      </w:pPr>
      <w:bookmarkEnd w:id="891"/>
      <w:r>
        <w:rPr>
          <w:rFonts w:ascii="Amiri" w:hAnsi="Amiri" w:eastAsia="Amiri" w:cs="Amiri"/>
          <w:color w:val="111111"/>
          <w:sz w:val="28"/>
          <w:sz w:val="28"/>
          <w:szCs w:val="28"/>
          <w:rtl w:val="true"/>
          <w:lang w:bidi="ar-SA"/>
        </w:rPr>
        <w:t xml:space="preserve">نبيّ بعده اسمه أحمد ، يقول سبحانه حاكياً عن المسيح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 عِيسَى ابْنُ مَرْيَمَ يا بَنِي إِسْرائِيلَ إِنِّي رَسُولُ اللهِ إِلَيْكُمْ مُصَدِّقاً لِما بَيْنَ يَدَيَّ مِنَ التَّوْراةِ وَمُبَشِّراً بِرَسُولٍ يَأْتِي مِنْ بَعْدِي اسْمُهُ أَحْمَدُ فَلَمَّا جاءَهُمْ بِالْبَيِّناتِ قالُوا هذا سِحْرٌ مُبِينٌ</w:t>
      </w:r>
      <w:r>
        <w:rPr>
          <w:rFonts w:eastAsia="Amiri" w:cs="Amiri" w:ascii="Amiri" w:hAnsi="Amiri"/>
          <w:color w:val="111111"/>
          <w:sz w:val="28"/>
          <w:szCs w:val="28"/>
          <w:rtl w:val="true"/>
          <w:lang w:bidi="ar-SA"/>
        </w:rPr>
        <w:t xml:space="preserve">). </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فهذا النوع من التنبّؤ لا يخضع للبداء ، لأنّه على طرف النقيض من مصالح النبوّة ، إذ معنى ذلك إيجاد الفوضى عند ظهور النبيّ اللاحق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وقس على هذين المورد ، ما ورد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المهدي وظهوره وبسطه العدل والقسط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يعلم أنّ ما يخضع للبداء في مقام الإثبات أُمور نادرة تتعلّق بأُمور خارجة عن النظام التشريعي والعقائدي ونسبتها إلى غيرها كنسبة الواحد إلى الأُلوف ، فلا يُورِث البداء في مثل تلك الأُمور أيّ شك وترديد في تنبّؤات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أضف إلى ذلك انّه يشترط في صحّة البداء وقوعه في حياة المخبر ، كما هو الحال في قصة الخليل ويونس والمسيح والنبي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وعلى ذلك فما أخبر به النبي والوصي يحدد احتمال ظهور الخلاف بحياتهم ، فإذا انقضت آجالهم فلا يبقى أيّ موضوع للبداء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فنخرج بالحصيلة التالية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ما ورد في القرآن والسنّة والآثار بعد رحيل النبيّ من الأخبار أُمور محتومة لا يتطرّق إليها البداء</w:t>
      </w:r>
      <w:r>
        <w:rPr>
          <w:rFonts w:eastAsia="Amiri" w:cs="Amiri" w:ascii="Amiri" w:hAnsi="Amiri"/>
          <w:color w:val="111111"/>
          <w:sz w:val="28"/>
          <w:szCs w:val="28"/>
          <w:rtl w:val="true"/>
          <w:lang w:bidi="ar-SA"/>
        </w:rPr>
        <w:t>.</w:t>
      </w:r>
    </w:p>
    <w:p>
      <w:pPr>
        <w:pStyle w:val="Heading4"/>
        <w:numPr>
          <w:ilvl w:val="3"/>
          <w:numId w:val="1"/>
        </w:numPr>
        <w:rPr/>
      </w:pPr>
      <w:bookmarkStart w:id="892" w:name="__RefHeading___Toc1391565_1067777946"/>
      <w:bookmarkStart w:id="893" w:name="_Toc332"/>
      <w:bookmarkEnd w:id="892"/>
      <w:r>
        <w:rPr>
          <w:rtl w:val="true"/>
        </w:rPr>
        <w:t xml:space="preserve">الرابعة </w:t>
      </w:r>
      <w:r>
        <w:rPr>
          <w:rtl w:val="true"/>
        </w:rPr>
        <w:t xml:space="preserve">: </w:t>
      </w:r>
      <w:r>
        <w:rPr>
          <w:rtl w:val="true"/>
        </w:rPr>
        <w:t>البداء ومسألة جفّ القلم</w:t>
      </w:r>
      <w:bookmarkEnd w:id="893"/>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البداء بمعنى تغيير المصير بالأعمال الصالحة والطالحة فهو لا يجتمع مع ما روي عن النبي من أنّه قال لأبي هريرة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جفّ القلم بما </w:t>
      </w:r>
    </w:p>
    <w:p>
      <w:pPr>
        <w:pStyle w:val="BookText"/>
        <w:rPr/>
      </w:pPr>
      <w:r>
        <w:rPr>
          <w:rFonts w:ascii="IRNazanin" w:hAnsi="IRNazanin" w:eastAsia="IRNazanin"/>
          <w:color w:val="111111"/>
          <w:sz w:val="28"/>
          <w:sz w:val="28"/>
          <w:szCs w:val="28"/>
          <w:rtl w:val="true"/>
          <w:lang w:bidi="fa-IR"/>
        </w:rPr>
        <w:t>أنت لاق</w:t>
      </w:r>
      <w:r>
        <w:rPr>
          <w:rFonts w:eastAsia="IRNazanin" w:cs="IRNazanin"/>
          <w:color w:val="111111"/>
          <w:sz w:val="28"/>
          <w:szCs w:val="28"/>
          <w:rtl w:val="true"/>
          <w:lang w:bidi="fa-IR"/>
        </w:rPr>
        <w:t xml:space="preserve">» </w:t>
      </w:r>
      <w:r>
        <w:rPr>
          <w:rStyle w:val="FootnoteAnchor"/>
          <w:rtl w:val="true"/>
        </w:rPr>
        <w:footnoteReference w:id="569"/>
      </w:r>
      <w:r>
        <w:rPr>
          <w:rFonts w:ascii="Amiri" w:hAnsi="Amiri" w:eastAsia="Amiri" w:cs="Amiri"/>
          <w:color w:val="111111"/>
          <w:sz w:val="28"/>
          <w:sz w:val="28"/>
          <w:szCs w:val="28"/>
          <w:rtl w:val="true"/>
          <w:lang w:bidi="ar-SA"/>
        </w:rPr>
        <w:t>، فانّ الحديث يعرب عن تماميّة الأُمور والفراغ عن الأمر دون أي تجديد في المصير بالعمل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الميزان في صحّة العقيدة هو تطابقها مع كتاب الله العزيز والسنّة النبويّة المتضافرة أو المتواترة فيجب أن نعتمد عليهما لا على أخبار الآحاد وإنْ رواها الإمام البخاري في صحيحه ، وقد عرفت دلالة الكتاب العزيز على انّه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يَوْمٍ هُوَ فِي شَأْنٍ</w:t>
      </w:r>
      <w:r>
        <w:rPr>
          <w:rFonts w:eastAsia="Amiri" w:cs="Amiri" w:ascii="Amiri" w:hAnsi="Amiri"/>
          <w:color w:val="111111"/>
          <w:sz w:val="28"/>
          <w:szCs w:val="28"/>
          <w:rtl w:val="true"/>
          <w:lang w:bidi="ar-SA"/>
        </w:rPr>
        <w:t xml:space="preserve">). </w:t>
      </w:r>
      <w:r>
        <w:rPr>
          <w:rStyle w:val="FootnoteAnchor"/>
          <w:rtl w:val="true"/>
        </w:rPr>
        <w:footnoteReference w:id="570"/>
      </w: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وَيُثْبِتُ وَعِنْدَهُ أُمُّ الْكِتابِ</w:t>
      </w:r>
      <w:r>
        <w:rPr>
          <w:rFonts w:eastAsia="Amiri" w:cs="Amiri" w:ascii="Amiri" w:hAnsi="Amiri"/>
          <w:color w:val="111111"/>
          <w:sz w:val="28"/>
          <w:szCs w:val="28"/>
          <w:rtl w:val="true"/>
          <w:lang w:bidi="ar-SA"/>
        </w:rPr>
        <w:t xml:space="preserve">). </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إلى غير ذلك من الآيات الصحيحة في تمكّن الإنسان من تغيير ما 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رواه أبو هريرة فلو أخذنا بحديثه فيُحمل على ما قدر في أُمّ الكتاب وفي علمه الذاتي سبحانه لا ما قُدِّر في لوح المحو والإثبات وفي مقام علمه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ما ذكرنا ما رواه البخاري في باب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بالخواتيم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ورد في أحاديث الباب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وإنّما الأعمال بالخواتيم</w:t>
      </w:r>
      <w:r>
        <w:rPr>
          <w:rFonts w:eastAsia="Amiri" w:cs="Amiri" w:ascii="Amiri" w:hAnsi="Amiri"/>
          <w:color w:val="111111"/>
          <w:sz w:val="28"/>
          <w:szCs w:val="28"/>
          <w:rtl w:val="true"/>
          <w:lang w:bidi="ar-SA"/>
        </w:rPr>
        <w:t xml:space="preserve">. </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فإذا كانت العبرة بخواتيم الأعمال ، فمعنى ذلك انّ المصير يتغيّر ، ولو كان ما قدر ثابتاً كانت العبرة بالأوائل لا بالخواتيم</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القول بجفاف القلم وانّ الله سبحانه فرغ من الأمر عقيدة مستوردة ، انتحلتها اليهود كما أشار إليها سبحانه في القرآن الكريم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الْيَهُودُ يَدُ اللهِ مَغْلُولَةٌ غُلَّتْ أَيْدِيهِمْ وَلُعِنُوا بِما قالُوا بَلْ يَداهُ مَبْسُوطَتانِ يُنْفِقُ كَيْفَ يَشاءُ</w:t>
      </w:r>
      <w:r>
        <w:rPr>
          <w:rFonts w:eastAsia="Amiri" w:cs="Amiri" w:ascii="Amiri" w:hAnsi="Amiri"/>
          <w:color w:val="111111"/>
          <w:sz w:val="28"/>
          <w:szCs w:val="28"/>
          <w:rtl w:val="true"/>
          <w:lang w:bidi="ar-SA"/>
        </w:rPr>
        <w:t xml:space="preserve">) </w:t>
      </w:r>
      <w:r>
        <w:rPr>
          <w:rStyle w:val="FootnoteAnchor"/>
          <w:rtl w:val="true"/>
        </w:rPr>
        <w:footnoteReference w:id="573"/>
      </w:r>
      <w:r>
        <w:rPr>
          <w:rFonts w:ascii="Amiri" w:hAnsi="Amiri" w:eastAsia="Amiri" w:cs="Amiri"/>
          <w:color w:val="111111"/>
          <w:sz w:val="28"/>
          <w:sz w:val="28"/>
          <w:szCs w:val="28"/>
          <w:rtl w:val="true"/>
          <w:lang w:bidi="ar-SA"/>
        </w:rPr>
        <w:t xml:space="preserve">، والآية وإن وردت في مورد الإنفاق ، ولكن العبرة بعموم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 اللهِ </w:t>
      </w:r>
    </w:p>
    <w:p>
      <w:pPr>
        <w:pStyle w:val="BookText"/>
        <w:rPr/>
      </w:pPr>
      <w:r>
        <w:rPr>
          <w:rFonts w:ascii="Amiri" w:hAnsi="Amiri" w:eastAsia="Amiri" w:cs="Amiri"/>
          <w:color w:val="111111"/>
          <w:sz w:val="28"/>
          <w:sz w:val="28"/>
          <w:szCs w:val="28"/>
          <w:rtl w:val="true"/>
          <w:lang w:bidi="ar-SA"/>
        </w:rPr>
        <w:t>مَغْلُولَةٌ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خصوص المورد ، كما هو الحال في عامّة الآيات الواردة في سبب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العلاّمة محمد هادي 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ذكر الإنفاق كيف يشاء في ذيل الآية جاء بياناً لأحد مصاديق بسط يده تعالى وشمول قدرته ، وليس ناظراً إلى الانحصار فيه ، ولعلّ ذكر ذلك كان بسبب ما واجه المسلمين في إبّان أمرهم من الضيق وعدم التوفّر في تهيئة التجهيز الكافي والحصول على الإمكانات اللازمة ، فأخذت اليهود في الطعن عليهم بأنّ ذلك هو المقدّر لهم ، وليس بوسعه تعالى أن يفسح لهم المجال أو يوسع عليهم في المعاش</w:t>
      </w:r>
      <w:r>
        <w:rPr>
          <w:rFonts w:eastAsia="Amiri" w:cs="Amiri" w:ascii="Amiri" w:hAnsi="Amiri"/>
          <w:color w:val="111111"/>
          <w:sz w:val="28"/>
          <w:szCs w:val="28"/>
          <w:rtl w:val="true"/>
          <w:lang w:bidi="ar-SA"/>
        </w:rPr>
        <w:t xml:space="preserve">. </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 xml:space="preserve">وفي رواية 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تصريح بأنّ الفراغ من الأمر عقيدة اليهود ، قال الإمام علي بن موسى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لسليمان بن حفص المروزي ، متكلّم خراسان وقد استعظم مسألة البداء في التكوين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أحسبك ضاهيت اليهود في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من ذلك ، وما قالت اليهود؟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قالت اليهود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 اللهِ مَغْلُولَةٌ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يعنون انّ الله قد فرغ من الأمر فليس يحدث شيئاً</w:t>
      </w:r>
      <w:r>
        <w:rPr>
          <w:rFonts w:eastAsia="Amiri" w:cs="Amiri" w:ascii="Amiri" w:hAnsi="Amiri"/>
          <w:color w:val="111111"/>
          <w:sz w:val="28"/>
          <w:szCs w:val="28"/>
          <w:rtl w:val="true"/>
          <w:lang w:bidi="ar-SA"/>
        </w:rPr>
        <w:t xml:space="preserve">». </w:t>
      </w:r>
      <w:r>
        <w:rPr>
          <w:rStyle w:val="FootnoteAnchor"/>
          <w:rtl w:val="true"/>
        </w:rPr>
        <w:footnoteReference w:id="575"/>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الصدوق باسناده إلى إسحاق بن عمّار ، عمّن سمعه ، 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في الآية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يعنوا انّه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مكتوف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فرغ من الأمر فلا يزيد ولا ينقص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جلّ جلاله تكذيباً لقولهم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غُلَّتْ أَيْدِيهِمْ وَلُعِنُوا بِما قالُوا بَلْ يَداهُ مَبْسُوطَتانِ يُنْفِقُ كَيْفَ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تسمع الله عزّ 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وَيُثْبِتُ وَعِنْدَهُ أُمُّ الْكِتابِ</w:t>
      </w:r>
      <w:r>
        <w:rPr>
          <w:rFonts w:eastAsia="Amiri" w:cs="Amiri" w:ascii="Amiri" w:hAnsi="Amiri"/>
          <w:color w:val="111111"/>
          <w:sz w:val="28"/>
          <w:szCs w:val="28"/>
          <w:rtl w:val="true"/>
          <w:lang w:bidi="ar-SA"/>
        </w:rPr>
        <w:t xml:space="preserve">). </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 xml:space="preserve">وممّن صرّح بما ذكرنا الراغب الاصفهاني في مفرداته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لمّا سمعوا انّ الله قد قضى كلّ شيء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يد الله مغلولة ، أي في حكم المقيد لكونها فارغة</w:t>
      </w:r>
      <w:r>
        <w:rPr>
          <w:rFonts w:eastAsia="Amiri" w:cs="Amiri" w:ascii="Amiri" w:hAnsi="Amiri"/>
          <w:color w:val="111111"/>
          <w:sz w:val="28"/>
          <w:szCs w:val="28"/>
          <w:rtl w:val="true"/>
          <w:lang w:bidi="ar-SA"/>
        </w:rPr>
        <w:t xml:space="preserve">. </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إنّ يهود عصر الرسالة استنكروا تحويل القبلة من القدس إلى الكعبة ، وما هذا إلاّ لاعتقادهم بالفراغ عن التكوين والتشريع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فسّره الجبائي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الْمَشْرِقُ وَالْمَغْرِبُ فَأَيْنَما تُوَلُّوا فَثَمَّ وَجْهُ اللهِ إِنَّ اللهَ واسِعٌ عَلِيمٌ</w:t>
      </w:r>
      <w:r>
        <w:rPr>
          <w:rFonts w:eastAsia="Amiri" w:cs="Amiri" w:ascii="Amiri" w:hAnsi="Amiri"/>
          <w:color w:val="111111"/>
          <w:sz w:val="28"/>
          <w:szCs w:val="28"/>
          <w:rtl w:val="true"/>
          <w:lang w:bidi="ar-SA"/>
        </w:rPr>
        <w:t xml:space="preserve">). </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 xml:space="preserve">وبهذا الشأن نزل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نَنْسَخْ مِنْ آيَةٍ أَوْ نُنْسِها نَأْتِ بِخَيْرٍ مِنْها أَوْ مِثْلِها أَلَمْ تَعْلَمْ أَنَّ اللهَ عَلى كُلِّ شَيْءٍ قَدِيرٌ</w:t>
      </w:r>
      <w:r>
        <w:rPr>
          <w:rFonts w:eastAsia="Amiri" w:cs="Amiri" w:ascii="Amiri" w:hAnsi="Amiri"/>
          <w:color w:val="111111"/>
          <w:sz w:val="28"/>
          <w:szCs w:val="28"/>
          <w:rtl w:val="true"/>
          <w:lang w:bidi="ar-SA"/>
        </w:rPr>
        <w:t xml:space="preserve">). </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 xml:space="preserve">وممّا يشهد على أنّ القول بالفراغ عن الأمر وجفاف القلم من العقائد المستوردة هو ما عليه اليهود في عامّة القرون من أنّه سبحانه بعد ما فرغ من خلق السماوات والأرض خلال الستة أيام ، استراح في اليوم السابع وهو يوم السبت جاء في سفر التكوين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فأكملت السماوات والأرض وكلّ جندها ، وفرغ الله في اليوم السابع من عمله الذي عمله فاستراح في اليوم السابع من جميع عمله الذي عمل</w:t>
      </w:r>
      <w:r>
        <w:rPr>
          <w:rFonts w:eastAsia="Amiri" w:cs="Amiri" w:ascii="Amiri" w:hAnsi="Amiri"/>
          <w:color w:val="111111"/>
          <w:sz w:val="28"/>
          <w:szCs w:val="28"/>
          <w:rtl w:val="true"/>
          <w:lang w:bidi="ar-SA"/>
        </w:rPr>
        <w:t xml:space="preserve">. </w:t>
      </w:r>
      <w:r>
        <w:rPr>
          <w:rStyle w:val="FootnoteAnchor"/>
          <w:rtl w:val="true"/>
        </w:rPr>
        <w:footnoteReference w:id="580"/>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سبحانه ردّاً على تلك العقيدة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خَلَقْنَا السَّماواتِ وَالْأَرْضَ وَما بَيْنَهُما فِي سِتَّةِ أَيَّامٍ وَما مَسَّنا مِنْ لُغُوبٍ</w:t>
      </w:r>
      <w:r>
        <w:rPr>
          <w:rFonts w:eastAsia="Amiri" w:cs="Amiri" w:ascii="Amiri" w:hAnsi="Amiri"/>
          <w:color w:val="111111"/>
          <w:sz w:val="28"/>
          <w:szCs w:val="28"/>
          <w:rtl w:val="true"/>
          <w:lang w:bidi="ar-SA"/>
        </w:rPr>
        <w:t xml:space="preserve">). </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واللغب في اللغة بمعنى التعب والإعياء وما يقرب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أخي العزيز</w:t>
      </w:r>
    </w:p>
    <w:p>
      <w:pPr>
        <w:pStyle w:val="BookText"/>
        <w:rPr/>
      </w:pPr>
      <w:r>
        <w:rPr>
          <w:rFonts w:ascii="Amiri" w:hAnsi="Amiri" w:eastAsia="Amiri" w:cs="Amiri"/>
          <w:color w:val="111111"/>
          <w:sz w:val="28"/>
          <w:sz w:val="28"/>
          <w:szCs w:val="28"/>
          <w:rtl w:val="true"/>
          <w:lang w:bidi="ar-SA"/>
        </w:rPr>
        <w:t>هذا هو البداء ، وهذا هو معناه في الكتاب والسنّة ، وتلك هي آثاره البنّاءة في شخصية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من صميم الدين ، ولا يلازمه نسبة الجهل إلى الله تعالى</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قدحت في ذهنك شبهة ، فأعد القراءة بوعي وإمعان حتّى تزول الشبهة ، وتقف على الجواب في ثنايا ما ذكرناه ، بفضل من الله</w:t>
      </w:r>
      <w:r>
        <w:rPr>
          <w:rFonts w:eastAsia="Amiri" w:cs="Amiri" w:ascii="Amiri" w:hAnsi="Amiri"/>
          <w:color w:val="111111"/>
          <w:sz w:val="28"/>
          <w:szCs w:val="28"/>
          <w:rtl w:val="true"/>
          <w:lang w:bidi="ar-SA"/>
        </w:rPr>
        <w:t xml:space="preserve">.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94" w:name="pg11047_102933"/>
      <w:bookmarkStart w:id="895" w:name="pg11047_102933"/>
      <w:bookmarkEnd w:id="895"/>
    </w:p>
    <w:p>
      <w:pPr>
        <w:pStyle w:val="Heading2"/>
        <w:numPr>
          <w:ilvl w:val="1"/>
          <w:numId w:val="1"/>
        </w:numPr>
        <w:rPr/>
      </w:pPr>
      <w:bookmarkStart w:id="896" w:name="pg11047_102933"/>
      <w:bookmarkStart w:id="897" w:name="__RefHeading___Toc1391567_1067777946"/>
      <w:bookmarkStart w:id="898" w:name="_Toc333"/>
      <w:bookmarkEnd w:id="896"/>
      <w:bookmarkEnd w:id="897"/>
      <w:r>
        <w:rPr>
          <w:rtl w:val="true"/>
        </w:rPr>
        <w:t>الفصل التاسع</w:t>
      </w:r>
      <w:r>
        <w:rPr>
          <w:rtl w:val="true"/>
        </w:rPr>
        <w:t xml:space="preserve">: </w:t>
      </w:r>
      <w:r>
        <w:rPr>
          <w:rtl w:val="true"/>
        </w:rPr>
        <w:t>نظام الحكم في الإسلام بعد رحلة الرسول صلى الله عليه وآله وسلم</w:t>
      </w:r>
      <w:bookmarkEnd w:id="898"/>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99" w:name="__RefHeading___Toc1391569_1067777946"/>
      <w:bookmarkStart w:id="900" w:name="_Toc334"/>
      <w:bookmarkEnd w:id="899"/>
      <w:r>
        <w:rPr>
          <w:rtl w:val="true"/>
        </w:rPr>
        <w:t>اشارة</w:t>
      </w:r>
      <w:bookmarkEnd w:id="900"/>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01" w:name="pg11047_102935"/>
      <w:bookmarkStart w:id="902" w:name="pg11047_102935"/>
      <w:bookmarkEnd w:id="902"/>
    </w:p>
    <w:p>
      <w:pPr>
        <w:pStyle w:val="Heading3"/>
        <w:numPr>
          <w:ilvl w:val="2"/>
          <w:numId w:val="1"/>
        </w:numPr>
        <w:rPr/>
      </w:pPr>
      <w:bookmarkStart w:id="903" w:name="pg11047_102935"/>
      <w:bookmarkStart w:id="904" w:name="__RefHeading___Toc1391571_1067777946"/>
      <w:bookmarkStart w:id="905" w:name="_Toc335"/>
      <w:bookmarkEnd w:id="903"/>
      <w:bookmarkEnd w:id="904"/>
      <w:r>
        <w:rPr>
          <w:rtl w:val="true"/>
        </w:rPr>
        <w:t>الأمر الأوّل</w:t>
      </w:r>
      <w:r>
        <w:rPr>
          <w:rtl w:val="true"/>
        </w:rPr>
        <w:t xml:space="preserve">: </w:t>
      </w:r>
      <w:r>
        <w:rPr>
          <w:rtl w:val="true"/>
        </w:rPr>
        <w:t>الحكومة حاجة ملحَّة</w:t>
      </w:r>
      <w:bookmarkEnd w:id="905"/>
    </w:p>
    <w:p>
      <w:pPr>
        <w:pStyle w:val="Heading4"/>
        <w:numPr>
          <w:ilvl w:val="3"/>
          <w:numId w:val="1"/>
        </w:numPr>
        <w:rPr/>
      </w:pPr>
      <w:bookmarkStart w:id="906" w:name="__RefHeading___Toc1391573_1067777946"/>
      <w:bookmarkStart w:id="907" w:name="_Toc336"/>
      <w:bookmarkEnd w:id="906"/>
      <w:r>
        <w:rPr>
          <w:rtl w:val="true"/>
        </w:rPr>
        <w:t>اشارة</w:t>
      </w:r>
      <w:bookmarkEnd w:id="907"/>
    </w:p>
    <w:p>
      <w:pPr>
        <w:pStyle w:val="BookText"/>
        <w:rPr/>
      </w:pPr>
      <w:r>
        <w:rPr>
          <w:rFonts w:ascii="Amiri" w:hAnsi="Amiri" w:eastAsia="Amiri" w:cs="Amiri"/>
          <w:color w:val="111111"/>
          <w:sz w:val="28"/>
          <w:sz w:val="28"/>
          <w:szCs w:val="28"/>
          <w:rtl w:val="true"/>
          <w:lang w:bidi="ar-SA"/>
        </w:rPr>
        <w:t>إنّ وجود الدولة في الحياة البشرية ليس أمراً تقتضيه الحياة المعاصرة التي اشتدت فيها الحاجة إلى الحكومة ، بل هي حاجة طبيعية ضرورية للإنسان الاجتماعي عبر القرون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الدولة حاجة طبيعية تقتضيها الفطرة الإنسانية بحيث يُعدّ الخارج على الدولة ونظامها وتدبيرها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متوحشاً ساقطاً ، أو موجوداً يفوق الموجود الإنساني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استعراض ما قام به الباحثون والمفكّرون من تبيين ضرورة الحكومة في المجتمع الإنساني ، وانّه لولاها لانهارت الحياة وانفصمت عقد الاجتماع وعادت الفوضى إلى المجتمع الإنساني ، ممّا لا تسعه هذه الرسالة ولنتركها لمحلها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المهم لنا هو تبيين سيرة الرسول في تأسيس الحكومة الإسلامية بعد ما استتب له الأمر ، وهو يعرب عن أنّ الحكومة تعد بنى تحتيّة لإجراء عامّة الأحكام الإسلامية ، وانّه لولاها لتعطلت الأحكام ، وتوقّف إجراء الحدود والتعزيرات ، وبالتالي سادت الفوضى على الحياة ، فلذلك نقتصر في المقام على بيان سيرة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نزوله المدينة المنورة فنقول </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تتبع سيرة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يقف على أنّه قام بتأسيس الدولة بكلّ ما لهذه </w:t>
      </w:r>
    </w:p>
    <w:p>
      <w:pPr>
        <w:pStyle w:val="BookText"/>
        <w:rPr/>
      </w:pPr>
      <w:r>
        <w:rPr>
          <w:rFonts w:ascii="Amiri" w:hAnsi="Amiri" w:eastAsia="Amiri" w:cs="Amiri"/>
          <w:color w:val="111111"/>
          <w:sz w:val="28"/>
          <w:sz w:val="28"/>
          <w:szCs w:val="28"/>
          <w:rtl w:val="true"/>
          <w:lang w:bidi="ar-SA"/>
        </w:rPr>
        <w:t xml:space="preserve">الكلمة من معنى ، فقد مارس ما هو شأن الحاكم السياسي من تشكيل جيش منظم ، وعقد معاهدات ومواثيق مع الطوائف الأُخرى ، وتنظيم الشئون الاقتصادية والعلاقات الاجتماعية ممّا يتطلّبه أي مجتمع منظم ذو طابع قانوني ، وصفة رسمية ، وصيغة سياسية ، واتخاذ مركز للقضاء وإدارة الأُمور وهو المسجد ، وتعيين مسئوليات إدارية ، وتوجيه رسائل إلى الملوك والأُمراء في الجزيرة العربية وخارجها ، وتسيير الجيوش والسرايا وبذلك يكون الرسول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مؤسس للدولة الإسلامية التي استمرت من بعده ، واتسعت وتطورت وتبلورت ، واتخذت صوراً أكثر تكاملاً في التشكيلات والمؤسسات وإن كانت الأُسس متكاملة في زمن المؤسس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ملامح تأسيس حكومته قيامه بأُمور تعد من صميم العمل السياسي والنشاط الإداري الحكومي ، نذكر من باب المثال لا الحصر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بين أصحابه وبين الطوائف والقبائل الأُخرى المتواجدة في المدينة كاليهود وغيرهم اتفاقية وميثاقاً يعتبر في الحقيقة أوّل دستور للحكومة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جهز الجيوش وبعث السرايا إلى مختلف المناطق في الجزيرة ، وقاتل المشركين وغزاهم ، وقاتل الروم ، وقام بمناورات عسكرية لارهاب الخصوم ، وقد ذكر المؤرخون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خاض أو قاد خلال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أعوام من حياته المدنية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حرباً بين غزوة وسريّة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ان استتبّ له الأمر في المدينة وما حولها وأمن جانب مكة وطرد اليهود لتآمرهم ضد الإسلام والمسلمين من المدينة وما حولها وقلع جذورهم ، توجه باهتمام خاص إلى خارج الجزيرة ، وإلى المناطق التي لم تصل إليها دعوته ودولته </w:t>
      </w:r>
    </w:p>
    <w:p>
      <w:pPr>
        <w:pStyle w:val="BookText"/>
        <w:rPr/>
      </w:pPr>
      <w:r>
        <w:rPr>
          <w:rFonts w:ascii="Amiri" w:hAnsi="Amiri" w:eastAsia="Amiri" w:cs="Amiri"/>
          <w:color w:val="111111"/>
          <w:sz w:val="28"/>
          <w:sz w:val="28"/>
          <w:szCs w:val="28"/>
          <w:rtl w:val="true"/>
          <w:lang w:bidi="ar-SA"/>
        </w:rPr>
        <w:t>من مناطق الجزيرة ، فراح يراسل الملوك والأُمراء ويدعوهم إلى الانضواء تحت راية الإسلام والدخول تحت ظل دولته والقبول بحكومته الإلهية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السفراء والمندوبين السياسيين إلى الملوك والزعماء وكان عملاً بديعاً من أعمال الدبلوماسية ، وهذه الدبلوماسية الفطنة التي لجأ إليها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مخاطبة الملوك في عصره لم تذهب كلّها سدى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القضاة وعيّن الولاة ، وأعطاهم برامج للإدارة والسياسة ، فأوصاهم فيما أوصاهم بتعليم أحكام الإسلام ونشر الأخلاق والآداب التي جاء بها الإسلام ، وتعليم القرآن الكريم ، وجباية الضرائب الإسلامية كالزكاة وإنفاقها على الفقراء والمعوزين ، وما شابه ذلك من المصالح العامة ، وفصل الخصومات بين الناس ، وحلّ مشاكلهم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والقضاء على الظلم والطغيان ، وغير ذلك من المهام والصلاحيات والمسئوليات الإدارية والاجتماعية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من قرأ سورة الأنفال والتوبة ومحمّد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 كيف يرسم القرآن فيها الخطوط العريضة لسياسة الحكومة الإسلامية وبرامجها ووظائفها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تشير إلى مقومات الحكومة الإسلامية المالية ، وأُسس التعامل مع الجماعات غير الإسلامية ، ومبادئ الجهاد والدفاع وبرامجها ، وتعاليم في الوحدة الإسلامية التي تعتبر أقوى دعامة للحكومة الإسلامية ، وكذا غيرها من السور والآيات القرآنية فهي مشحونة بالتعاليم والبرامج اللازمة للحكومة والدولة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يكشف عن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أوّل مؤسس للحكومة الإسلامية في المدينة المنورة بعد أن مهّد لها في مكة</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سبر الأحكام الإسلامية من العبادات إلى المعاملات إلى الإيقاعات والسياسات ، يقف على أنّها بطبعها تقتضي إقامة حكومة عادلة واعية لإجراء كلّ </w:t>
      </w:r>
      <w:bookmarkStart w:id="908" w:name="pg11047_102938"/>
    </w:p>
    <w:p>
      <w:pPr>
        <w:pStyle w:val="BookText"/>
        <w:rPr/>
      </w:pPr>
      <w:bookmarkEnd w:id="908"/>
      <w:r>
        <w:rPr>
          <w:rFonts w:ascii="Amiri" w:hAnsi="Amiri" w:eastAsia="Amiri" w:cs="Amiri"/>
          <w:color w:val="111111"/>
          <w:sz w:val="28"/>
          <w:sz w:val="28"/>
          <w:szCs w:val="28"/>
          <w:rtl w:val="true"/>
          <w:lang w:bidi="ar-SA"/>
        </w:rPr>
        <w:t xml:space="preserve">ما جاء به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وانّه لولاها لأصبحت تلك القوانين حبراً على ورق من دون أن تظهر في المجتمع آثارها ، فانّ الإسلام ليس مجرّد أدعية خاوية أو طقوس ومراسيم فردية يقوم بها كلّ فرد في بيئته ومعبده ، بل هو نظام سياسي ومالي وحقوقي واجتماعي واقتصادي واسع وشامل ، وما ورد في هذه المجالات من قوانين أو أحكام ، تدلّ بصميم ذاتها على أنّ مشرّعها افترضَ وجودَ حاكم يقوم بتنفيذها ورعايتها ، لأنّه ليس من المعقول سنّ مثل هذه القوانين دون وجود قوة مجرية وسلطة تنفيذية تتعهد بإجرائها وتتولّى تطبيقها مع العلم بأنّ سنّ القوانين وحده لا يكفي في تنظيم المجتمعات ، وإلى هذا الدليل يشير السيد المرتضى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سبحانه وتعالى يأمرنا بالاستجابة لله وللرسول إذا دعا لما فيه حياتنا ، يقول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اسْتَجِيبُوا لِلَّهِ وَلِلرَّسُولِ إِذا دَعاكُمْ لِما يُحْيِيكُمْ</w:t>
      </w:r>
      <w:r>
        <w:rPr>
          <w:rFonts w:eastAsia="Amiri" w:cs="Amiri" w:ascii="Amiri" w:hAnsi="Amiri"/>
          <w:color w:val="111111"/>
          <w:sz w:val="28"/>
          <w:szCs w:val="28"/>
          <w:rtl w:val="true"/>
          <w:lang w:bidi="ar-SA"/>
        </w:rPr>
        <w:t xml:space="preserve">). </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وفسّرت الآية بالأمر بالمعروف والنهي عن المنكر ، فإذا كان الأمر والنهي كما تُوحي هذه الآيات مبدأ للحياة وجب أن يكون للناس إمام يقوم بأمرهم ونهيهم ويقيم فيهم الحدود ، ويجاهد فيهم العدو ، ويقسم الغنائم ، ويفرض الفرائض ويحذِّرهم عمّا فيه مضارهم ، ولهذا كان الأمر بالمعروف والنهي عن المنكر من أسباب بقاء الخلق فوجبا ، وإلاّ سقطت الرغبة والرهبة ولم يرتدع أحد ، ولفسد التدبير ، أو كان ذلك سبباً لهلاك العباد</w:t>
      </w:r>
      <w:r>
        <w:rPr>
          <w:rFonts w:eastAsia="Amiri" w:cs="Amiri" w:ascii="Amiri" w:hAnsi="Amiri"/>
          <w:color w:val="111111"/>
          <w:sz w:val="28"/>
          <w:szCs w:val="28"/>
          <w:rtl w:val="true"/>
          <w:lang w:bidi="ar-SA"/>
        </w:rPr>
        <w:t xml:space="preserve">. </w:t>
      </w:r>
      <w:r>
        <w:rPr>
          <w:rStyle w:val="FootnoteAnchor"/>
          <w:rtl w:val="true"/>
        </w:rPr>
        <w:footnoteReference w:id="583"/>
      </w:r>
    </w:p>
    <w:p>
      <w:pPr>
        <w:pStyle w:val="Heading4"/>
        <w:numPr>
          <w:ilvl w:val="3"/>
          <w:numId w:val="1"/>
        </w:numPr>
        <w:rPr/>
      </w:pPr>
      <w:bookmarkStart w:id="909" w:name="__RefHeading___Toc1391575_1067777946"/>
      <w:bookmarkStart w:id="910" w:name="_Toc337"/>
      <w:bookmarkEnd w:id="909"/>
      <w:r>
        <w:rPr>
          <w:rtl w:val="true"/>
        </w:rPr>
        <w:t>نظام الإمامة والخلافة في الإسلام</w:t>
      </w:r>
      <w:bookmarkEnd w:id="910"/>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عرفت أنّ الحكومة ضرورة ملحة ولا تحتاج إلى إقامة برهان وقد وردت </w:t>
      </w:r>
    </w:p>
    <w:p>
      <w:pPr>
        <w:pStyle w:val="BookText"/>
        <w:rPr/>
      </w:pPr>
      <w:r>
        <w:rPr>
          <w:rFonts w:ascii="Amiri" w:hAnsi="Amiri" w:eastAsia="Amiri" w:cs="Amiri"/>
          <w:color w:val="111111"/>
          <w:sz w:val="28"/>
          <w:sz w:val="28"/>
          <w:szCs w:val="28"/>
          <w:rtl w:val="true"/>
          <w:lang w:bidi="ar-SA"/>
        </w:rPr>
        <w:t xml:space="preserve">على لسان الرسول وأئمّة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إلماعات إلى ذلك نذكر منها ما يلي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صنفان من أُمّتي إذا صلحا صلحت أُمّتي ، وإذا فسدا فسدت أُمّتي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ومن هم؟</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الفقهاء والأُمراء</w:t>
      </w:r>
      <w:r>
        <w:rPr>
          <w:rFonts w:eastAsia="IRNazanin" w:cs="IRNazanin"/>
          <w:color w:val="111111"/>
          <w:sz w:val="28"/>
          <w:szCs w:val="28"/>
          <w:rtl w:val="true"/>
          <w:lang w:bidi="fa-IR"/>
        </w:rPr>
        <w:t xml:space="preserve">». </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فالحديث يعرب عن ضرورة وجود الفقيه والأمير في المجتمع الإسلامي ، غير أنّ سعادته رهن كونهما مصلحين لا مفسدين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الإمام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سمع قول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حكم إلاّ لله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كلمة حقّ يراد بها باطل ؛ نعم انّه لا حكم إلاّ لله ولكن هؤلاء يقولون لا إمرة إلاّ لله ، وإنّه لا بدّ للناس من أمير برّ أو فاجر يعمل في إمرته المؤمن ويستمتع فيها الكافر ، ويبلّغ الله فيه الآجل ، ويُجمع به الفيء ويُقاتل به العدو وتأمَنُ به السبل ، ويُؤخذ به للضعيف من القوي ، حتّى يستريح برّ ، ويُستراحَ من فاجر</w:t>
      </w:r>
      <w:r>
        <w:rPr>
          <w:rFonts w:eastAsia="Amiri" w:cs="Amiri" w:ascii="Amiri" w:hAnsi="Amiri"/>
          <w:color w:val="111111"/>
          <w:sz w:val="28"/>
          <w:szCs w:val="28"/>
          <w:rtl w:val="true"/>
          <w:lang w:bidi="ar-SA"/>
        </w:rPr>
        <w:t xml:space="preserve">». </w:t>
      </w:r>
      <w:r>
        <w:rPr>
          <w:rStyle w:val="FootnoteAnchor"/>
          <w:rtl w:val="true"/>
        </w:rPr>
        <w:footnoteReference w:id="58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الإمام علي بن موسى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حول ضرورة وجود الحكومة في الحياة البشرية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لا نجد فرقة من الفرق ولا ملّة من الملل بقُوا وعاشوا إلاّ بقيّم ورئيس لما لا بدّ لهم منه في أمر الدين والدنيا ، فلم يجز في حكمه الحكيم أن يترك الخلقَ لما يعلم أنّه لا بدّ لهم منه ، ولا قوام لهم إلاّ به ، فيقاتِلونَ به عدوّهم ، ويقسّمون به فيئهم ، ويقيمون به جمعتهم وجماعتهم ، ويمنعُ ظالمهم من مظلومهم</w:t>
      </w:r>
      <w:r>
        <w:rPr>
          <w:rFonts w:eastAsia="Amiri" w:cs="Amiri" w:ascii="Amiri" w:hAnsi="Amiri"/>
          <w:color w:val="111111"/>
          <w:sz w:val="28"/>
          <w:szCs w:val="28"/>
          <w:rtl w:val="true"/>
          <w:lang w:bidi="ar-SA"/>
        </w:rPr>
        <w:t xml:space="preserve">». </w:t>
      </w:r>
      <w:r>
        <w:rPr>
          <w:rStyle w:val="FootnoteAnchor"/>
          <w:rtl w:val="true"/>
        </w:rPr>
        <w:footnoteReference w:id="586"/>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ولأجل هذه الأهمية التي تحظى بها الحكومة الإسلامية يتعيّن على علماء الإسلام أن يبذلوا غاية الجهد في توضيح معالمها ومناهجها وخطوطها وخصائصها في جميع العصور والعهود</w:t>
      </w:r>
      <w:r>
        <w:rPr>
          <w:rFonts w:eastAsia="Amiri" w:cs="Amiri" w:ascii="Amiri" w:hAnsi="Amiri"/>
          <w:color w:val="111111"/>
          <w:sz w:val="28"/>
          <w:szCs w:val="28"/>
          <w:rtl w:val="true"/>
          <w:lang w:bidi="ar-SA"/>
        </w:rPr>
        <w:t xml:space="preserve">. </w:t>
      </w:r>
      <w:bookmarkStart w:id="911" w:name="pg11047_102941"/>
    </w:p>
    <w:p>
      <w:pPr>
        <w:pStyle w:val="Heading3"/>
        <w:numPr>
          <w:ilvl w:val="2"/>
          <w:numId w:val="1"/>
        </w:numPr>
        <w:rPr/>
      </w:pPr>
      <w:bookmarkStart w:id="912" w:name="__RefHeading___Toc1391577_1067777946"/>
      <w:bookmarkStart w:id="913" w:name="_Toc338"/>
      <w:bookmarkEnd w:id="911"/>
      <w:bookmarkEnd w:id="912"/>
      <w:r>
        <w:rPr>
          <w:rtl w:val="true"/>
        </w:rPr>
        <w:t>الأمر الثاني</w:t>
      </w:r>
      <w:r>
        <w:rPr>
          <w:rtl w:val="true"/>
        </w:rPr>
        <w:t xml:space="preserve">: </w:t>
      </w:r>
      <w:r>
        <w:rPr>
          <w:rtl w:val="true"/>
        </w:rPr>
        <w:t>ملامح الحكومة الإسلامية في الكتاب والسنّة</w:t>
      </w:r>
      <w:bookmarkEnd w:id="913"/>
    </w:p>
    <w:p>
      <w:pPr>
        <w:pStyle w:val="Heading4"/>
        <w:numPr>
          <w:ilvl w:val="3"/>
          <w:numId w:val="1"/>
        </w:numPr>
        <w:rPr/>
      </w:pPr>
      <w:bookmarkStart w:id="914" w:name="__RefHeading___Toc1391579_1067777946"/>
      <w:bookmarkStart w:id="915" w:name="_Toc339"/>
      <w:bookmarkEnd w:id="914"/>
      <w:r>
        <w:rPr>
          <w:rtl w:val="true"/>
        </w:rPr>
        <w:t>اشارة</w:t>
      </w:r>
      <w:bookmarkEnd w:id="915"/>
    </w:p>
    <w:p>
      <w:pPr>
        <w:pStyle w:val="BookText"/>
        <w:rPr/>
      </w:pPr>
      <w:r>
        <w:rPr>
          <w:rFonts w:ascii="Amiri" w:hAnsi="Amiri" w:eastAsia="Amiri" w:cs="Amiri"/>
          <w:color w:val="111111"/>
          <w:sz w:val="28"/>
          <w:sz w:val="28"/>
          <w:szCs w:val="28"/>
          <w:rtl w:val="true"/>
          <w:lang w:bidi="ar-SA"/>
        </w:rPr>
        <w:t xml:space="preserve">إنّ الحاكم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منطق القرآن وحسب تشريعه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مجرّد من يأخذ بزمام الجماعة كيفما كان ، ويأمر وينهى بما تشتهيه نفسه ، ويحكم على الناس لمجرّد السلطة وشهوة الحكم ، بل هو ذو مسئولية كبيرة وثقيلة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انّ هذه الرسالة لا تتسع لبيان أكثر ملامح الحكومة الإسلامية نقتصر على بعض ما ورد في الذكر الحكيم من ملامح مقروناً ببعض الروايات ، ونحيل التفصيل إلى محاضراتنا</w:t>
      </w:r>
      <w:r>
        <w:rPr>
          <w:rFonts w:eastAsia="Amiri" w:cs="Amiri" w:ascii="Amiri" w:hAnsi="Amiri"/>
          <w:color w:val="111111"/>
          <w:sz w:val="28"/>
          <w:szCs w:val="28"/>
          <w:rtl w:val="true"/>
          <w:lang w:bidi="ar-SA"/>
        </w:rPr>
        <w:t xml:space="preserve">. </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إِنْ مَكَّنَّاهُمْ فِي الْأَرْضِ أَقامُوا الصَّلاةَ وَآتَوُا الزَّكاةَ وَأَمَرُوا بِالْمَعْرُوفِ وَنَهَوْا عَنِ الْمُنْكَرِ وَلِلَّهِ عاقِبَةُ الْأُمُورِ</w:t>
      </w:r>
      <w:r>
        <w:rPr>
          <w:rFonts w:eastAsia="Amiri" w:cs="Amiri" w:ascii="Amiri" w:hAnsi="Amiri"/>
          <w:color w:val="111111"/>
          <w:sz w:val="28"/>
          <w:szCs w:val="28"/>
          <w:rtl w:val="true"/>
          <w:lang w:bidi="ar-SA"/>
        </w:rPr>
        <w:t xml:space="preserve">). </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 xml:space="preserve">فالمسئوليات الملقاة على عاتق الحاكم في الإسلام عبارة عن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إقامة الصلاة وتوثيق عرى المجتمع الإسلامي بربّه الذي فيه كلّ الخير</w:t>
      </w:r>
      <w:r>
        <w:rPr>
          <w:rFonts w:eastAsia="Amiri" w:cs="Amiri" w:ascii="Amiri" w:hAnsi="Amiri"/>
          <w:color w:val="111111"/>
          <w:sz w:val="28"/>
          <w:szCs w:val="28"/>
          <w:rtl w:val="true"/>
          <w:lang w:bidi="ar-SA"/>
        </w:rPr>
        <w:t>.</w:t>
      </w:r>
      <w:bookmarkStart w:id="916" w:name="pg11047_102942"/>
    </w:p>
    <w:p>
      <w:pPr>
        <w:pStyle w:val="BookText"/>
        <w:rPr/>
      </w:pPr>
      <w:bookmarkEnd w:id="916"/>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إيتاء الزكاة الذي فيه تنظيم اقتصاده ومعاشه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بالمعروف وإشاعة الخير والصلاح في المجتمع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النهي عن المنكر ومكافحة كلّ ألوان الفساد والانحراف والظلم والزور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 حكومة كهذه توفر للائقين والصالحين وذوي القابليات والمواهب فرصاً مناسبة لإبراز مواهبهم ، وتهيّئ الظروف المساعدة لتنمية استعداداتهم العلمية والفكرية في جميع المجالات الاجتماعية والسياسية والاقتصادية ، وتدفعها في طريق التقدّم والازدهار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لا تصلح الإمامة إلاّ لرجل فيه ثلاث خصال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وَرَع يحجزه عن معاصي الله</w:t>
      </w:r>
    </w:p>
    <w:p>
      <w:pPr>
        <w:pStyle w:val="BookText"/>
        <w:rPr/>
      </w:pPr>
      <w:r>
        <w:rPr>
          <w:rFonts w:ascii="Amiri" w:hAnsi="Amiri" w:eastAsia="Amiri" w:cs="Amiri"/>
          <w:color w:val="111111"/>
          <w:sz w:val="28"/>
          <w:sz w:val="28"/>
          <w:szCs w:val="28"/>
          <w:rtl w:val="true"/>
          <w:lang w:bidi="ar-SA"/>
        </w:rPr>
        <w:t>وحِلْم يملك به غضبه</w:t>
      </w:r>
    </w:p>
    <w:p>
      <w:pPr>
        <w:pStyle w:val="BookText"/>
        <w:rPr/>
      </w:pPr>
      <w:r>
        <w:rPr>
          <w:rFonts w:ascii="Amiri" w:hAnsi="Amiri" w:eastAsia="Amiri" w:cs="Amiri"/>
          <w:color w:val="111111"/>
          <w:sz w:val="28"/>
          <w:sz w:val="28"/>
          <w:szCs w:val="28"/>
          <w:rtl w:val="true"/>
          <w:lang w:bidi="ar-SA"/>
        </w:rPr>
        <w:t>وحسن الولاية على من يلي حتّى يكون لهم كالوالد الرحيم</w:t>
      </w:r>
      <w:r>
        <w:rPr>
          <w:rFonts w:eastAsia="Amiri" w:cs="Amiri" w:ascii="Amiri" w:hAnsi="Amiri"/>
          <w:color w:val="111111"/>
          <w:sz w:val="28"/>
          <w:szCs w:val="28"/>
          <w:rtl w:val="true"/>
          <w:lang w:bidi="ar-SA"/>
        </w:rPr>
        <w:t xml:space="preserve">». </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ردّ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الشيء الأمارة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نعم الشيء الأمارة لمن أخذها بحلها وحقّها ، وبئس الشيء الأمارة لمن أخذها بغير حقّها وحلها تكون عليه يوم القيامة حسرة وندامة</w:t>
      </w:r>
      <w:r>
        <w:rPr>
          <w:rFonts w:eastAsia="Amiri" w:cs="Amiri" w:ascii="Amiri" w:hAnsi="Amiri"/>
          <w:color w:val="111111"/>
          <w:sz w:val="28"/>
          <w:szCs w:val="28"/>
          <w:rtl w:val="true"/>
          <w:lang w:bidi="ar-SA"/>
        </w:rPr>
        <w:t xml:space="preserve">». </w:t>
      </w:r>
      <w:r>
        <w:rPr>
          <w:rStyle w:val="FootnoteAnchor"/>
          <w:rtl w:val="true"/>
        </w:rPr>
        <w:footnoteReference w:id="590"/>
      </w:r>
    </w:p>
    <w:p>
      <w:pPr>
        <w:pStyle w:val="Heading4"/>
        <w:numPr>
          <w:ilvl w:val="3"/>
          <w:numId w:val="1"/>
        </w:numPr>
        <w:rPr/>
      </w:pPr>
      <w:bookmarkStart w:id="917" w:name="__RefHeading___Toc1391581_1067777946"/>
      <w:bookmarkStart w:id="918" w:name="_Toc340"/>
      <w:bookmarkEnd w:id="917"/>
      <w:r>
        <w:rPr>
          <w:rtl w:val="true"/>
        </w:rPr>
        <w:t>مسئولية الحاكم في النصوص الشرعية</w:t>
      </w:r>
      <w:bookmarkEnd w:id="9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الرسول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يتحدث عن مسئوليته تجاه الأُمّة الإسلامية الّتي يأخذ بزمام حكمها ،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كلّكم راع وكلّكم مسئول عن رعيته</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فالأمير الذي على الناس ، راع عليهم ، وهو مسئول عنهم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والرجل راع على أهل بيته ، وهو مسئول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وامرأة الرجل ، راعية على بيت زوجها وولدها ، وهي مسئولة عنهم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فكلّكم راع وكلّكم مسئول عن رعيّته</w:t>
      </w:r>
      <w:r>
        <w:rPr>
          <w:rFonts w:eastAsia="Amiri" w:cs="Amiri" w:ascii="Amiri" w:hAnsi="Amiri"/>
          <w:color w:val="111111"/>
          <w:sz w:val="28"/>
          <w:szCs w:val="28"/>
          <w:rtl w:val="true"/>
          <w:lang w:bidi="ar-SA"/>
        </w:rPr>
        <w:t xml:space="preserve">». </w:t>
      </w:r>
      <w:r>
        <w:rPr>
          <w:rStyle w:val="FootnoteAnchor"/>
          <w:rtl w:val="true"/>
        </w:rPr>
        <w:footnoteReference w:id="59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لنا أن نستجلي ملامح الحكومة الإسلامية وصفات الحاكم الإسلامي من كلام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يرسم لنا ما على الحاكم الإسلامي الأعلى تجاه الشعب وما على الشعب تجاه الحاكم ، إذ يقول في وضوح كامل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وأعظم ما افترض الله من تلك الحقوق ؛ حقُّ الوالي على الرّعيّة وحقُّ الرّعيّة على الوالي ، فريضةً فرض الله سبحانه ، لكلّ على كلّ ، فجعلها نظاماً لأُلفتهم ، وعزّا لدينهم ، فليست تصلح الرّعيّة إلا بصلاح الولاة ، ولا يصلح الولاة إلا باستقامة الرّعيّة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أدّت الرّعيّة إلى الوالي حقّه وأدّى الوالي إليها حقّها ، عزّ الحقُّ بينهم ، وقامت مناهج الدّين ، واعتدلت معالم العدل وجرت على أذلالها السُّنن ، فصلح بذلك الزّمان ، وطمع في بقاء الدّولة ويئست مطامع الأعداء ، وإذا غلبت الرّعيّة واليها أو أجحف الوالي برعيّته ، اختلفت هنالك الكلمة ، وظهرت معالم الجور ، وكثر الإدغال في الدّين ، وتركت محاجُّ السُّنن ، فعمل بالهوى ، وعطّلت الأحكام ، وكثرت علل النفوس ، فلا يستوحش لعظيم حقّ عطّل ، ولا لعظيم باطل فعل ، فهنالك تذلُّ الأبرار ، وتعزُّ الأشرار ، وتعظّم تبعات الله عند العباد</w:t>
      </w:r>
      <w:r>
        <w:rPr>
          <w:rFonts w:eastAsia="Amiri" w:cs="Amiri" w:ascii="Amiri" w:hAnsi="Amiri"/>
          <w:color w:val="111111"/>
          <w:sz w:val="28"/>
          <w:szCs w:val="28"/>
          <w:rtl w:val="true"/>
          <w:lang w:bidi="ar-SA"/>
        </w:rPr>
        <w:t xml:space="preserve">». </w:t>
      </w:r>
      <w:r>
        <w:rPr>
          <w:rStyle w:val="FootnoteAnchor"/>
          <w:rtl w:val="true"/>
        </w:rPr>
        <w:footnoteReference w:id="592"/>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الإمام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يصرّح في هذه الخطبة ذاتها بالحقوق المشتركة والمسئوليات المتقابلة ، إذ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 فقد جعل الله لي عليكم حقّاً بولاية </w:t>
      </w:r>
    </w:p>
    <w:p>
      <w:pPr>
        <w:pStyle w:val="BookText"/>
        <w:rPr/>
      </w:pPr>
      <w:r>
        <w:rPr>
          <w:rFonts w:ascii="Amiri" w:hAnsi="Amiri" w:eastAsia="Amiri" w:cs="Amiri"/>
          <w:color w:val="111111"/>
          <w:sz w:val="28"/>
          <w:sz w:val="28"/>
          <w:szCs w:val="28"/>
          <w:rtl w:val="true"/>
          <w:lang w:bidi="ar-SA"/>
        </w:rPr>
        <w:t>أمركم ، ولكم عليّ من الحقّ مثل الذي لي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يشير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الخطبة إلى واحدة من أنصع القوانين الإسلاميّة ؛ وهو قانون التسوية بين جميع أفراد الأُمّة الإسلاميّة حكّاماً ومحكومين ، رؤساء ومرءوسين ، وزراء ومستوزرين ، وبذلك ينسف فكرة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القانون ، أو أنا فوق القانون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الحقُّ لا يجري لأحد إلاّ جرى عليه ، ولا يجري عليه إلاّ جرى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 فلا تمييز ولا تفرقة بين الحاكم والمحكوم بل الجميع أمام القوانين الإسلاميّة المدنيّة والجزائيّة وغيرها سواء ، وعلى الحاكم والرئيس أن يؤدّي حقوق الناس كأيّ فرد من أفراد الأُمّة العاديّين ، وبذلك يدعم الإمام ما روي عن الرسول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أمام الحقّ سواء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يمكن أن نعرف طبيعة الحكومة الإسلامية من خطبة الإمام الحسين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نزوله بأرض كربلاء ،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تعلم أنّه لم يكن ما كان منّا تنافساً في سلطان ، ولا التماساً من فضول الحطام ، ولكن لنري المعالم من دينك ، ونظهر الإصلاح في بلادك ، ويأمن المظلومون من عبادك ، ويعمل بفرائضك وسننك وأحكامك</w:t>
      </w:r>
      <w:r>
        <w:rPr>
          <w:rFonts w:eastAsia="Amiri" w:cs="Amiri" w:ascii="Amiri" w:hAnsi="Amiri"/>
          <w:color w:val="111111"/>
          <w:sz w:val="28"/>
          <w:szCs w:val="28"/>
          <w:rtl w:val="true"/>
          <w:lang w:bidi="ar-SA"/>
        </w:rPr>
        <w:t xml:space="preserve">». </w:t>
      </w:r>
      <w:r>
        <w:rPr>
          <w:rStyle w:val="FootnoteAnchor"/>
          <w:rtl w:val="true"/>
        </w:rPr>
        <w:footnoteReference w:id="593"/>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أهمّ الوثائق التي ترسم لنا بوضوح معالم الحكومة الإسلامية ؛ الوثيقة التي كتبها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ليهود يثرب بعد ما نزل المدينة المنوّرة ، وقد رواه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هشام في سيرته </w:t>
      </w:r>
      <w:r>
        <w:rPr>
          <w:rStyle w:val="FootnoteAnchor"/>
          <w:rtl w:val="true"/>
        </w:rPr>
        <w:footnoteReference w:id="594"/>
      </w:r>
      <w:r>
        <w:rPr>
          <w:rFonts w:ascii="Amiri" w:hAnsi="Amiri" w:eastAsia="Amiri" w:cs="Amiri"/>
          <w:color w:val="111111"/>
          <w:sz w:val="28"/>
          <w:sz w:val="28"/>
          <w:szCs w:val="28"/>
          <w:rtl w:val="true"/>
          <w:lang w:bidi="ar-SA"/>
        </w:rPr>
        <w:t xml:space="preserve">، وأبو عبيد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الأموال</w:t>
      </w:r>
      <w:r>
        <w:rPr>
          <w:rFonts w:eastAsia="Amiri" w:cs="Amiri" w:ascii="Amiri" w:hAnsi="Amiri"/>
          <w:color w:val="111111"/>
          <w:sz w:val="28"/>
          <w:szCs w:val="28"/>
          <w:rtl w:val="true"/>
          <w:lang w:bidi="ar-SA"/>
        </w:rPr>
        <w:t xml:space="preserve">» </w:t>
      </w:r>
      <w:r>
        <w:rPr>
          <w:rStyle w:val="FootnoteAnchor"/>
          <w:rtl w:val="true"/>
        </w:rPr>
        <w:footnoteReference w:id="595"/>
      </w:r>
      <w:r>
        <w:rPr>
          <w:rFonts w:ascii="Amiri" w:hAnsi="Amiri" w:eastAsia="Amiri" w:cs="Amiri"/>
          <w:color w:val="111111"/>
          <w:sz w:val="28"/>
          <w:sz w:val="28"/>
          <w:szCs w:val="28"/>
          <w:rtl w:val="true"/>
          <w:lang w:bidi="ar-SA"/>
        </w:rPr>
        <w:t>، وابن كثير في البداية والنهاية</w:t>
      </w:r>
      <w:r>
        <w:rPr>
          <w:rFonts w:eastAsia="Amiri" w:cs="Amiri" w:ascii="Amiri" w:hAnsi="Amiri"/>
          <w:color w:val="111111"/>
          <w:sz w:val="28"/>
          <w:szCs w:val="28"/>
          <w:rtl w:val="true"/>
          <w:lang w:bidi="ar-SA"/>
        </w:rPr>
        <w:t xml:space="preserve">. </w:t>
      </w:r>
      <w:r>
        <w:rPr>
          <w:rStyle w:val="FootnoteAnchor"/>
          <w:rtl w:val="true"/>
        </w:rPr>
        <w:footnoteReference w:id="596"/>
      </w:r>
      <w:r>
        <w:rPr>
          <w:rFonts w:ascii="Amiri" w:hAnsi="Amiri" w:eastAsia="Amiri" w:cs="Amiri"/>
          <w:color w:val="111111"/>
          <w:sz w:val="28"/>
          <w:sz w:val="28"/>
          <w:szCs w:val="28"/>
          <w:rtl w:val="true"/>
          <w:lang w:bidi="ar-SA"/>
        </w:rPr>
        <w:t xml:space="preserve">وهي </w:t>
      </w:r>
    </w:p>
    <w:p>
      <w:pPr>
        <w:pStyle w:val="BookText"/>
        <w:rPr/>
      </w:pPr>
      <w:r>
        <w:rPr>
          <w:rFonts w:ascii="Amiri" w:hAnsi="Amiri" w:eastAsia="Amiri" w:cs="Amiri"/>
          <w:color w:val="111111"/>
          <w:sz w:val="28"/>
          <w:sz w:val="28"/>
          <w:szCs w:val="28"/>
          <w:rtl w:val="true"/>
          <w:lang w:bidi="ar-SA"/>
        </w:rPr>
        <w:t>وثيقة تاريخية مفصّلة ، فمن أراد فليرجع إلى محالّه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فالحاكم الإسلامي في الحقيقة هو الحافظ لمصالح الشعب ، وهو كالأب الحنون لعامّة المواطنين حتّى اليهود والنصارى إذا عملوا بشرائط الذمّة ، فهو يسمح للمسلمين بأن يعاملوا غيرهم من الطوائف غير المسلمة بالعدل والرفق والشفقة ما داموا لا يتآمرون على المسلمين ولا يسيئون إلى أمنهم ، ولا يقاتلونهم ، فالإسلام لا يمنع عن البرّ والقسط إليهم ، وإنّما يمنع عن الذين ظاهروا على المسلمين وتآمروا ضدهم ، ترى كلّ ذلك في الآيتين التاليتين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يَنْهاكُمُ اللهُ عَنِ الَّذِينَ لَمْ يُقاتِلُوكُمْ فِي الدِّينِ وَلَمْ يُخْرِجُوكُمْ مِنْ دِيارِكُمْ أَنْ تَبَرُّوهُمْ وَتُقْسِطُوا إِلَيْهِمْ إِنَّ اللهَ يُحِبُّ الْمُقْسِطِينَ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يَنْهاكُمُ اللهُ عَنِ الَّذِينَ قاتَلُوكُمْ فِي الدِّينِ وَأَخْرَجُوكُمْ مِنْ دِيارِكُمْ وَظاهَرُوا عَلى إِخْراجِكُمْ أَنْ تَوَلَّوْهُمْ وَمَنْ يَتَوَلَّهُمْ فَأُولئِكَ هُمُ الظَّالِمُونَ</w:t>
      </w:r>
      <w:r>
        <w:rPr>
          <w:rFonts w:eastAsia="Amiri" w:cs="Amiri" w:ascii="Amiri" w:hAnsi="Amiri"/>
          <w:color w:val="111111"/>
          <w:sz w:val="28"/>
          <w:szCs w:val="28"/>
          <w:rtl w:val="true"/>
          <w:lang w:bidi="ar-SA"/>
        </w:rPr>
        <w:t xml:space="preserve">). </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تَتَّخِذُوا بِطانَةً مِنْ دُونِكُمْ لا يَأْلُونَكُمْ خَبالاً وَدُّوا ما عَنِتُّمْ قَدْ بَدَتِ الْبَغْضاءُ مِنْ أَفْواهِهِمْ وَما تُخْفِي صُدُورُهُمْ أَكْبَرُ قَدْ بَيَّنَّا لَكُمُ الْآياتِ إِنْ كُنْتُمْ تَعْقِلُونَ</w:t>
      </w:r>
      <w:r>
        <w:rPr>
          <w:rFonts w:eastAsia="Amiri" w:cs="Amiri" w:ascii="Amiri" w:hAnsi="Amiri"/>
          <w:color w:val="111111"/>
          <w:sz w:val="28"/>
          <w:szCs w:val="28"/>
          <w:rtl w:val="true"/>
          <w:lang w:bidi="ar-SA"/>
        </w:rPr>
        <w:t xml:space="preserve">). </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ولعلّ النظرة الواحدة إلى تاريخ الحكومات الإسلامية يكشف لنا عفوهم وسماحتهم لكثير من الذمّيين من النصارى واليهود ، وقد كانت الأقلّيات بين المسلمين يرجّحون الحياة تحت ظلّ الإسلام على العيش مع الدول الكافرة ، نذكر هاهنا وثيقة تاريخية ذكرها البلاذري 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جمع هرقل للمسلمين الجموع ، وبلغ المسلمين إقبالهم إليهم لوقعة </w:t>
      </w:r>
    </w:p>
    <w:p>
      <w:pPr>
        <w:pStyle w:val="BookText"/>
        <w:rPr/>
      </w:pPr>
      <w:r>
        <w:rPr>
          <w:rFonts w:ascii="Amiri" w:hAnsi="Amiri" w:eastAsia="Amiri" w:cs="Amiri"/>
          <w:color w:val="111111"/>
          <w:sz w:val="28"/>
          <w:sz w:val="28"/>
          <w:szCs w:val="28"/>
          <w:rtl w:val="true"/>
          <w:lang w:bidi="ar-SA"/>
        </w:rPr>
        <w:t xml:space="preserve">اليرموك ، ردّوا على أهل حمص ما كانوا أخذوا منهم من الخراج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شغلنا عن نصرتكم والدفع عنكم فأنتم على أمركم ، فقال أهل حمص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وكانوا مسيحيّين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لولايتكم وعدلكم أحبّ إلينا ممّا كنّا فيه من الظلم والغشم ، ولندفعنّ جند هرقل عن المدينة مع عاملكم ، ونهض اليهود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والتوراة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قسماً بالتوراة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 هرقل مدينة حمص إلاّ أن نغلب ونجهد ، فأغلقوا الأبواب وحرسوها ، وكذلك فعل أهل المدن التي صولحت من النصارى واليهود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ظهر الروم وأتباعهم على المسلمين صرنا إلى ما كنّا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الظلم والحرمان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وإلاّ فانّا على أمرنا ما بقي للمسلمين 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هزم الله الكفرة وأظهر المسلمين ، فتحوا مدنهم ، وأخرجوا المقلّسين </w:t>
      </w:r>
      <w:r>
        <w:rPr>
          <w:rStyle w:val="FootnoteAnchor"/>
          <w:rtl w:val="true"/>
        </w:rPr>
        <w:footnoteReference w:id="599"/>
      </w:r>
      <w:r>
        <w:rPr>
          <w:rFonts w:ascii="IRNazanin" w:hAnsi="IRNazanin" w:eastAsia="IRNazanin"/>
          <w:color w:val="111111"/>
          <w:sz w:val="28"/>
          <w:sz w:val="28"/>
          <w:szCs w:val="28"/>
          <w:rtl w:val="true"/>
          <w:lang w:bidi="fa-IR"/>
        </w:rPr>
        <w:t>فلعبوا وأدّوا الخراج</w:t>
      </w:r>
      <w:r>
        <w:rPr>
          <w:rFonts w:eastAsia="IRNazanin" w:cs="IRNazanin"/>
          <w:color w:val="111111"/>
          <w:sz w:val="28"/>
          <w:szCs w:val="28"/>
          <w:rtl w:val="true"/>
          <w:lang w:bidi="fa-IR"/>
        </w:rPr>
        <w:t xml:space="preserve">». </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إنّ الحاكم الإسلامي ، من يشارك شعبه في إفراحه وإتراحه ، وفي آلامه وآماله لا أن يعيش في بروج عاجيّة ، متنعماً في أحضان اللذة رافلاً في أنواع الشهوات ، غير عارف بأحوال من يسوسهم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الإمام وهو يرسم ملامح الحاكم الإسلامي</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أأقنع من نفسي بأن يقال أمير المؤمنين ولا أشاركهم في مكاره الدهر ، أو أكون أُسوة لهم في جشوبة العيش ، فما خلقت ليشغلني أكل الطيبات كالبهيمة المربوطة همها علفها ، أو المرسلة ، شغلها تقممها</w:t>
      </w:r>
      <w:r>
        <w:rPr>
          <w:rFonts w:eastAsia="Amiri" w:cs="Amiri" w:ascii="Amiri" w:hAnsi="Amiri"/>
          <w:color w:val="111111"/>
          <w:sz w:val="28"/>
          <w:szCs w:val="28"/>
          <w:rtl w:val="true"/>
          <w:lang w:bidi="ar-SA"/>
        </w:rPr>
        <w:t xml:space="preserve">». </w:t>
      </w:r>
      <w:r>
        <w:rPr>
          <w:rStyle w:val="FootnoteAnchor"/>
          <w:rtl w:val="true"/>
        </w:rPr>
        <w:footnoteReference w:id="601"/>
      </w:r>
      <w:bookmarkStart w:id="919" w:name="pg11047_102947"/>
    </w:p>
    <w:p>
      <w:pPr>
        <w:pStyle w:val="Heading3"/>
        <w:numPr>
          <w:ilvl w:val="2"/>
          <w:numId w:val="1"/>
        </w:numPr>
        <w:rPr/>
      </w:pPr>
      <w:bookmarkStart w:id="920" w:name="__RefHeading___Toc1391583_1067777946"/>
      <w:bookmarkStart w:id="921" w:name="_Toc341"/>
      <w:bookmarkEnd w:id="919"/>
      <w:bookmarkEnd w:id="920"/>
      <w:r>
        <w:rPr>
          <w:rtl w:val="true"/>
        </w:rPr>
        <w:t>الأمر الثالث</w:t>
      </w:r>
      <w:r>
        <w:rPr>
          <w:rtl w:val="true"/>
        </w:rPr>
        <w:t xml:space="preserve">: </w:t>
      </w:r>
      <w:r>
        <w:rPr>
          <w:rtl w:val="true"/>
        </w:rPr>
        <w:t>أنظمة الحكم في المجتمعات البشريّة</w:t>
      </w:r>
      <w:bookmarkEnd w:id="921"/>
    </w:p>
    <w:p>
      <w:pPr>
        <w:pStyle w:val="BookText"/>
        <w:rPr/>
      </w:pPr>
      <w:r>
        <w:rPr>
          <w:rFonts w:ascii="Amiri" w:hAnsi="Amiri" w:eastAsia="Amiri" w:cs="Amiri"/>
          <w:color w:val="111111"/>
          <w:sz w:val="28"/>
          <w:sz w:val="28"/>
          <w:szCs w:val="28"/>
          <w:rtl w:val="true"/>
          <w:lang w:bidi="ar-SA"/>
        </w:rPr>
        <w:t xml:space="preserve">إنّ لنظم الحكم في العالم ألواناً وأنواعاً نذكر عناوينها باختصار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النظام الملكي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الحكومة الأشرافية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حكومة الأغنياء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النظام الجمهوري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الأنظمة المعروفة لدى السياسيّين ، غير أنّ المهم لنا في المقام كيفيّة نظام الحكم في الإسلام بعد رحيل الرسول الأكرم ، أمّا في زمانه فلا شكّ أنّه الحاكم المبعوث من الله سبحانه وليس للناس اختيار في ردّه وقبوله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لِمُؤْمِنٍ وَلا مُؤْمِنَةٍ إِذا قَضَى اللهُ وَرَسُولُهُ أَمْراً أَنْ يَكُونَ لَهُمُ الْخِيَرَةُ مِنْ أَمْرِهِمْ</w:t>
      </w:r>
      <w:r>
        <w:rPr>
          <w:rFonts w:eastAsia="Amiri" w:cs="Amiri" w:ascii="Amiri" w:hAnsi="Amiri"/>
          <w:color w:val="111111"/>
          <w:sz w:val="28"/>
          <w:szCs w:val="28"/>
          <w:rtl w:val="true"/>
          <w:lang w:bidi="ar-SA"/>
        </w:rPr>
        <w:t xml:space="preserve">). </w:t>
      </w:r>
      <w:r>
        <w:rPr>
          <w:rStyle w:val="FootnoteAnchor"/>
          <w:rtl w:val="true"/>
        </w:rPr>
        <w:footnoteReference w:id="602"/>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البحث عن صيغة الحكومة الإسلامية من أهمّ المباحث لكنّها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العناية بترسيم شكلها ومعالمها وما يرجع إليها من المباحث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الشيعة فبما أنّهم كانوا يمثّلون طول العصور جبهة الرفض والمعارضة للحكومات الجائرة لم تسنح لهم الظروف أن يتحدّثوا عن صيغة الحكومة الإسلامية ، وأمّا السنّة فقد تبعوا في ترسيمها الوضع السائد على الحكومات بعد رحيله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وزعمت أنّها حكومات إسلامية شرعية من دون أن ترفع النقاب عن واقع الحكومة الإسلامية ، ولأجل ذلك غابت الصورة الحقيقية للحكومة الإسلامية عن أذهان أكثر المسلمين ، ومن حاول أن يستجلي كيفية النظام الإسلامي يجب عليه رعاية الأُمور الثلاثة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العودة إلى المصادر الأساسية للإسلام ، ونعني بها الكتاب والسنّة المطهرة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يخلطوا بين ما وقع وجرى على الساحة الإسلامية في مجال الحكم ، وبين ما هو مرسوم لنظام الحكم في أصل الشريعة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يخلطوا بين تاريخ المسلمين ونظام الدين ، لأنّ ذلك التاريخ لا يكون ممثّلاً واقعياً لكلّ تعاليم الدين ، ولا مبرزاً لجميع حقائقه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التتبع في الكتاب والسنّة يقضي بأنّ الحكومة في الإسلام تقوم بأحد أمرين ، لكلّ واحد ظرفه الخاصّ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التنصيص الإلهي على الحاكم الأعلى باسمه وشخصه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فيما لو كان هناك نصّ أو نصوص على حاكمية شخص معيّن على الأُمّة كما في النبيّ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باتّفاق المسلمين ، أو الأئمّة المعصومين حسب ما تذهب إليه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 أنّه لو كان نصّ لما جاز العدول عنه إلى الطريق الآخر الذي سنشير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التنصيص الإلهي على صفات الحاكم الأعلى ، وشروطه ، ومواصفاته</w:t>
      </w:r>
    </w:p>
    <w:p>
      <w:pPr>
        <w:pStyle w:val="BookText"/>
        <w:rPr/>
      </w:pPr>
      <w:r>
        <w:rPr>
          <w:rFonts w:ascii="Amiri" w:hAnsi="Amiri" w:eastAsia="Amiri" w:cs="Amiri"/>
          <w:color w:val="111111"/>
          <w:sz w:val="28"/>
          <w:sz w:val="28"/>
          <w:szCs w:val="28"/>
          <w:rtl w:val="true"/>
          <w:lang w:bidi="ar-SA"/>
        </w:rPr>
        <w:t>الكليّة فيما إذا لم يكن هناك تنصيص على الشخص ، أو كان لكن الظروف تحول دون الوصول إليه والانتفاع بقيادته</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انّ البحث في الرسالة مركّز على بيان صيغة الحكومة بعد رحيل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مطلقاً حتّى يشمل البحث الأحوال الحاضرة ، فتتحدد الدراسة ببيان نظام الحكم بعد وفاة الرسول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وأمّا ما هي صيغة الحكم في الأحوال الحاضرة فهو رهن كتاب مفرد قمنا ببيانها في محاضراتنا</w:t>
      </w:r>
      <w:r>
        <w:rPr>
          <w:rFonts w:eastAsia="Amiri" w:cs="Amiri" w:ascii="Amiri" w:hAnsi="Amiri"/>
          <w:color w:val="111111"/>
          <w:sz w:val="28"/>
          <w:szCs w:val="28"/>
          <w:rtl w:val="true"/>
          <w:lang w:bidi="ar-SA"/>
        </w:rPr>
        <w:t xml:space="preserve">. </w:t>
      </w:r>
      <w:r>
        <w:rPr>
          <w:rStyle w:val="FootnoteAnchor"/>
          <w:rtl w:val="true"/>
        </w:rPr>
        <w:footnoteReference w:id="603"/>
      </w:r>
      <w:bookmarkStart w:id="922" w:name="pg11047_102950"/>
    </w:p>
    <w:p>
      <w:pPr>
        <w:pStyle w:val="Heading3"/>
        <w:numPr>
          <w:ilvl w:val="2"/>
          <w:numId w:val="1"/>
        </w:numPr>
        <w:rPr/>
      </w:pPr>
      <w:bookmarkStart w:id="923" w:name="__RefHeading___Toc1391585_1067777946"/>
      <w:bookmarkStart w:id="924" w:name="_Toc342"/>
      <w:bookmarkEnd w:id="922"/>
      <w:bookmarkEnd w:id="923"/>
      <w:r>
        <w:rPr>
          <w:rtl w:val="true"/>
        </w:rPr>
        <w:t>الأمر الرابع</w:t>
      </w:r>
      <w:r>
        <w:rPr>
          <w:rtl w:val="true"/>
        </w:rPr>
        <w:t xml:space="preserve">: </w:t>
      </w:r>
      <w:r>
        <w:rPr>
          <w:rtl w:val="true"/>
        </w:rPr>
        <w:t>التنصيص الإلهي على الحاكم باسمه وشخصه</w:t>
      </w:r>
      <w:bookmarkEnd w:id="924"/>
    </w:p>
    <w:p>
      <w:pPr>
        <w:pStyle w:val="Heading4"/>
        <w:numPr>
          <w:ilvl w:val="3"/>
          <w:numId w:val="1"/>
        </w:numPr>
        <w:rPr/>
      </w:pPr>
      <w:bookmarkStart w:id="925" w:name="__RefHeading___Toc1391587_1067777946"/>
      <w:bookmarkStart w:id="926" w:name="_Toc343"/>
      <w:bookmarkEnd w:id="925"/>
      <w:r>
        <w:rPr>
          <w:rtl w:val="true"/>
        </w:rPr>
        <w:t>اشارة</w:t>
      </w:r>
      <w:bookmarkEnd w:id="926"/>
    </w:p>
    <w:p>
      <w:pPr>
        <w:pStyle w:val="BookText"/>
        <w:rPr/>
      </w:pPr>
      <w:r>
        <w:rPr>
          <w:rFonts w:ascii="Amiri" w:hAnsi="Amiri" w:eastAsia="Amiri" w:cs="Amiri"/>
          <w:color w:val="111111"/>
          <w:sz w:val="28"/>
          <w:sz w:val="28"/>
          <w:szCs w:val="28"/>
          <w:rtl w:val="true"/>
          <w:lang w:bidi="ar-SA"/>
        </w:rPr>
        <w:t xml:space="preserve">لا شكّ أنّ النبيّ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حاكماً منصوباً من جانبه سبحانه ولم يختلف فيه أحد من المسلمين إنّما الاختلاف في صيغة الحكومة الإسلامية ، بعد رحيله ، فهل هي كانت على غرار حكومة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الله سبحانه نصب شخصاً أو أشخاصاً معيّنين للحكومة على لسان نبيّه ، أو أنّ الحكومة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غرار الطريق الثاني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التنصيص على الصفات والشروط الكليّة اللازمة للحاكم ، وحث الأُمّة على تعيين الحاكم من عند أنفسهم حسب تلك الصفات والشروط وعلى ضوء تلكم المواصفات؟</w:t>
      </w:r>
    </w:p>
    <w:p>
      <w:pPr>
        <w:pStyle w:val="BookText"/>
        <w:rPr/>
      </w:pPr>
      <w:r>
        <w:rPr>
          <w:rFonts w:ascii="Amiri" w:hAnsi="Amiri" w:eastAsia="Amiri" w:cs="Amiri"/>
          <w:color w:val="111111"/>
          <w:sz w:val="28"/>
          <w:sz w:val="28"/>
          <w:szCs w:val="28"/>
          <w:rtl w:val="true"/>
          <w:lang w:bidi="ar-SA"/>
        </w:rPr>
        <w:t>فهناك قولان ، ذهبت إلى كلّ واحد طائفة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طائفة كبيرة من المسلمين ذهبت إلى أنّ صيغة الحكومة بعد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حكومة تنصيصية إلهية على غرار حكومة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نصّ على أسماء من يجب أن يخلفوا نبيّه على لسان نبيّه ، وأوجب طاعتهم وحرّم مخالفتهم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استجلاء الحقيقة بالطرق الثلاثة التالية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المصالح كانت تقتضي التنصيص على الاسم ، أو كانت تقتضي</w:t>
      </w:r>
    </w:p>
    <w:p>
      <w:pPr>
        <w:pStyle w:val="BookText"/>
        <w:rPr/>
      </w:pPr>
      <w:r>
        <w:rPr>
          <w:rFonts w:ascii="Amiri" w:hAnsi="Amiri" w:eastAsia="Amiri" w:cs="Amiri"/>
          <w:color w:val="111111"/>
          <w:sz w:val="28"/>
          <w:sz w:val="28"/>
          <w:szCs w:val="28"/>
          <w:rtl w:val="true"/>
          <w:lang w:bidi="ar-SA"/>
        </w:rPr>
        <w:t>التنصيص على الوصف وترك الاختيار للأُمّة؟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الفراغ الذي يحدث برحيل النبيّ الأكرم هل يسدّ بانتخاب الأُمّة ، أو لا يسدّ إلاّ بالتنصيص على فرد معيّن؟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هو المرتكز في أذهان المسلمين في حياة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رحيله؟</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وها نحن نأخذ كلّ واحد من هذه الطرق بالبحث والتحليل</w:t>
      </w:r>
      <w:r>
        <w:rPr>
          <w:rFonts w:eastAsia="Amiri" w:cs="Amiri" w:ascii="Amiri" w:hAnsi="Amiri"/>
          <w:color w:val="111111"/>
          <w:sz w:val="28"/>
          <w:szCs w:val="28"/>
          <w:rtl w:val="true"/>
          <w:lang w:bidi="ar-SA"/>
        </w:rPr>
        <w:t xml:space="preserve">. </w:t>
      </w:r>
      <w:bookmarkStart w:id="927" w:name="pg11047_102952"/>
    </w:p>
    <w:p>
      <w:pPr>
        <w:pStyle w:val="Heading4"/>
        <w:numPr>
          <w:ilvl w:val="3"/>
          <w:numId w:val="1"/>
        </w:numPr>
        <w:rPr/>
      </w:pPr>
      <w:bookmarkStart w:id="928" w:name="__RefHeading___Toc1391589_1067777946"/>
      <w:bookmarkStart w:id="929" w:name="_Toc344"/>
      <w:bookmarkEnd w:id="927"/>
      <w:bookmarkEnd w:id="928"/>
      <w:r>
        <w:rPr/>
        <w:t>1</w:t>
      </w:r>
      <w:r>
        <w:rPr>
          <w:rtl w:val="true"/>
        </w:rPr>
        <w:t xml:space="preserve">- </w:t>
      </w:r>
      <w:r>
        <w:rPr>
          <w:rtl w:val="true"/>
        </w:rPr>
        <w:t>المصالح العالية تقتضي التنصيص على الاسم</w:t>
      </w:r>
      <w:bookmarkEnd w:id="929"/>
    </w:p>
    <w:p>
      <w:pPr>
        <w:pStyle w:val="Heading5"/>
        <w:numPr>
          <w:ilvl w:val="4"/>
          <w:numId w:val="1"/>
        </w:numPr>
        <w:rPr/>
      </w:pPr>
      <w:bookmarkStart w:id="930" w:name="__RefHeading___Toc1391591_1067777946"/>
      <w:bookmarkStart w:id="931" w:name="_Toc345"/>
      <w:bookmarkEnd w:id="930"/>
      <w:r>
        <w:rPr>
          <w:rtl w:val="true"/>
        </w:rPr>
        <w:t>اشارة</w:t>
      </w:r>
      <w:bookmarkEnd w:id="931"/>
    </w:p>
    <w:p>
      <w:pPr>
        <w:pStyle w:val="BookText"/>
        <w:rPr/>
      </w:pPr>
      <w:r>
        <w:rPr>
          <w:rFonts w:ascii="Amiri" w:hAnsi="Amiri" w:eastAsia="Amiri" w:cs="Amiri"/>
          <w:color w:val="111111"/>
          <w:sz w:val="28"/>
          <w:sz w:val="28"/>
          <w:szCs w:val="28"/>
          <w:rtl w:val="true"/>
          <w:lang w:bidi="ar-SA"/>
        </w:rPr>
        <w:t xml:space="preserve">كانت المصالح بعد رحيل النبي مقتضية لأن ينصب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شخصاً مكانه ، وكان في ترك الأمر إلى رأي الأُمّة مفسدة ، ويعلم ذلك من خلال دراسة أمرين</w:t>
      </w:r>
    </w:p>
    <w:p>
      <w:pPr>
        <w:pStyle w:val="Heading5"/>
        <w:numPr>
          <w:ilvl w:val="4"/>
          <w:numId w:val="1"/>
        </w:numPr>
        <w:rPr/>
      </w:pPr>
      <w:bookmarkStart w:id="932" w:name="__RefHeading___Toc1391593_1067777946"/>
      <w:bookmarkStart w:id="933" w:name="_Toc346"/>
      <w:bookmarkEnd w:id="932"/>
      <w:r>
        <w:rPr>
          <w:rtl w:val="true"/>
        </w:rPr>
        <w:t>أ</w:t>
      </w:r>
      <w:r>
        <w:rPr>
          <w:rtl w:val="true"/>
        </w:rPr>
        <w:t xml:space="preserve">: </w:t>
      </w:r>
      <w:r>
        <w:rPr>
          <w:rtl w:val="true"/>
        </w:rPr>
        <w:t>الأُمّة الإسلامية والخطر الثلاثي</w:t>
      </w:r>
      <w:bookmarkEnd w:id="933"/>
    </w:p>
    <w:p>
      <w:pPr>
        <w:pStyle w:val="BookText"/>
        <w:rPr/>
      </w:pPr>
      <w:r>
        <w:rPr>
          <w:rFonts w:ascii="Amiri" w:hAnsi="Amiri" w:eastAsia="Amiri" w:cs="Amiri"/>
          <w:color w:val="111111"/>
          <w:sz w:val="28"/>
          <w:sz w:val="28"/>
          <w:szCs w:val="28"/>
          <w:rtl w:val="true"/>
          <w:lang w:bidi="ar-SA"/>
        </w:rPr>
        <w:t xml:space="preserve">كانت الأُمّة الإسلامية قُبيل وفاة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محصورة بأكبر امبراطوريتين عرفهما تاريخ تلك الفترة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امبراطوريتان كانتا على جانب كبير من القوّة والبأس والقدرة العسكرية المتفوّقة ممّا لم يتوصّل المسلمون إلى أقلّ درجة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وتلك الامبراطوريتان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الروم وإيران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من الداخل ، فقد كان الإسلام والمسلمون يُعانون من جماعة المنافقين الذين كانوا يشكّلون العدوّ الداخلي المبطّن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يسمى بالطابور الخامس</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المنافقون يتربصون بالنبي الدوائر ، حتّى أنّهم كادوا له ذات مرّة ، وأرادوا أن يجفلوا به بعيره في العقبة عند عودته من حجّة الوداع ، وربّما اتّفقوا مع </w:t>
      </w:r>
    </w:p>
    <w:p>
      <w:pPr>
        <w:pStyle w:val="BookText"/>
        <w:rPr/>
      </w:pPr>
      <w:r>
        <w:rPr>
          <w:rFonts w:ascii="Amiri" w:hAnsi="Amiri" w:eastAsia="Amiri" w:cs="Amiri"/>
          <w:color w:val="111111"/>
          <w:sz w:val="28"/>
          <w:sz w:val="28"/>
          <w:szCs w:val="28"/>
          <w:rtl w:val="true"/>
          <w:lang w:bidi="ar-SA"/>
        </w:rPr>
        <w:t>اليهود والمشركين لتوجيه الضربات إلى الكيان الإسلامي من الداخل تخلّصاً من هذا الدين الذي هدّد مصالحهم ، ولقد كان المنافقون ولا يزالون أشدّ خطراً من أيّ شيء آخر على الإسلام ، وذلك لأنّهم كانوا يوجّهون ضرباتهم بصورة ماكرة وخفيّة ، وبنحو يخفى على العاديين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تصدى الذكر الحكيم لفضح المنافقين والتشهير بجماعتهم وخططهم في أكثر السور القرآنية ، مثل البقرة ، آل عمران ، المائدة ، الأنفال ، التوبة ، العنكبوت ، الأحزاب ، محمّد ، الفتح ، المجادلة ، الحديد ، والحشر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نزلت في حقّهم سورة خاصة باسم المنافقين ، ولا يسعنا نقل معشار ما تآمروا به في الفترة المدنية ، ويكفي في ذلك قوله سبحانه في حقّهم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ابْتَغَوُا الْفِتْنَةَ مِنْ قَبْلُ وَقَلَّبُوا لَكَ الْأُمُورَ حَتَّى جاءَ الْحَقُّ وَظَهَرَ أَمْرُ اللهِ وَهُمْ كارِهُونَ</w:t>
      </w:r>
      <w:r>
        <w:rPr>
          <w:rFonts w:eastAsia="Amiri" w:cs="Amiri" w:ascii="Amiri" w:hAnsi="Amiri"/>
          <w:color w:val="111111"/>
          <w:sz w:val="28"/>
          <w:szCs w:val="28"/>
          <w:rtl w:val="true"/>
          <w:lang w:bidi="ar-SA"/>
        </w:rPr>
        <w:t xml:space="preserve">). </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 xml:space="preserve">ويشير أيضاً إلى تآمرهم ليلاً ونهاراً حيث كانوا يبيّتون خلاف ما يظهرونه ويبدونه أمام النبيّ كما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وَيَقُولُونَ طاعَةٌ فَإِذا بَرَزُوا مِنْ عِنْدِكَ بَيَّتَ طائِفَةٌ مِنْهُمْ غَيْرَ الَّذِي تَقُولُ</w:t>
      </w:r>
      <w:r>
        <w:rPr>
          <w:rFonts w:eastAsia="Amiri" w:cs="Amiri" w:ascii="Amiri" w:hAnsi="Amiri"/>
          <w:color w:val="111111"/>
          <w:sz w:val="28"/>
          <w:szCs w:val="28"/>
          <w:rtl w:val="true"/>
          <w:lang w:bidi="ar-SA"/>
        </w:rPr>
        <w:t xml:space="preserve">). </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 xml:space="preserve">وكان من المحتمل جدّاً أن يتفق هذا الخطر الثلاثي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الناقم على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محو الدين وهدم كلّ ما بناه الرسول طوال ثلاثة وعشرين عاماً من الجهود والمتاعب ، وتضييع كلّ ما قدّمه المسلمون من تضحيات في سبيل إقامته</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احتمال قيام المؤامرات واتّحاد قوى الشرك مع الطابور الخامس لم يكن يوم ذاك غائباً عن ذهنية المشرِف على الأوضاع السياسية فضلاً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ومثل هذا يفرض على القائد العليم أن يدحض جميع تلك المخططات والمؤامرات </w:t>
      </w:r>
      <w:bookmarkStart w:id="934" w:name="pg11047_102954"/>
    </w:p>
    <w:p>
      <w:pPr>
        <w:pStyle w:val="BookText"/>
        <w:rPr/>
      </w:pPr>
      <w:bookmarkEnd w:id="934"/>
      <w:r>
        <w:rPr>
          <w:rFonts w:ascii="Amiri" w:hAnsi="Amiri" w:eastAsia="Amiri" w:cs="Amiri"/>
          <w:color w:val="111111"/>
          <w:sz w:val="28"/>
          <w:sz w:val="28"/>
          <w:szCs w:val="28"/>
          <w:rtl w:val="true"/>
          <w:lang w:bidi="ar-SA"/>
        </w:rPr>
        <w:t xml:space="preserve">بتنصيب خليفة من بعده عارفاً بالكتاب والسنّة ، شُجاعاً مِقْداماً ، واعياً بالأوضاع السياسية ، حازماً ، يمسك بزمام الأُمور ويقود المجتمع الإسلامي إلى ساحل الأمان وهذا بخلاف ما لو ارتحل دون أن يفكر بمستقبل الحكومة الإسلامية والمؤامرات والفتن التي تحدق بها ، ويدلي بالأمر إلى الأُمّة كي تنتخب لها قائداً من بعده ، فانّ اتخاذ مثل هذا الموقف كان على خلاف مصالح الأُمّة ، وبعيداً عن ذهنية من كان محيطاً بالأوضاع الداخلية لأُمّته والنزاعات الطائفية التي كانت قائمة على قدم وساق والتي ربما كانت تنتهي إلى حروب داخلية تجعل الأُمّة عرضة لأطماع الأعداء التوسعية التي يحكي عنها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يَقُولُونَ شاعِرٌ نَتَرَبَّصُ بِهِ رَيْبَ الْمَنُونِ</w:t>
      </w:r>
      <w:r>
        <w:rPr>
          <w:rFonts w:eastAsia="Amiri" w:cs="Amiri" w:ascii="Amiri" w:hAnsi="Amiri"/>
          <w:color w:val="111111"/>
          <w:sz w:val="28"/>
          <w:szCs w:val="28"/>
          <w:rtl w:val="true"/>
          <w:lang w:bidi="ar-SA"/>
        </w:rPr>
        <w:t xml:space="preserve">). </w:t>
      </w:r>
      <w:r>
        <w:rPr>
          <w:rStyle w:val="FootnoteAnchor"/>
          <w:rtl w:val="true"/>
        </w:rPr>
        <w:footnoteReference w:id="606"/>
      </w:r>
    </w:p>
    <w:p>
      <w:pPr>
        <w:pStyle w:val="Heading5"/>
        <w:numPr>
          <w:ilvl w:val="4"/>
          <w:numId w:val="1"/>
        </w:numPr>
        <w:rPr/>
      </w:pPr>
      <w:bookmarkStart w:id="935" w:name="__RefHeading___Toc1391595_1067777946"/>
      <w:bookmarkStart w:id="936" w:name="_Toc347"/>
      <w:bookmarkEnd w:id="935"/>
      <w:r>
        <w:rPr>
          <w:rtl w:val="true"/>
        </w:rPr>
        <w:t xml:space="preserve">ب </w:t>
      </w:r>
      <w:r>
        <w:rPr>
          <w:rtl w:val="true"/>
        </w:rPr>
        <w:t xml:space="preserve">: </w:t>
      </w:r>
      <w:r>
        <w:rPr>
          <w:rtl w:val="true"/>
        </w:rPr>
        <w:t>النظام القبلي يمنع من الاتفاق على قائد</w:t>
      </w:r>
      <w:bookmarkEnd w:id="936"/>
    </w:p>
    <w:p>
      <w:pPr>
        <w:pStyle w:val="BookText"/>
        <w:rPr/>
      </w:pPr>
      <w:r>
        <w:rPr>
          <w:rFonts w:ascii="Amiri" w:hAnsi="Amiri" w:eastAsia="Amiri" w:cs="Amiri"/>
          <w:color w:val="111111"/>
          <w:sz w:val="28"/>
          <w:sz w:val="28"/>
          <w:szCs w:val="28"/>
          <w:rtl w:val="true"/>
          <w:lang w:bidi="ar-SA"/>
        </w:rPr>
        <w:t xml:space="preserve">لقد كان من أبرز ما يتميز به المجتمع العربي قبل الإسلام ، هو النظام القبلي ، والتقسيمات العشائرية التي كانت تحتلّ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مكانة كبرى ، وتتمتّع بأهميّة 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فلقد كان شعب الجزيرة العربية ، غارقاً في هذا النظام الذي كان سائداً في كلّ أنحائها</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كان للقبيلة أكبر الدور في الحياة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أساسها كانت تدور المفاخرات وتنشد القصائد ، وتُبنى الأمجاد ، كما كانت هي منشأ أكثر الحروب وأغلب المنازعات التي ربما كانت تستمرّ قرناً أو أزيد ، كما حدث بين الأوس والخزرج ، أكبر قبيلتين عربيّتين في يثرب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كلّفهم مئات القتلى قبل </w:t>
      </w:r>
    </w:p>
    <w:p>
      <w:pPr>
        <w:pStyle w:val="BookText"/>
        <w:rPr/>
      </w:pPr>
      <w:r>
        <w:rPr>
          <w:rFonts w:ascii="Amiri" w:hAnsi="Amiri" w:eastAsia="Amiri" w:cs="Amiri"/>
          <w:color w:val="111111"/>
          <w:sz w:val="28"/>
          <w:sz w:val="28"/>
          <w:szCs w:val="28"/>
          <w:rtl w:val="true"/>
          <w:lang w:bidi="ar-SA"/>
        </w:rPr>
        <w:t xml:space="preserve">دخول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ورغم ما أوجد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ضوء التعاليم الإسلامية من تحولات عظيمة في حياة العرب إلاّ أنّ أكثرها كانت تتعلّق بقضايا عقائدية ومسائل أخلاقية ، لا بالحياة القبلية ، ولم يكن من الممكن أن ينقلب النظام القبلي العربي في خلال ثلاث وعشرين عاماً ويتبدل كلّيّاً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التعصب للقبيلة ولشيخها هو المظهر الأتم للحياة القبلية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ضوء ذلك فهل يجوز في منطق العقل أن يترك القائد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أُمّته المفطورة على التعصبات القبلية والاختلافات العرفيّة دون أن يعين مصير الخلافة بتنصيب خليفة من بعده ، وفي تعيينه قطع لدابر الاختلاف والفرقة ، وسدّ لأفواه الطامعين بالخلافة؟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وأوضح دليل على التعصبات القبلية في الشئون الاجتماعية ولا سيما في الخلافة العامة ، هو الخلاف والتشاجر الذي ظهر في السقيفة حيث سارعت كلّ قبيلة إلى ترشيح زعيمها للخلافة متجاهلة كلّ المبادئ والتعاليم الإسلامية ، فهذا هو الناطق بلسان الأنصار يرفع عقيرته في السقيفة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أنصار الله وكتيبة الإسلام وأنتم يا معشر المهاجرين رهط منّا وقد دفّت دافّة من قومكم </w:t>
      </w:r>
      <w:r>
        <w:rPr>
          <w:rStyle w:val="FootnoteAnchor"/>
          <w:rtl w:val="true"/>
        </w:rPr>
        <w:footnoteReference w:id="607"/>
      </w:r>
      <w:r>
        <w:rPr>
          <w:rFonts w:ascii="Amiri" w:hAnsi="Amiri" w:eastAsia="Amiri" w:cs="Amiri"/>
          <w:color w:val="111111"/>
          <w:sz w:val="28"/>
          <w:sz w:val="28"/>
          <w:szCs w:val="28"/>
          <w:rtl w:val="true"/>
          <w:lang w:bidi="ar-SA"/>
        </w:rPr>
        <w:t xml:space="preserve">إذ هم يريدون أن يجتازون </w:t>
      </w:r>
      <w:r>
        <w:rPr>
          <w:rStyle w:val="FootnoteAnchor"/>
          <w:rtl w:val="true"/>
        </w:rPr>
        <w:footnoteReference w:id="608"/>
      </w:r>
      <w:r>
        <w:rPr>
          <w:rFonts w:ascii="Amiri" w:hAnsi="Amiri" w:eastAsia="Amiri" w:cs="Amiri"/>
          <w:color w:val="111111"/>
          <w:sz w:val="28"/>
          <w:sz w:val="28"/>
          <w:szCs w:val="28"/>
          <w:rtl w:val="true"/>
          <w:lang w:bidi="ar-SA"/>
        </w:rPr>
        <w:t>ويغصبونا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إن دلّ على شيء فإنّما يدلّ على رسوخ التعصبات القبلية في نفوسهم</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أفيصحّ لقائد محنك كالنبي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يترك الأمر لقوم هذا مبلغ تفكيرهم وتغلغلهم في العصبية القبلية متجاهلة كل المعايير الإسلاميّة في الحاكم </w:t>
      </w:r>
    </w:p>
    <w:p>
      <w:pPr>
        <w:pStyle w:val="BookText"/>
        <w:rPr/>
      </w:pPr>
      <w:r>
        <w:rPr>
          <w:rFonts w:ascii="Amiri" w:hAnsi="Amiri" w:eastAsia="Amiri" w:cs="Amiri"/>
          <w:color w:val="111111"/>
          <w:sz w:val="28"/>
          <w:sz w:val="28"/>
          <w:szCs w:val="28"/>
          <w:rtl w:val="true"/>
          <w:lang w:bidi="ar-SA"/>
        </w:rPr>
        <w:t>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أحد المهاجرين الحاضرين في السقيفة يتعصّب لقريش ويقول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تعرف العرب هذا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الزعامة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لهذا الحيّ من قريش ، هم أوسط العرب نسباً وداراً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قرأ تاريخ السقيفة والمناقشات الدائرة بين الحاضرين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 والخزرج وجمع من 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 كيف تأجّجت نار العصبية بين هؤلاء بحيث أخذ كلّ يتعصّب لقبيلته دون أن ينظر إلى مصالح الإسلام والمسلمين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هنا تبين انّ المصلحة كانت تكمن في التنصيب للخلافة دون الإدلاء بها إلى الأُمّة ، وقد أوضحنا حالها من خلال دراسة أمرين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الخطر الثلاثي المُحدِق بالإسلام والمسلمين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التعصبات القبلية التي تحول دون الاتّفاق على شيء وتؤجّج نار الطائفية بين المسلمين</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ونبحث الآن في العامل الثاني الذي يدعم نظرية التنصيب من جانب النبيّ بوحي من الله</w:t>
      </w:r>
      <w:r>
        <w:rPr>
          <w:rFonts w:eastAsia="Amiri" w:cs="Amiri" w:ascii="Amiri" w:hAnsi="Amiri"/>
          <w:color w:val="111111"/>
          <w:sz w:val="28"/>
          <w:szCs w:val="28"/>
          <w:rtl w:val="true"/>
          <w:lang w:bidi="ar-SA"/>
        </w:rPr>
        <w:t xml:space="preserve">. </w:t>
      </w:r>
      <w:bookmarkStart w:id="937" w:name="pg11047_102957"/>
    </w:p>
    <w:p>
      <w:pPr>
        <w:pStyle w:val="Heading4"/>
        <w:numPr>
          <w:ilvl w:val="3"/>
          <w:numId w:val="1"/>
        </w:numPr>
        <w:rPr/>
      </w:pPr>
      <w:bookmarkStart w:id="938" w:name="__RefHeading___Toc1391597_1067777946"/>
      <w:bookmarkStart w:id="939" w:name="_Toc348"/>
      <w:bookmarkEnd w:id="937"/>
      <w:bookmarkEnd w:id="938"/>
      <w:r>
        <w:rPr/>
        <w:t>2</w:t>
      </w:r>
      <w:r>
        <w:rPr>
          <w:rtl w:val="true"/>
        </w:rPr>
        <w:t xml:space="preserve">- </w:t>
      </w:r>
      <w:r>
        <w:rPr>
          <w:rtl w:val="true"/>
        </w:rPr>
        <w:t>الفراغات الهائلة لا تسدّ إلاّ بالتنصيص</w:t>
      </w:r>
      <w:bookmarkEnd w:id="939"/>
    </w:p>
    <w:p>
      <w:pPr>
        <w:pStyle w:val="Heading5"/>
        <w:numPr>
          <w:ilvl w:val="4"/>
          <w:numId w:val="1"/>
        </w:numPr>
        <w:rPr/>
      </w:pPr>
      <w:bookmarkStart w:id="940" w:name="__RefHeading___Toc1391599_1067777946"/>
      <w:bookmarkStart w:id="941" w:name="_Toc349"/>
      <w:bookmarkEnd w:id="940"/>
      <w:r>
        <w:rPr>
          <w:rtl w:val="true"/>
        </w:rPr>
        <w:t>اشارة</w:t>
      </w:r>
      <w:bookmarkEnd w:id="941"/>
    </w:p>
    <w:p>
      <w:pPr>
        <w:pStyle w:val="BookText"/>
        <w:rPr/>
      </w:pPr>
      <w:r>
        <w:rPr>
          <w:rFonts w:ascii="Amiri" w:hAnsi="Amiri" w:eastAsia="Amiri" w:cs="Amiri"/>
          <w:color w:val="111111"/>
          <w:sz w:val="28"/>
          <w:sz w:val="28"/>
          <w:szCs w:val="28"/>
          <w:rtl w:val="true"/>
          <w:lang w:bidi="ar-SA"/>
        </w:rPr>
        <w:t xml:space="preserve">إنّ النبيّ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كان يملأ فراغاً كبيراً وعظيماً في حياة الأُمّة الإسلامية ، ولم تكن مسئولياته وأعماله مقتصرة على تلقّي الوحي الإلهي ، وتبليغه إلى الناس فحسب ، بل كان يقوم بالأُمور التالية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يُفسِّر الكتاب العزيز ، ويشرح مقاصده وأهدافه ، ويكشف رموزه وأسراره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يُبيِّن أحكام الموضوعات التي كانت تَحْدُثُ في زمن دعوته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يَرُدّ على الحملات التشكيكية ، والتساؤلات العويصة المريبة التي كان يثيرها أعداء الإسلام من يهود ونصارى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يصون الدين من التحريف والدسّ ، ويراقب ما أخذه عنه المسلمون من أُصول وفروع ، حتّى لا تَزِلّ فيه أقدامهم</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الأُمور الأربعة كان النبي يمارسها ويملأ بشخصيته الرسالية ثغراتها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جلاء الموقف نوضح كلّ واحد من هذه الأُمور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فيكفي فيه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إِلَيْكَ الذِّكْرَ لِتُبَيِّنَ لِلنَّاسِ ما نُزِّلَ إِلَيْهِمْ</w:t>
      </w:r>
      <w:r>
        <w:rPr>
          <w:rFonts w:eastAsia="Amiri" w:cs="Amiri" w:ascii="Amiri" w:hAnsi="Amiri"/>
          <w:color w:val="111111"/>
          <w:sz w:val="28"/>
          <w:szCs w:val="28"/>
          <w:rtl w:val="true"/>
          <w:lang w:bidi="ar-SA"/>
        </w:rPr>
        <w:t xml:space="preserve">) </w:t>
      </w:r>
      <w:r>
        <w:rPr>
          <w:rStyle w:val="FootnoteAnchor"/>
          <w:rtl w:val="true"/>
        </w:rPr>
        <w:footnoteReference w:id="609"/>
      </w:r>
      <w:r>
        <w:rPr>
          <w:rFonts w:ascii="Amiri" w:hAnsi="Amiri" w:eastAsia="Amiri" w:cs="Amiri"/>
          <w:color w:val="111111"/>
          <w:sz w:val="28"/>
          <w:sz w:val="28"/>
          <w:szCs w:val="28"/>
          <w:rtl w:val="true"/>
          <w:lang w:bidi="ar-SA"/>
        </w:rPr>
        <w:t>فقد وصف النبي في هذه الآية بأنّه مبيّن لما في الكتاب ، لا مجرّد تال له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تُحَرِّكْ بِهِ لِسانَكَ لِتَعْجَلَ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عَلَيْنا جَمْعَهُ وَقُرْآنَهُ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قَرَأْناهُ فَاتَّبِعْ قُرْآنَهُ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عَلَيْنا بَيانَهُ</w:t>
      </w:r>
      <w:r>
        <w:rPr>
          <w:rFonts w:eastAsia="Amiri" w:cs="Amiri" w:ascii="Amiri" w:hAnsi="Amiri"/>
          <w:color w:val="111111"/>
          <w:sz w:val="28"/>
          <w:szCs w:val="28"/>
          <w:rtl w:val="true"/>
          <w:lang w:bidi="ar-SA"/>
        </w:rPr>
        <w:t xml:space="preserve">) </w:t>
      </w:r>
      <w:r>
        <w:rPr>
          <w:rStyle w:val="FootnoteAnchor"/>
          <w:rtl w:val="true"/>
        </w:rPr>
        <w:footnoteReference w:id="610"/>
      </w:r>
      <w:r>
        <w:rPr>
          <w:rFonts w:ascii="Amiri" w:hAnsi="Amiri" w:eastAsia="Amiri" w:cs="Amiri"/>
          <w:color w:val="111111"/>
          <w:sz w:val="28"/>
          <w:sz w:val="28"/>
          <w:szCs w:val="28"/>
          <w:rtl w:val="true"/>
          <w:lang w:bidi="ar-SA"/>
        </w:rPr>
        <w:t>فكان النبي يتولى بيان مُجْمَلِهِ ومُطْلَقِهِ ومُقَيَّده ، بقدر ما تتطلبه ظروفه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والقرآن الكريم ليس كتاباً عادياً ، على نسق واحد ، حتّى يستغني عن بيان النبي ، بل فيه المُحكَم والمتشابه ، والعام والخاص ، والمطلَق والمقيَّد ، والمنسوخ والناسخ ، يقول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فيكم ما خلّفت الأنبياء في أُممها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ربّكم فيكم ، مبيّناً حلالَه وحرامه ، وفرائضه وفضائله ، وناسخه ومنسوخه ، ورُخَصَه وعزائمه ، وخاصّه وعامّه ، وعِبره وأمثاله ، ومُرسله ومَحْدُدَهُ ، ومحكمه ومتشابهه ، مفسّراً مجمله ، ومبيِّناً غوامضه</w:t>
      </w:r>
      <w:r>
        <w:rPr>
          <w:rFonts w:eastAsia="Amiri" w:cs="Amiri" w:ascii="Amiri" w:hAnsi="Amiri"/>
          <w:color w:val="111111"/>
          <w:sz w:val="28"/>
          <w:szCs w:val="28"/>
          <w:rtl w:val="true"/>
          <w:lang w:bidi="ar-SA"/>
        </w:rPr>
        <w:t xml:space="preserve">». </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 xml:space="preserve">وأمّا 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غني عن التوضيح ، فإنّ الأحكام الشرعية وصلت إلى الأُمّة عن طريق النبي ، سواء أكانت من جانب الكتاب أو من طريق السنّة</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فبيانه أنّ الإسلام قد تعرض ، منذ ظهوره ، لأعنف الحملات التشكيكية ، وكانت تتناول توحيده ورسالته وإمكان المعاد ، وحشر الإنسان ،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النبي الأكرم ، عند ما قدم عليه جماعة من كبار النصارى لمناظرته ، استدلّوا لاعتقادهم بنبوة المسيح ، بتولده من غير أب ، فأجاب </w:t>
      </w:r>
    </w:p>
    <w:p>
      <w:pPr>
        <w:pStyle w:val="BookText"/>
        <w:rPr/>
      </w:pPr>
      <w:r>
        <w:rPr>
          <w:rFonts w:ascii="Amiri" w:hAnsi="Amiri" w:eastAsia="Amiri" w:cs="Amiri"/>
          <w:color w:val="111111"/>
          <w:sz w:val="28"/>
          <w:sz w:val="28"/>
          <w:szCs w:val="28"/>
          <w:rtl w:val="true"/>
          <w:lang w:bidi="ar-SA"/>
        </w:rPr>
        <w:t xml:space="preserve">النبي بوحي من الله سبحانه ، بأنّ أمر المسيح ليس أغرب من أمر آدم حيث ولد من غير أب ولا أُمّ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مَثَلَ عِيسى عِنْدَ اللهِ كَمَثَلِ آدَمَ خَلَقَهُ مِنْ تُرابٍ ثُمَّ قالَ لَهُ كُنْ فَيَكُونُ</w:t>
      </w:r>
      <w:r>
        <w:rPr>
          <w:rFonts w:eastAsia="Amiri" w:cs="Amiri" w:ascii="Amiri" w:hAnsi="Amiri"/>
          <w:color w:val="111111"/>
          <w:sz w:val="28"/>
          <w:szCs w:val="28"/>
          <w:rtl w:val="true"/>
          <w:lang w:bidi="ar-SA"/>
        </w:rPr>
        <w:t xml:space="preserve">). </w:t>
      </w:r>
      <w:r>
        <w:rPr>
          <w:rStyle w:val="FootnoteAnchor"/>
          <w:rtl w:val="true"/>
        </w:rPr>
        <w:footnoteReference w:id="612"/>
      </w:r>
    </w:p>
    <w:p>
      <w:pPr>
        <w:pStyle w:val="BookText"/>
        <w:rPr/>
      </w:pPr>
      <w:r>
        <w:rPr>
          <w:rFonts w:ascii="Amiri" w:hAnsi="Amiri" w:eastAsia="Amiri" w:cs="Amiri"/>
          <w:color w:val="111111"/>
          <w:sz w:val="28"/>
          <w:sz w:val="28"/>
          <w:szCs w:val="28"/>
          <w:rtl w:val="true"/>
          <w:lang w:bidi="ar-SA"/>
        </w:rPr>
        <w:t>وأنت إذا سبرت تفاسير القرآن الكريم ، تقف على أنّ قسماً من الآيات نزلت في الإجابة عن التشكيكات المتوجهة إلى الإسلام من جانب أعدائه من مشركين ويهود ونصارى وقد وردت حول المعاد جملة كثيرة من الشبهات التي كانوا يعترضون بها على عقيدة المعاد ، وأجاب القرآن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 لمن لاحظ سيرة النبي الأكرم ، فقد كان هو القول الفصل وفصل الخطاب ، إليه يفيء الغالي ، ويلحق التالي ، فلم يُرَ إبّان حياته مذهب في الأُصول والعقائد ، ولا في التفسير والأحكام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بقيادته الحكيمة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الخصومات والاختلافات ، سواء فيما يرجع إلى السياسة أو غيرها</w:t>
      </w:r>
      <w:r>
        <w:rPr>
          <w:rFonts w:eastAsia="Amiri" w:cs="Amiri" w:ascii="Amiri" w:hAnsi="Amiri"/>
          <w:color w:val="111111"/>
          <w:sz w:val="28"/>
          <w:szCs w:val="28"/>
          <w:rtl w:val="true"/>
          <w:lang w:bidi="ar-SA"/>
        </w:rPr>
        <w:t xml:space="preserve">. </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 xml:space="preserve">هذه هي الأُمور التي مارسها النبي الأكرم أيّام حياته ، ومن المعلوم أنّ رحلته وغيابه صلوات الله عليه ، يخلّف فراغاً هائلاً ومفزعاً في هذه المجالات الأربعة ،فيكون التشريع الإسلامي حينئذ أمام أُمور ثلاثة </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يبدي الشارع اهتماماً بسدّ هذه الفراغات الهائلة التي ستحدث بعد الرسول ، ورأى تركَ الأُمور لتجري على عَواهنها</w:t>
      </w:r>
      <w:r>
        <w:rPr>
          <w:rFonts w:eastAsia="Amiri" w:cs="Amiri" w:ascii="Amiri" w:hAnsi="Amiri"/>
          <w:color w:val="111111"/>
          <w:sz w:val="28"/>
          <w:szCs w:val="28"/>
          <w:rtl w:val="true"/>
          <w:lang w:bidi="ar-SA"/>
        </w:rPr>
        <w:t xml:space="preserve">. </w:t>
      </w:r>
      <w:bookmarkStart w:id="942" w:name="pg11047_102960"/>
    </w:p>
    <w:p>
      <w:pPr>
        <w:pStyle w:val="BookText"/>
        <w:rPr/>
      </w:pPr>
      <w:bookmarkEnd w:id="942"/>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الأُمّة ، قد بلغت بفضل جهود صاحب الدعوة في إعدادها ، حدّاً تقدر معه بنفسها على سدّ ذلك 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يستودع صاحب الدعوة ، كلّ ما تلقاه من المعارف والأحكام بالوحي ، وكلّ ما ستحتاج إليه الأُمّة بعده ، يستودعه شخصية مثالية ، لها كفاءة تَقَبُّلِ هذه المعارف والأحكام وتحمُّلها ، فتقوم هي بسد هذا الفراغ بعد رحلته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الاحتمال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فساقط جداً ، لا يحتاج إلى البحث ، فإنّه لا ينسجم مع غرض البعثة ، فإنّ في ترك سدّ هذه الفراغات ضياعاً للدين والشريعة ، وبالتالي قطع الطريق أمام رُقيّ الأُمّة وتكاملها فيبقى أمامنا احتمالان ندرسهما تالياً</w:t>
      </w:r>
      <w:r>
        <w:rPr>
          <w:rFonts w:eastAsia="Amiri" w:cs="Amiri" w:ascii="Amiri" w:hAnsi="Amiri"/>
          <w:color w:val="111111"/>
          <w:sz w:val="28"/>
          <w:szCs w:val="28"/>
          <w:rtl w:val="true"/>
          <w:lang w:bidi="ar-SA"/>
        </w:rPr>
        <w:t>.</w:t>
      </w:r>
    </w:p>
    <w:p>
      <w:pPr>
        <w:pStyle w:val="Heading5"/>
        <w:numPr>
          <w:ilvl w:val="4"/>
          <w:numId w:val="1"/>
        </w:numPr>
        <w:rPr/>
      </w:pPr>
      <w:bookmarkStart w:id="943" w:name="__RefHeading___Toc1391601_1067777946"/>
      <w:bookmarkStart w:id="944" w:name="_Toc350"/>
      <w:bookmarkEnd w:id="943"/>
      <w:r>
        <w:rPr>
          <w:rtl w:val="true"/>
        </w:rPr>
        <w:t>دراسة الاحتمال الثاني</w:t>
      </w:r>
      <w:bookmarkEnd w:id="944"/>
    </w:p>
    <w:p>
      <w:pPr>
        <w:pStyle w:val="BookText"/>
        <w:rPr/>
      </w:pPr>
      <w:r>
        <w:rPr>
          <w:rFonts w:ascii="Amiri" w:hAnsi="Amiri" w:eastAsia="Amiri" w:cs="Amiri"/>
          <w:color w:val="111111"/>
          <w:sz w:val="28"/>
          <w:sz w:val="28"/>
          <w:szCs w:val="28"/>
          <w:rtl w:val="true"/>
          <w:lang w:bidi="ar-SA"/>
        </w:rPr>
        <w:t>أن تكون الأُمّة قد بلغت بفضل جهود صاحب الدعوة في إعدادها حدّاً تقدر معه بنفسها على سدِّ ذلك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التاريخ والمحاسبات الاجتماعية يبطلان هذا الاحتمال ويثبتان انّه لم يقدّر للأُمّة بلوغ تلك الذروة لتقوم بسدّ هذه الثغرات التي خلّفها غياب النبيّ الأكرم ، لا في جانب التفسير ولا في جانب الأحكام ، ولا في جانب ردّ التشكيكات ودفع الشبهات ، ولا في جانب صيانة الدين عن الانحراف</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 جانب التفسير ، فيكفي وجود الاختلاف الفاحش في تفسير آيات الذكر الحكيم حتى فيما يرجع إلى أعمال المسلمين اليومية كما هو الحال في تفسير آية الوضوء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في مجال الأحكام ، فيكفي في ذلك الوقوف على أنّ بيان الأحكام الدينيّة حصل تدريجاً على ما تقتضيه الحوادث والحاجات الاجتماعية في عهد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المعلوم انّ هذا النمط كان مستمرّاً بعد الرسول ، غير انّ ما ورثه المسلمون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كافياً للإجابة عن ذلك ، أمّا الآيات القرآنية في مجال الأحكام فهي لا تتجاوز ثلاثمائة آية ، وأمّا الأحاديث في هذا المجال ، فالذي ورثته الأُمّة لا يتجاوز خمسمائة حديث ، وهذا القدر لا يفي بالإجابة عن جميع الموضوعات المستجدّة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نعني من ذلك انّ الشريعة الإسلامية ناقصة في إيفاء أغراضها التشريعية وشمول المواضيع المستجدّة ، بل المقصود انّ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يراعي في إبلاغ الحكم حاجة الناس ومقتضيات الظروف الزمنية ، فلا بدّ في إيفاء غرض التشريع على وجه يشمل المواضيع المستجدة والمسائل المستحدثة أن يستودع أحكام الشريعة من يخلفه ويقوم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مجال ردّ الشبهات والتشكيكات وإجابة التساؤلات ، فقد حصل فراغ هائل بعد رحلة النبيّ من هذه الناحية ، فجاءت اليهود والنصارى تترى ، يطرحون الأسئلة ، حول أُصول الإسلام وفروعه ، ولم يكن في وسع الخلفاء آنذاك الإجابة الصحيحة عنها ، كما يشهد بذلك التاريخ الموجود بأيدينا</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جانب صيانة المسلمين عن التفرقة ، والدّين عن الانحراف ، فقد كانت الأُمّة الإسلامية في أشدّ الحاجة إلى من يصون دينها عن التحريف وأبناءها عن الاختلاف ، فإنّ التاريخ يشهد على دخول جماعات عديدة من أحبار اليهود ورهبان النصارى ومؤبدي المجوس بين المسلمين ، فراحوا يدسّون الأحاديث الإسرائيلية والأساطير النصرانية والخرافات المجوسية بينهم ، ويكفي في ذلك أن </w:t>
      </w:r>
      <w:bookmarkStart w:id="945" w:name="pg11047_102962"/>
    </w:p>
    <w:p>
      <w:pPr>
        <w:pStyle w:val="BookText"/>
        <w:rPr/>
      </w:pPr>
      <w:bookmarkEnd w:id="945"/>
      <w:r>
        <w:rPr>
          <w:rFonts w:ascii="Amiri" w:hAnsi="Amiri" w:eastAsia="Amiri" w:cs="Amiri"/>
          <w:color w:val="111111"/>
          <w:sz w:val="28"/>
          <w:sz w:val="28"/>
          <w:szCs w:val="28"/>
          <w:rtl w:val="true"/>
          <w:lang w:bidi="ar-SA"/>
        </w:rPr>
        <w:t>يذكر الإنسان ما كابده البخاري من مشاقّ وأسفار في مختلف أقطار الدولة الإسلامية ، وما رواه بعد ذلك ، فإنّه ألفى الأحاديث المتداولة بين المحدثين في الأقطار الإسلامية ، تربو على ستمائة ألف حديث ، لم يصحّ لديه منها أكثر من أربعة آلاف ، وكذلك كان شأن سائر الذين جمعوا الأحاديث وكثير من هذه الأحاديث التي صحّت عندهم كانت موضع نقد وتمحيص عند غيرهم</w:t>
      </w:r>
      <w:r>
        <w:rPr>
          <w:rFonts w:eastAsia="Amiri" w:cs="Amiri" w:ascii="Amiri" w:hAnsi="Amiri"/>
          <w:color w:val="111111"/>
          <w:sz w:val="28"/>
          <w:szCs w:val="28"/>
          <w:rtl w:val="true"/>
          <w:lang w:bidi="ar-SA"/>
        </w:rPr>
        <w:t xml:space="preserve">. </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فهذه المجعولات على لسان الوحي ، تقلع الشريعة من رأس ، وتقلب الأُصول ، وتتلاعب بالأحكام ، وتشوّش التاريخ ، أو ليس هذا دليلاً على عدم وفاء الأُمّة بصيانة دينها عن الانحراف والتشويش؟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البحث الضافي يثبت حقيقة ناصعة ، وهي عدم تمكّن الأُمّة ، مع ما لها من الفضل ، من القيام بسدِّ الفراغات الهائلة التي خلّفتها رحلة النبيّ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ويبطل بذلك الاحتمال الثاني تجاه التشريع الإسلامي بعد عصر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الاحتمال الثالث الذي ندرسه تالياً</w:t>
      </w:r>
      <w:r>
        <w:rPr>
          <w:rFonts w:eastAsia="Amiri" w:cs="Amiri" w:ascii="Amiri" w:hAnsi="Amiri"/>
          <w:color w:val="111111"/>
          <w:sz w:val="28"/>
          <w:szCs w:val="28"/>
          <w:rtl w:val="true"/>
          <w:lang w:bidi="ar-SA"/>
        </w:rPr>
        <w:t>.</w:t>
      </w:r>
    </w:p>
    <w:p>
      <w:pPr>
        <w:pStyle w:val="Heading5"/>
        <w:numPr>
          <w:ilvl w:val="4"/>
          <w:numId w:val="1"/>
        </w:numPr>
        <w:rPr/>
      </w:pPr>
      <w:bookmarkStart w:id="946" w:name="__RefHeading___Toc1391603_1067777946"/>
      <w:bookmarkStart w:id="947" w:name="_Toc351"/>
      <w:bookmarkEnd w:id="946"/>
      <w:r>
        <w:rPr>
          <w:rtl w:val="true"/>
        </w:rPr>
        <w:t>دراسة الاحتمال الثالث</w:t>
      </w:r>
      <w:bookmarkEnd w:id="947"/>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يستودع صاحب الدعوة ، كلّ ما تلقّاه من المعارف والأحكام بالوحي ، وكلّ ما ستحتاج إليه الأُمّة بعده ، شخصيّة مثالية ، لها كفاءة تقبُّل هذه المعارف والأحكام وتحمّلها ، فتقوم هي بسدِّ هذا الفراغ بعد رحلته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بطلان الاحتمالين الأوّلين لا مناص من تعيُّن هذا الاحتمال ، فإنّ وجود إنسان مثالي كالنبيّ في المؤهّلات ، عارف بالشريعة ومعارف الدين ، ضمان لتكامل المجتمع ، وخطوة ضرورية في سبيل ارتقائه الروحي والمعنوي ، فهل يسوغ لله سبحانه أن </w:t>
      </w:r>
    </w:p>
    <w:p>
      <w:pPr>
        <w:pStyle w:val="BookText"/>
        <w:rPr/>
      </w:pPr>
      <w:r>
        <w:rPr>
          <w:rFonts w:ascii="Amiri" w:hAnsi="Amiri" w:eastAsia="Amiri" w:cs="Amiri"/>
          <w:color w:val="111111"/>
          <w:sz w:val="28"/>
          <w:sz w:val="28"/>
          <w:szCs w:val="28"/>
          <w:rtl w:val="true"/>
          <w:lang w:bidi="ar-SA"/>
        </w:rPr>
        <w:t>يهمل هذا الأمر الضروري في حياة الإنسان الدينية؟</w:t>
      </w:r>
    </w:p>
    <w:p>
      <w:pPr>
        <w:pStyle w:val="BookText"/>
        <w:rPr/>
      </w:pPr>
      <w:r>
        <w:rPr>
          <w:rFonts w:ascii="Amiri" w:hAnsi="Amiri" w:eastAsia="Amiri" w:cs="Amiri"/>
          <w:color w:val="111111"/>
          <w:sz w:val="28"/>
          <w:sz w:val="28"/>
          <w:szCs w:val="28"/>
          <w:rtl w:val="true"/>
          <w:lang w:bidi="ar-SA"/>
        </w:rPr>
        <w:t>إنّ الله سبحانه جهَّز الإنسان بأجهزة ضرورية فيما يحتاج إليها في حياته الدنيوية المادية ، ومع ذلك كيف يعقل إهمال هذا العنصر الرئيسي في حياته المعنوية والدينية؟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المفكّر الإسلامي الكبير ابن سينا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تعالى قد زوّده بإنبات الشعر على أشفار عينيه وحاجبيه وتقعير الأخمص من القدمين لكي تكون حياته لذيذة غير متعبة ، فهل تكون حاجته إلى هذه الأُمور أشد من حاجته إلى الإمام المنصوب من الله الذي يضمن كماله بعلمه وتقواه ، وقيادته الحكيمة</w:t>
      </w:r>
      <w:r>
        <w:rPr>
          <w:rFonts w:eastAsia="Amiri" w:cs="Amiri" w:ascii="Amiri" w:hAnsi="Amiri"/>
          <w:color w:val="111111"/>
          <w:sz w:val="28"/>
          <w:szCs w:val="28"/>
          <w:rtl w:val="true"/>
          <w:lang w:bidi="ar-SA"/>
        </w:rPr>
        <w:t xml:space="preserve">. </w:t>
      </w:r>
      <w:r>
        <w:rPr>
          <w:rStyle w:val="FootnoteAnchor"/>
          <w:rtl w:val="true"/>
        </w:rPr>
        <w:footnoteReference w:id="615"/>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الواضح انّ التعرف على هذا الشخص الذي توفرت فيه مؤهلات غيبية لا يحصل إلاّ عن طريق تنصيبه من قبل النبي بأمر من الله سبحانه ، وهذا ما يدعم نظرية التنصيب مكان انتخاب الأُمّة</w:t>
      </w:r>
      <w:r>
        <w:rPr>
          <w:rFonts w:eastAsia="Amiri" w:cs="Amiri" w:ascii="Amiri" w:hAnsi="Amiri"/>
          <w:color w:val="111111"/>
          <w:sz w:val="28"/>
          <w:szCs w:val="28"/>
          <w:rtl w:val="true"/>
          <w:lang w:bidi="ar-SA"/>
        </w:rPr>
        <w:t xml:space="preserve">. </w:t>
      </w:r>
      <w:bookmarkStart w:id="948" w:name="pg11047_102964"/>
    </w:p>
    <w:p>
      <w:pPr>
        <w:pStyle w:val="Heading4"/>
        <w:numPr>
          <w:ilvl w:val="3"/>
          <w:numId w:val="1"/>
        </w:numPr>
        <w:rPr/>
      </w:pPr>
      <w:bookmarkStart w:id="949" w:name="__RefHeading___Toc1391605_1067777946"/>
      <w:bookmarkStart w:id="950" w:name="_Toc352"/>
      <w:bookmarkEnd w:id="948"/>
      <w:bookmarkEnd w:id="949"/>
      <w:r>
        <w:rPr/>
        <w:t>3</w:t>
      </w:r>
      <w:r>
        <w:rPr>
          <w:rtl w:val="true"/>
        </w:rPr>
        <w:t xml:space="preserve">- </w:t>
      </w:r>
      <w:r>
        <w:rPr>
          <w:rtl w:val="true"/>
        </w:rPr>
        <w:t>ما هو مرتكز الصحابة في صيغة الحكومة؟</w:t>
      </w:r>
      <w:bookmarkEnd w:id="950"/>
    </w:p>
    <w:p>
      <w:pPr>
        <w:pStyle w:val="Heading5"/>
        <w:numPr>
          <w:ilvl w:val="4"/>
          <w:numId w:val="1"/>
        </w:numPr>
        <w:rPr/>
      </w:pPr>
      <w:bookmarkStart w:id="951" w:name="__RefHeading___Toc1391607_1067777946"/>
      <w:bookmarkStart w:id="952" w:name="_Toc353"/>
      <w:bookmarkEnd w:id="951"/>
      <w:r>
        <w:rPr>
          <w:rtl w:val="true"/>
        </w:rPr>
        <w:t>اشارة</w:t>
      </w:r>
      <w:bookmarkEnd w:id="952"/>
    </w:p>
    <w:p>
      <w:pPr>
        <w:pStyle w:val="BookText"/>
        <w:rPr/>
      </w:pPr>
      <w:r>
        <w:rPr>
          <w:rFonts w:ascii="Amiri" w:hAnsi="Amiri" w:eastAsia="Amiri" w:cs="Amiri"/>
          <w:color w:val="111111"/>
          <w:sz w:val="28"/>
          <w:sz w:val="28"/>
          <w:szCs w:val="28"/>
          <w:rtl w:val="true"/>
          <w:lang w:bidi="ar-SA"/>
        </w:rPr>
        <w:t>لقد دلّت المحاسبات العقلية والاجتماعية السابقة على لزوم تنصيب الإمام من جانب الله تعالى ، وأثبتت أن إدلاء الأمر إلى نظر الأُمّة وانتخابها وتعيينها خطأ فاضح ، يأباه العقل وترفضه المصالح العامة وتعارضه المحاسبات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جانب آخر يسلط الضوء على نظرية الإمامة وهو تصور النبي وأصحابه للإمامة والخلافة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فالقرائن والشواهد تؤكد على أنّ مسألة الإمامة كانت عندهم تنصيبية وفيما ننقل من الشاهدين تصريح بذلك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 عرض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على بني عامر الذين جاءوا إلى مكة في موسم الحجّ ودعاهم إلى الإسلام ، قال له كبيرهم؟ أرأيت إن بايعناك على أمرك ثمّ أظهرك الله على من خالفك أيكون لنا الأمر من بعدك؟</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الأمر إلى الله يضعه حيث يشاء</w:t>
      </w:r>
      <w:r>
        <w:rPr>
          <w:rFonts w:eastAsia="Amiri" w:cs="Amiri" w:ascii="Amiri" w:hAnsi="Amiri"/>
          <w:color w:val="111111"/>
          <w:sz w:val="28"/>
          <w:szCs w:val="28"/>
          <w:rtl w:val="true"/>
          <w:lang w:bidi="ar-SA"/>
        </w:rPr>
        <w:t xml:space="preserve">». </w:t>
      </w:r>
      <w:r>
        <w:rPr>
          <w:rStyle w:val="FootnoteAnchor"/>
          <w:rtl w:val="true"/>
        </w:rPr>
        <w:footnoteReference w:id="616"/>
      </w:r>
      <w:bookmarkStart w:id="953" w:name="pg11047_102965"/>
    </w:p>
    <w:p>
      <w:pPr>
        <w:pStyle w:val="BookText"/>
        <w:rPr/>
      </w:pPr>
      <w:bookmarkEnd w:id="953"/>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 بعث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سليط بن عمرو العامري إلى ملك اليمامة الذي كان نصرانياً ، يدعوه إلى الإسلام وقد كتب معه كتاباً ، فقدم على هوذة ، فأنزله وحباه وكتب إلى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ما تدعو إليه وأجمله ، وأنا شاعر قومي وخطيبهم ، والعرب تهاب مكاني فاجعل لي بعض الأمر أتّبعك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فقدم سليط على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وأخبره بما قال هوذة ، وقرأ كتابه ، فقال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لو سألني سيابة من الأرض ما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 وباد ما في يده</w:t>
      </w:r>
      <w:r>
        <w:rPr>
          <w:rFonts w:eastAsia="Amiri" w:cs="Amiri" w:ascii="Amiri" w:hAnsi="Amiri"/>
          <w:color w:val="111111"/>
          <w:sz w:val="28"/>
          <w:szCs w:val="28"/>
          <w:rtl w:val="true"/>
          <w:lang w:bidi="ar-SA"/>
        </w:rPr>
        <w:t xml:space="preserve">». </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 xml:space="preserve">إنّ هذين النموذجين التاريخيين للّذين لم تمسّهما أيدي التحريف والتغيير يدلاّن خصوصاً الأوّل بوضوح كامل على تصور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مسألة الخلافة والقيادة من بعده ، فهما يدلاّن على أنّ هذه المسألة كانت إذا طرحت على النبي ، وسئل عمّن سيخلفه في أمر قيادة الأُمّة كان يتجنب إرجاعها إلى نفسه أو إلى نظر الأُمّة ، بل يرجع أمرها إلى الله تعالى ، أو يتوقّف في إبداء النظر فيه على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تصوّر الصحابة لمسألة الخلافة والمرتكز في أذهانهم فقد كان يدور حول التنصيب ، أي سدّ الفراغ بتنصيب إمام سابق على إمامة إمام لاحق ، وما كان يدور في خلدهم ، انتخاب الشعب ، أو أهل الحلّ والعقد من الأُمّة ، وإليك شواهد على ذلك</w:t>
      </w:r>
      <w:r>
        <w:rPr>
          <w:rFonts w:eastAsia="Amiri" w:cs="Amiri" w:ascii="Amiri" w:hAnsi="Amiri"/>
          <w:color w:val="111111"/>
          <w:sz w:val="28"/>
          <w:szCs w:val="28"/>
          <w:rtl w:val="true"/>
          <w:lang w:bidi="ar-SA"/>
        </w:rPr>
        <w:t>.</w:t>
      </w:r>
    </w:p>
    <w:p>
      <w:pPr>
        <w:pStyle w:val="Heading5"/>
        <w:numPr>
          <w:ilvl w:val="4"/>
          <w:numId w:val="1"/>
        </w:numPr>
        <w:rPr/>
      </w:pPr>
      <w:bookmarkStart w:id="954" w:name="__RefHeading___Toc1391609_1067777946"/>
      <w:bookmarkStart w:id="955" w:name="_Toc354"/>
      <w:bookmarkEnd w:id="954"/>
      <w:r>
        <w:rPr>
          <w:rtl w:val="true"/>
        </w:rPr>
        <w:t>ما هو المرتكز في أذهان الصحابة؟</w:t>
      </w:r>
      <w:bookmarkEnd w:id="955"/>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المتتبع في تاريخ الصحابة والخلفاء والذين تعاقبوا على مسند الخلافة بعد النبي ، يرى بوضوح انّ الطريقة التي اتّبعها أُولئك الصحابة ، والخلفاء كانت هي الطريقة الانتصابية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الانتصاب من جانب شخص لا من الله </w:t>
      </w:r>
    </w:p>
    <w:p>
      <w:pPr>
        <w:pStyle w:val="BookText"/>
        <w:rPr/>
      </w:pP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الانتخابية الشعبية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فالخليفة السابق كان يعين الخليفة اللاحق ، إمّا مباشرة أو بتعيين أشخاص يتولون تعيين الخليفة والاتفاق عليه ، ولم يترك أحد أُولئك أمر القيادة إلى نظر الأُمّة وإرادتها واختيارها ، أو يتكل على آراء المهاجرين والأنصار ، أو أهل الحلّ والعقد ليختاروا مَن يشاءون للخلافة والامرة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يلاحظ تاريخ الصدر الأوّل يرى انّ خلافة عمر ابن الخطاب تمت بتعيين من أبي بكر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ابن الأثير في كامله أنّ أبا بكر أملى على عثمان عهده ، ولكنّه غشي عليه أثناء الإملاء ، فأكمله عثمان وكتب فيه استخلاف عمر من عند نفسه ، ثمّ إنّه لما أفاق أبو بكر من غشيته ، وافق على ما كتبه عثمان ، وإليك نصّ ما كتبه ابن الأثير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أبا بكر أحضر عثمان بن عفان ليكتب عهده إلى عمر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بسم الله الرّحمن الرحيم هذا ما عهد أبو بكر بن أبي قحافة إلى المسلمين ، 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أُغمي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عثمان 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قد استخلفت عليكم عمر بن الخطاب ولم ألكم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أفاق أبو بكر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عليّ ، فقرأ عليه ، فكبّر أبو بكر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خفت أن يختلف الناس ان متُّ في غشيتي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خيراً عن الإسلام وأهله</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كتب العهد أمر به أن يقرأ على الناس فجمعهم ، وأرسل الكتاب مع مولى له ومعه عمر ، وكان عمر يقول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انصتوا واسمعوا لخليفة رسول الله </w:t>
      </w:r>
    </w:p>
    <w:p>
      <w:pPr>
        <w:pStyle w:val="BookText"/>
        <w:rPr/>
      </w:pPr>
      <w:r>
        <w:rPr>
          <w:rFonts w:ascii="Amiri" w:hAnsi="Amiri" w:eastAsia="Amiri" w:cs="Amiri"/>
          <w:color w:val="111111"/>
          <w:sz w:val="28"/>
          <w:sz w:val="28"/>
          <w:szCs w:val="28"/>
          <w:rtl w:val="true"/>
          <w:lang w:bidi="ar-SA"/>
        </w:rPr>
        <w:t>انّه لم يألكم نصحاً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فسكت الناس فلما قرأ عليهم الكتاب سمعوا له وأطاعوا</w:t>
      </w:r>
      <w:r>
        <w:rPr>
          <w:rFonts w:eastAsia="Amiri" w:cs="Amiri" w:ascii="Amiri" w:hAnsi="Amiri"/>
          <w:color w:val="111111"/>
          <w:sz w:val="28"/>
          <w:szCs w:val="28"/>
          <w:rtl w:val="true"/>
          <w:lang w:bidi="ar-SA"/>
        </w:rPr>
        <w:t xml:space="preserve">. </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 xml:space="preserve">وأمّا استخلاف عثمان فقد ذكره المؤرخون ونقتصر على نصّ ابن الأثير في كامله ،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عمر بن الخطاب لما طعن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لو استخلفت؟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استخلف؟ لو كان أبو عبيدة حياً لاستخلفته ، ولو كان سالم مولى حذيفة حياً لاستخلفته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أدلك عليه عبد الله بن عمر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قاتلك الله كيف استخلف من عجز عن طلاق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عليكم هؤلاء الرهط الذين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من أهل الجنة ،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وعثمان وعبد الرحمن وسعد والزبير بن العوام وطلحة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 عمر دعا علياً وعثمان وسعداً وعبد الرحمن والزبير ، فقال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نظرت فوجدتكم رؤساء الناس وقادتهم ، ولا يكون هذا الأمر إلاّ فيكم ، وقد قبض رسول الله وهو عنكم راض ، وانّي لا أخاف الناس عليكم إن استقمتم ، ولكنّي أخافكم فيما بينكم فيختلف الناس ، فانهضوا إلى حجرة عائشة بإذنها فتشاوروا فيها ، واختاروا رجلاً منكم ، فإذا مت فتشاوروا ثلاثة أيّام ، وليصلّ بالناس صهيب ، ولا يأتي اليوم الرابع إلاّ وعليكم 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فاجتمع هؤلاء الرهط في بيت حتّى يختاروا رجلاً منهم</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لصهيب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بالناس ثلاثة أيام وأدخل هؤلاء الرهط بيتاً وقم على </w:t>
      </w:r>
    </w:p>
    <w:p>
      <w:pPr>
        <w:pStyle w:val="BookText"/>
        <w:rPr/>
      </w:pPr>
      <w:r>
        <w:rPr>
          <w:rFonts w:ascii="Amiri" w:hAnsi="Amiri" w:eastAsia="Amiri" w:cs="Amiri"/>
          <w:color w:val="111111"/>
          <w:sz w:val="28"/>
          <w:sz w:val="28"/>
          <w:szCs w:val="28"/>
          <w:rtl w:val="true"/>
          <w:lang w:bidi="ar-SA"/>
        </w:rPr>
        <w:t>رءوسهم ، فإن اجتمع خمسة وأبى واحد فاشدخ رأسه بالسيف ، وإن اتّفق أربعة وأبى اثنان فاضرب رءوسهما ، وإن رضي ثلاثة رجلاً وثلاثة رجلاً ، فحكّموا عبد الله بن عمر ؛ فإن لم يرضوا بحكم عبد الله بن عمر ، فكونوا مع الذين فيهم عبد الرحمن بن عوف واقتلوا الباقين إن رغبوا عمّا اجتمع فيه الناس</w:t>
      </w:r>
      <w:r>
        <w:rPr>
          <w:rFonts w:eastAsia="Amiri" w:cs="Amiri" w:ascii="Amiri" w:hAnsi="Amiri"/>
          <w:color w:val="111111"/>
          <w:sz w:val="28"/>
          <w:szCs w:val="28"/>
          <w:rtl w:val="true"/>
          <w:lang w:bidi="ar-SA"/>
        </w:rPr>
        <w:t xml:space="preserve">. </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وعلى هذه السيرة جرى أصحاب السياسة بعد حياة الرسول ولم يكن عندهم أيّ رؤى في تعيين الخليفة لا بالشورى ولا ببيعة أهل الحل والعقد ، بل كان التنصيص عندهم هو الطريق الوحيد ، لكن لا من الله سبحانه بل من جانب الخليفة الذي كان يلفظ أنفاسه الأخيرة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المؤرخون انّه لما اغتيل عمر بن الخطاب وأحسّ بالموت ، أرسل ابنه عبد الله إلى عائشة واستأذن منها أن يدفن في بيتها مع رسول الله ومع أبي بكر ، فأتاها عبد الله ، فأعلمها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وكرامة ،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 أبلغ عمر سلامي وقل له ، لا تدع أُمّة محمد بلا راع ، استخلف عليهم ، ولا تدعهم بعدك هملا ، فانّي أخشى عليهم الفتنة ، فأتاه فأعلمه</w:t>
      </w:r>
      <w:r>
        <w:rPr>
          <w:rFonts w:eastAsia="Amiri" w:cs="Amiri" w:ascii="Amiri" w:hAnsi="Amiri"/>
          <w:color w:val="111111"/>
          <w:sz w:val="28"/>
          <w:szCs w:val="28"/>
          <w:rtl w:val="true"/>
          <w:lang w:bidi="ar-SA"/>
        </w:rPr>
        <w:t xml:space="preserve">. </w:t>
      </w:r>
      <w:r>
        <w:rPr>
          <w:rStyle w:val="FootnoteAnchor"/>
          <w:rtl w:val="true"/>
        </w:rPr>
        <w:footnoteReference w:id="62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عبد الله بن عمر دخل على أبيه قبيل وفاته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الناس يقولون مقالة ، فآليت أن أقولها لك ، وزعموا انّك غير مستخلف وانّه لو كان لك راعي إبل أو غنم ثمّ جاءك وتركها لرأيت ان قد ضيّع فرعاية الناس أشد</w:t>
      </w:r>
      <w:r>
        <w:rPr>
          <w:rFonts w:eastAsia="Amiri" w:cs="Amiri" w:ascii="Amiri" w:hAnsi="Amiri"/>
          <w:color w:val="111111"/>
          <w:sz w:val="28"/>
          <w:szCs w:val="28"/>
          <w:rtl w:val="true"/>
          <w:lang w:bidi="ar-SA"/>
        </w:rPr>
        <w:t xml:space="preserve">. </w:t>
      </w:r>
      <w:r>
        <w:rPr>
          <w:rStyle w:val="FootnoteAnchor"/>
          <w:rtl w:val="true"/>
        </w:rPr>
        <w:footnoteReference w:id="62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قدم معاوية المدينة لأخذ البيعة من أهلها لابنه يزيد ، فاجتمع مع عدّة من الصحابة ، وأرسل إلى عبد الله بن عمر فأتاه وخلا به ، وكلمه بكلام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كرهت أن أدع أُمّة محمد بعدي كالضأن لا راعي لها</w:t>
      </w:r>
      <w:r>
        <w:rPr>
          <w:rFonts w:eastAsia="Amiri" w:cs="Amiri" w:ascii="Amiri" w:hAnsi="Amiri"/>
          <w:color w:val="111111"/>
          <w:sz w:val="28"/>
          <w:szCs w:val="28"/>
          <w:rtl w:val="true"/>
          <w:lang w:bidi="ar-SA"/>
        </w:rPr>
        <w:t xml:space="preserve">. </w:t>
      </w:r>
      <w:r>
        <w:rPr>
          <w:rStyle w:val="FootnoteAnchor"/>
          <w:rtl w:val="true"/>
        </w:rPr>
        <w:footnoteReference w:id="622"/>
      </w:r>
      <w:bookmarkStart w:id="956" w:name="pg11047_102969"/>
    </w:p>
    <w:p>
      <w:pPr>
        <w:pStyle w:val="Heading5"/>
        <w:numPr>
          <w:ilvl w:val="4"/>
          <w:numId w:val="1"/>
        </w:numPr>
        <w:rPr/>
      </w:pPr>
      <w:bookmarkStart w:id="957" w:name="__RefHeading___Toc1391611_1067777946"/>
      <w:bookmarkStart w:id="958" w:name="_Toc355"/>
      <w:bookmarkEnd w:id="956"/>
      <w:bookmarkEnd w:id="957"/>
      <w:r>
        <w:rPr>
          <w:rtl w:val="true"/>
        </w:rPr>
        <w:t>الآن حصحص الحق</w:t>
      </w:r>
      <w:bookmarkEnd w:id="958"/>
    </w:p>
    <w:p>
      <w:pPr>
        <w:pStyle w:val="BookText"/>
        <w:rPr/>
      </w:pPr>
      <w:r>
        <w:rPr>
          <w:rFonts w:ascii="Amiri" w:hAnsi="Amiri" w:eastAsia="Amiri" w:cs="Amiri"/>
          <w:color w:val="111111"/>
          <w:sz w:val="28"/>
          <w:sz w:val="28"/>
          <w:szCs w:val="28"/>
          <w:rtl w:val="true"/>
          <w:lang w:bidi="ar-SA"/>
        </w:rPr>
        <w:t xml:space="preserve">إنّ هذا البحث الضافي المقرون بالشواهد والدلائل التاريخية يثبت بوضوح انّ نظام الحكم بعد رحيل النبي كان قائماً على التنصيب من الله سبحانه كتنصيبه للنبي ، وتشهد على ذلك الأُمور المتقدّمة التي نأتي بخلاصتها ليستنتج منها النتيجة المبتغاة ، وإليك إعادة الدلائل إجمالاً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الدولة الإسلامية الفتية كانت محاطة بعد وفاة النبي بأعداء في الداخل والخارج ، فمقتضى المصلحة العامة في تلك الظروف الحرجة تعيين الإمام لئلاّ تُترك الدولة بعد وفاة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عرضة للاختلاف وبالتالي تمكن أعداءها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حياة العرب في عاصمة الإسلام وخارجها كانت حياة قبلية والتعصبات العشائرية لا تزال راسخة في نفوسهم ، وترك أمر الخلافة إلى مجتمع هذا حاله يؤدّي إلى التشاغل والاختلاف وبالتالي إلى القتل والدمار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الفراغات الهائلة الطارئة بعد رحيل النبي على ما تقدم لا يسد إلاّ بتنصيب من يكون له مؤهلات علمية ونفسية يقوم بوظائف النبي في تلك المجالات دون أن يكون نبياً أو رسولاً والذي يتمتع بهذه المؤهلات يجب أن يكون خاضعاً لرعاية إلهية ولا يعرّف إلاّ من جانبه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تصور النبي للخلافة الإسلامية هو إيكالها إلى الله سبحانه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تصور الصحابة وسيرتهم في الخلافة هي سيرة التنصيب وكانوا يحتجون بأنّ في تركه تعريضاً للأُمّة للهلاك والدمار وفريسة للذئاب والأعداء</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يمكن أن يلتفت الخلفاء وأُمّ المؤمنين إلى ضرورة التنصيب صيانة للأُمّة </w:t>
      </w:r>
    </w:p>
    <w:p>
      <w:pPr>
        <w:pStyle w:val="BookText"/>
        <w:rPr/>
      </w:pPr>
      <w:r>
        <w:rPr>
          <w:rFonts w:ascii="Amiri" w:hAnsi="Amiri" w:eastAsia="Amiri" w:cs="Amiri"/>
          <w:color w:val="111111"/>
          <w:sz w:val="28"/>
          <w:sz w:val="28"/>
          <w:szCs w:val="28"/>
          <w:rtl w:val="true"/>
          <w:lang w:bidi="ar-SA"/>
        </w:rPr>
        <w:t xml:space="preserve">عن وقوعها فريسة للأعداء ولا يلتفت إليه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أُوتي من العلم ما أُوتي ، ويقول سبحانه في حقّه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فَضْلُ اللهِ عَلَيْكَ عَظِيماً</w:t>
      </w:r>
      <w:r>
        <w:rPr>
          <w:rFonts w:eastAsia="Amiri" w:cs="Amiri" w:ascii="Amiri" w:hAnsi="Amiri"/>
          <w:color w:val="111111"/>
          <w:sz w:val="28"/>
          <w:szCs w:val="28"/>
          <w:rtl w:val="true"/>
          <w:lang w:bidi="ar-SA"/>
        </w:rPr>
        <w:t xml:space="preserve">). </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كلّ ذلك يعرب عن أنّ القائد الحكيم بأمر من الله سبحانه سلك مسلكاً ونهج منهجاً يطابق هذه الأُصول والمقدمات وما خالفها وعيّن القائد بعده في حياته وأعلنه للأُمّة في موسم أو مواسم</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أوصلنا إليه السبر والتقسيم والمحاسبة في الأُمور الاجتماعية والسياسية فيجب علينا عندئذ الرجوع إلى الكتاب والسنّة لنقف ونتعرف على ذلك القائد المنصوب ، ونذعن بأنّ عمل النبيّ كان مرافقاً لهذه الأُصول العقلائية التي تقدّمت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سيوافيك بعد دراسة نظرية مبدئية الشورى للحكم</w:t>
      </w:r>
      <w:r>
        <w:rPr>
          <w:rFonts w:eastAsia="Amiri" w:cs="Amiri" w:ascii="Amiri" w:hAnsi="Amiri"/>
          <w:color w:val="111111"/>
          <w:sz w:val="28"/>
          <w:szCs w:val="28"/>
          <w:rtl w:val="true"/>
          <w:lang w:bidi="ar-SA"/>
        </w:rPr>
        <w:t xml:space="preserve">. </w:t>
      </w:r>
      <w:bookmarkStart w:id="959" w:name="pg11047_102971"/>
    </w:p>
    <w:p>
      <w:pPr>
        <w:pStyle w:val="Heading3"/>
        <w:numPr>
          <w:ilvl w:val="2"/>
          <w:numId w:val="1"/>
        </w:numPr>
        <w:rPr/>
      </w:pPr>
      <w:bookmarkStart w:id="960" w:name="__RefHeading___Toc1391613_1067777946"/>
      <w:bookmarkStart w:id="961" w:name="_Toc356"/>
      <w:bookmarkEnd w:id="959"/>
      <w:bookmarkEnd w:id="960"/>
      <w:r>
        <w:rPr>
          <w:rtl w:val="true"/>
        </w:rPr>
        <w:t>الأمر الخامس</w:t>
      </w:r>
      <w:r>
        <w:rPr>
          <w:rtl w:val="true"/>
        </w:rPr>
        <w:t xml:space="preserve">: </w:t>
      </w:r>
      <w:r>
        <w:rPr>
          <w:rtl w:val="true"/>
        </w:rPr>
        <w:t>هل الشورى أساس الحكم والخلافة؟</w:t>
      </w:r>
      <w:bookmarkEnd w:id="961"/>
    </w:p>
    <w:p>
      <w:pPr>
        <w:pStyle w:val="Heading4"/>
        <w:numPr>
          <w:ilvl w:val="3"/>
          <w:numId w:val="1"/>
        </w:numPr>
        <w:rPr/>
      </w:pPr>
      <w:bookmarkStart w:id="962" w:name="__RefHeading___Toc1391615_1067777946"/>
      <w:bookmarkStart w:id="963" w:name="_Toc357"/>
      <w:bookmarkEnd w:id="962"/>
      <w:r>
        <w:rPr>
          <w:rtl w:val="true"/>
        </w:rPr>
        <w:t>اشارة</w:t>
      </w:r>
      <w:bookmarkEnd w:id="963"/>
    </w:p>
    <w:p>
      <w:pPr>
        <w:pStyle w:val="BookText"/>
        <w:rPr/>
      </w:pPr>
      <w:r>
        <w:rPr>
          <w:rFonts w:ascii="Amiri" w:hAnsi="Amiri" w:eastAsia="Amiri" w:cs="Amiri"/>
          <w:color w:val="111111"/>
          <w:sz w:val="28"/>
          <w:sz w:val="28"/>
          <w:szCs w:val="28"/>
          <w:rtl w:val="true"/>
          <w:lang w:bidi="ar-SA"/>
        </w:rPr>
        <w:t xml:space="preserve">ربما يتصوّر بعض الكتاب الجدد انّ نظام الحكم في الإسلام هو الشورى ، وقد حاول غير واحد من المعاصرين صبّ صيغة الحكومة الإسلامية على أساس المشورة بجعله بمنزلة الاستفتاء الشعبي بملاحظة انّه لم يكن من الممكن بعد وفاة النبي مراجعة كلّ الأفكار لقلّة وسائل المواصلات فاكتفوا بالشورى ، واستدلّوا عليه بآيتين كريمتين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وَشاوِرْهُمْ فِي الْأَمْرِ فَإِذا عَزَمْتَ فَتَوَكَّلْ عَلَى اللهِ</w:t>
      </w:r>
      <w:r>
        <w:rPr>
          <w:rFonts w:eastAsia="Amiri" w:cs="Amiri" w:ascii="Amiri" w:hAnsi="Amiri"/>
          <w:color w:val="111111"/>
          <w:sz w:val="28"/>
          <w:szCs w:val="28"/>
          <w:rtl w:val="true"/>
          <w:lang w:bidi="ar-SA"/>
        </w:rPr>
        <w:t xml:space="preserve">). </w:t>
      </w:r>
      <w:r>
        <w:rPr>
          <w:rStyle w:val="FootnoteAnchor"/>
          <w:rtl w:val="true"/>
        </w:rPr>
        <w:footnoteReference w:id="62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اسْتَجابُوا لِرَبِّهِمْ وَأَقامُوا الصَّلاةَ وَأَمْرُهُمْ شُورى بَيْنَهُمْ وَمِمَّا رَزَقْناهُمْ يُنْفِقُونَ</w:t>
      </w:r>
      <w:r>
        <w:rPr>
          <w:rFonts w:eastAsia="Amiri" w:cs="Amiri" w:ascii="Amiri" w:hAnsi="Amiri"/>
          <w:color w:val="111111"/>
          <w:sz w:val="28"/>
          <w:szCs w:val="28"/>
          <w:rtl w:val="true"/>
          <w:lang w:bidi="ar-SA"/>
        </w:rPr>
        <w:t xml:space="preserve">). </w:t>
      </w:r>
      <w:r>
        <w:rPr>
          <w:rStyle w:val="FootnoteAnchor"/>
          <w:rtl w:val="true"/>
        </w:rPr>
        <w:footnoteReference w:id="625"/>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النظرية وإن كانت لها روعة خاصة خصوصاً وانّها تتجاوب مع روح العصر لكن الواقع على خلافها لما عرفت من أنّ عمر بن الخطاب أخذ بزمام الحكم بتعيين الخليفة الأوّل ، وانّ الثالث استتب له الأمر بشورى سداسية عيّنها نفس الخليفة ، حتّى أنّ الخليفة الأوّل أخذ زمام الحكم ببيعة نفرات قليلة ، وهم </w:t>
      </w:r>
      <w:r>
        <w:rPr>
          <w:rFonts w:eastAsia="Amiri" w:cs="Amiri" w:ascii="Amiri" w:hAnsi="Amiri"/>
          <w:color w:val="111111"/>
          <w:sz w:val="28"/>
          <w:szCs w:val="28"/>
          <w:rtl w:val="true"/>
          <w:lang w:bidi="ar-SA"/>
        </w:rPr>
        <w:t xml:space="preserve">: </w:t>
      </w:r>
      <w:bookmarkStart w:id="964" w:name="pg11047_102972"/>
    </w:p>
    <w:p>
      <w:pPr>
        <w:pStyle w:val="BookText"/>
        <w:rPr/>
      </w:pPr>
      <w:bookmarkEnd w:id="964"/>
      <w:r>
        <w:rPr>
          <w:rFonts w:ascii="Amiri" w:hAnsi="Amiri" w:eastAsia="Amiri" w:cs="Amiri"/>
          <w:color w:val="111111"/>
          <w:sz w:val="28"/>
          <w:sz w:val="28"/>
          <w:szCs w:val="28"/>
          <w:rtl w:val="true"/>
          <w:lang w:bidi="ar-SA"/>
        </w:rPr>
        <w:t xml:space="preserve">عمر بن الخطاب وأبو عبيدة ، من المهاجرين وبشر بن سعد ، من الخزرج ، وأسيد بن حضير من الأنصار ، وأمّا الباقون من رجال الأوس لم يبايعوا أبا بكر إلاّ تبعاً لرئيسهم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حضير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أنّ الخزرجيين رغم حضورهم في السقيفة ، امتنعوا من البيعة لأبي بكر</w:t>
      </w:r>
      <w:r>
        <w:rPr>
          <w:rFonts w:eastAsia="Amiri" w:cs="Amiri" w:ascii="Amiri" w:hAnsi="Amiri"/>
          <w:color w:val="111111"/>
          <w:sz w:val="28"/>
          <w:szCs w:val="28"/>
          <w:rtl w:val="true"/>
          <w:lang w:bidi="ar-SA"/>
        </w:rPr>
        <w:t xml:space="preserve">. </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 xml:space="preserve">وقد غاب عن المجلس كبار الصحابة كالإمام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والمقداد ، وأبي ذر ، وحذيفة بن اليمان ، وأبي بن كعب ، وطلحة ، والزبير وعشرات آخرين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أن يكون هناك شورى وإنّما وقعت الأُمّة أمام عمل مفروغ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وأحسن كلمة تعبر عن خلافة أبي بكر ما ذكره عمر ابن الخطاب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كانت بيعة أبي بكر فلتة وتمت ، ألا وانّها قد كانت كذلك ولكن الله وقى شرها ، وليس منكم من تقطع الأعناق إليه مثل أبي بكر ، من بايع رجلاً من غير مشورة من المسلمين فلا يبايع هو ولا الذي بايعه ، تغرّة ان يقتلا</w:t>
      </w:r>
      <w:r>
        <w:rPr>
          <w:rFonts w:eastAsia="Amiri" w:cs="Amiri" w:ascii="Amiri" w:hAnsi="Amiri"/>
          <w:color w:val="111111"/>
          <w:sz w:val="28"/>
          <w:szCs w:val="28"/>
          <w:rtl w:val="true"/>
          <w:lang w:bidi="ar-SA"/>
        </w:rPr>
        <w:t xml:space="preserve">. </w:t>
      </w:r>
      <w:r>
        <w:rPr>
          <w:rStyle w:val="FootnoteAnchor"/>
          <w:rtl w:val="true"/>
        </w:rPr>
        <w:footnoteReference w:id="627"/>
      </w:r>
    </w:p>
    <w:p>
      <w:pPr>
        <w:pStyle w:val="Heading4"/>
        <w:numPr>
          <w:ilvl w:val="3"/>
          <w:numId w:val="1"/>
        </w:numPr>
        <w:rPr/>
      </w:pPr>
      <w:bookmarkStart w:id="965" w:name="__RefHeading___Toc1391617_1067777946"/>
      <w:bookmarkStart w:id="966" w:name="_Toc358"/>
      <w:bookmarkEnd w:id="965"/>
      <w:r>
        <w:rPr>
          <w:rtl w:val="true"/>
        </w:rPr>
        <w:t>نقد كون الشورى مبدأ الحكم</w:t>
      </w:r>
      <w:bookmarkEnd w:id="966"/>
    </w:p>
    <w:p>
      <w:pPr>
        <w:pStyle w:val="BookText"/>
        <w:rPr/>
      </w:pPr>
      <w:r>
        <w:rPr>
          <w:rFonts w:ascii="Amiri" w:hAnsi="Amiri" w:eastAsia="Amiri" w:cs="Amiri"/>
          <w:color w:val="111111"/>
          <w:sz w:val="28"/>
          <w:sz w:val="28"/>
          <w:szCs w:val="28"/>
          <w:rtl w:val="true"/>
          <w:lang w:bidi="ar-SA"/>
        </w:rPr>
        <w:t>إنّ هنا أُموراً تثبت بوضوح على أنّ الشورى لم يكن مبدأً لنظام الحكم بعد رحيل الرسول ، وإليك الإشارة إليها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كان أساس الحكم هو الشورى ، لوجب على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التصريح به أوّلاً ، وبيان حدوده وخصوصياته ثانياً ، بأن يبين من هم الذين يشاركون في الشورى ، هل هم القراء وحدهم ، أو السياسيون أو القادة العسكريون أو الجميع؟ وما هي شرائط المنتخب؟ وأنّه لو حصل هناك اختلاف في الشورى فما هو</w:t>
      </w:r>
    </w:p>
    <w:p>
      <w:pPr>
        <w:pStyle w:val="BookText"/>
        <w:rPr/>
      </w:pPr>
      <w:r>
        <w:rPr>
          <w:rFonts w:ascii="Amiri" w:hAnsi="Amiri" w:eastAsia="Amiri" w:cs="Amiri"/>
          <w:color w:val="111111"/>
          <w:sz w:val="28"/>
          <w:sz w:val="28"/>
          <w:szCs w:val="28"/>
          <w:rtl w:val="true"/>
          <w:lang w:bidi="ar-SA"/>
        </w:rPr>
        <w:t>المرجح؟ هل هو كمية الآراء وكثرتها ، أو الرجحان بالكيفية ، وخصوصيات المرشحين وملكاتهم النفسية والمعنوية؟</w:t>
      </w:r>
    </w:p>
    <w:p>
      <w:pPr>
        <w:pStyle w:val="BookText"/>
        <w:rPr/>
      </w:pPr>
      <w:r>
        <w:rPr>
          <w:rFonts w:ascii="Amiri" w:hAnsi="Amiri" w:eastAsia="Amiri" w:cs="Amiri"/>
          <w:color w:val="111111"/>
          <w:sz w:val="28"/>
          <w:sz w:val="28"/>
          <w:szCs w:val="28"/>
          <w:rtl w:val="true"/>
          <w:lang w:bidi="ar-SA"/>
        </w:rPr>
        <w:t xml:space="preserve">فهل يصحّ سكوت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الاجابة عن هذه الأسئلة التي تتصل بجوهر مسألة الشورى ، وقد جعل الشورى طريقاً إلى تعيين الحاكم؟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القوم يعبّرون عن أعضاء الشورى بأهل الحل والعقد ، ولا يفسرونه بما يرفع إبهامه ، فمن هم أهل الحل والعقد؟ وما ذا يحلون وما ذا يعقدون؟ أهم أصحاب الفقه والرأي الذين يرجع إليهم الناس في أحكام دينهم؟ وهل يشترط حينئذ درجة معينة من الفقه والعلم؟ وما هي تلك الدرجة؟ وبأي ميزان توزن؟ ومن إليه يرجع الأمر في تقديرها؟ أم غيرهم ، فمن هم؟</w:t>
      </w:r>
    </w:p>
    <w:p>
      <w:pPr>
        <w:pStyle w:val="BookText"/>
        <w:rPr/>
      </w:pPr>
      <w:r>
        <w:rPr>
          <w:rFonts w:ascii="Amiri" w:hAnsi="Amiri" w:eastAsia="Amiri" w:cs="Amiri"/>
          <w:color w:val="111111"/>
          <w:sz w:val="28"/>
          <w:sz w:val="28"/>
          <w:szCs w:val="28"/>
          <w:rtl w:val="true"/>
          <w:lang w:bidi="ar-SA"/>
        </w:rPr>
        <w:t xml:space="preserve">وربما تجد من يبدل كلمة أهل الحلّ والعقد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الأفراد المسئولين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إلاّ وضع كلمة مجملة مكان كلمة مثلها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فرض كون الشورى أساس الحكم ، فهل يكون انتخاب أعضاء الشورى ملزماً للأُمّة ، ليس لهم التخلّف عنه؟ أو يكون بمنزلة الترشيح حتّى تعطي الأُمّة رأيها فيه؟ وما هو دليل كلّ منهما؟</w:t>
      </w:r>
    </w:p>
    <w:p>
      <w:pPr>
        <w:pStyle w:val="BookText"/>
        <w:rPr/>
      </w:pPr>
      <w:r>
        <w:rPr>
          <w:rFonts w:ascii="Amiri" w:hAnsi="Amiri" w:eastAsia="Amiri" w:cs="Amiri"/>
          <w:color w:val="111111"/>
          <w:sz w:val="28"/>
          <w:sz w:val="28"/>
          <w:szCs w:val="28"/>
          <w:rtl w:val="true"/>
          <w:lang w:bidi="ar-SA"/>
        </w:rPr>
        <w:t>هذه الأسئلة كلّها ، لا تجد لها جواباً في الكتاب والسنّة ولا في كتب المتكلّمين ، ولو كانت مبدأً للحكم لما كان السكوت عنها سائغاً ، بل لكان على عاتق التشريع الإسلامي الإجابة عنها وإضاءة طرقها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الحكومة الإسلامية دعامة الدين وأساس نشر العدل والقسط في المجتمع ودعوة الناس من الأديان كافة إلى الإسلام إلى ما لها من الفوائد العظيمة التي لا تدرك ولا توصف بالبيان</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كانت صيغة الحكومة هي التنصيب فقد أدى التشريع الإسلامي </w:t>
      </w:r>
    </w:p>
    <w:p>
      <w:pPr>
        <w:pStyle w:val="BookText"/>
        <w:rPr/>
      </w:pPr>
      <w:r>
        <w:rPr>
          <w:rFonts w:ascii="Amiri" w:hAnsi="Amiri" w:eastAsia="Amiri" w:cs="Amiri"/>
          <w:color w:val="111111"/>
          <w:sz w:val="28"/>
          <w:sz w:val="28"/>
          <w:szCs w:val="28"/>
          <w:rtl w:val="true"/>
          <w:lang w:bidi="ar-SA"/>
        </w:rPr>
        <w:t>وظيفته وجاز له السكوت عن البحث حول الحكومة وصيغتها وسائر الأُمور الراجعة إليها ، وأمّا لو كانت صيغة الحكومة من الشورى أو البيعة فلما ذا لم يرد في الكتاب والسنّة التصريح بذلك الأمر وبيان شرائط الشورى من المنتخِب والمنتخَب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انّا نرى أنّه روي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القدر نحو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 وحول آداب التخلي ما لا يحصى ، وهكذا في أكثر الأُمور العادية النازلة مرتبة ومكانة ، فهل من المعقول سكوت التشريع الإسلامي عن أمر بالغ الأهمية والخطورة وإسهاب الكلام في أُمور عادية؟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الاستدلال بالآيتين الكريمتين فلا يصحّ تماماً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الآية الأُولى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وَشاوِرْهُمْ فِي الْأَمْرِ فَإِذا عَزَمْتَ فَتَوَكَّلْ عَلَى اللهِ</w:t>
      </w:r>
      <w:r>
        <w:rPr>
          <w:rFonts w:eastAsia="Amiri" w:cs="Amiri" w:ascii="Amiri" w:hAnsi="Amiri"/>
          <w:color w:val="111111"/>
          <w:sz w:val="28"/>
          <w:szCs w:val="28"/>
          <w:rtl w:val="true"/>
          <w:lang w:bidi="ar-SA"/>
        </w:rPr>
        <w:t xml:space="preserve">) </w:t>
      </w:r>
      <w:r>
        <w:rPr>
          <w:rStyle w:val="FootnoteAnchor"/>
          <w:rtl w:val="true"/>
        </w:rPr>
        <w:footnoteReference w:id="628"/>
      </w:r>
      <w:r>
        <w:rPr>
          <w:rFonts w:ascii="Amiri" w:hAnsi="Amiri" w:eastAsia="Amiri" w:cs="Amiri"/>
          <w:color w:val="111111"/>
          <w:sz w:val="28"/>
          <w:sz w:val="28"/>
          <w:szCs w:val="28"/>
          <w:rtl w:val="true"/>
          <w:lang w:bidi="ar-SA"/>
        </w:rPr>
        <w:t>فالخطاب فيها متوجه إلى الحاكم الذي استقرت حكومته ، فيأمره سبحانه أن ينتفع من آراء رعيته فأقصى ما يمكن التجاوز به عن الآية ، هو انّ من وظائف كلّ الحكام التشاور مع الأُمّة ، وأمّا انّ الخلافة بنفس الشورى ، فلا يمكن الاستدلال عليه بهذه الآية</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المتبادر من الآية هو أنّ التشاور لا يوجب حكماً للحاكم ، ولا يلزمه بشيء ، بل هو يقلب وجوه الرأي ويستعرض الأفكار المختلفة ، ثمّ يأخذ بما هو المفيد في نظره ، وذلك لقوله سبحانه في نفس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عَزَمْتَ فَتَوَكَّلْ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المعرب عن أنّ العزم والتصميم والاستنتاج من الآراء والأخذ بما هو الأصلح راجع إلى نفس المشير ، وهذا يتحقّق في ظرف يكون هناك مسئول تام الاختيار في استحصال الأفكار والعمل بالنافع منها ، حتّى يخاطب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عَزَمْتَ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إذا لم يكن ثمة رئيس ، فلا تنطبق عليه الآية ، إذ ليس في انتخاب الخليفة بين المشيرين من يقوم بدعوة الأفراد للمشورة ، لغاية استعراض آرائهم ، ثمّ تمحيص أفكارهم ، والأخذ بالنافع منها ، ثمّ العزم القاطع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ذلك يعرب عن أنّ الآية ترجع إلى غير مسألة الحكومة وما شابهها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لم نر أحداً من الحاضرين في السقيفة احتجّ بهذه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الآية الثانية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اسْتَجابُوا لِرَبِّهِمْ وَأَقامُوا الصَّلاةَ وَأَمْرُهُمْ شُورى بَيْنَهُمْ وَمِمَّا رَزَقْناهُمْ يُنْفِقُونَ</w:t>
      </w:r>
      <w:r>
        <w:rPr>
          <w:rFonts w:eastAsia="Amiri" w:cs="Amiri" w:ascii="Amiri" w:hAnsi="Amiri"/>
          <w:color w:val="111111"/>
          <w:sz w:val="28"/>
          <w:szCs w:val="28"/>
          <w:rtl w:val="true"/>
          <w:lang w:bidi="ar-SA"/>
        </w:rPr>
        <w:t xml:space="preserve">). </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 xml:space="preserve">فيقرر كيفية دلالتها على كون الشورى مبدأً للحكم بالبيان 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أضيف إلى 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يفيد العموم والشمول لكلّ أمر ، ومنه الخلافة ، فيعود معنى الآية أنّ شأن المؤمنين في كلّ مورد ، شورى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تأمر بالمشورة في الأُمور المضافة إلى المؤمنين ، وأمّا أنّ تعيين الخليفة من الأُمور المضافة إليهم ، فهو أوّل الكلام ، والتمسّك بالآية في هذا المجال ، تمسّك بالحكم في إثبات موضوعه</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حثّت على الشورى فيما يمتّ إلى شئون المؤمنين بصلة ، لا فيما هو خارج عن حوزة أُمورهم ، أمّا كون تعيين الإمام داخلاً في أُمورهم ، فهو أوّل الكلام ، إذ لا ندري هل هو من شئونهم أو من شئون الله سبحانه ، ولا ندري ، هل هي إمرة وولاية إلهية تتم بنصبه سبحانه وتعيينه ، أو إمرة وولاية شعبية ، ويجوز للناس التدخّل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هذا الترديد لا يصحّ التمسّك بالآية</w:t>
      </w:r>
      <w:r>
        <w:rPr>
          <w:rFonts w:eastAsia="Amiri" w:cs="Amiri" w:ascii="Amiri" w:hAnsi="Amiri"/>
          <w:color w:val="111111"/>
          <w:sz w:val="28"/>
          <w:szCs w:val="28"/>
          <w:rtl w:val="true"/>
          <w:lang w:bidi="ar-SA"/>
        </w:rPr>
        <w:t xml:space="preserve">. </w:t>
      </w:r>
      <w:bookmarkStart w:id="967" w:name="pg11047_102976"/>
    </w:p>
    <w:p>
      <w:pPr>
        <w:pStyle w:val="Heading3"/>
        <w:numPr>
          <w:ilvl w:val="2"/>
          <w:numId w:val="1"/>
        </w:numPr>
        <w:rPr/>
      </w:pPr>
      <w:bookmarkStart w:id="968" w:name="__RefHeading___Toc1391619_1067777946"/>
      <w:bookmarkStart w:id="969" w:name="_Toc359"/>
      <w:bookmarkEnd w:id="967"/>
      <w:bookmarkEnd w:id="968"/>
      <w:r>
        <w:rPr>
          <w:rtl w:val="true"/>
        </w:rPr>
        <w:t>الأمر السادس</w:t>
      </w:r>
      <w:r>
        <w:rPr>
          <w:rtl w:val="true"/>
        </w:rPr>
        <w:t xml:space="preserve">: </w:t>
      </w:r>
      <w:r>
        <w:rPr>
          <w:rtl w:val="true"/>
        </w:rPr>
        <w:t xml:space="preserve">النصوص الدينية وتنصيب عليّ </w:t>
      </w:r>
      <w:r>
        <w:rPr>
          <w:rtl w:val="true"/>
        </w:rPr>
        <w:t xml:space="preserve">- </w:t>
      </w:r>
      <w:r>
        <w:rPr>
          <w:rtl w:val="true"/>
        </w:rPr>
        <w:t xml:space="preserve">عليه السلام </w:t>
      </w:r>
      <w:r>
        <w:rPr>
          <w:rtl w:val="true"/>
        </w:rPr>
        <w:t xml:space="preserve">- </w:t>
      </w:r>
      <w:r>
        <w:rPr>
          <w:rtl w:val="true"/>
        </w:rPr>
        <w:t>للإمامة</w:t>
      </w:r>
      <w:bookmarkEnd w:id="969"/>
    </w:p>
    <w:p>
      <w:pPr>
        <w:pStyle w:val="Heading4"/>
        <w:numPr>
          <w:ilvl w:val="3"/>
          <w:numId w:val="1"/>
        </w:numPr>
        <w:rPr/>
      </w:pPr>
      <w:bookmarkStart w:id="970" w:name="__RefHeading___Toc1391621_1067777946"/>
      <w:bookmarkStart w:id="971" w:name="_Toc360"/>
      <w:bookmarkEnd w:id="970"/>
      <w:r>
        <w:rPr>
          <w:rtl w:val="true"/>
        </w:rPr>
        <w:t>اشارة</w:t>
      </w:r>
      <w:bookmarkEnd w:id="971"/>
    </w:p>
    <w:p>
      <w:pPr>
        <w:pStyle w:val="BookText"/>
        <w:rPr/>
      </w:pPr>
      <w:r>
        <w:rPr>
          <w:rFonts w:ascii="Amiri" w:hAnsi="Amiri" w:eastAsia="Amiri" w:cs="Amiri"/>
          <w:color w:val="111111"/>
          <w:sz w:val="28"/>
          <w:sz w:val="28"/>
          <w:szCs w:val="28"/>
          <w:rtl w:val="true"/>
          <w:lang w:bidi="ar-SA"/>
        </w:rPr>
        <w:t xml:space="preserve">قد تبيّن بما قدّمناه من الأبحاث على ضوء الكتاب والسنّة ومن خلال مطالعة تاريخ الإسلام والمحاسبة في الأُمور الاجتماعية والسياسيّة ، وفي ظلّ هداية العقل الصريح ، انّ خليفة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وإمام المسلمين يجب أن يكون منصوباً من جانب الرسول بإذن من الله سبحانه ، وعندئذ يلزمنا الرجوع إلى الكتاب والسنّة لنقف على ذلك القائد المنصوب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أحاط بسيرة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يجد علي بن أبي طالب وزير رسول الله في أمره وولي عهده وصاحب الأمر من بعده ، ومن وقف على أقوال النبي وأفعاله في حلّه وترحاله ، يجد نصوصه في ذلك متواترة ، كما أنّ هناك آيات من الكتاب العزيز تهدينا إلى ذلك ، ونحن نكتفي في هذا المجال بذكر آية الولاية من الكتاب ونتبعها بحديثي المنزلة والغدير </w:t>
      </w:r>
      <w:r>
        <w:rPr>
          <w:rFonts w:eastAsia="Amiri" w:cs="Amiri" w:ascii="Amiri" w:hAnsi="Amiri"/>
          <w:color w:val="111111"/>
          <w:sz w:val="28"/>
          <w:szCs w:val="28"/>
          <w:rtl w:val="true"/>
          <w:lang w:bidi="ar-SA"/>
        </w:rPr>
        <w:t>:</w:t>
      </w:r>
    </w:p>
    <w:p>
      <w:pPr>
        <w:pStyle w:val="Heading4"/>
        <w:numPr>
          <w:ilvl w:val="3"/>
          <w:numId w:val="1"/>
        </w:numPr>
        <w:rPr/>
      </w:pPr>
      <w:bookmarkStart w:id="972" w:name="__RefHeading___Toc1391623_1067777946"/>
      <w:bookmarkStart w:id="973" w:name="_Toc361"/>
      <w:bookmarkEnd w:id="972"/>
      <w:r>
        <w:rPr/>
        <w:t>1</w:t>
      </w:r>
      <w:r>
        <w:rPr>
          <w:rtl w:val="true"/>
        </w:rPr>
        <w:t xml:space="preserve">. </w:t>
      </w:r>
      <w:r>
        <w:rPr>
          <w:rtl w:val="true"/>
        </w:rPr>
        <w:t>آية الولاية</w:t>
      </w:r>
      <w:bookmarkEnd w:id="973"/>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سبحانه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 xml:space="preserve">). </w:t>
      </w:r>
      <w:r>
        <w:rPr>
          <w:rStyle w:val="FootnoteAnchor"/>
          <w:rtl w:val="true"/>
        </w:rPr>
        <w:footnoteReference w:id="630"/>
      </w:r>
    </w:p>
    <w:p>
      <w:pPr>
        <w:pStyle w:val="BookText"/>
        <w:rPr/>
      </w:pPr>
      <w:r>
        <w:rPr>
          <w:rFonts w:ascii="Amiri" w:hAnsi="Amiri" w:eastAsia="Amiri" w:cs="Amiri"/>
          <w:color w:val="111111"/>
          <w:sz w:val="28"/>
          <w:sz w:val="28"/>
          <w:szCs w:val="28"/>
          <w:rtl w:val="true"/>
          <w:lang w:bidi="ar-SA"/>
        </w:rPr>
        <w:t xml:space="preserve">وقبل الاستدلال بالآية نذكر شأن نزولها ، روى المفسرون عن أنس بن مالك وغيره انّ سائلاً أتى المسجد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يقرض المليء الوفيّ ، وعليّ راكع يشير بيده للسائل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اخلع الخاتم من يدي ، فما خرج أحد من المسجد حتى نزل جبرئيل 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w:t>
      </w:r>
      <w:r>
        <w:rPr>
          <w:rFonts w:eastAsia="Amiri" w:cs="Amiri" w:ascii="Amiri" w:hAnsi="Amiri"/>
          <w:color w:val="111111"/>
          <w:sz w:val="28"/>
          <w:szCs w:val="28"/>
          <w:rtl w:val="true"/>
          <w:lang w:bidi="ar-SA"/>
        </w:rPr>
        <w:t xml:space="preserve">). </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 xml:space="preserve">أبا حسن تفديك نفسي ومهجتي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بطيء في الهدى ومسارع</w:t>
      </w:r>
    </w:p>
    <w:p>
      <w:pPr>
        <w:pStyle w:val="BookText"/>
        <w:rPr/>
      </w:pPr>
      <w:r>
        <w:rPr>
          <w:rFonts w:ascii="Amiri" w:hAnsi="Amiri" w:eastAsia="Amiri" w:cs="Amiri"/>
          <w:color w:val="111111"/>
          <w:sz w:val="28"/>
          <w:sz w:val="28"/>
          <w:szCs w:val="28"/>
          <w:rtl w:val="true"/>
          <w:lang w:bidi="ar-SA"/>
        </w:rPr>
        <w:t xml:space="preserve">أيذهب مدحي والمحبين ضائعاً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المدح في ذات الإله بضائع</w:t>
      </w:r>
    </w:p>
    <w:p>
      <w:pPr>
        <w:pStyle w:val="BookText"/>
        <w:rPr/>
      </w:pPr>
      <w:r>
        <w:rPr>
          <w:rFonts w:ascii="Amiri" w:hAnsi="Amiri" w:eastAsia="Amiri" w:cs="Amiri"/>
          <w:color w:val="111111"/>
          <w:sz w:val="28"/>
          <w:sz w:val="28"/>
          <w:szCs w:val="28"/>
          <w:rtl w:val="true"/>
          <w:lang w:bidi="ar-SA"/>
        </w:rPr>
        <w:t xml:space="preserve">فأنت الذي أعطيت إذ أنت راكع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فدتك نفوس القوم يا خير راكع</w:t>
      </w:r>
    </w:p>
    <w:p>
      <w:pPr>
        <w:pStyle w:val="BookText"/>
        <w:rPr/>
      </w:pPr>
      <w:r>
        <w:rPr>
          <w:rFonts w:ascii="Amiri" w:hAnsi="Amiri" w:eastAsia="Amiri" w:cs="Amiri"/>
          <w:color w:val="111111"/>
          <w:sz w:val="28"/>
          <w:sz w:val="28"/>
          <w:szCs w:val="28"/>
          <w:rtl w:val="true"/>
          <w:lang w:bidi="ar-SA"/>
        </w:rPr>
        <w:t xml:space="preserve">بخاتمك الميمون يا خير 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خير شار ثم يا خير بائع</w:t>
      </w:r>
    </w:p>
    <w:p>
      <w:pPr>
        <w:pStyle w:val="BookText"/>
        <w:rPr/>
      </w:pPr>
      <w:r>
        <w:rPr>
          <w:rFonts w:ascii="Amiri" w:hAnsi="Amiri" w:eastAsia="Amiri" w:cs="Amiri"/>
          <w:color w:val="111111"/>
          <w:sz w:val="28"/>
          <w:sz w:val="28"/>
          <w:szCs w:val="28"/>
          <w:rtl w:val="true"/>
          <w:lang w:bidi="ar-SA"/>
        </w:rPr>
        <w:t xml:space="preserve">فأنزل فيك الله خير 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وبيَّنها في محكمات الشرائع</w:t>
      </w:r>
    </w:p>
    <w:p>
      <w:pPr>
        <w:pStyle w:val="BookText"/>
        <w:rPr/>
      </w:pPr>
      <w:r>
        <w:rPr>
          <w:rFonts w:ascii="Amiri" w:hAnsi="Amiri" w:eastAsia="Amiri" w:cs="Amiri"/>
          <w:color w:val="111111"/>
          <w:sz w:val="28"/>
          <w:sz w:val="28"/>
          <w:szCs w:val="28"/>
          <w:rtl w:val="true"/>
          <w:lang w:bidi="ar-SA"/>
        </w:rPr>
        <w:t xml:space="preserve">وإليك توضيح الاستدلال </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المستفاد من الآية انّ هناك أولياء ثلاثة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 ورسوله ، والمؤمنون الموصوفون بالأوصاف الثلاثة ، وانّ غير هؤلاء من المؤمنين هم مولّى عليهم ، ولا يتحقّق ذلك إلاّ بتفسير الولي بالزعيم والمتصرّف في شئون المولّى عليه ، إذ هذه الولاية تحتاج إلى دليل خاص ، ولا يكفي الإيمان في ثبوتها ، بخلاف ولاية المحبّة والنصرة ، إذ هما من فروع الإيمان ، فكلّ مؤمن محبّ لأخيه المؤمن وناصر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مضافاً إلى الاختصاص المستفاد من كلمة إنّما وأحاديث شأن النزول الواردة في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فهذه الوجوه الثلاثة تجعل الآية كالنصّ في الدلالة على ما يرتئيه الإمامية في مسألة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المراد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الإمام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ذا جيء بلفظ الجماعة؟</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جيء بذلك ليرغب الناس في مثل فعله فينالوا مثل ثوابه ، ولينبِّه على أنّ سجيَّة المؤمنين يجب أن تكون على هذه الغاية من الحرص على البرّ والإحسان وتفقّد الفقراء حتى إن لزمهم أمر لا يقبل التأخير وهم في الصلاة ، لم يؤخّروه إلى الفراغ منها</w:t>
      </w:r>
      <w:r>
        <w:rPr>
          <w:rFonts w:eastAsia="Amiri" w:cs="Amiri" w:ascii="Amiri" w:hAnsi="Amiri"/>
          <w:color w:val="111111"/>
          <w:sz w:val="28"/>
          <w:szCs w:val="28"/>
          <w:rtl w:val="true"/>
          <w:lang w:bidi="ar-SA"/>
        </w:rPr>
        <w:t xml:space="preserve">. </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وهناك وجه آخر أشار إليه الشيخ الطبرسي ، وهو أنّ النكتة في إطلاق لفظ الجمع على أمير المؤمنين ، تفخيمه وتعظيمه ، وذلك انّ أهل اللغة يعبّرون بلفظ الجمع عن الواحد على سبيل التعظيم ، وذلك أشهر في كلامهم من أن يحتاج إلى الاستدلال عليه</w:t>
      </w:r>
      <w:r>
        <w:rPr>
          <w:rFonts w:eastAsia="Amiri" w:cs="Amiri" w:ascii="Amiri" w:hAnsi="Amiri"/>
          <w:color w:val="111111"/>
          <w:sz w:val="28"/>
          <w:szCs w:val="28"/>
          <w:rtl w:val="true"/>
          <w:lang w:bidi="ar-SA"/>
        </w:rPr>
        <w:t xml:space="preserve">. </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ربما يقال إنّ المراد من الوليّ في الآية ليس هو المتصرف ، بل المراد الناصر والمحبّ بشهادة ما قبلها وما بعدها ، حيث نهى الله المؤمنين أن يتّخذوا اليهود والنصارى أولياء ، وليس المراد منه إلاّ النصرة والمحبة ، فلو فُسّرت في الآية بالمتصرّف يلزم التفكيك</w:t>
      </w:r>
      <w:r>
        <w:rPr>
          <w:rFonts w:eastAsia="Amiri" w:cs="Amiri" w:ascii="Amiri" w:hAnsi="Amiri"/>
          <w:color w:val="111111"/>
          <w:sz w:val="28"/>
          <w:szCs w:val="28"/>
          <w:rtl w:val="true"/>
          <w:lang w:bidi="ar-SA"/>
        </w:rPr>
        <w:t xml:space="preserve">. </w:t>
      </w:r>
      <w:r>
        <w:rPr>
          <w:rStyle w:val="FootnoteAnchor"/>
          <w:rtl w:val="true"/>
        </w:rPr>
        <w:footnoteReference w:id="634"/>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السّياق إنّما يكون حجّة لو لم يقم دليل على خلافه ، وذلك </w:t>
      </w:r>
      <w:bookmarkStart w:id="974" w:name="pg11047_102979"/>
    </w:p>
    <w:p>
      <w:pPr>
        <w:pStyle w:val="BookText"/>
        <w:rPr/>
      </w:pPr>
      <w:bookmarkEnd w:id="974"/>
      <w:r>
        <w:rPr>
          <w:rFonts w:ascii="Amiri" w:hAnsi="Amiri" w:eastAsia="Amiri" w:cs="Amiri"/>
          <w:color w:val="111111"/>
          <w:sz w:val="28"/>
          <w:sz w:val="28"/>
          <w:szCs w:val="28"/>
          <w:rtl w:val="true"/>
          <w:lang w:bidi="ar-SA"/>
        </w:rPr>
        <w:t>لعدم الوثوق حينئذ بنزول الآية في ذلك السياق ، إذ لم يكن ترتيب الكتاب العزيز في الجمع موافقاً لترتيبه في النزول بإجماع الأُمّة ، وفي التنزيل كثير من الآيات الواردة على خلاف ما يعطيه السياق كآية التطهير المنتظمة في سياق النساء مع ثبوت النص على اختصاصها بالخمسة أهل الكساء</w:t>
      </w:r>
      <w:r>
        <w:rPr>
          <w:rFonts w:eastAsia="Amiri" w:cs="Amiri" w:ascii="Amiri" w:hAnsi="Amiri"/>
          <w:color w:val="111111"/>
          <w:sz w:val="28"/>
          <w:szCs w:val="28"/>
          <w:rtl w:val="true"/>
          <w:lang w:bidi="ar-SA"/>
        </w:rPr>
        <w:t xml:space="preserve">. </w:t>
      </w:r>
      <w:r>
        <w:rPr>
          <w:rStyle w:val="FootnoteAnchor"/>
          <w:rtl w:val="true"/>
        </w:rPr>
        <w:footnoteReference w:id="635"/>
      </w:r>
    </w:p>
    <w:p>
      <w:pPr>
        <w:pStyle w:val="Heading4"/>
        <w:numPr>
          <w:ilvl w:val="3"/>
          <w:numId w:val="1"/>
        </w:numPr>
        <w:rPr/>
      </w:pPr>
      <w:bookmarkStart w:id="975" w:name="__RefHeading___Toc1391625_1067777946"/>
      <w:bookmarkStart w:id="976" w:name="_Toc362"/>
      <w:bookmarkEnd w:id="975"/>
      <w:r>
        <w:rPr/>
        <w:t>2</w:t>
      </w:r>
      <w:r>
        <w:rPr>
          <w:rtl w:val="true"/>
        </w:rPr>
        <w:t xml:space="preserve">. </w:t>
      </w:r>
      <w:r>
        <w:rPr>
          <w:rtl w:val="true"/>
        </w:rPr>
        <w:t xml:space="preserve">حديث </w:t>
      </w:r>
      <w:r>
        <w:rPr>
          <w:rtl w:val="true"/>
        </w:rPr>
        <w:t>«</w:t>
      </w:r>
      <w:r>
        <w:rPr>
          <w:rtl w:val="true"/>
        </w:rPr>
        <w:t>المنزلة</w:t>
      </w:r>
      <w:r>
        <w:rPr>
          <w:rtl w:val="true"/>
        </w:rPr>
        <w:t>»</w:t>
      </w:r>
      <w:bookmarkEnd w:id="976"/>
    </w:p>
    <w:p>
      <w:pPr>
        <w:pStyle w:val="BookText"/>
        <w:rPr/>
      </w:pPr>
      <w:r>
        <w:rPr>
          <w:rFonts w:ascii="Amiri" w:hAnsi="Amiri" w:eastAsia="Amiri" w:cs="Amiri"/>
          <w:color w:val="111111"/>
          <w:sz w:val="28"/>
          <w:sz w:val="28"/>
          <w:szCs w:val="28"/>
          <w:rtl w:val="true"/>
          <w:lang w:bidi="ar-SA"/>
        </w:rPr>
        <w:t xml:space="preserve">روى أهل السير والتاريخ 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أهله في المدينة عند توجّهه إلى تبوك ، فأرجف به المنافقون ، وقالوا ما خلّفه إلاّ استثقالاً له وتخوّفاً منه ، فضاق صدره بذلك ، فأخذ سلاحه وأتى النبيّ وأبلغه مقالتهم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 ، ولكنّي خلّفتك لما تركت ورائي ، فارجع واخلف في أهلي وأهلك ، أفلا ترضى يا عليّ أن تكون منّي بمنزلة هارون من موسى ، إلاّ أنّه لا نبيّ بعدي؟</w:t>
      </w:r>
      <w:r>
        <w:rPr>
          <w:rFonts w:eastAsia="Amiri" w:cs="Amiri" w:ascii="Amiri" w:hAnsi="Amiri"/>
          <w:color w:val="111111"/>
          <w:sz w:val="28"/>
          <w:szCs w:val="28"/>
          <w:rtl w:val="true"/>
          <w:lang w:bidi="ar-SA"/>
        </w:rPr>
        <w:t xml:space="preserve">». </w:t>
      </w:r>
      <w:r>
        <w:rPr>
          <w:rStyle w:val="FootnoteAnchor"/>
          <w:rtl w:val="true"/>
        </w:rPr>
        <w:footnoteReference w:id="636"/>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إضافة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اسم 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هارون يقتضي العموم ، فالرواية تدلّ على أنّ كلّ مقام ومنصب كان ثابتاً لهارون فهو ثابت لعليّ ، إلاّ ما استثني وهو النبوّة ، بل الاستثناء أيضاً قرينة على العموم ولولاه لما كان وجه للاستثناء ، وكون المورد هو الاستخلاف على الأهل لا يدلّ على الاختصاص ، فإنّ المورد لا يكون </w:t>
      </w:r>
    </w:p>
    <w:p>
      <w:pPr>
        <w:pStyle w:val="BookText"/>
        <w:rPr/>
      </w:pPr>
      <w:r>
        <w:rPr>
          <w:rFonts w:ascii="Amiri" w:hAnsi="Amiri" w:eastAsia="Amiri" w:cs="Amiri"/>
          <w:color w:val="111111"/>
          <w:sz w:val="28"/>
          <w:sz w:val="28"/>
          <w:szCs w:val="28"/>
          <w:rtl w:val="true"/>
          <w:lang w:bidi="ar-SA"/>
        </w:rPr>
        <w:t>مخصِّصاً ، كما لو رأيت الجنب يمسّ آية الكرسي مثلاً فقلت له لا يمسَّن آيات القرآن محدث ، يكون دليلاً على حرمة مسّ القرآن على الجنب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منزلة هارون من موسى فيكفي في بيانها قوله سبحانه حكاية عن موسى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لِي وَزِيراً مِنْ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اشْدُدْ بِهِ أَزْرِي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وَأَشْرِكْهُ فِي أَمْرِي</w:t>
      </w:r>
      <w:r>
        <w:rPr>
          <w:rFonts w:eastAsia="Amiri" w:cs="Amiri" w:ascii="Amiri" w:hAnsi="Amiri"/>
          <w:color w:val="111111"/>
          <w:sz w:val="28"/>
          <w:szCs w:val="28"/>
          <w:rtl w:val="true"/>
          <w:lang w:bidi="ar-SA"/>
        </w:rPr>
        <w:t xml:space="preserve">). </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 xml:space="preserve">وقد أُوتي موسى جميع ذلك كما يقول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قَدْ أُوتِيتَ سُؤْلَكَ يا مُوسى</w:t>
      </w:r>
      <w:r>
        <w:rPr>
          <w:rFonts w:eastAsia="Amiri" w:cs="Amiri" w:ascii="Amiri" w:hAnsi="Amiri"/>
          <w:color w:val="111111"/>
          <w:sz w:val="28"/>
          <w:szCs w:val="28"/>
          <w:rtl w:val="true"/>
          <w:lang w:bidi="ar-SA"/>
        </w:rPr>
        <w:t xml:space="preserve">). </w:t>
      </w:r>
      <w:r>
        <w:rPr>
          <w:rStyle w:val="FootnoteAnchor"/>
          <w:rtl w:val="true"/>
        </w:rPr>
        <w:footnoteReference w:id="638"/>
      </w:r>
    </w:p>
    <w:p>
      <w:pPr>
        <w:pStyle w:val="BookText"/>
        <w:rPr/>
      </w:pPr>
      <w:r>
        <w:rPr>
          <w:rFonts w:ascii="Amiri" w:hAnsi="Amiri" w:eastAsia="Amiri" w:cs="Amiri"/>
          <w:color w:val="111111"/>
          <w:sz w:val="28"/>
          <w:sz w:val="28"/>
          <w:szCs w:val="28"/>
          <w:rtl w:val="true"/>
          <w:lang w:bidi="ar-SA"/>
        </w:rPr>
        <w:t xml:space="preserve">وقد استخلف موسى أخيه هارون عند ذهابه إلى ميقات ربّه مع جماعة من قومه ، قال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مُوسى لِأَخِيهِ هارُونَ اخْلُفْنِي فِي قَوْمِي وَأَصْلِحْ وَلا تَتَّبِعْ سَبِيلَ الْمُفْسِدِينَ</w:t>
      </w:r>
      <w:r>
        <w:rPr>
          <w:rFonts w:eastAsia="Amiri" w:cs="Amiri" w:ascii="Amiri" w:hAnsi="Amiri"/>
          <w:color w:val="111111"/>
          <w:sz w:val="28"/>
          <w:szCs w:val="28"/>
          <w:rtl w:val="true"/>
          <w:lang w:bidi="ar-SA"/>
        </w:rPr>
        <w:t xml:space="preserve">). </w:t>
      </w:r>
      <w:r>
        <w:rPr>
          <w:rStyle w:val="FootnoteAnchor"/>
          <w:rtl w:val="true"/>
        </w:rPr>
        <w:footnoteReference w:id="639"/>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الاستخلاف وإن كان في قضية خاصّة ووقت خاص ، لكن اللفظ مطلق والمورد لا يكون مخصّصاً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لو فرض غيبة أُخرى لموسى من قومه مع عدم تنصيصه على استخلاف هارون كان خليفة له بلا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وهارون وإن كان شريكاً لموسى في النبوّة إلاّ أنّ الرئاسة كانت مخصوصة لموسى ، فموسى كان وليّاً على هارون وعلى غيره ، وهذا دليل على أنّ منزلة الإمامة منفصلة من النبوة ، وإنّما </w:t>
      </w:r>
      <w:bookmarkStart w:id="977" w:name="pg11047_102981"/>
    </w:p>
    <w:p>
      <w:pPr>
        <w:pStyle w:val="BookText"/>
        <w:rPr/>
      </w:pPr>
      <w:bookmarkEnd w:id="977"/>
      <w:r>
        <w:rPr>
          <w:rFonts w:ascii="Amiri" w:hAnsi="Amiri" w:eastAsia="Amiri" w:cs="Amiri"/>
          <w:color w:val="111111"/>
          <w:sz w:val="28"/>
          <w:sz w:val="28"/>
          <w:szCs w:val="28"/>
          <w:rtl w:val="true"/>
          <w:lang w:bidi="ar-SA"/>
        </w:rPr>
        <w:t>اجتمع الأمران لأنبياء مخصوصين ، لأنّ هارون لو كان له القيام بأمر الأُمّة من حيث كان نبياً لما احتاج فيه إلى استخلاف موسى إيّاه وإقامته مقامه</w:t>
      </w:r>
      <w:r>
        <w:rPr>
          <w:rFonts w:eastAsia="Amiri" w:cs="Amiri" w:ascii="Amiri" w:hAnsi="Amiri"/>
          <w:color w:val="111111"/>
          <w:sz w:val="28"/>
          <w:szCs w:val="28"/>
          <w:rtl w:val="true"/>
          <w:lang w:bidi="ar-SA"/>
        </w:rPr>
        <w:t xml:space="preserve">. </w:t>
      </w:r>
      <w:r>
        <w:rPr>
          <w:rStyle w:val="FootnoteAnchor"/>
          <w:rtl w:val="true"/>
        </w:rPr>
        <w:footnoteReference w:id="640"/>
      </w:r>
    </w:p>
    <w:p>
      <w:pPr>
        <w:pStyle w:val="Heading4"/>
        <w:numPr>
          <w:ilvl w:val="3"/>
          <w:numId w:val="1"/>
        </w:numPr>
        <w:rPr/>
      </w:pPr>
      <w:bookmarkStart w:id="978" w:name="__RefHeading___Toc1391627_1067777946"/>
      <w:bookmarkStart w:id="979" w:name="_Toc363"/>
      <w:bookmarkEnd w:id="978"/>
      <w:r>
        <w:rPr/>
        <w:t>3</w:t>
      </w:r>
      <w:r>
        <w:rPr>
          <w:rtl w:val="true"/>
        </w:rPr>
        <w:t xml:space="preserve">. </w:t>
      </w:r>
      <w:r>
        <w:rPr>
          <w:rtl w:val="true"/>
        </w:rPr>
        <w:t xml:space="preserve">حديث </w:t>
      </w:r>
      <w:r>
        <w:rPr>
          <w:rtl w:val="true"/>
        </w:rPr>
        <w:t>«</w:t>
      </w:r>
      <w:r>
        <w:rPr>
          <w:rtl w:val="true"/>
        </w:rPr>
        <w:t>الغدير</w:t>
      </w:r>
      <w:r>
        <w:rPr>
          <w:rtl w:val="true"/>
        </w:rPr>
        <w:t>»</w:t>
      </w:r>
      <w:bookmarkEnd w:id="979"/>
    </w:p>
    <w:p>
      <w:pPr>
        <w:pStyle w:val="BookText"/>
        <w:rPr/>
      </w:pPr>
      <w:r>
        <w:rPr>
          <w:rFonts w:ascii="Amiri" w:hAnsi="Amiri" w:eastAsia="Amiri" w:cs="Amiri"/>
          <w:color w:val="111111"/>
          <w:sz w:val="28"/>
          <w:sz w:val="28"/>
          <w:szCs w:val="28"/>
          <w:rtl w:val="true"/>
          <w:lang w:bidi="ar-SA"/>
        </w:rPr>
        <w:t xml:space="preserve">حديث الغدير ، ممّا تواترت به السنّة النبويّة وتواصلت حلقات أسانيده منذ عهد الصحابة والتابعين إلى يومنا الحاضر ، رواه من الصحابة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صحابياً ومن التابعين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تابعياً ، وقد رواه العلماء والمحدّثون في القرون المتلاحقة ، وقد أغنانا المؤلّفون في الغدير عن إراءة مصادره ومراجعه ، وكفاك في ذلك كتب لمّة كبيرة من أعلام الطائفة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السيد هاشم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والسيد مير حامد حسين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والعلاّمة الأميني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والسيد شرف الدين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المراجعات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ومجمل الحديث هو 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في الناس بالخروج إلى الحجّ في السنة العاشرة من الهجرة ، وأقلّ ما قيل انّه خرج معه تسعون ألفاً ، فلمّا قضى مناسكه وانصرف راجعاً إلى المدينة ووصل إلى 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يوم الخميس ، الثامن عشر من ذي الحجّة ، نزل جبرئيل الأمين عن الله تعالى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Style w:val="FootnoteAnchor"/>
          <w:rtl w:val="true"/>
        </w:rPr>
        <w:footnoteReference w:id="641"/>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يردّ من تقدّم ، ويحبس من تأخّر حتى إذا أخذ القوم منازلهم نودي بالصلاة ، صلاة الظهر ، فصلّى بالناس ، ثمّ قام خطيباً وسط القوم </w:t>
      </w:r>
    </w:p>
    <w:p>
      <w:pPr>
        <w:pStyle w:val="BookText"/>
        <w:rPr/>
      </w:pPr>
      <w:r>
        <w:rPr>
          <w:rFonts w:ascii="Amiri" w:hAnsi="Amiri" w:eastAsia="Amiri" w:cs="Amiri"/>
          <w:color w:val="111111"/>
          <w:sz w:val="28"/>
          <w:sz w:val="28"/>
          <w:szCs w:val="28"/>
          <w:rtl w:val="true"/>
          <w:lang w:bidi="ar-SA"/>
        </w:rPr>
        <w:t xml:space="preserve">على أقتاب الإبل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ونستعينه ونؤمن ونعوذ بالله من شرور أنفسنا ومن سيّئات أعمالنا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هادي لمن أضلّ ولا مضلّ لمن هدى ، وأشهد أن لا إله إلاّ الله وأنّ محمّداً عبده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 أيّها الناس قد نبّأني اللطيف الخبير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يعمّر نبيّ إلاّ مثل نصف عمر الذي قبله ، وإنّي أُوشك أن ادعى فأُجيب ، وإنّي مسئول ، وأنتم مسئولون ، فما ذا أنتم قائلون؟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إنّك قد بلّغت ونصحت وجهدت فجزاك الله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ألستم تشهدون أن لا إله إلاّ الله وأنّ محمّداً عبده ورسوله ، وأنّ جنّته حق ، وناره حق ، وأنّ الموت حق ، وأنّ الساعة آتية لا ريب فيها وأنّ الله يبعث من في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نشهد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أيّها الناس ألا تسمعون؟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فرط على الحوض ، وأنتم واردون على الحوض ، وإنّ عرضه ما بين صنعاء وبصرى ، فيه أقداح عدد النجوم من فضة ، فانظروا كيف تخلّفوني في الثقلين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فنادى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الثقلان يا رسول الله؟</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الثقل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 طرف بيد الله عزّ وجلّ وطرف بأيديكم ، فتمسّكوا به لا تضلّوا ؛ والآخر الأصغر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عترتي ، وإنّ اللطيف الخبير نبّأني أنّهما لن يفترقا حتّى يردا عليّ الحوض ، فسألت ذلك لهما ربّي ، فلا تقدموهما فتهلكوا ، ولا تقصروا عنهما فتهلكوا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أخذ بيد علي فرفعها حتّى رئي بياض آباطهما وعرفه القوم أجمعون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من أولى الناس بالمؤمنين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مولاي وأنا مولى المؤمنين وأنا أولى بهم من أنفسهم ، فمن كنت مولاه فعليّ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يقولها ثلاث مرّات ، وفي لفظ أحمد إمام الحنابلة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مرّات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وال من والاه ، وعاد من عاداه ، وأحبّ من أحبّه ، وأبغض من أبغضه ، وانصر من نصره ، واخذل من خذله ، وأدر الحق معه حيث دار ، ألا فليبلّغ الشاهد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يتفرّقوا حتى نزل أمين وحي الله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 أكبر على إكمال الدين ، وإتمام النعمة ، ورضا الربّ برسالتي ، والولاية لعليّ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طفق القوم يهنّئون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هنّأه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مقدّم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وعمر ، كلّ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لك يا ابن أبي طالب أصبحت وأمسيت مولاي ومولى كلّ مؤمن ومؤمنة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أعناق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ائذن لي يا رسول الله أن أقول في عليّ أبياتاً تسمعهنّ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على بركة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حسّان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مشيخة قريش أتبعها قولي بشهادة من رسول الله في الولاية ماضية ، ثمّ قال </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يناديهم يوم الغدير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بخمّ واسمع بالرسول منادياً </w:t>
      </w:r>
    </w:p>
    <w:p>
      <w:pPr>
        <w:pStyle w:val="BookText"/>
        <w:rPr/>
      </w:pPr>
      <w:r>
        <w:rPr>
          <w:rFonts w:ascii="Amiri" w:hAnsi="Amiri" w:eastAsia="Amiri" w:cs="Amiri"/>
          <w:color w:val="111111"/>
          <w:sz w:val="28"/>
          <w:sz w:val="28"/>
          <w:szCs w:val="28"/>
          <w:rtl w:val="true"/>
          <w:lang w:bidi="ar-SA"/>
        </w:rPr>
        <w:t xml:space="preserve">وقد جاءه جبريل عن أمر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بانّك معصوم فلا تك وانيا</w:t>
      </w:r>
    </w:p>
    <w:p>
      <w:pPr>
        <w:pStyle w:val="BookText"/>
        <w:rPr/>
      </w:pPr>
      <w:r>
        <w:rPr>
          <w:rFonts w:ascii="Amiri" w:hAnsi="Amiri" w:eastAsia="Amiri" w:cs="Amiri"/>
          <w:color w:val="111111"/>
          <w:sz w:val="28"/>
          <w:sz w:val="28"/>
          <w:szCs w:val="28"/>
          <w:rtl w:val="true"/>
          <w:lang w:bidi="ar-SA"/>
        </w:rPr>
        <w:t xml:space="preserve">وبلّغهم ما أنزل الله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ولا تخش هناك الأعاديا</w:t>
      </w:r>
    </w:p>
    <w:p>
      <w:pPr>
        <w:pStyle w:val="BookText"/>
        <w:rPr/>
      </w:pPr>
      <w:r>
        <w:rPr>
          <w:rFonts w:ascii="Amiri" w:hAnsi="Amiri" w:eastAsia="Amiri" w:cs="Amiri"/>
          <w:color w:val="111111"/>
          <w:sz w:val="28"/>
          <w:sz w:val="28"/>
          <w:szCs w:val="28"/>
          <w:rtl w:val="true"/>
          <w:lang w:bidi="ar-SA"/>
        </w:rPr>
        <w:t xml:space="preserve">فقام به إذ ذاك رافع 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 عليّ معلن الصوت عاليا</w:t>
      </w:r>
    </w:p>
    <w:p>
      <w:pPr>
        <w:pStyle w:val="BookText"/>
        <w:rPr/>
      </w:pPr>
      <w:r>
        <w:rPr>
          <w:rFonts w:ascii="Amiri" w:hAnsi="Amiri" w:eastAsia="Amiri" w:cs="Amiri"/>
          <w:color w:val="111111"/>
          <w:sz w:val="28"/>
          <w:sz w:val="28"/>
          <w:szCs w:val="28"/>
          <w:rtl w:val="true"/>
          <w:lang w:bidi="ar-SA"/>
        </w:rPr>
        <w:t xml:space="preserve">فقال فمن مولاكم ووليّكم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ولم يبدوا هناك تعاميا</w:t>
      </w:r>
    </w:p>
    <w:p>
      <w:pPr>
        <w:pStyle w:val="BookText"/>
        <w:rPr/>
      </w:pPr>
      <w:r>
        <w:rPr>
          <w:rFonts w:ascii="Amiri" w:hAnsi="Amiri" w:eastAsia="Amiri" w:cs="Amiri"/>
          <w:color w:val="111111"/>
          <w:sz w:val="28"/>
          <w:sz w:val="28"/>
          <w:szCs w:val="28"/>
          <w:rtl w:val="true"/>
          <w:lang w:bidi="ar-SA"/>
        </w:rPr>
        <w:t xml:space="preserve">إلهك مولانا وأنت وليّنا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تجدن فينا لك اليوم عاصياً</w:t>
      </w:r>
    </w:p>
    <w:p>
      <w:pPr>
        <w:pStyle w:val="BookText"/>
        <w:rPr/>
      </w:pPr>
      <w:r>
        <w:rPr>
          <w:rFonts w:ascii="Amiri" w:hAnsi="Amiri" w:eastAsia="Amiri" w:cs="Amiri"/>
          <w:color w:val="111111"/>
          <w:sz w:val="28"/>
          <w:sz w:val="28"/>
          <w:szCs w:val="28"/>
          <w:rtl w:val="true"/>
          <w:lang w:bidi="ar-SA"/>
        </w:rPr>
        <w:t xml:space="preserve">فقال له قم يا عليّ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رضيتك من بعدي إماماً وهادياً</w:t>
      </w:r>
    </w:p>
    <w:p>
      <w:pPr>
        <w:pStyle w:val="BookText"/>
        <w:rPr/>
      </w:pPr>
      <w:r>
        <w:rPr>
          <w:rFonts w:ascii="Amiri" w:hAnsi="Amiri" w:eastAsia="Amiri" w:cs="Amiri"/>
          <w:color w:val="111111"/>
          <w:sz w:val="28"/>
          <w:sz w:val="28"/>
          <w:szCs w:val="28"/>
          <w:rtl w:val="true"/>
          <w:lang w:bidi="ar-SA"/>
        </w:rPr>
        <w:t xml:space="preserve">فمن كنت مولاه فهذا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فكونوا له أنصار صدق موالياً</w:t>
      </w:r>
    </w:p>
    <w:p>
      <w:pPr>
        <w:pStyle w:val="BookText"/>
        <w:rPr/>
      </w:pPr>
      <w:r>
        <w:rPr>
          <w:rFonts w:ascii="Amiri" w:hAnsi="Amiri" w:eastAsia="Amiri" w:cs="Amiri"/>
          <w:color w:val="111111"/>
          <w:sz w:val="28"/>
          <w:sz w:val="28"/>
          <w:szCs w:val="28"/>
          <w:rtl w:val="true"/>
          <w:lang w:bidi="ar-SA"/>
        </w:rPr>
        <w:t xml:space="preserve">هناك دعا اللهم وال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 للذي عادى عليّاً معادياً</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فيا ربّ انصر ناصريه لنصرهم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هدى كالبدر يجلو الدياجيا</w:t>
      </w:r>
      <w:r>
        <w:rPr>
          <w:rStyle w:val="FootnoteAnchor"/>
          <w:rtl w:val="true"/>
        </w:rPr>
        <w:footnoteReference w:id="642"/>
      </w:r>
      <w:bookmarkStart w:id="980" w:name="pg11047_102985"/>
    </w:p>
    <w:p>
      <w:pPr>
        <w:pStyle w:val="Heading4"/>
        <w:numPr>
          <w:ilvl w:val="3"/>
          <w:numId w:val="1"/>
        </w:numPr>
        <w:rPr/>
      </w:pPr>
      <w:bookmarkStart w:id="981" w:name="__RefHeading___Toc1391629_1067777946"/>
      <w:bookmarkStart w:id="982" w:name="_Toc364"/>
      <w:bookmarkEnd w:id="980"/>
      <w:bookmarkEnd w:id="981"/>
      <w:r>
        <w:rPr>
          <w:rtl w:val="true"/>
        </w:rPr>
        <w:t>دلالة الحديث</w:t>
      </w:r>
      <w:bookmarkEnd w:id="982"/>
    </w:p>
    <w:p>
      <w:pPr>
        <w:pStyle w:val="Heading5"/>
        <w:numPr>
          <w:ilvl w:val="4"/>
          <w:numId w:val="1"/>
        </w:numPr>
        <w:rPr/>
      </w:pPr>
      <w:bookmarkStart w:id="983" w:name="__RefHeading___Toc1391631_1067777946"/>
      <w:bookmarkStart w:id="984" w:name="_Toc365"/>
      <w:bookmarkEnd w:id="983"/>
      <w:r>
        <w:rPr>
          <w:rtl w:val="true"/>
        </w:rPr>
        <w:t>اشارة</w:t>
      </w:r>
      <w:bookmarkEnd w:id="984"/>
    </w:p>
    <w:p>
      <w:pPr>
        <w:pStyle w:val="BookText"/>
        <w:rPr/>
      </w:pPr>
      <w:r>
        <w:rPr>
          <w:rFonts w:ascii="Amiri" w:hAnsi="Amiri" w:eastAsia="Amiri" w:cs="Amiri"/>
          <w:color w:val="111111"/>
          <w:sz w:val="28"/>
          <w:sz w:val="28"/>
          <w:szCs w:val="28"/>
          <w:rtl w:val="true"/>
          <w:lang w:bidi="ar-SA"/>
        </w:rPr>
        <w:t xml:space="preserve">إنّ دلالة الحديث على إمامة مولانا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واضحة ، لم يشكّ فيها أيّ عربي صميم عصر نزول الحديث وبعده إلى قرون ، ولم يفهموا من لفظة المولى إلاّ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هناك قرائن حالية ومقالية تجعل الحديث كالنّصّ في أنّ المراد من المولى هو الأولى بالتصرّف في شئون المؤمنين على غرار ما كان للنبي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القرينة الحالية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فيكفينا في بيانها ما ذكره التفتازاني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 قد يراد به المعتِق والمعتَق والحليف ، والجار ، وابن العمّ ، والناصر ، والأولى بالتصرّف ، وينبغي أن يكون المراد به في الحديث هو هذا المعنى ، ليطابق صدر الحديث ، ولأنّه لا وجه للخمسة الأُول وهو ظاهر ، ولا للسادس لظهوره ، وعدم احتياجه إلى البيان وجمع الناس لأجله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خفاء في أنّ الولاية بالناس ، والتولّي والمالكية لتدبير أمرهم والتصرّف فيهم بمنزلة النبي ، وهو معنى الإمامة</w:t>
      </w:r>
      <w:r>
        <w:rPr>
          <w:rFonts w:eastAsia="Amiri" w:cs="Amiri" w:ascii="Amiri" w:hAnsi="Amiri"/>
          <w:color w:val="111111"/>
          <w:sz w:val="28"/>
          <w:szCs w:val="28"/>
          <w:rtl w:val="true"/>
          <w:lang w:bidi="ar-SA"/>
        </w:rPr>
        <w:t xml:space="preserve">». </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من مسائل الفروع عندهم ، فعلى فرض صحّة الرواية تكون حجّة وإن لم تكن متواترة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القرائن المقالية فكثيرة نشير إلى بعضها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القرينة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الحديث وهو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 أولى بكم من أنفسكم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ما يؤدّي مؤدّاه من ألفاظ متقاربة ، ثمّ فرَّع على ذلك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هذا الصدر من حفّاظ أهل السنّة ما يربو على أربعة وستين عالماً</w:t>
      </w:r>
      <w:r>
        <w:rPr>
          <w:rFonts w:eastAsia="Amiri" w:cs="Amiri" w:ascii="Amiri" w:hAnsi="Amiri"/>
          <w:color w:val="111111"/>
          <w:sz w:val="28"/>
          <w:szCs w:val="28"/>
          <w:rtl w:val="true"/>
          <w:lang w:bidi="ar-SA"/>
        </w:rPr>
        <w:t xml:space="preserve">. </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 xml:space="preserve">القرينة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 النبيّ نفسه إلى الناس حيث إنّه يعرب عن أنّه سوف يرحل من بين أظهرهم فيحصل بعده فراغ هائل ، وانّه يُسدّ بتنصيب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الولاية</w:t>
      </w:r>
      <w:r>
        <w:rPr>
          <w:rFonts w:eastAsia="Amiri" w:cs="Amiri" w:ascii="Amiri" w:hAnsi="Amiri"/>
          <w:color w:val="111111"/>
          <w:sz w:val="28"/>
          <w:szCs w:val="28"/>
          <w:rtl w:val="true"/>
          <w:lang w:bidi="ar-SA"/>
        </w:rPr>
        <w:t xml:space="preserve">. </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 xml:space="preserve">القرينة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أيّها الناس بم تشهدون؟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أن لا إله إلاّ الله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محمّداً عبده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وليكم؟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مولانا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ضرب بيده إلى عضد علي ، فأقامه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يكن الله ورسوله مولاه فانّ هذا مولاه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لفظ جرير ، وقريب منه لفظ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 زيد بن أرقم وعامر بن ليلى ، وفي لفظ حذيفة بن أسيد بسند صحيح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ألستم تشهدون أن لا إله إلاّ الله وأنّ محمّداً عبده ورسوله؟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إلى أن قال</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نشهد بذلك</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الناس إنّ الله مولاي وأنا مولى المؤمنين ، وأنا أولى بهم من أنفسهم ، فمن كنت مولاه فهذا مولاه ، يعني </w:t>
      </w:r>
    </w:p>
    <w:p>
      <w:pPr>
        <w:pStyle w:val="BookText"/>
        <w:rPr/>
      </w:pP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 xml:space="preserve">». </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 xml:space="preserve">القرينة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عقيب لفظ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على إكمال الدين ، وإتمام النعمة ، ورضا الربّ برسالتي ، والولاية لعلي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لفظ شيخ الإسلام الحمّوئي </w:t>
      </w:r>
      <w:r>
        <w:rPr>
          <w:rStyle w:val="FootnoteAnchor"/>
          <w:rtl w:val="true"/>
        </w:rPr>
        <w:footnoteReference w:id="64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 تمام نبوتي وتمام دين الله ولاية عليّ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معنى تراه يكمل به الدين ، ويتمّ النعمة ، ويُرضي الربَّ في عداد الرسالة غير الإمامة التي بها تمام أمرها وكمال نشرها وتوطيد دعائمها؟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فالناهض بذلك العبء المقدّس أولى الناس منهم بأنفسهم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القرينة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بيان الولاية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دُعيتُ فأجبتُ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يوشك أن أُدعى فأُجيب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وإنّي أُوشك أن أُفارقكم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يوشك أن يأتي رسول ربّي فأُجيب</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يُعطينا علماً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قد بقي من تبليغه مهمّة يُحاذر أن يدركه الأجل قبل الإشادة بها ، ولو لا الهتاف بها بقي ما بلّغه مُخدَجاً ، ولم يذكر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هذا الاهتمام إلاّ ولاية أمير المؤمنين وولاية عترته الطاهرة الذين يَقْدمهم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نقل مسلم </w:t>
      </w:r>
      <w:r>
        <w:rPr>
          <w:rStyle w:val="FootnoteAnchor"/>
          <w:rtl w:val="true"/>
        </w:rPr>
        <w:footnoteReference w:id="648"/>
      </w:r>
      <w:r>
        <w:rPr>
          <w:rFonts w:ascii="Amiri" w:hAnsi="Amiri" w:eastAsia="Amiri" w:cs="Amiri"/>
          <w:color w:val="111111"/>
          <w:sz w:val="28"/>
          <w:sz w:val="28"/>
          <w:szCs w:val="28"/>
          <w:rtl w:val="true"/>
          <w:lang w:bidi="ar-SA"/>
        </w:rPr>
        <w:t xml:space="preserve">، فهل من الجائز أن تكون تلك المهمّة المنطبقة على هذه الولاية إلاّ معنى الإمامة المصرّح بها في غير واحد من الصحاح؟ وهل صاحبها إلاّ أولى الناس بأنفسهم؟ </w:t>
      </w:r>
      <w:r>
        <w:rPr>
          <w:rFonts w:eastAsia="Amiri" w:cs="Amiri" w:ascii="Amiri" w:hAnsi="Amiri"/>
          <w:color w:val="111111"/>
          <w:sz w:val="28"/>
          <w:szCs w:val="28"/>
          <w:rtl w:val="true"/>
          <w:lang w:bidi="ar-SA"/>
        </w:rPr>
        <w:t xml:space="preserve">.... </w:t>
      </w:r>
      <w:bookmarkStart w:id="985" w:name="pg11047_102988"/>
    </w:p>
    <w:p>
      <w:pPr>
        <w:pStyle w:val="BookText"/>
        <w:rPr/>
      </w:pPr>
      <w:bookmarkEnd w:id="985"/>
      <w:r>
        <w:rPr>
          <w:rFonts w:ascii="Amiri" w:hAnsi="Amiri" w:eastAsia="Amiri" w:cs="Amiri"/>
          <w:color w:val="111111"/>
          <w:sz w:val="28"/>
          <w:sz w:val="28"/>
          <w:szCs w:val="28"/>
          <w:rtl w:val="true"/>
          <w:lang w:bidi="ar-SA"/>
        </w:rPr>
        <w:t xml:space="preserve">القرينة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بيان الولاية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فليبلّغ الشاهد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أوَتحسب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يؤكّد هذا التأكيد في تبليغ الغائبين أمراً علمه كلُّ فرد منهم بالكتاب والسنّة من الموالاة والمحبّة والنصرة بين أفراد المسلمين مشفوعاً بذلك الاهتمام والحرص على بيانه؟ لا أحسب أنّ ضئولة الرأي يُسفُّ بك إلى هذه الخطّة ، لكنّك ولا شك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يُرد إلاّ مهمّة لم تُتَح الفرص لتبليغها ولا عرفته الجماهير ممّن لم يشهدوا ذلك المجتمع ، وما هي إلاّ مهمّة الإمامة التي بها كمال الدين ، وتمام النعمة ، ورضا الربّ ، وما فهم الملأ الحضور من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تلك ، ولم يؤثر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آخر في ذلك المشهد يليق أن يكون أمره بالتبليغ له ، وتلك المهمّة لا تساوق إلاّ معنى الأولى من معاني المولى</w:t>
      </w:r>
      <w:r>
        <w:rPr>
          <w:rFonts w:eastAsia="Amiri" w:cs="Amiri" w:ascii="Amiri" w:hAnsi="Amiri"/>
          <w:color w:val="111111"/>
          <w:sz w:val="28"/>
          <w:szCs w:val="28"/>
          <w:rtl w:val="true"/>
          <w:lang w:bidi="ar-SA"/>
        </w:rPr>
        <w:t xml:space="preserve">. </w:t>
      </w:r>
      <w:r>
        <w:rPr>
          <w:rStyle w:val="FootnoteAnchor"/>
          <w:rtl w:val="true"/>
        </w:rPr>
        <w:footnoteReference w:id="649"/>
      </w:r>
    </w:p>
    <w:p>
      <w:pPr>
        <w:pStyle w:val="BookText"/>
        <w:rPr/>
      </w:pPr>
      <w:r>
        <w:rPr>
          <w:rFonts w:ascii="Amiri" w:hAnsi="Amiri" w:eastAsia="Amiri" w:cs="Amiri"/>
          <w:color w:val="111111"/>
          <w:sz w:val="28"/>
          <w:sz w:val="28"/>
          <w:szCs w:val="28"/>
          <w:rtl w:val="true"/>
          <w:lang w:bidi="ar-SA"/>
        </w:rPr>
        <w:t>الغدير في الكتاب الكريم</w:t>
      </w:r>
    </w:p>
    <w:p>
      <w:pPr>
        <w:pStyle w:val="BookText"/>
        <w:rPr/>
      </w:pPr>
      <w:r>
        <w:rPr>
          <w:rFonts w:ascii="Amiri" w:hAnsi="Amiri" w:eastAsia="Amiri" w:cs="Amiri"/>
          <w:color w:val="111111"/>
          <w:sz w:val="28"/>
          <w:sz w:val="28"/>
          <w:szCs w:val="28"/>
          <w:rtl w:val="true"/>
          <w:lang w:bidi="ar-SA"/>
        </w:rPr>
        <w:t xml:space="preserve">شاء سبحانه أن يبقى حديث الغدير غضّاً طرياً لا يبليه الحدثان ، فأنزل حوله آيات ناصعة البيان ، نقتصر على ذكر آيتين منها </w:t>
      </w:r>
      <w:r>
        <w:rPr>
          <w:rFonts w:eastAsia="Amiri" w:cs="Amiri" w:ascii="Amiri" w:hAnsi="Amiri"/>
          <w:color w:val="111111"/>
          <w:sz w:val="28"/>
          <w:szCs w:val="28"/>
          <w:rtl w:val="true"/>
          <w:lang w:bidi="ar-SA"/>
        </w:rPr>
        <w:t>:</w:t>
      </w:r>
    </w:p>
    <w:p>
      <w:pPr>
        <w:pStyle w:val="Heading5"/>
        <w:numPr>
          <w:ilvl w:val="4"/>
          <w:numId w:val="1"/>
        </w:numPr>
        <w:rPr/>
      </w:pPr>
      <w:bookmarkStart w:id="986" w:name="__RefHeading___Toc1391633_1067777946"/>
      <w:bookmarkStart w:id="987" w:name="_Toc366"/>
      <w:bookmarkEnd w:id="986"/>
      <w:r>
        <w:rPr/>
        <w:t>1</w:t>
      </w:r>
      <w:r>
        <w:rPr>
          <w:rtl w:val="true"/>
        </w:rPr>
        <w:t xml:space="preserve">. </w:t>
      </w:r>
      <w:r>
        <w:rPr>
          <w:rtl w:val="true"/>
        </w:rPr>
        <w:t>آية البلاغ</w:t>
      </w:r>
      <w:bookmarkEnd w:id="987"/>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w:t>
      </w:r>
      <w:r>
        <w:rPr>
          <w:rFonts w:eastAsia="Amiri" w:cs="Amiri" w:ascii="Amiri" w:hAnsi="Amiri"/>
          <w:color w:val="111111"/>
          <w:sz w:val="28"/>
          <w:szCs w:val="28"/>
          <w:rtl w:val="true"/>
          <w:lang w:bidi="ar-SA"/>
        </w:rPr>
        <w:t xml:space="preserve">). </w:t>
      </w:r>
      <w:r>
        <w:rPr>
          <w:rStyle w:val="FootnoteAnchor"/>
          <w:rtl w:val="true"/>
        </w:rPr>
        <w:footnoteReference w:id="650"/>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صرّح غير واحد من الحفاظ والمحدّثين بنزول الآية يوم الثامن عشر من ذي الحجة سنة حجة الوداع لمّا بلغ النبي الأعظم غدير خُمّ فأتاه جبرئيل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 xml:space="preserve">محمد إنّ الله يقرئك السلام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جعفر محمد بن جرير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ابن أبي حاتم وابن مردويه وابن عساكر عن أبي سعيد الخدري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غدير خم ، في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Style w:val="FootnoteAnchor"/>
          <w:rtl w:val="true"/>
        </w:rPr>
        <w:footnoteReference w:id="65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ابن مردويه عن ابن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نقرأ على عهد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مولى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تَفْعَلْ فَما بَلَّغْتَ رِسالَتَهُ وَاللهُ يَعْصِمُكَ مِنَ النَّاسِ</w:t>
      </w:r>
      <w:r>
        <w:rPr>
          <w:rFonts w:eastAsia="Amiri" w:cs="Amiri" w:ascii="Amiri" w:hAnsi="Amiri"/>
          <w:color w:val="111111"/>
          <w:sz w:val="28"/>
          <w:szCs w:val="28"/>
          <w:rtl w:val="true"/>
          <w:lang w:bidi="ar-SA"/>
        </w:rPr>
        <w:t xml:space="preserve">). </w:t>
      </w:r>
      <w:r>
        <w:rPr>
          <w:rStyle w:val="FootnoteAnchor"/>
          <w:rtl w:val="true"/>
        </w:rPr>
        <w:footnoteReference w:id="65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أبو إسحاق الثعلبي النيسابوريّ بسنده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الرَّسُولُ بَلِّغْ ما أُنْزِلَ إِلَيْكَ مِنْ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 أُمر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يُبلّغ فيه ، فأخذ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علي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 اللهمّ وال من والاه ، وعاد من عاداه</w:t>
      </w:r>
      <w:r>
        <w:rPr>
          <w:rFonts w:eastAsia="Amiri" w:cs="Amiri" w:ascii="Amiri" w:hAnsi="Amiri"/>
          <w:color w:val="111111"/>
          <w:sz w:val="28"/>
          <w:szCs w:val="28"/>
          <w:rtl w:val="true"/>
          <w:lang w:bidi="ar-SA"/>
        </w:rPr>
        <w:t xml:space="preserve">». </w:t>
      </w:r>
      <w:r>
        <w:rPr>
          <w:rStyle w:val="FootnoteAnchor"/>
          <w:rtl w:val="true"/>
        </w:rPr>
        <w:footnoteReference w:id="65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أبو الحسن الواحديّ النيسابوري بسنده عن أبي سعيد الخُدريّ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يوم غدير خُمّ في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Style w:val="FootnoteAnchor"/>
          <w:rtl w:val="true"/>
        </w:rPr>
        <w:footnoteReference w:id="65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الحافظ الحاكم الحسكاني في شواهد التنزيل وقواعد التفضيل والتأويل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بإسناده عن الكلبي ، عن أبي صالح عن ابن عباس وجابر الأنصاري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الله تعالى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ينصب عليّاً للناس ، فيخبرهم بولايته فتخوّف النبي </w:t>
      </w:r>
      <w:bookmarkStart w:id="988" w:name="pg11047_102990"/>
    </w:p>
    <w:p>
      <w:pPr>
        <w:pStyle w:val="BookText"/>
        <w:rPr/>
      </w:pPr>
      <w:bookmarkEnd w:id="988"/>
      <w:r>
        <w:rPr>
          <w:rFonts w:ascii="Amiri" w:hAnsi="Amiri" w:eastAsia="Amiri" w:cs="Amiri"/>
          <w:color w:val="111111"/>
          <w:sz w:val="28"/>
          <w:sz w:val="28"/>
          <w:szCs w:val="28"/>
          <w:rtl w:val="true"/>
          <w:lang w:bidi="ar-SA"/>
        </w:rPr>
        <w:t xml:space="preserve">أن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حابى ابن عمّه ، وأن يطعنوا في ذلك عليه ، فأوحى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الرَّسُولُ بَلِّغْ ما أُنْزِلَ إِلَيْكَ مِنْ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 فقام رسول الله بولايته يوم غدير خُمّ</w:t>
      </w:r>
      <w:r>
        <w:rPr>
          <w:rFonts w:eastAsia="Amiri" w:cs="Amiri" w:ascii="Amiri" w:hAnsi="Amiri"/>
          <w:color w:val="111111"/>
          <w:sz w:val="28"/>
          <w:szCs w:val="28"/>
          <w:rtl w:val="true"/>
          <w:lang w:bidi="ar-SA"/>
        </w:rPr>
        <w:t xml:space="preserve">. </w:t>
      </w:r>
      <w:r>
        <w:rPr>
          <w:rStyle w:val="FootnoteAnchor"/>
          <w:rtl w:val="true"/>
        </w:rPr>
        <w:footnoteReference w:id="65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الإمام فخر الدين الرازي في تفسيره عند ذكر الوجوه حول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الآية في فضل عليّ ولمّا نزلت هذه الآية أخذ بيده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 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فلقيه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يا ابن أبي طالب ، أصبحت مولاي ومولى كلّ مؤمن ومؤمنة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قول ابن عبّاس ، والبراء بن عازب ، ومحمد بن عليّ</w:t>
      </w:r>
      <w:r>
        <w:rPr>
          <w:rFonts w:eastAsia="Amiri" w:cs="Amiri" w:ascii="Amiri" w:hAnsi="Amiri"/>
          <w:color w:val="111111"/>
          <w:sz w:val="28"/>
          <w:szCs w:val="28"/>
          <w:rtl w:val="true"/>
          <w:lang w:bidi="ar-SA"/>
        </w:rPr>
        <w:t xml:space="preserve">. </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إلى غير ذلك من الحفّاظ والمحدثين والمفسرين الذين نقلوا أنّ سبب نزول الآية كان حول حديث الغدير</w:t>
      </w:r>
      <w:r>
        <w:rPr>
          <w:rFonts w:eastAsia="Amiri" w:cs="Amiri" w:ascii="Amiri" w:hAnsi="Amiri"/>
          <w:color w:val="111111"/>
          <w:sz w:val="28"/>
          <w:szCs w:val="28"/>
          <w:rtl w:val="true"/>
          <w:lang w:bidi="ar-SA"/>
        </w:rPr>
        <w:t>.</w:t>
      </w:r>
    </w:p>
    <w:p>
      <w:pPr>
        <w:pStyle w:val="Heading5"/>
        <w:numPr>
          <w:ilvl w:val="4"/>
          <w:numId w:val="1"/>
        </w:numPr>
        <w:rPr/>
      </w:pPr>
      <w:bookmarkStart w:id="989" w:name="__RefHeading___Toc1391635_1067777946"/>
      <w:bookmarkStart w:id="990" w:name="_Toc367"/>
      <w:bookmarkEnd w:id="989"/>
      <w:r>
        <w:rPr/>
        <w:t>2</w:t>
      </w:r>
      <w:r>
        <w:rPr>
          <w:rtl w:val="true"/>
        </w:rPr>
        <w:t xml:space="preserve">. </w:t>
      </w:r>
      <w:r>
        <w:rPr>
          <w:rtl w:val="true"/>
        </w:rPr>
        <w:t>آية إكمال الدين</w:t>
      </w:r>
      <w:bookmarkEnd w:id="990"/>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 xml:space="preserve">). </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قد نقل غير واحد من علماء التفسير وأئمّة الحديث نزول الآية يوم الغدير</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يؤيد ذلك ما نقله الرازي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أصحاب الآثار لمّا نزلت هذه الآية على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يعمّر بعد نزولها إلاّ أحداً وثمانين يوماً أو اثنين وثمانين يوماً ، ولم يحصل في الشريعة زيادة ولا نسخ ولا تبديل ، وكان ذلك جارياً مجرى إخبار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قرب وفاته</w:t>
      </w:r>
      <w:r>
        <w:rPr>
          <w:rFonts w:eastAsia="Amiri" w:cs="Amiri" w:ascii="Amiri" w:hAnsi="Amiri"/>
          <w:color w:val="111111"/>
          <w:sz w:val="28"/>
          <w:szCs w:val="28"/>
          <w:rtl w:val="true"/>
          <w:lang w:bidi="ar-SA"/>
        </w:rPr>
        <w:t xml:space="preserve">. </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 xml:space="preserve">هذا من جانب ومن جانب آخر ذكر المؤرِّخون من أهل السنّة ، كالبخاري في صحيحه </w:t>
      </w:r>
      <w:r>
        <w:rPr>
          <w:rStyle w:val="FootnoteAnchor"/>
          <w:rtl w:val="true"/>
        </w:rPr>
        <w:footnoteReference w:id="659"/>
      </w:r>
      <w:r>
        <w:rPr>
          <w:rFonts w:ascii="Amiri" w:hAnsi="Amiri" w:eastAsia="Amiri" w:cs="Amiri"/>
          <w:color w:val="111111"/>
          <w:sz w:val="28"/>
          <w:sz w:val="28"/>
          <w:szCs w:val="28"/>
          <w:rtl w:val="true"/>
          <w:lang w:bidi="ar-SA"/>
        </w:rPr>
        <w:t xml:space="preserve">أنّ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الثاني عشر من ربيع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يوم الغدير الذي كان في الثامن عشر من شهر ذي الحجة الحرام إلى الثاني عشر من ربيع الأوّل يكون بضعاً وثمانين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المحدّثون فقد نقلوا أنّ سبب نزول الآية في غير واحد من كتبهم ، نظراء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ابن مردويه وابن عساكر عن أبي سعيد الخدري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نصب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يوم غدير خم فنادى له بالولاية ، هبط جبريل عليه بهذه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ابن مردويه والخطيب وابن عساكر 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يوم غدير خم وهو يوم ثماني عشر من ذي الحجة ، 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xml:space="preserve">). </w:t>
      </w:r>
      <w:r>
        <w:rPr>
          <w:rStyle w:val="FootnoteAnchor"/>
          <w:rtl w:val="true"/>
        </w:rPr>
        <w:footnoteReference w:id="66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أيضاً الحميدي وأحمد وعبد بن حميد والبخاري ومسلم والترمذي والنسائي وابن جرير وابن المنذر وابن حبان البيهقي في سننه عن طارق بن شهاب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قالت اليهود 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تقرءون آية في كتابكم ، لو علينا معشر اليهود نزلت لاتّخذنا ذلك اليوم عيداً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آية؟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لأعلم اليوم الذي نزلت على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والساعة التي نزلت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على رسول الله عشية عرفة في يوم الجمعة</w:t>
      </w:r>
      <w:r>
        <w:rPr>
          <w:rFonts w:eastAsia="Amiri" w:cs="Amiri" w:ascii="Amiri" w:hAnsi="Amiri"/>
          <w:color w:val="111111"/>
          <w:sz w:val="28"/>
          <w:szCs w:val="28"/>
          <w:rtl w:val="true"/>
          <w:lang w:bidi="ar-SA"/>
        </w:rPr>
        <w:t xml:space="preserve">. </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 xml:space="preserve">ما نسب إلى الخليفة أنّها نزلت في عشية عرفة يخالف ما نقله الرازي عن أصحاب الآثار أنّه لمّا نزلت هذه الآية على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يعمّر بعد نزولها إلاّ أحداً وثمانين يوماً أو اثنين وثمانين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ابن جرير عن ابن جريج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مكث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نزلت هذه الآية إحدى وثمانين ليلة</w:t>
      </w:r>
      <w:r>
        <w:rPr>
          <w:rFonts w:eastAsia="Amiri" w:cs="Amiri" w:ascii="Amiri" w:hAnsi="Amiri"/>
          <w:color w:val="111111"/>
          <w:sz w:val="28"/>
          <w:szCs w:val="28"/>
          <w:rtl w:val="true"/>
          <w:lang w:bidi="ar-SA"/>
        </w:rPr>
        <w:t xml:space="preserve">. </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 xml:space="preserve">ووجه المخالفة أنّ النبي حسب ما اتّفق عليه الجمهور توفّي في الثاني عشر من شهر ربيع الأوّل ، فإذا افترضنا انّ الآية تنزلت يوم عرفة يبقى هناك عشرين يوماً ، فإذا أُضيف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الحرام وصفر المظفر واثنا عشر يوماً من شهر ربيع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الحد الفاصل بين نزول الآية ويوم وفاة النبي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ونوضحه كالتالي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شهر ذي الحجة الحرام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w:t>
      </w:r>
    </w:p>
    <w:p>
      <w:pPr>
        <w:pStyle w:val="BookText"/>
        <w:rPr/>
      </w:pPr>
      <w:r>
        <w:rPr>
          <w:rFonts w:ascii="Amiri" w:hAnsi="Amiri" w:eastAsia="Amiri" w:cs="Amiri"/>
          <w:color w:val="111111"/>
          <w:sz w:val="28"/>
          <w:sz w:val="28"/>
          <w:szCs w:val="28"/>
          <w:rtl w:val="true"/>
          <w:lang w:bidi="ar-SA"/>
        </w:rPr>
        <w:t xml:space="preserve">من شهري محرم وصفر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w:t>
      </w:r>
    </w:p>
    <w:p>
      <w:pPr>
        <w:pStyle w:val="BookText"/>
        <w:rPr/>
      </w:pPr>
      <w:r>
        <w:rPr>
          <w:rFonts w:ascii="Amiri" w:hAnsi="Amiri" w:eastAsia="Amiri" w:cs="Amiri"/>
          <w:color w:val="111111"/>
          <w:sz w:val="28"/>
          <w:sz w:val="28"/>
          <w:szCs w:val="28"/>
          <w:rtl w:val="true"/>
          <w:lang w:bidi="ar-SA"/>
        </w:rPr>
        <w:t xml:space="preserve">من شهر ربيع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w:t>
      </w:r>
    </w:p>
    <w:p>
      <w:pPr>
        <w:pStyle w:val="BookText"/>
        <w:rPr/>
      </w:pPr>
      <w:r>
        <w:rPr>
          <w:rFonts w:ascii="Amiri" w:hAnsi="Amiri" w:eastAsia="Amiri" w:cs="Amiri"/>
          <w:color w:val="111111"/>
          <w:sz w:val="28"/>
          <w:sz w:val="28"/>
          <w:szCs w:val="28"/>
          <w:rtl w:val="true"/>
          <w:lang w:bidi="ar-SA"/>
        </w:rPr>
        <w:t xml:space="preserve">المجموع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افترضنا كون الشهرين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يكون الحدّ الفاصل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مع أنّ المذكور عن أصحاب الآثار انّ الرسول لم يعمّر إلاّ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إذا اخترنا الروايات الدالة على أنّها نزلت في الثامن عشر من شهر ذي الحجة حيث يكون الحدّ الفاصل نحو إحدى وثمانين أو قريباً منه</w:t>
      </w:r>
      <w:r>
        <w:rPr>
          <w:rFonts w:eastAsia="Amiri" w:cs="Amiri" w:ascii="Amiri" w:hAnsi="Amiri"/>
          <w:color w:val="111111"/>
          <w:sz w:val="28"/>
          <w:szCs w:val="28"/>
          <w:rtl w:val="true"/>
          <w:lang w:bidi="ar-SA"/>
        </w:rPr>
        <w:t xml:space="preserve">. </w:t>
      </w:r>
      <w:bookmarkStart w:id="991" w:name="pg11047_102993"/>
    </w:p>
    <w:p>
      <w:pPr>
        <w:pStyle w:val="Heading4"/>
        <w:numPr>
          <w:ilvl w:val="3"/>
          <w:numId w:val="1"/>
        </w:numPr>
        <w:rPr/>
      </w:pPr>
      <w:bookmarkStart w:id="992" w:name="__RefHeading___Toc1391637_1067777946"/>
      <w:bookmarkStart w:id="993" w:name="_Toc368"/>
      <w:bookmarkEnd w:id="991"/>
      <w:bookmarkEnd w:id="992"/>
      <w:r>
        <w:rPr>
          <w:rtl w:val="true"/>
        </w:rPr>
        <w:t>لما ذا أعرض الصحابة عن مدلول حديث الغدير؟</w:t>
      </w:r>
      <w:bookmarkEnd w:id="993"/>
    </w:p>
    <w:p>
      <w:pPr>
        <w:pStyle w:val="BookText"/>
        <w:rPr/>
      </w:pPr>
      <w:r>
        <w:rPr>
          <w:rFonts w:ascii="Amiri" w:hAnsi="Amiri" w:eastAsia="Amiri" w:cs="Amiri"/>
          <w:color w:val="111111"/>
          <w:sz w:val="28"/>
          <w:sz w:val="28"/>
          <w:szCs w:val="28"/>
          <w:rtl w:val="true"/>
          <w:lang w:bidi="ar-SA"/>
        </w:rPr>
        <w:t>أقوى مستمسك لمن يريد التخلّص من الأخذ بالنصّ المتواتر الجليّ في المقام ، هو انّه لو كان الأمر كذلك فلما ذا لم تأخذه الصحابة مقياساً بعد النبي؟ وليس من الصحيح إجماع الصحابة وجمهور الأُمّة على ردّ ما بلَّغه النبيّ في ذلك المحتشد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عنه انّ من رجع إلى تاريخ الصحابة يرى لهذه الأُمور نظائر كثيرة في حياتهم السياسية ، وليكن ترك العمل بحديث الغدير من هذا القبيل ،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رزيّة يوم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الشيخان وغيرهما </w:t>
      </w:r>
      <w:r>
        <w:rPr>
          <w:rStyle w:val="FootnoteAnchor"/>
          <w:rtl w:val="true"/>
        </w:rPr>
        <w:footnoteReference w:id="663"/>
      </w:r>
      <w:r>
        <w:rPr>
          <w:rFonts w:ascii="Amiri" w:hAnsi="Amiri" w:eastAsia="Amiri" w:cs="Amiri"/>
          <w:color w:val="111111"/>
          <w:sz w:val="28"/>
          <w:sz w:val="28"/>
          <w:szCs w:val="28"/>
          <w:rtl w:val="true"/>
          <w:lang w:bidi="ar-SA"/>
        </w:rPr>
        <w:t xml:space="preserve">، ومنها سريّة أُسامة </w:t>
      </w:r>
      <w:r>
        <w:rPr>
          <w:rStyle w:val="FootnoteAnchor"/>
          <w:rtl w:val="true"/>
        </w:rPr>
        <w:footnoteReference w:id="664"/>
      </w:r>
      <w:r>
        <w:rPr>
          <w:rFonts w:ascii="Amiri" w:hAnsi="Amiri" w:eastAsia="Amiri" w:cs="Amiri"/>
          <w:color w:val="111111"/>
          <w:sz w:val="28"/>
          <w:sz w:val="28"/>
          <w:szCs w:val="28"/>
          <w:rtl w:val="true"/>
          <w:lang w:bidi="ar-SA"/>
        </w:rPr>
        <w:t xml:space="preserve">، ومنها صلح الحديبية واعتراض لفيف من الصحابة </w:t>
      </w:r>
      <w:r>
        <w:rPr>
          <w:rStyle w:val="FootnoteAnchor"/>
          <w:rtl w:val="true"/>
        </w:rPr>
        <w:footnoteReference w:id="665"/>
      </w:r>
      <w:r>
        <w:rPr>
          <w:rFonts w:ascii="Amiri" w:hAnsi="Amiri" w:eastAsia="Amiri" w:cs="Amiri"/>
          <w:color w:val="111111"/>
          <w:sz w:val="28"/>
          <w:sz w:val="28"/>
          <w:szCs w:val="28"/>
          <w:rtl w:val="true"/>
          <w:lang w:bidi="ar-SA"/>
        </w:rPr>
        <w:t>، ولسنا بصدد استقصاء مخالفات القوم لنصوص النبي وتعليماته ، فإنّ المخالفة لا تقتصر على ما ذكر ، بل تربو على نيّف وسبعين مورداً ، استقصاها بعض الأعلام</w:t>
      </w:r>
      <w:r>
        <w:rPr>
          <w:rFonts w:eastAsia="Amiri" w:cs="Amiri" w:ascii="Amiri" w:hAnsi="Amiri"/>
          <w:color w:val="111111"/>
          <w:sz w:val="28"/>
          <w:szCs w:val="28"/>
          <w:rtl w:val="true"/>
          <w:lang w:bidi="ar-SA"/>
        </w:rPr>
        <w:t xml:space="preserve">. </w:t>
      </w:r>
      <w:r>
        <w:rPr>
          <w:rStyle w:val="FootnoteAnchor"/>
          <w:rtl w:val="true"/>
        </w:rPr>
        <w:footnoteReference w:id="666"/>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ضوء ذلك لا يكون ترك العمل بحديث الغدير ، من أكثريّة الصحابة دليلاً على عدم تواتره ، أو عدم تماميّة دلالته</w:t>
      </w:r>
      <w:r>
        <w:rPr>
          <w:rFonts w:eastAsia="Amiri" w:cs="Amiri" w:ascii="Amiri" w:hAnsi="Amiri"/>
          <w:color w:val="111111"/>
          <w:sz w:val="28"/>
          <w:szCs w:val="28"/>
          <w:rtl w:val="true"/>
          <w:lang w:bidi="ar-SA"/>
        </w:rPr>
        <w:t xml:space="preserve">. </w:t>
      </w:r>
      <w:bookmarkStart w:id="994" w:name="pg11047_102994"/>
    </w:p>
    <w:p>
      <w:pPr>
        <w:pStyle w:val="Heading3"/>
        <w:numPr>
          <w:ilvl w:val="2"/>
          <w:numId w:val="1"/>
        </w:numPr>
        <w:rPr/>
      </w:pPr>
      <w:bookmarkStart w:id="995" w:name="__RefHeading___Toc1391639_1067777946"/>
      <w:bookmarkStart w:id="996" w:name="_Toc369"/>
      <w:bookmarkEnd w:id="994"/>
      <w:bookmarkEnd w:id="995"/>
      <w:r>
        <w:rPr>
          <w:rtl w:val="true"/>
        </w:rPr>
        <w:t>الأمر السابع</w:t>
      </w:r>
      <w:r>
        <w:rPr>
          <w:rtl w:val="true"/>
        </w:rPr>
        <w:t xml:space="preserve">: </w:t>
      </w:r>
      <w:r>
        <w:rPr>
          <w:rtl w:val="true"/>
        </w:rPr>
        <w:t>السنّة النبويّة والأئمّة الاثنا عشر</w:t>
      </w:r>
      <w:bookmarkEnd w:id="996"/>
    </w:p>
    <w:p>
      <w:pPr>
        <w:pStyle w:val="BookText"/>
        <w:rPr/>
      </w:pPr>
      <w:r>
        <w:rPr>
          <w:rFonts w:ascii="Amiri" w:hAnsi="Amiri" w:eastAsia="Amiri" w:cs="Amiri"/>
          <w:color w:val="111111"/>
          <w:sz w:val="28"/>
          <w:sz w:val="28"/>
          <w:szCs w:val="28"/>
          <w:rtl w:val="true"/>
          <w:lang w:bidi="ar-SA"/>
        </w:rPr>
        <w:t xml:space="preserve">إنّ النبيّ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يكتف بتنصيب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منصب الإمامة والخلافة ، كما لم يكتف بإرجاع الأُمّة الإسلامية إلى أهل بيته وعترته الطاهرة ، ولم يقتصر على تشبيههم بسفينة نوح ، بل قام ببيان عدد الأئمّة الّذين يتولّون الخلافة بعده ، واحداً بعد واحد ، حتّى لا يبقى لمرتاب ريب ، فقد روي في الصحاح والمسانيد بطرق مختلفة عن جابر بن سمرة انّ الخلفاء بعد النبيّ اثنا عشر خليفة كلّهم من قريش ، وإليك ما ورد في توصيفهم من الخصوصيات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يزال الدين عزيزاً منيعاً إلى اثني عشر خليفة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يزال الإسلام عزيزاً إلى اثني عشر خليفة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يزال الدين قائماً حتى تقوم الساعة ، أو يكون عليكم اثنا عشر خليفة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يزال الدين ظاهراً على من ناوأه حتى يمضي من أُمّتي اثنا عشر خليفة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يزال هذا الأمر صالحاً حتى يكون اثنا عشر أميراً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يزال الناس بخير إلى اثني عشر خليفة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وقد اختلفت كلمة شرّاح الحديث في تعيين هؤلاء الأئمّة ، ولا تجد بينها كلمة تشفي العليل ، وتروي الغليل ، إلاّ ما نقله الشيخ سليمان البلخي القندوزي الحنفيّ في ينابيعه عن بعض المحقّقين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الأحاديث الدالّة على كون الخلفاء بعده اثني عشر شخصاً ، قد اشتهرت من طرق كثيرة ، ولا يمكن أن يحمل هذا الحديث على الخلفاء بعده من الصحابة ، لقلّتهم عن اثني عشر ، ولا يمكن أن يحمل على الملوك الأُمويّين لزيادتهم على الاثني عشر ولظلمهم الفاحش إلاّ عمر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 أن يحمل على الملوك العباسيين لزيادتهم على العدد المذكور ولقلّة رعايتهم قوله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Style w:val="FootnoteAnchor"/>
          <w:rtl w:val="true"/>
        </w:rPr>
        <w:footnoteReference w:id="667"/>
      </w:r>
    </w:p>
    <w:p>
      <w:pPr>
        <w:pStyle w:val="BookText"/>
        <w:rPr/>
      </w:pPr>
      <w:r>
        <w:rPr>
          <w:rFonts w:ascii="Amiri" w:hAnsi="Amiri" w:eastAsia="Amiri" w:cs="Amiri"/>
          <w:color w:val="111111"/>
          <w:sz w:val="28"/>
          <w:sz w:val="28"/>
          <w:szCs w:val="28"/>
          <w:rtl w:val="true"/>
          <w:lang w:bidi="ar-SA"/>
        </w:rPr>
        <w:t xml:space="preserve">فلا بد من أن يحمل على الأئمة الاثني عشر من أهل بيته وعترته ، لأنّهم كانوا أعلم أهل زمانهم ، وأجلّهم ، وأورعهم ، وأتقاهم ، وأعلاهم نسباً ، وأفضلهم حسباً ، وأكرمهم عند الله ، وكانت علومهم عن آبائهم متصلة بجدّهم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وبالوراثة اللّدنية ، كذا عرّفهم أهل العلم والتحقيق ، وأهل الكشف والتوفيق</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 هذا المعنى ويرجّحه حديث الثقلين والأحاديث المتكثّرة المذكورة في هذا الكتاب وغيرها</w:t>
      </w:r>
      <w:r>
        <w:rPr>
          <w:rFonts w:eastAsia="Amiri" w:cs="Amiri" w:ascii="Amiri" w:hAnsi="Amiri"/>
          <w:color w:val="111111"/>
          <w:sz w:val="28"/>
          <w:szCs w:val="28"/>
          <w:rtl w:val="true"/>
          <w:lang w:bidi="ar-SA"/>
        </w:rPr>
        <w:t xml:space="preserve">». </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الحرّ الفارغ عن كلّ رأي مسبق ، لو أمعن النظر في هذه الأحاديث وأمعن في تاريخ الأئمّة الاثني عشر من ولد الرسول ، يقف على أنّ هذه الأحاديث لا تروم غيرهم ، فإنّ بعضها يدلّ على أنّ الإسلام لا ينقرض ولا ينقضي حتّى يمضي في المسلمين اثنا عشر خليفة ، كلّهم من قريش ؛ وبعضها يدلّ على أنّ عزَّة الإسلام إنّما تكون إلى اثني عشر خليفة ؛ وبعضها يدلّ على أنّ الدين قائم إلى قيام السّاعة وإلى ظهور اثني عشر خليفة ، وغير ذلك من العناوين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الخصوصيات لا توجد في الأُمّة الإسلامية إلاّ في الأئمّة الاثني عشر المعروفين عند الفريقين </w:t>
      </w:r>
      <w:r>
        <w:rPr>
          <w:rStyle w:val="FootnoteAnchor"/>
          <w:rtl w:val="true"/>
        </w:rPr>
        <w:footnoteReference w:id="669"/>
      </w:r>
      <w:r>
        <w:rPr>
          <w:rFonts w:ascii="Amiri" w:hAnsi="Amiri" w:eastAsia="Amiri" w:cs="Amiri"/>
          <w:color w:val="111111"/>
          <w:sz w:val="28"/>
          <w:sz w:val="28"/>
          <w:szCs w:val="28"/>
          <w:rtl w:val="true"/>
          <w:lang w:bidi="ar-SA"/>
        </w:rPr>
        <w:t>، خصوصاً ما يدلّ على أنّ وجود الأئمّة مستمرّ إلى آخر الدهر ومن المعلوم انّ آخر الأئمّة هو المهدي المنتظر الذي يعدّ ظهوره من أشراط الساعة</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قد تضافرت النصوص في تنصيص الإمام السابق على الإمام اللاحق ، فمن أراد الوقوف على هذه النصوص ، فليرجع إلى الكتب المؤلّفة في هذا الموضوع</w:t>
      </w:r>
      <w:r>
        <w:rPr>
          <w:rFonts w:eastAsia="Amiri" w:cs="Amiri" w:ascii="Amiri" w:hAnsi="Amiri"/>
          <w:color w:val="111111"/>
          <w:sz w:val="28"/>
          <w:szCs w:val="28"/>
          <w:rtl w:val="true"/>
          <w:lang w:bidi="ar-SA"/>
        </w:rPr>
        <w:t xml:space="preserve">. </w:t>
      </w:r>
      <w:r>
        <w:rPr>
          <w:rStyle w:val="FootnoteAnchor"/>
          <w:rtl w:val="true"/>
        </w:rPr>
        <w:footnoteReference w:id="670"/>
      </w:r>
      <w:bookmarkStart w:id="997" w:name="pg11047_102997"/>
    </w:p>
    <w:p>
      <w:pPr>
        <w:pStyle w:val="Heading2"/>
        <w:numPr>
          <w:ilvl w:val="1"/>
          <w:numId w:val="1"/>
        </w:numPr>
        <w:rPr/>
      </w:pPr>
      <w:bookmarkStart w:id="998" w:name="__RefHeading___Toc1391641_1067777946"/>
      <w:bookmarkStart w:id="999" w:name="_Toc370"/>
      <w:bookmarkEnd w:id="997"/>
      <w:bookmarkEnd w:id="998"/>
      <w:r>
        <w:rPr>
          <w:rtl w:val="true"/>
        </w:rPr>
        <w:t>الفصل العاشر</w:t>
      </w:r>
      <w:r>
        <w:rPr>
          <w:rtl w:val="true"/>
        </w:rPr>
        <w:t xml:space="preserve">: </w:t>
      </w:r>
      <w:r>
        <w:rPr>
          <w:rtl w:val="true"/>
        </w:rPr>
        <w:t>عدالة الصحابة بين العاطفة والبرهان</w:t>
      </w:r>
      <w:bookmarkEnd w:id="999"/>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00" w:name="__RefHeading___Toc1391643_1067777946"/>
      <w:bookmarkStart w:id="1001" w:name="_Toc371"/>
      <w:bookmarkEnd w:id="1000"/>
      <w:r>
        <w:rPr>
          <w:rtl w:val="true"/>
        </w:rPr>
        <w:t>اشارة</w:t>
      </w:r>
      <w:bookmarkEnd w:id="1001"/>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02" w:name="pg11047_102999"/>
      <w:bookmarkStart w:id="1003" w:name="pg11047_102999"/>
      <w:bookmarkEnd w:id="1003"/>
    </w:p>
    <w:p>
      <w:pPr>
        <w:pStyle w:val="Heading3"/>
        <w:numPr>
          <w:ilvl w:val="2"/>
          <w:numId w:val="1"/>
        </w:numPr>
        <w:rPr/>
      </w:pPr>
      <w:bookmarkStart w:id="1004" w:name="pg11047_102999"/>
      <w:bookmarkStart w:id="1005" w:name="__RefHeading___Toc1391645_1067777946"/>
      <w:bookmarkStart w:id="1006" w:name="_Toc372"/>
      <w:bookmarkEnd w:id="1004"/>
      <w:bookmarkEnd w:id="1005"/>
      <w:r>
        <w:rPr>
          <w:rtl w:val="true"/>
        </w:rPr>
        <w:t>اتجاهان حول الصحبة والصحابة</w:t>
      </w:r>
      <w:bookmarkEnd w:id="1006"/>
    </w:p>
    <w:p>
      <w:pPr>
        <w:pStyle w:val="BookText"/>
        <w:rPr/>
      </w:pPr>
      <w:r>
        <w:rPr>
          <w:rFonts w:ascii="Amiri" w:hAnsi="Amiri" w:eastAsia="Amiri" w:cs="Amiri"/>
          <w:color w:val="111111"/>
          <w:sz w:val="28"/>
          <w:sz w:val="28"/>
          <w:szCs w:val="28"/>
          <w:rtl w:val="true"/>
          <w:lang w:bidi="ar-SA"/>
        </w:rPr>
        <w:t xml:space="preserve">لقد احتدم النزاع منذ عصر مبكّر حول الصحبة والصحابة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التفّوا حول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وخاضوا معه المعارك والمغازي ، ورفعوا رايةَ الإسلام خفّاقة في أحلك الظروف ، وأشد المواقف ، وجاهدوا بين يديه بأنفسهم ونفيسهم حتّى نشروا الإسلام في ربوع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في أنّ هذا يثير مشاعر كلّ مسلم واع يعتزّ بدينه وشريعته ورسوله وقرآنه ، ويشدّه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حبّهم وودّهم حتّى صار حب الصحابة من مظاهر حب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اشتهر بأنّ من أحب شيئاً أحبّ آثاره ولوازمه ، فمن أحب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أحب المتعلّمين على يديه والمجاهدين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ممّا لا سترة ولا خلاف فيه ، إنّما الكلام في أنّ مجرّد صحبة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أكانت قصيرة الأمد أم طويلته ، هل تجعل الصحابي إنساناً مثالياً بعيداً عن المعاصي ، صغيرها وكبيرها ، جليلها وحقيرها طول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انّ صحبة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تؤثر في سلوك الصحابي وأخلاقياته ، وأنّ كلّ من صحبه يستضيء بنوره وبيانه حسب قابلياته واستعداداته؟</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ولأجل ذلك ظهر هنا اتجاهان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عدالة الصحابة برُمّتهم استغراقاً في حبهم ونزولاً عند حكم العاطفة لصاحب الشريعة وأنصاره ، وهو خيرة جمهور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صحبة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تؤثر في سلوك الصحابي وأخلاقياته حسب قابلياته ، فمنهم من بلغ قمة الكمال حتّى أصبح يُستدرّ به الغمام ، ومنهم من لم يبلغ هذا الشأو ولكن استضاء بنور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وحسنت صحبته وسلمت سريرته ، ومنهم من لم ينل إلاّ حظاً قليلاً ، وما هذا إلاّ لتفريطه وتقصيره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والنظرية الثانية هي خيرة الشيعة الإمامية ولفيف من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فالغاية من تأليف هذه الرسالة هو القضاء بين هذين الاتجاهين على ضوء القرآن الكريم والسنّة الشريفة والتاريخ الصحيح والعقل الحصيف بأسلوب موضوعي بعيد عن التعصّب والعاطفة</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ويأتي ما هو المقصود ضمن أُمور </w:t>
      </w:r>
      <w:r>
        <w:rPr>
          <w:rFonts w:eastAsia="Amiri" w:cs="Amiri" w:ascii="Amiri" w:hAnsi="Amiri"/>
          <w:color w:val="111111"/>
          <w:sz w:val="28"/>
          <w:szCs w:val="28"/>
          <w:rtl w:val="true"/>
          <w:lang w:bidi="ar-SA"/>
        </w:rPr>
        <w:t xml:space="preserve">: </w:t>
      </w:r>
      <w:bookmarkStart w:id="1007" w:name="pg11047_103001"/>
    </w:p>
    <w:p>
      <w:pPr>
        <w:pStyle w:val="Heading3"/>
        <w:numPr>
          <w:ilvl w:val="2"/>
          <w:numId w:val="1"/>
        </w:numPr>
        <w:rPr/>
      </w:pPr>
      <w:bookmarkStart w:id="1008" w:name="__RefHeading___Toc1391647_1067777946"/>
      <w:bookmarkStart w:id="1009" w:name="_Toc373"/>
      <w:bookmarkEnd w:id="1007"/>
      <w:bookmarkEnd w:id="1008"/>
      <w:r>
        <w:rPr/>
        <w:t>1</w:t>
      </w:r>
      <w:r>
        <w:rPr>
          <w:rtl w:val="true"/>
        </w:rPr>
        <w:t xml:space="preserve">- </w:t>
      </w:r>
      <w:r>
        <w:rPr>
          <w:rtl w:val="true"/>
        </w:rPr>
        <w:t>من هو الصحابي</w:t>
      </w:r>
      <w:bookmarkEnd w:id="1009"/>
    </w:p>
    <w:p>
      <w:pPr>
        <w:pStyle w:val="BookText"/>
        <w:rPr/>
      </w:pPr>
      <w:r>
        <w:rPr>
          <w:rFonts w:ascii="Amiri" w:hAnsi="Amiri" w:eastAsia="Amiri" w:cs="Amiri"/>
          <w:color w:val="111111"/>
          <w:sz w:val="28"/>
          <w:sz w:val="28"/>
          <w:szCs w:val="28"/>
          <w:rtl w:val="true"/>
          <w:lang w:bidi="ar-SA"/>
        </w:rPr>
        <w:t xml:space="preserve">اختلفت كلمة جمهور أهل السنّة في تعريف الصحابي مع اتّفاقهم على عدالته ، فاتّفقوا على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عدالة الصحابي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يُحدَّد موضوعه سعة وضيقاً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وإليك نصوصهم في هذا الشأن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سعيد بن المسيب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الصحابي ، ولا نعدّه إلاّ من أقام مع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أو سنتين وغزا معه غزوة أو غزوتين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رأينا أهل العلم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رأى رسول الله وقد أدرك فأسلم وعقل أمر الدين ورضيه فهو عندنا ممّن صحب رسول الله ، ولو ساعة من نهار ، ولكن أصحابه على طبقاتهم وتقدّمهم في الإسلام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رسول الله كلّ من صحبه شهراً أو يوماً أو ساعة أو رآه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صحب رسول الله أو رآه من المسلمين فهو من أصحابه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القاضي أبو بكر محمد بن 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بين أهل اللغة في أنّ الصحابي مشتق من الصحبة ، قليلاً كان أو كثيراً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هذا فقد تقرر للأُمّة عرف ، فإنّهم لا يستعملون هذه التسمية إلاّ فيمن كثرت صحبته ، ولا </w:t>
      </w:r>
    </w:p>
    <w:p>
      <w:pPr>
        <w:pStyle w:val="BookText"/>
        <w:rPr/>
      </w:pPr>
      <w:r>
        <w:rPr>
          <w:rFonts w:ascii="Amiri" w:hAnsi="Amiri" w:eastAsia="Amiri" w:cs="Amiri"/>
          <w:color w:val="111111"/>
          <w:sz w:val="28"/>
          <w:sz w:val="28"/>
          <w:szCs w:val="28"/>
          <w:rtl w:val="true"/>
          <w:lang w:bidi="ar-SA"/>
        </w:rPr>
        <w:t>يجيزون ذلك إلاّ فيمن كثرت صحبته لا على من لقيه ساعة أو مشى معه خطى ، أو سمع منه حديثاً ، فوجب ذلك أن لا يجري هذا الاسم على من هذه حاله ، ومع هذا فإنّ خبر الثقة الأمين عنه مقبول ومعمول به وإن لم تطل صحبته ولا سمع عنه إلاّ حديثاً واحداً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صاحب الغوالي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يطلق اسم الصحبة إلاّ على من صحبه ثمّ يكفي في الاسم من حيث الوضع ، الصحبةُ ولو ساعة ولكن العرف يخصّصه بمن كثرت صحبته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الجزري بعد ذكر هذه النقول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 رسول الله على ما شرطوه كثيرون ، فإنّ رسول الله شهد حنيناً ومعه اثنا عشر ألف سوى الأتباع والنساء ، وجاء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مسلمين فاستنقذوا حريمهم وأولادهم ، وترك مكة مملوءة ناساً وكذلك المدينة أيضاً ، وكلّ من اجتاز به من قبائل العرب كانوا مسلمين فهؤلاء كلّهم لهم صحبة ، وقد شهد معه تبوك من الخلق الكثير ما لا يحصيهم ديوان ، وكذلك حجة الوداع ، وكلّهم له صحبة</w:t>
      </w:r>
      <w:r>
        <w:rPr>
          <w:rFonts w:eastAsia="Amiri" w:cs="Amiri" w:ascii="Amiri" w:hAnsi="Amiri"/>
          <w:color w:val="111111"/>
          <w:sz w:val="28"/>
          <w:szCs w:val="28"/>
          <w:rtl w:val="true"/>
          <w:lang w:bidi="ar-SA"/>
        </w:rPr>
        <w:t xml:space="preserve">. </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إنّ التوسع في مفهوم الصحابي على الوجه الذي عرفته في كلماتهم ممّا لا تساعد عليه اللغة والعرف العام ، فإنّ صحابة الرجل عبارة عن جماعة تكون لهم خلطة ومعاشرة معه مدّة مديدة ، فلا تصدق على من ليس له حظ إلاّ الرؤية من بعيد ، أو سماع الكلام أو المكالمة أو المحادثة فترة يسيرة ، أو الإقامة معه زمناً قليلاً</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وأعجب منه كما تقدّم انّهم اتّفقوا على عدالة كل صحابي مع أنّهم اختلفوا في مفهوم الصحابي اختلافاً واسعاً ، ومن الواضح انّ اتّفاقهم على العدالة رهن اتّفاقهم على تعريف محدد وجامع للمفهوم الصحابي</w:t>
      </w:r>
      <w:r>
        <w:rPr>
          <w:rFonts w:eastAsia="Amiri" w:cs="Amiri" w:ascii="Amiri" w:hAnsi="Amiri"/>
          <w:color w:val="111111"/>
          <w:sz w:val="28"/>
          <w:szCs w:val="28"/>
          <w:rtl w:val="true"/>
          <w:lang w:bidi="ar-SA"/>
        </w:rPr>
        <w:t xml:space="preserve">. </w:t>
      </w:r>
      <w:bookmarkStart w:id="1010" w:name="pg11047_103003"/>
    </w:p>
    <w:p>
      <w:pPr>
        <w:pStyle w:val="Heading3"/>
        <w:numPr>
          <w:ilvl w:val="2"/>
          <w:numId w:val="1"/>
        </w:numPr>
        <w:rPr/>
      </w:pPr>
      <w:bookmarkStart w:id="1011" w:name="__RefHeading___Toc1391649_1067777946"/>
      <w:bookmarkStart w:id="1012" w:name="_Toc374"/>
      <w:bookmarkEnd w:id="1010"/>
      <w:bookmarkEnd w:id="1011"/>
      <w:r>
        <w:rPr/>
        <w:t>2</w:t>
      </w:r>
      <w:r>
        <w:rPr>
          <w:rtl w:val="true"/>
        </w:rPr>
        <w:t xml:space="preserve">- </w:t>
      </w:r>
      <w:r>
        <w:rPr>
          <w:rtl w:val="true"/>
        </w:rPr>
        <w:t>الصحبة وملاكات الاختلاف</w:t>
      </w:r>
      <w:bookmarkEnd w:id="1012"/>
    </w:p>
    <w:p>
      <w:pPr>
        <w:pStyle w:val="BookText"/>
        <w:rPr/>
      </w:pPr>
      <w:r>
        <w:rPr>
          <w:rFonts w:ascii="Amiri" w:hAnsi="Amiri" w:eastAsia="Amiri" w:cs="Amiri"/>
          <w:color w:val="111111"/>
          <w:sz w:val="28"/>
          <w:sz w:val="28"/>
          <w:szCs w:val="28"/>
          <w:rtl w:val="true"/>
          <w:lang w:bidi="ar-SA"/>
        </w:rPr>
        <w:t xml:space="preserve">لا شكّ انّ للصحبة تأثيراً في النفوس من غير فرق بين كون المصاحَب مصاحَب سوء أو غيره ، فلذلك نرى أنّ المجرم يوم القيامة يتمنّى عدم اتخاذ فلان صديقاً ، يقول سبحانه حاكياً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وَيْلَتى لَيْتَنِي لَمْ أَتَّخِذْ فُلاناً خَلِيلاً</w:t>
      </w:r>
      <w:r>
        <w:rPr>
          <w:rFonts w:eastAsia="Amiri" w:cs="Amiri" w:ascii="Amiri" w:hAnsi="Amiri"/>
          <w:color w:val="111111"/>
          <w:sz w:val="28"/>
          <w:szCs w:val="28"/>
          <w:rtl w:val="true"/>
          <w:lang w:bidi="ar-SA"/>
        </w:rPr>
        <w:t xml:space="preserve">) </w:t>
      </w:r>
      <w:r>
        <w:rPr>
          <w:rStyle w:val="FootnoteAnchor"/>
          <w:rtl w:val="true"/>
        </w:rPr>
        <w:footnoteReference w:id="672"/>
      </w:r>
      <w:r>
        <w:rPr>
          <w:rFonts w:ascii="Amiri" w:hAnsi="Amiri" w:eastAsia="Amiri" w:cs="Amiri"/>
          <w:color w:val="111111"/>
          <w:sz w:val="28"/>
          <w:sz w:val="28"/>
          <w:szCs w:val="28"/>
          <w:rtl w:val="true"/>
          <w:lang w:bidi="ar-SA"/>
        </w:rPr>
        <w:t xml:space="preserve">، ويقول أيضاً حاكياً عن الخلّة والصحبة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الْأَخِلاَّءُ يَوْمَئِذٍ بَعْضُهُمْ لِبَعْضٍ عَدُوٌّ إِلاَّ الْمُتَّقِينَ</w:t>
      </w:r>
      <w:r>
        <w:rPr>
          <w:rFonts w:eastAsia="Amiri" w:cs="Amiri" w:ascii="Amiri" w:hAnsi="Amiri"/>
          <w:color w:val="111111"/>
          <w:sz w:val="28"/>
          <w:szCs w:val="28"/>
          <w:rtl w:val="true"/>
          <w:lang w:bidi="ar-SA"/>
        </w:rPr>
        <w:t xml:space="preserve">) </w:t>
      </w:r>
      <w:r>
        <w:rPr>
          <w:rStyle w:val="FootnoteAnchor"/>
          <w:rtl w:val="true"/>
        </w:rPr>
        <w:footnoteReference w:id="673"/>
      </w:r>
      <w:r>
        <w:rPr>
          <w:rFonts w:ascii="Amiri" w:hAnsi="Amiri" w:eastAsia="Amiri" w:cs="Amiri"/>
          <w:color w:val="111111"/>
          <w:sz w:val="28"/>
          <w:sz w:val="28"/>
          <w:szCs w:val="28"/>
          <w:rtl w:val="true"/>
          <w:lang w:bidi="ar-SA"/>
        </w:rPr>
        <w:t>، فإذا كان لصحبة السوء تأثير في تكوين شخصية الإنسان ، فلصحبة الأخيار تأثير في النفوس القابلة المستعدة ، فربما ترفعه إلى منزلة عالية ، وهذا شيء يلمسه كلّ إنسان في واقعه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شكّ انّ لصحبة الأخيار أثراً تربوياً ، ولكن مدى تأثيرها يختلف حسب اختلاف عناصر ثلاثة ، هي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الاستعداد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مقدار الصحبة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فلا شكّ انّ الإنسان الواقع في إطار التربية إذا كان إنساناً يافعاً أو شاباً في عنفوان السن يكون قلبه وروحه كالأرض الخالية تنبت ما أُلقي فيها ، فربما تُكوّن الصحبةُ شخصية كاملة تعدّ مثلاً للفضل والفضيلة ، وهذا بخلاف ما إذا كان طاعناً في السن ، واكتملت شخصيّته الروحية والفكرية ، فانّ النفوذ في النفوس المكتملة الشخصية والتأثير عليها والثورة على أفكارها وروحياتها واتجاهاتها أمر صعب ، فيكون تأثير الصحبة أقل بمراتب من الطائفة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في الاستعداد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أمر لا يحتاج إلى البيان ، فكما أنّ البشر يختلفون في تقبّل العلم ، فهكذا هم يختلفون في مقدار قبول الهداية الإلهية ، ولهذا نرى أنّ من تخرّجوا عن مدرسة الرسول يختلفون إيماناً وإيثاراً وأخلاقاً وسلوكاً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أي مقدار الصحبة فقد كانوا مختلفين فيه ، فبعضهم صحب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بدء البعثة إلى لحظة الرحلة ، وبعضهم أسلم بعد البعثة وقبل الهجرة ، وكثير منهم أسلموا بعد الهجرة وربما أدركوا من الصحبة سنة أو شهراً أو أيّاماً أو ساعة فهل يصحّ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صحبة ما ، قلعت ما في نفوسهم جميعاً من جذور غير صالحة وملكات ردية ، وكوّنت منهم شخصيات ممتازة أعلى وأجل من أن يقعوا في إطار التعديل والجرح</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العوامل تؤيد الاتجاه الثاني القائل بأنّ تأثير الصحبة في صحابة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على نحو يجعل الجميع على حدّ سواء من الإيمان والفضل والتقوى والإيثار والزهد والخير ، وما دامت هذه الاختلافات سائدة عليهم فمن البعيد أن نجعلهم على غرار واحد ونزن الكل بصاع معيّن ، ونحكم على الكلّ </w:t>
      </w:r>
    </w:p>
    <w:p>
      <w:pPr>
        <w:pStyle w:val="BookText"/>
        <w:rPr/>
      </w:pPr>
      <w:r>
        <w:rPr>
          <w:rFonts w:ascii="Amiri" w:hAnsi="Amiri" w:eastAsia="Amiri" w:cs="Amiri"/>
          <w:color w:val="111111"/>
          <w:sz w:val="28"/>
          <w:sz w:val="28"/>
          <w:szCs w:val="28"/>
          <w:rtl w:val="true"/>
          <w:lang w:bidi="ar-SA"/>
        </w:rPr>
        <w:t>بصفاء النفس ، والتجافي عن زخارف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صحبة الصحابة لم تكن أشدّ ولا أقوى ولا أطول من صحبة امرأة نوح وامرأة لوط ، فقد صحبتا زوجيهما الكريمين ، ولبثتا معهما ليلاً ونهاراً ولكن هذه الصحبة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أغنت عنهما من الله شيئاً ،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اللهُ مَثَلاً لِلَّذِينَ كَفَرُوا امْرَأَتَ نُوحٍ وَامْرَأَتَ لُوطٍ كانَتا تَحْتَ عَبْدَيْنِ مِنْ عِبادِنا صالِحَيْنِ فَخانَتاهُما فَلَمْ يُغْنِيا عَنْهُما مِنَ اللهِ شَيْئاً وَقِيلَ ادْخُلَا النَّارَ مَعَ الدَّاخِلِينَ</w:t>
      </w:r>
      <w:r>
        <w:rPr>
          <w:rFonts w:eastAsia="Amiri" w:cs="Amiri" w:ascii="Amiri" w:hAnsi="Amiri"/>
          <w:color w:val="111111"/>
          <w:sz w:val="28"/>
          <w:szCs w:val="28"/>
          <w:rtl w:val="true"/>
          <w:lang w:bidi="ar-SA"/>
        </w:rPr>
        <w:t xml:space="preserve">). </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 xml:space="preserve">إنّ التشرّف بصحبة النبي لم يكن أكثر امتيازاً وتأثيراً من التشرّف بزوجية النبي ، وقد قال سبحانه في شأنها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نِساءَ النَّبِيِّ مَنْ يَأْتِ مِنْكُنَّ بِفاحِشَةٍ مُبَيِّنَةٍ يُضاعَفْ لَهَا الْعَذابُ ضِعْفَيْنِ وَكانَ ذلِكَ عَلَى اللهِ يَسِيراً</w:t>
      </w:r>
      <w:r>
        <w:rPr>
          <w:rFonts w:eastAsia="Amiri" w:cs="Amiri" w:ascii="Amiri" w:hAnsi="Amiri"/>
          <w:color w:val="111111"/>
          <w:sz w:val="28"/>
          <w:szCs w:val="28"/>
          <w:rtl w:val="true"/>
          <w:lang w:bidi="ar-SA"/>
        </w:rPr>
        <w:t xml:space="preserve">). </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 xml:space="preserve">وأنت ترى الكتاب العزيز يندّد بنساء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كشف سره ويعاتبهنّ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أَسَرَّ النَّبِيُّ إِلى بَعْضِ أَزْواجِهِ حَدِيثاً فَلَمَّا نَبَّأَتْ بِهِ وَأَظْهَرَهُ اللهُ عَلَيْهِ عَرَّفَ بَعْضَهُ وَأَعْرَضَ عَنْ بَعْضٍ فَلَمَّا نَبَّأَها بِهِ قالَتْ مَنْ أَنْبَأَكَ هذا قالَ نَبَّأَنِيَ الْعَلِيمُ 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تَتُوبا إِلَى اللهِ فَقَدْ صَغَتْ قُلُوبُكُما وَإِنْ تَظاهَرا عَلَيْهِ فَإِنَّ اللهَ هُوَ مَوْلاهُ وَجِبْرِيلُ وَصالِحُ الْمُؤْمِنِينَ وَالْمَلائِكَةُ بَعْدَ ذلِكَ ظَهِيرٌ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رَبُّهُ إِنْ طَلَّقَكُنَّ أَنْ يُبْدِلَهُ أَزْواجاً خَيْراً مِنْكُنَّ مُسْلِماتٍ مُؤْمِناتٍ قانِتاتٍ تائِباتٍ عابِداتٍ سائِحاتٍ ثَيِّباتٍ وَأَبْكاراً</w:t>
      </w:r>
      <w:r>
        <w:rPr>
          <w:rFonts w:eastAsia="Amiri" w:cs="Amiri" w:ascii="Amiri" w:hAnsi="Amiri"/>
          <w:color w:val="111111"/>
          <w:sz w:val="28"/>
          <w:szCs w:val="28"/>
          <w:rtl w:val="true"/>
          <w:lang w:bidi="ar-SA"/>
        </w:rPr>
        <w:t xml:space="preserve">). </w:t>
      </w:r>
      <w:r>
        <w:rPr>
          <w:rStyle w:val="FootnoteAnchor"/>
          <w:rtl w:val="true"/>
        </w:rPr>
        <w:footnoteReference w:id="676"/>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فأي عتاب أشدّ من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تَتُوبا إِلَى اللهِ فَقَدْ صَغَتْ قُلُوبُكُما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مالت قلوبكما عن الحقّ ، كما 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تَظاهَرا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يعرب عن وجود </w:t>
      </w:r>
    </w:p>
    <w:p>
      <w:pPr>
        <w:pStyle w:val="BookText"/>
        <w:rPr/>
      </w:pPr>
      <w:r>
        <w:rPr>
          <w:rFonts w:ascii="Amiri" w:hAnsi="Amiri" w:eastAsia="Amiri" w:cs="Amiri"/>
          <w:color w:val="111111"/>
          <w:sz w:val="28"/>
          <w:sz w:val="28"/>
          <w:szCs w:val="28"/>
          <w:rtl w:val="true"/>
          <w:lang w:bidi="ar-SA"/>
        </w:rPr>
        <w:t xml:space="preserve">أرضية فيهن للتظاهر ضدّ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وخلافه ، وهو سبحانه أخبر عن إحقاق أُمنيتهنّ ، لأنّ الله ناصر النبي وجبرئيل وصالح المؤمنين والملائكة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ينبئ عن أنّ الصحبة ليست علّة تامة لتحويل المصاحب إلى إنسان عادل صالح خائف من الله ، ناء عن اقتراف السيّئات حقيرة كانت أو كبيرة ، بل هي مقتضية لصلاح الإنسان إذا كان فيه قابلية للاستضاءة ، وعزم للاستفاضة</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ومعنى هذا انّ للصحبة تأثيراً متفاوتاً وليست على وتيرة واحدة</w:t>
      </w:r>
      <w:r>
        <w:rPr>
          <w:rFonts w:eastAsia="Amiri" w:cs="Amiri" w:ascii="Amiri" w:hAnsi="Amiri"/>
          <w:color w:val="111111"/>
          <w:sz w:val="28"/>
          <w:szCs w:val="28"/>
          <w:rtl w:val="true"/>
          <w:lang w:bidi="ar-SA"/>
        </w:rPr>
        <w:t xml:space="preserve">. </w:t>
      </w:r>
      <w:bookmarkStart w:id="1013" w:name="pg11047_103007"/>
    </w:p>
    <w:p>
      <w:pPr>
        <w:pStyle w:val="Heading3"/>
        <w:numPr>
          <w:ilvl w:val="2"/>
          <w:numId w:val="1"/>
        </w:numPr>
        <w:rPr/>
      </w:pPr>
      <w:bookmarkStart w:id="1014" w:name="__RefHeading___Toc1391651_1067777946"/>
      <w:bookmarkStart w:id="1015" w:name="_Toc375"/>
      <w:bookmarkEnd w:id="1013"/>
      <w:bookmarkEnd w:id="1014"/>
      <w:r>
        <w:rPr/>
        <w:t>3</w:t>
      </w:r>
      <w:r>
        <w:rPr>
          <w:rtl w:val="true"/>
        </w:rPr>
        <w:t xml:space="preserve">- </w:t>
      </w:r>
      <w:r>
        <w:rPr>
          <w:rtl w:val="true"/>
        </w:rPr>
        <w:t>الصحبة ونفي البعد الإعجازي لها</w:t>
      </w:r>
      <w:bookmarkEnd w:id="1015"/>
    </w:p>
    <w:p>
      <w:pPr>
        <w:pStyle w:val="BookText"/>
        <w:rPr/>
      </w:pPr>
      <w:r>
        <w:rPr>
          <w:rFonts w:ascii="Amiri" w:hAnsi="Amiri" w:eastAsia="Amiri" w:cs="Amiri"/>
          <w:color w:val="111111"/>
          <w:sz w:val="28"/>
          <w:sz w:val="28"/>
          <w:szCs w:val="28"/>
          <w:rtl w:val="true"/>
          <w:lang w:bidi="ar-SA"/>
        </w:rPr>
        <w:t xml:space="preserve">إنّ دعوة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دعوة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ابتنيت على أُسس رائجة في ميادين الدعوة ، فكانوا يدعون بالقول والعمل والتبشير والتنذير ، ومثل هذا النوع من الدعوة يؤثر في طائفة دون طائفة ، كما أنّه عند التأثير يختلف تأثيره عند من يلبّي دعوته ، ولم تكن دعوته دعوة إعجازية خارجة عن قوانين الطبيعة ، فالرسول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يقم بتربية الناس وتعليمهم عن طريق الإعجاز ، بل قام بإرشاد الناس ودعوتهم إلى الحق مستعيناً بالأساليب التربوية المتاحة والإمكانيات المتوفرة ، والدعوة القائمة على هذا الأساس يختلف أثرها في النفوس حسب اختلاف استعدادها وقابلياتها ، ولم يكن تأثير الصحبة في تكوين الشخصية الإسلامية كمادة كيمياوية تستعمل في تحويل عنصر كالنحاس إلى عنصر آخر كالذهب حتّى تصنع الصحبةُ الجيلَ الكبير الذي يناهز مائة ألف ، أُمّة عادلة مثالية تكون قدوة وأُسوة للأجيال المستقبلة ، فانّ هذا ممّا لا يقبله العقل السليم</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فبالنظر إلى ما ذكرنا نخرج بالنتيجة التالية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الأُصول التربوية تقضي بأنّ بعض الصحابة يمكن أن يصل في قوة الإيمان ورسوخ العقيدة إلى درجات عالية ، كما يمكن أن يصل بعضهم في الكمال والفضيلة إلى درجات متوسطة ، ومن الممكن أن لا يتأثر بعضهم بالصحبة وسائر العوامل المؤثرة إلاّ شيئاً طفيفاً لا يجعله في صفوف العدول وزمرة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بعض المعاصرين تحت عنوان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للصحابي خصوصية مسألة العدالة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وأرى أنّ أوّل الخلل يكون عند ما نتعامل مع الصحابة وكأنّهم جنس آخر غير البشر ، والقرآن الكريم والسنّة المطهرة لا يوجد فيها أبداً هذا التفريق بين الصحابة وغيرهم إلاّ ميزة الفضل للمهاجرين والأنصار الذين كانت لهم ميزة الجهاد والإنفاق أيّام ضعف الإسلام وذلّة أهله ، أمّا بقية الأُمور كطروء النسيان والوهم والخطأ وارتكاب بعض الكبائر ، فهذه وجدت وحصل من بعض السابقين ومن كثير من اللاحقين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أجد دليلاً مقنعاً صحيحاً صريحاً يفرق بين شروط العدالة بين جيل وآخر ، لا استثني من ذلك صحابة ولا تابعين</w:t>
      </w:r>
      <w:r>
        <w:rPr>
          <w:rFonts w:eastAsia="Amiri" w:cs="Amiri" w:ascii="Amiri" w:hAnsi="Amiri"/>
          <w:color w:val="111111"/>
          <w:sz w:val="28"/>
          <w:szCs w:val="28"/>
          <w:rtl w:val="true"/>
          <w:lang w:bidi="ar-SA"/>
        </w:rPr>
        <w:t xml:space="preserve">. </w:t>
      </w:r>
      <w:r>
        <w:rPr>
          <w:rStyle w:val="FootnoteAnchor"/>
          <w:rtl w:val="true"/>
        </w:rPr>
        <w:footnoteReference w:id="677"/>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ذكرناه هو نتيجة التحليل على ضوء الأُصول النفسية والتربوية غير أنّ البحث لا يكتمل ولا يصحّ القضاء الباتّ إلاّ بالرجوع إلى القرآن الكريم حتّى نقف على نظره فيهم ، كما تجب علينا النظرة العابرة إلى كلمات الرسول في حقّهم ثمّ ملاحظة سلوكهم في زمنه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وسيوافيك بيانه في الفصول المستقبلة</w:t>
      </w:r>
      <w:r>
        <w:rPr>
          <w:rFonts w:eastAsia="Amiri" w:cs="Amiri" w:ascii="Amiri" w:hAnsi="Amiri"/>
          <w:color w:val="111111"/>
          <w:sz w:val="28"/>
          <w:szCs w:val="28"/>
          <w:rtl w:val="true"/>
          <w:lang w:bidi="ar-SA"/>
        </w:rPr>
        <w:t xml:space="preserve">. </w:t>
      </w:r>
      <w:bookmarkStart w:id="1016" w:name="pg11047_103009"/>
    </w:p>
    <w:p>
      <w:pPr>
        <w:pStyle w:val="Heading3"/>
        <w:numPr>
          <w:ilvl w:val="2"/>
          <w:numId w:val="1"/>
        </w:numPr>
        <w:rPr/>
      </w:pPr>
      <w:bookmarkStart w:id="1017" w:name="__RefHeading___Toc1391653_1067777946"/>
      <w:bookmarkStart w:id="1018" w:name="_Toc376"/>
      <w:bookmarkEnd w:id="1016"/>
      <w:bookmarkEnd w:id="1017"/>
      <w:r>
        <w:rPr/>
        <w:t>4</w:t>
      </w:r>
      <w:r>
        <w:rPr>
          <w:rtl w:val="true"/>
        </w:rPr>
        <w:t xml:space="preserve">- </w:t>
      </w:r>
      <w:r>
        <w:rPr>
          <w:rtl w:val="true"/>
        </w:rPr>
        <w:t>الصحابة أبصر بحالهم من غيرهم</w:t>
      </w:r>
      <w:bookmarkEnd w:id="1018"/>
    </w:p>
    <w:p>
      <w:pPr>
        <w:pStyle w:val="BookText"/>
        <w:rPr/>
      </w:pPr>
      <w:r>
        <w:rPr>
          <w:rFonts w:ascii="Amiri" w:hAnsi="Amiri" w:eastAsia="Amiri" w:cs="Amiri"/>
          <w:color w:val="111111"/>
          <w:sz w:val="28"/>
          <w:sz w:val="28"/>
          <w:szCs w:val="28"/>
          <w:rtl w:val="true"/>
          <w:lang w:bidi="ar-SA"/>
        </w:rPr>
        <w:t xml:space="preserve">إنّ من سبر تاريخ الصحابة بعد رحيل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يجد فيه صفحات مليئة بألوان الصراع والنزاع بينهم ، حافلة بتبادل التّهم والشتائم ، بل تجاوز الأمر بهم إلى التقاتل وسفك الدماء ، فكم من بدري وأُحدي انتُهكت حرمته ، وصُبّ عليه العذاب صبّاً ، أو أُريق دمه بيد صحابي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ممّا لا يختلف فيه اثنان ، بيد أنّ الذي ينبغي التنبيه عليه ، هو أنّ كلاً من المتصارعين ، كان يعتقد أنّ خصمه متنكّبٌ عن جادة الصواب ، وأنّه مستحقّ للعقاب أو القتل ، وهذا الاعتقاد ، حتّى وإن كان نابعاً عن اجتهاد ، فإنّه يكشف عن أنّ كلاً من الفئتين المختلفتين لم تكن تعتقد بعدالة الفئة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الصحابي يعتقد أنّ خصمه عادل عن الحق ومجانب لشريعة الله ورسوله ، وهو على أساس ذلك يبيح سلّ السيف عليه وقتله ، فكيف يجوز لنا نحن أن نحكم بعدالتهم ونزاهتهم جميعاً ، وأن نضفي عليهم ثوب القدسيّة على حدّ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ونُبرّأهم من كل زيغ وانحراف؟</w:t>
      </w:r>
    </w:p>
    <w:p>
      <w:pPr>
        <w:pStyle w:val="BookText"/>
        <w:rPr/>
      </w:pPr>
      <w:r>
        <w:rPr>
          <w:rFonts w:ascii="Amiri" w:hAnsi="Amiri" w:eastAsia="Amiri" w:cs="Amiri"/>
          <w:color w:val="111111"/>
          <w:sz w:val="28"/>
          <w:sz w:val="28"/>
          <w:szCs w:val="28"/>
          <w:rtl w:val="true"/>
          <w:lang w:bidi="ar-SA"/>
        </w:rPr>
        <w:t>أو ليس الإنسان أعرف بحاله وأبصر بروحيّاته؟</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ليس الصحابة أعرف منّا بنوازع أنفسهم ، وبنفسيات أبناء جيلهم؟ </w:t>
      </w:r>
    </w:p>
    <w:p>
      <w:pPr>
        <w:pStyle w:val="BookText"/>
        <w:rPr/>
      </w:pPr>
      <w:r>
        <w:rPr>
          <w:rFonts w:ascii="Amiri" w:hAnsi="Amiri" w:eastAsia="Amiri" w:cs="Amiri"/>
          <w:color w:val="111111"/>
          <w:sz w:val="28"/>
          <w:sz w:val="28"/>
          <w:szCs w:val="28"/>
          <w:rtl w:val="true"/>
          <w:lang w:bidi="ar-SA"/>
        </w:rPr>
        <w:t>هذا وراء ما دار بينهم كلمات تكشف عن اعتقاد بعضهم في حق بعض ، فالاتّهام بالكذب والنفاق والشتم والسب كان من أيسر الأُمور المتداولة بينهم ، فهذا هو سعد بن عبادة سيّد الخزرج ، يخاطب سعد بن معاذ ، وهو سيد الأوس وينسبه إلى الكذب كما حكاه البخاري في 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سعد بن عبادة وهو سيد الخرج فقال لسعد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لعمر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أُسيد ابن حضير وهو ابن عم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لسعد بن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لعمر الله لنقتلنّه فإنّك منافق تجادل عن المنافقين ، فتثاور الحيّان حتّى همّوا أن يقتتلوا ورسول الله قائم على المنبر ، فلم يزل رسول الله يخفِّضهم حتّى سكتوا وسكت</w:t>
      </w:r>
      <w:r>
        <w:rPr>
          <w:rFonts w:eastAsia="Amiri" w:cs="Amiri" w:ascii="Amiri" w:hAnsi="Amiri"/>
          <w:color w:val="111111"/>
          <w:sz w:val="28"/>
          <w:szCs w:val="28"/>
          <w:rtl w:val="true"/>
          <w:lang w:bidi="ar-SA"/>
        </w:rPr>
        <w:t xml:space="preserve">. </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وليست هذه القضية فريدة في بابها فلها عشرات النظائر في الصحاح والمسانيد وفي غضون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ذكرته ليكون كنموذج لما لم أذكر ، وسيوافيك في الفصول التالية نماذج من أفعالهم وأقوالهم التي يكشف عن اعتقادهم في حقّ مخالفيهم</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ليس من العجب العجاب ، انّ الصحابي يصف صحابياً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محضر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بالكذب ، والآخر يصف خصمه بالنفاق ، وكلا الرجلين من جبهة الأنصار وسنامهم؟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الذين جاءوا بعدهم يصفونهم بالعدل والتقوى ، والزهد والتجافي عن الدنيا ، وهل سمعت ظئراً أرحم بالطفل من أُمّه</w:t>
      </w:r>
      <w:r>
        <w:rPr>
          <w:rFonts w:eastAsia="Amiri" w:cs="Amiri" w:ascii="Amiri" w:hAnsi="Amiri"/>
          <w:color w:val="111111"/>
          <w:sz w:val="28"/>
          <w:szCs w:val="28"/>
          <w:rtl w:val="true"/>
          <w:lang w:bidi="ar-SA"/>
        </w:rPr>
        <w:t xml:space="preserve">. </w:t>
      </w:r>
      <w:r>
        <w:rPr>
          <w:rStyle w:val="FootnoteAnchor"/>
          <w:rtl w:val="true"/>
        </w:rPr>
        <w:footnoteReference w:id="679"/>
      </w:r>
      <w:bookmarkStart w:id="1019" w:name="pg11047_103011"/>
    </w:p>
    <w:p>
      <w:pPr>
        <w:pStyle w:val="Heading3"/>
        <w:numPr>
          <w:ilvl w:val="2"/>
          <w:numId w:val="1"/>
        </w:numPr>
        <w:rPr/>
      </w:pPr>
      <w:bookmarkStart w:id="1020" w:name="__RefHeading___Toc1391655_1067777946"/>
      <w:bookmarkStart w:id="1021" w:name="_Toc377"/>
      <w:bookmarkEnd w:id="1019"/>
      <w:bookmarkEnd w:id="1020"/>
      <w:r>
        <w:rPr/>
        <w:t>5</w:t>
      </w:r>
      <w:r>
        <w:rPr>
          <w:rtl w:val="true"/>
        </w:rPr>
        <w:t xml:space="preserve">- </w:t>
      </w:r>
      <w:r>
        <w:rPr>
          <w:rtl w:val="true"/>
        </w:rPr>
        <w:t>ما هي الغاية من نقد آراء الصحابة وأفعالهم؟</w:t>
      </w:r>
      <w:bookmarkEnd w:id="1021"/>
    </w:p>
    <w:p>
      <w:pPr>
        <w:pStyle w:val="BookText"/>
        <w:rPr/>
      </w:pPr>
      <w:r>
        <w:rPr>
          <w:rFonts w:ascii="Amiri" w:hAnsi="Amiri" w:eastAsia="Amiri" w:cs="Amiri"/>
          <w:color w:val="111111"/>
          <w:sz w:val="28"/>
          <w:sz w:val="28"/>
          <w:szCs w:val="28"/>
          <w:rtl w:val="true"/>
          <w:lang w:bidi="ar-SA"/>
        </w:rPr>
        <w:t xml:space="preserve">قد أثبتت البحوث السابقة انّ الصحابة من جنس البشر وليسوا من جنس الملائكة المعصومين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يَعْصُونَ اللهَ ما أَمَرَهُمْ وَيَفْعَلُونَ ما يُؤْمَرُونَ</w:t>
      </w:r>
      <w:r>
        <w:rPr>
          <w:rFonts w:eastAsia="Amiri" w:cs="Amiri" w:ascii="Amiri" w:hAnsi="Amiri"/>
          <w:color w:val="111111"/>
          <w:sz w:val="28"/>
          <w:szCs w:val="28"/>
          <w:rtl w:val="true"/>
          <w:lang w:bidi="ar-SA"/>
        </w:rPr>
        <w:t xml:space="preserve">) </w:t>
      </w:r>
      <w:r>
        <w:rPr>
          <w:rStyle w:val="FootnoteAnchor"/>
          <w:rtl w:val="true"/>
        </w:rPr>
        <w:footnoteReference w:id="680"/>
      </w:r>
      <w:r>
        <w:rPr>
          <w:rFonts w:ascii="Amiri" w:hAnsi="Amiri" w:eastAsia="Amiri" w:cs="Amiri"/>
          <w:color w:val="111111"/>
          <w:sz w:val="28"/>
          <w:sz w:val="28"/>
          <w:szCs w:val="28"/>
          <w:rtl w:val="true"/>
          <w:lang w:bidi="ar-SA"/>
        </w:rPr>
        <w:t>فهم كالتابعين وتابعي التابعين في كلّ ما يجوز وما لا يجوز ، فتحريم البحث عن حياتهم ونقد آرائهم وأفعالهم ، تخصيص بلا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تذرّعوا في تحريم نقدهم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الصحابة هم المصدر لأخذ الدين والمسلمون متطفّلون على موائدهم حيث أخذوا عنهم دينهم ، فنقد آرائهم وأفعالهم ينتهي إلى تقويض دعائم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التذرّع لا يثبت أمام الآيات الصريحة والأحاديث النبوية والتاريخ الصحيح الواردة في نقد آراء الصحابة وأفعالهم</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أضف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المسلمين كما أخذوا دينهم عن الصحابة أخذوا عن التابعين أيضاً ، فلو ثبت ما تذرّعوا به لسرى التحريم إلى التابعين أيضاً ، وقد اتّفق </w:t>
      </w:r>
    </w:p>
    <w:p>
      <w:pPr>
        <w:pStyle w:val="BookText"/>
        <w:rPr/>
      </w:pPr>
      <w:r>
        <w:rPr>
          <w:rFonts w:ascii="Amiri" w:hAnsi="Amiri" w:eastAsia="Amiri" w:cs="Amiri"/>
          <w:color w:val="111111"/>
          <w:sz w:val="28"/>
          <w:sz w:val="28"/>
          <w:szCs w:val="28"/>
          <w:rtl w:val="true"/>
          <w:lang w:bidi="ar-SA"/>
        </w:rPr>
        <w:t>المسلمون على خلافه في مورد 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البحث حول الصحابة لا يؤول إلى انهيار الدين وتصدّع الشريعة ، ما دام يعيش بين ظهرانيهم علماء ربّانيّون هم أُسوة في الحياة ، أُمناء على الدين والدنيا ، فلا يضرّ جرح طائفة أو فئة خاصة بثبات الدين وقوامه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ذلك كلّه ، نرى أنّ علماء الرجال وأصحاب الجرح والتعديل يحذرون من نقد حياة الصحابة أشدَّ الحذر ويعدّون ذلك من عمل المبتدعة ، يقول الحافظ ابن حجر في الفصل الثالث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اتّفق أهل السنّة على أنّ الجميع عدول ، ولم يخالف في ذلك إلاّ شذوذ من المبتدعة ، وقد ذكر الخطيب في الكفاية فصلاً نفيساً في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عدالة الصحابة ثابتة معلومة بتعديل الله لهم وإخباره عن طهارتهم واختياره لهم ، ثمّ نقل عدّة آيات حاول بها إثبات عدالتهم وطهارتهم جميعاً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الخطيب بسنده إلى أبي زرعة الرازي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الرجل ينتقص أحداً من أصحاب رسول الله فاعلم أنّه زنديق ، وذلك انّ الرسول حقّ والقرآن حق ، وما جاء به حقّ ، وإنّما أدّى إلينا ذلك كلّه الصحابة ، وهؤلاء يريدون أن يجرحوا شهودنا ليبطلوا الكتاب والسنّة ، والجرح بهم أولى وهم زنادقة</w:t>
      </w:r>
      <w:r>
        <w:rPr>
          <w:rFonts w:eastAsia="Amiri" w:cs="Amiri" w:ascii="Amiri" w:hAnsi="Amiri"/>
          <w:color w:val="111111"/>
          <w:sz w:val="28"/>
          <w:szCs w:val="28"/>
          <w:rtl w:val="true"/>
          <w:lang w:bidi="ar-SA"/>
        </w:rPr>
        <w:t xml:space="preserve">. </w:t>
      </w:r>
      <w:r>
        <w:rPr>
          <w:rStyle w:val="FootnoteAnchor"/>
          <w:rtl w:val="true"/>
        </w:rPr>
        <w:footnoteReference w:id="681"/>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نقد الصحابي عقيدة وفعلاً ليس لغاية إبطال الكتاب والسنّة ، ولا لإبطال شهود المسلمين ، وإنّما الغاية من البحث في عدالتهم هي الغاية ذاتها من البحث في عدالة غيرهم ، فالغاية في الجميع هي التعرف على الصالحين والطالحين ، حتّى يتسنّى لنا أخذ الدين عن الصلحاء واجتناب أخذه عن غيرهم ، فلو قام الرجل بهذا العمل وتحمّل العبء الثقيل ، لما كان عليه لوم ، فلو قال أبو </w:t>
      </w:r>
    </w:p>
    <w:p>
      <w:pPr>
        <w:pStyle w:val="BookText"/>
        <w:rPr/>
      </w:pPr>
      <w:r>
        <w:rPr>
          <w:rFonts w:ascii="Amiri" w:hAnsi="Amiri" w:eastAsia="Amiri" w:cs="Amiri"/>
          <w:color w:val="111111"/>
          <w:sz w:val="28"/>
          <w:sz w:val="28"/>
          <w:szCs w:val="28"/>
          <w:rtl w:val="true"/>
          <w:lang w:bidi="ar-SA"/>
        </w:rPr>
        <w:t xml:space="preserve">زرعة مكان هذا القول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 الرجل يتفحّص عن أحد من أصحاب الرسول لغاية العلم بصدقه أو كذبه ، أو خيره أو شرّه ، حتّى يأخذ دينه عن الخيرة الصادقين ويتحرز عن الآخرين ، فاعلم أنّه من جملة المحقّقين في الدين والمتحيرين للحقيقة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لكان أحسن وأولى ، بل هو الحق والمتعيّن</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غير الصحيح أن يتهم العالم أحداً ، يريد التثبّت في أُمور الدين ، والتحقيق في مطالب الشريعة ، بالزندقة وانّه يريد جرح شهود المسلمين لإبطال الكتاب والسنّة ، وما شهود المسلمين إلاّ الآلاف المؤلّفة من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يضرّ بالكتاب والسنّة جرح لفيف منهم وتعديل قسم منهم ، وليس الدين القيم قائماً بهذا الصنف من المجروحين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هكذا تورد يا سعد الإبل</w:t>
      </w:r>
      <w:r>
        <w:rPr>
          <w:rFonts w:eastAsia="Amiri" w:cs="Amiri" w:ascii="Amiri" w:hAnsi="Amiri"/>
          <w:color w:val="111111"/>
          <w:sz w:val="28"/>
          <w:szCs w:val="28"/>
          <w:rtl w:val="true"/>
          <w:lang w:bidi="ar-SA"/>
        </w:rPr>
        <w:t xml:space="preserve">». </w:t>
      </w:r>
      <w:bookmarkStart w:id="1022" w:name="pg11047_103014"/>
    </w:p>
    <w:p>
      <w:pPr>
        <w:pStyle w:val="Heading3"/>
        <w:numPr>
          <w:ilvl w:val="2"/>
          <w:numId w:val="1"/>
        </w:numPr>
        <w:rPr/>
      </w:pPr>
      <w:bookmarkStart w:id="1023" w:name="__RefHeading___Toc1391657_1067777946"/>
      <w:bookmarkStart w:id="1024" w:name="_Toc378"/>
      <w:bookmarkEnd w:id="1022"/>
      <w:bookmarkEnd w:id="1023"/>
      <w:r>
        <w:rPr/>
        <w:t>6</w:t>
      </w:r>
      <w:r>
        <w:rPr>
          <w:rtl w:val="true"/>
        </w:rPr>
        <w:t xml:space="preserve">- </w:t>
      </w:r>
      <w:r>
        <w:rPr>
          <w:rtl w:val="true"/>
        </w:rPr>
        <w:t>هل الصحابة الكرام فوق الأنبياء؟</w:t>
      </w:r>
      <w:bookmarkEnd w:id="1024"/>
    </w:p>
    <w:p>
      <w:pPr>
        <w:pStyle w:val="BookText"/>
        <w:rPr/>
      </w:pPr>
      <w:r>
        <w:rPr>
          <w:rFonts w:ascii="Amiri" w:hAnsi="Amiri" w:eastAsia="Amiri" w:cs="Amiri"/>
          <w:color w:val="111111"/>
          <w:sz w:val="28"/>
          <w:sz w:val="28"/>
          <w:szCs w:val="28"/>
          <w:rtl w:val="true"/>
          <w:lang w:bidi="ar-SA"/>
        </w:rPr>
        <w:t>إنّ من سبر كتب الحديث والتفسير يجد انّ السلف الصالح ينسبون إلى الأنبياء قصصاً خرافية ويلهجون بأكاذيب شنيعة بلا اكتراث ولا تكذيب ، ولكنّهم يتورّعون عن دراسة حياة الصحابي ونقد أفعاله وآرائه وأقواله ، وربما يتّهمون الناقل بالزندقة وإبطال شهود المسلمين ، فما هذا التبعيض؟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يحظى الصحابة بالتكريم أكثر ممّا يحظى به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هم فوق رجال السماء في النزاهة وكرامة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بعض الأكاذيب الشنيعة التي ملئت بها كتب التفاسير</w:t>
      </w:r>
      <w:r>
        <w:rPr>
          <w:rFonts w:eastAsia="Amiri" w:cs="Amiri" w:ascii="Amiri" w:hAnsi="Amiri"/>
          <w:color w:val="111111"/>
          <w:sz w:val="28"/>
          <w:szCs w:val="28"/>
          <w:rtl w:val="true"/>
          <w:lang w:bidi="ar-SA"/>
        </w:rPr>
        <w:t>.</w:t>
      </w:r>
    </w:p>
    <w:p>
      <w:pPr>
        <w:pStyle w:val="Heading3"/>
        <w:numPr>
          <w:ilvl w:val="2"/>
          <w:numId w:val="1"/>
        </w:numPr>
        <w:rPr/>
      </w:pPr>
      <w:bookmarkStart w:id="1025" w:name="__RefHeading___Toc1391659_1067777946"/>
      <w:bookmarkStart w:id="1026" w:name="_Toc379"/>
      <w:bookmarkEnd w:id="1025"/>
      <w:r>
        <w:rPr/>
        <w:t>1</w:t>
      </w:r>
      <w:r>
        <w:rPr>
          <w:rtl w:val="true"/>
        </w:rPr>
        <w:t xml:space="preserve">. </w:t>
      </w:r>
      <w:r>
        <w:rPr>
          <w:rtl w:val="true"/>
        </w:rPr>
        <w:t>أُكذوبة الغرانيق</w:t>
      </w:r>
      <w:bookmarkEnd w:id="1026"/>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كثير في تفسير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 مِنْ قَبْلِكَ مِنْ رَسُولٍ وَلا نَبِيٍّ إِلاَّ إِذا تَمَنَّى أَلْقَى الشَّيْطانُ فِي أُمْنِيَّتِهِ فَيَنْسَخُ اللهُ ما يُلْقِي الشَّيْطانُ ثُمَّ يُحْكِمُ اللهُ آياتِهِ وَاللهُ عَلِيمٌ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لِيَجْعَلَ ما يُلْقِي الشَّيْطانُ فِتْنَةً لِلَّذِينَ فِي قُلُوبِهِمْ مَرَضٌ وَالْقاسِيَةِ قُلُوبُهُمْ وَإِنَّ الظَّالِمِينَ لَفِي شِقاقٍ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وَلِيَعْلَمَ الَّذِينَ أُوتُوا الْعِلْمَ أَنَّهُ </w:t>
      </w:r>
    </w:p>
    <w:p>
      <w:pPr>
        <w:pStyle w:val="BookText"/>
        <w:rPr/>
      </w:pPr>
      <w:r>
        <w:rPr>
          <w:rFonts w:ascii="Amiri" w:hAnsi="Amiri" w:eastAsia="Amiri" w:cs="Amiri"/>
          <w:color w:val="111111"/>
          <w:sz w:val="28"/>
          <w:sz w:val="28"/>
          <w:szCs w:val="28"/>
          <w:rtl w:val="true"/>
          <w:lang w:bidi="ar-SA"/>
        </w:rPr>
        <w:t>الْحَقُّ مِنْ رَبِّكَ فَيُؤْمِنُوا بِهِ فَتُخْبِتَ لَهُ قُلُوبُهُمْ وَإِنَّ اللهَ لَهادِ الَّذِينَ آمَنُوا إِلى صِراطٍ مُسْتَقِيمٍ</w:t>
      </w:r>
      <w:r>
        <w:rPr>
          <w:rFonts w:eastAsia="Amiri" w:cs="Amiri" w:ascii="Amiri" w:hAnsi="Amiri"/>
          <w:color w:val="111111"/>
          <w:sz w:val="28"/>
          <w:szCs w:val="28"/>
          <w:rtl w:val="true"/>
          <w:lang w:bidi="ar-SA"/>
        </w:rPr>
        <w:t xml:space="preserve">). </w:t>
      </w:r>
      <w:r>
        <w:rPr>
          <w:rStyle w:val="FootnoteAnchor"/>
          <w:rtl w:val="true"/>
        </w:rPr>
        <w:footnoteReference w:id="682"/>
      </w:r>
    </w:p>
    <w:p>
      <w:pPr>
        <w:pStyle w:val="BookText"/>
        <w:rPr/>
      </w:pPr>
      <w:r>
        <w:rPr>
          <w:rFonts w:ascii="Amiri" w:hAnsi="Amiri" w:eastAsia="Amiri" w:cs="Amiri"/>
          <w:color w:val="111111"/>
          <w:sz w:val="28"/>
          <w:sz w:val="28"/>
          <w:szCs w:val="28"/>
          <w:rtl w:val="true"/>
          <w:lang w:bidi="ar-SA"/>
        </w:rPr>
        <w:t>قد ذكر كثير من المفسّرين هاهنا قصة الغرانيق ، وما كان من رجوع كثير من المهاجرة إلى أرض الحبشة ظناً منهم انّ مشركي قريش قد أسلموا ، ولكنّها من طرق كلّها مرسلة ، ولم أرها مسندة من وجه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أبي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يونس بن حبيب ، حدّثنا أبو داود ، حدثنا شعبة ، عن أبي بشر ، عن سعيد بن جبير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النجم ، فلمّا بلغ هذا الموضع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أَفَرَأَيْتُمُ اللاَّتَ وَالْعُزَّى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وَمَناةَ الثَّالِثَةَ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فألقى الشيطان على 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الغرانيق العلى وانّ شفاعتهن ترتجى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آلهتنا بخير قبل اليوم ، فسجد وسجدوا ، فأنزل الله عزّ وجلّ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 مِنْ قَبْلِكَ مِنْ رَسُولٍ وَلا نَبِيٍّ إِلاَّ إِذا تَمَنَّى أَلْقَى الشَّيْطانُ فِي أُمْنِيَّتِهِ فَيَنْسَخُ اللهُ ما يُلْقِي الشَّيْطانُ ثُمَّ يُحْكِمُ اللهُ آياتِهِ وَاللهُ عَلِيمٌ حَكِيمٌ</w:t>
      </w:r>
      <w:r>
        <w:rPr>
          <w:rFonts w:eastAsia="Amiri" w:cs="Amiri" w:ascii="Amiri" w:hAnsi="Amiri"/>
          <w:color w:val="111111"/>
          <w:sz w:val="28"/>
          <w:szCs w:val="28"/>
          <w:rtl w:val="true"/>
          <w:lang w:bidi="ar-SA"/>
        </w:rPr>
        <w:t xml:space="preserve">). </w:t>
      </w:r>
      <w:r>
        <w:rPr>
          <w:rStyle w:val="FootnoteAnchor"/>
          <w:rtl w:val="true"/>
        </w:rPr>
        <w:footnoteReference w:id="683"/>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يشكّ أي مسلم عارف بحقّ النبي الخاتم في أنّ القصة مكذوبة ، والأدلّة على نزاهة النبي عن هذه ، كثيرة ، ويكفيك انّ سورة الحجّ مدنية أمر فيها بالأذان بالحجّ وأذن فيها بالقتال وأمر فيها بالجهاد ولم يكن هذا الأمر وهذا الإذن إلاّ بعد الهجرة بأعوام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الذي بين ذلك ، وبين الوقت الذي يجعلونه لخرافة الغرانيق أكثر من عشرة أعوام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أغمضنا عن ذلك ، إذ لا مانع من كون السورة مكية وبعض آياتها مدنية ، لكفى في إبطالها ما أقمنا عليه في </w:t>
      </w:r>
      <w:bookmarkStart w:id="1027" w:name="pg11047_103016"/>
    </w:p>
    <w:p>
      <w:pPr>
        <w:pStyle w:val="BookText"/>
        <w:rPr/>
      </w:pPr>
      <w:bookmarkEnd w:id="1027"/>
      <w:r>
        <w:rPr>
          <w:rFonts w:ascii="IRNazanin" w:hAnsi="IRNazanin" w:eastAsia="IRNazanin"/>
          <w:color w:val="111111"/>
          <w:sz w:val="28"/>
          <w:sz w:val="28"/>
          <w:szCs w:val="28"/>
          <w:rtl w:val="true"/>
          <w:lang w:bidi="fa-IR"/>
        </w:rPr>
        <w:t>محاضراتنا</w:t>
      </w:r>
      <w:r>
        <w:rPr>
          <w:rFonts w:eastAsia="IRNazanin" w:cs="IRNazanin"/>
          <w:color w:val="111111"/>
          <w:sz w:val="28"/>
          <w:szCs w:val="28"/>
          <w:rtl w:val="true"/>
          <w:lang w:bidi="fa-IR"/>
        </w:rPr>
        <w:t xml:space="preserve">. </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 xml:space="preserve">والغرض الأسنى من ذكر هذه الأُكذوبة انّ القوم ينقلون هذه الأكاذيب الشنيعة المنسوبة إلى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ولكنّهم يتورّعون عن دراسة حال الصحابي ونقد رأيه وفعله ، فكأنّ الصحابة عندهم أرفع وأنزه من الأنبياء المعصومين بنص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القصة التي وردت في كتب التفسير لأهل السنّة صارت أساساً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 الشيطانية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لسلمان رشدي المرتدّ حيث نشر كتابه هذا في الملأ العام وأضاف إلى هذه القصة أضعافاً كثيرة ممّا أوحى إليه شيطانه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حكم الإمام الخميني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بارتداده ووجوب قتله</w:t>
      </w:r>
      <w:r>
        <w:rPr>
          <w:rFonts w:eastAsia="Amiri" w:cs="Amiri" w:ascii="Amiri" w:hAnsi="Amiri"/>
          <w:color w:val="111111"/>
          <w:sz w:val="28"/>
          <w:szCs w:val="28"/>
          <w:rtl w:val="true"/>
          <w:lang w:bidi="ar-SA"/>
        </w:rPr>
        <w:t>.</w:t>
      </w:r>
    </w:p>
    <w:p>
      <w:pPr>
        <w:pStyle w:val="Heading3"/>
        <w:numPr>
          <w:ilvl w:val="2"/>
          <w:numId w:val="1"/>
        </w:numPr>
        <w:rPr/>
      </w:pPr>
      <w:bookmarkStart w:id="1028" w:name="__RefHeading___Toc1391661_1067777946"/>
      <w:bookmarkStart w:id="1029" w:name="_Toc380"/>
      <w:bookmarkEnd w:id="1028"/>
      <w:r>
        <w:rPr/>
        <w:t>2</w:t>
      </w:r>
      <w:r>
        <w:rPr>
          <w:rtl w:val="true"/>
        </w:rPr>
        <w:t xml:space="preserve">. </w:t>
      </w:r>
      <w:r>
        <w:rPr>
          <w:rtl w:val="true"/>
        </w:rPr>
        <w:t xml:space="preserve">اتّهام داود </w:t>
      </w:r>
      <w:r>
        <w:rPr>
          <w:rtl w:val="true"/>
        </w:rPr>
        <w:t xml:space="preserve">- </w:t>
      </w:r>
      <w:r>
        <w:rPr>
          <w:rtl w:val="true"/>
        </w:rPr>
        <w:t xml:space="preserve">عليه السلام </w:t>
      </w:r>
      <w:r>
        <w:rPr>
          <w:rtl w:val="true"/>
        </w:rPr>
        <w:t xml:space="preserve">- </w:t>
      </w:r>
      <w:r>
        <w:rPr>
          <w:rtl w:val="true"/>
        </w:rPr>
        <w:t>بقتل زوج أوريا وتزوّجها</w:t>
      </w:r>
      <w:bookmarkEnd w:id="1029"/>
    </w:p>
    <w:p>
      <w:pPr>
        <w:pStyle w:val="BookText"/>
        <w:rPr/>
      </w:pPr>
      <w:r>
        <w:rPr>
          <w:rFonts w:ascii="Amiri" w:hAnsi="Amiri" w:eastAsia="Amiri" w:cs="Amiri"/>
          <w:color w:val="111111"/>
          <w:sz w:val="28"/>
          <w:sz w:val="28"/>
          <w:szCs w:val="28"/>
          <w:rtl w:val="true"/>
          <w:lang w:bidi="ar-SA"/>
        </w:rPr>
        <w:t xml:space="preserve">إنّ نبي الله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الأنبياء العظام الذي وصفه سبحانه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وَآتاهُ اللهُ الْمُلْكَ وَالْحِكْمَةَ وَعَلَّمَهُ مِمَّا يَشاءُ</w:t>
      </w:r>
      <w:r>
        <w:rPr>
          <w:rFonts w:eastAsia="Amiri" w:cs="Amiri" w:ascii="Amiri" w:hAnsi="Amiri"/>
          <w:color w:val="111111"/>
          <w:sz w:val="28"/>
          <w:szCs w:val="28"/>
          <w:rtl w:val="true"/>
          <w:lang w:bidi="ar-SA"/>
        </w:rPr>
        <w:t xml:space="preserve">) </w:t>
      </w:r>
      <w:r>
        <w:rPr>
          <w:rStyle w:val="FootnoteAnchor"/>
          <w:rtl w:val="true"/>
        </w:rPr>
        <w:footnoteReference w:id="685"/>
      </w:r>
      <w:r>
        <w:rPr>
          <w:rFonts w:ascii="Amiri" w:hAnsi="Amiri" w:eastAsia="Amiri" w:cs="Amiri"/>
          <w:color w:val="111111"/>
          <w:sz w:val="28"/>
          <w:sz w:val="28"/>
          <w:szCs w:val="28"/>
          <w:rtl w:val="true"/>
          <w:lang w:bidi="ar-SA"/>
        </w:rPr>
        <w:t xml:space="preserve">وقد بلغ من الكمال حدّاً ، أن كانت الجبال تتجاوب معه في التسبيح ، يقول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آتَيْنا داوُدَ مِنَّا فَضْلاً يا جِبالُ أَوِّبِي مَعَهُ وَالطَّيْرَ</w:t>
      </w:r>
      <w:r>
        <w:rPr>
          <w:rFonts w:eastAsia="Amiri" w:cs="Amiri" w:ascii="Amiri" w:hAnsi="Amiri"/>
          <w:color w:val="111111"/>
          <w:sz w:val="28"/>
          <w:szCs w:val="28"/>
          <w:rtl w:val="true"/>
          <w:lang w:bidi="ar-SA"/>
        </w:rPr>
        <w:t xml:space="preserve">). </w:t>
      </w:r>
      <w:r>
        <w:rPr>
          <w:rStyle w:val="FootnoteAnchor"/>
          <w:rtl w:val="true"/>
        </w:rPr>
        <w:footnoteReference w:id="686"/>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سخّر له الله سبحانه الجبال والطير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سَخَّرْنَا الْجِبالَ مَعَهُ يُسَبِّحْنَ بِالْعَشِيِّ وَالْإِشْراقِ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وَالطَّيْرَ مَحْشُورَةً كُلٌّ لَهُ أَوَّابٌ</w:t>
      </w:r>
      <w:r>
        <w:rPr>
          <w:rFonts w:eastAsia="Amiri" w:cs="Amiri" w:ascii="Amiri" w:hAnsi="Amiri"/>
          <w:color w:val="111111"/>
          <w:sz w:val="28"/>
          <w:szCs w:val="28"/>
          <w:rtl w:val="true"/>
          <w:lang w:bidi="ar-SA"/>
        </w:rPr>
        <w:t xml:space="preserve">). </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أفهل يتصوّر في حق نبي بلغ من الكمال ما بلغ أن يعشق امرأة محصنة وهي أوريا ، ثمّ يمهد الطريق لقتل زوجها لغاية التزوّج بها؟ ومع ذلك ملئت بهذه الخرافة ، التفاسير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يروي المفسرون في تفسير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أَتاكَ نَبَأُ الْخَصْمِ إِذْ تَسَوَّرُوا الْمِحْرابَ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دَخَلُوا عَلى داوُدَ فَفَزِعَ مِنْهُمْ قالُوا لا تَخَفْ خَصْمانِ بَغى بَعْضُنا عَلى بَعْضٍ فَاحْكُمْ بَيْنَنا بِالْحَقِّ وَلا تُشْطِطْ وَاهْدِنا إِلى سَواءِ 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أَخِي لَهُ تِسْعٌ وَتِسْعُونَ نَعْجَةً وَلِيَ نَعْجَةٌ واحِدَةٌ فَقالَ أَكْفِلْنِيها وَعَزَّنِي فِي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لَقَدْ ظَلَمَكَ بِسُؤالِ نَعْجَتِكَ إِلى نِعاجِهِ وَإِنَّ كَثِيراً مِنَ الْخُلَطاءِ لَيَبْغِي بَعْضُهُمْ عَلى بَعْضٍ إِلاَّ الَّذِينَ آمَنُوا وَعَمِلُوا الصَّالِحاتِ وَقَلِيلٌ ما هُمْ وَظَنَّ داوُدُ أَنَّما فَتَنَّاهُ فَاسْتَغْفَرَ رَبَّهُ وَخَرَّ راكِعاً وَأَنابَ</w:t>
      </w:r>
      <w:r>
        <w:rPr>
          <w:rFonts w:eastAsia="Amiri" w:cs="Amiri" w:ascii="Amiri" w:hAnsi="Amiri"/>
          <w:color w:val="111111"/>
          <w:sz w:val="28"/>
          <w:szCs w:val="28"/>
          <w:rtl w:val="true"/>
          <w:lang w:bidi="ar-SA"/>
        </w:rPr>
        <w:t xml:space="preserve">). </w:t>
      </w:r>
      <w:r>
        <w:rPr>
          <w:rStyle w:val="FootnoteAnchor"/>
          <w:rtl w:val="true"/>
        </w:rPr>
        <w:footnoteReference w:id="68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جاءه الشيطان قد تمثل في صورة حمامة حتّى وقع عند رجليه ، وهو قائم يصلّي ، فمدّ يده ليأخذه فتنحى ، فتبعه فتباعد حتّى وقع في كوّة ، فذهب ليأخذها ، فطار من الكوّة ، فنظر أين يقع ، فذهب في أثره ، فأبصر امرأة تغتسل على سطح لها ، فرأى امرأة من أجمل الناس خلقاً ، فحانت منها التفاتة فأبصرته ، فالتَفّت بشعرها فاستترت به ، فزاده ذلك فيها رغبة ، فسأل عنها ، فأُخبر أنّ لها زوجاً غائباً بمسلحة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إلى صاحب المسلحة يأمره أن يبعث إلى عدوّ 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فبعثه ففتح له أيضاً ، فكتب إلى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 فكتب إليه أن ابعثه إلى عدوّ 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فبعثه فقتل في المرة الثالثة ، وتزوّج امرأته</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دخلت عليه لم يلبث إلاّ يسيراً حتّى بعث الله له ملكين في صورة أُنسيّين ، فطلبا أن يدخلا عليه ، فتسوّرا عليه المحراب ، فما شعر وهو يصلّي إذ هما </w:t>
      </w:r>
    </w:p>
    <w:p>
      <w:pPr>
        <w:pStyle w:val="BookText"/>
        <w:rPr/>
      </w:pPr>
      <w:r>
        <w:rPr>
          <w:rFonts w:ascii="Amiri" w:hAnsi="Amiri" w:eastAsia="Amiri" w:cs="Amiri"/>
          <w:color w:val="111111"/>
          <w:sz w:val="28"/>
          <w:sz w:val="28"/>
          <w:szCs w:val="28"/>
          <w:rtl w:val="true"/>
          <w:lang w:bidi="ar-SA"/>
        </w:rPr>
        <w:t xml:space="preserve">بين يديه جالسين ، ففزع منهما فقالا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خَصْمانِ بَغى بَعْضُنا عَلى بَعْضٍ فَاحْكُمْ بَيْنَنا بِالْحَقِّ وَلا تُشْطِطْ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وَاهْدِنا إِلى سَواءِ 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عدل القضاء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 عليَّ قصتكما ، فقال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أَخِي لَهُ تِسْعٌ وَتِسْعُونَ نَعْجَةً وَلِيَ نَعْجَةٌ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أُريد أن آخذها فأكمل بها نعاجي مائة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كاره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لا ندعك وذاك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أنت على ذلك بقادر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ذهبت تروم ذلك ضربنا منك هذا وهذا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طرف الأنف والجبهة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أنت أحقّ أن يضرب منك هذا وهذا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لك تسع وتسعون امرأة ، ولم يكن لأُوريا إلاّ امرأة واحدة ، فلم تزل تعرضه للقتل حتّى قتلته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وتزوّجت امرأته ، فنظر فلم ير شيئاً ، فعرف ما قد وقع فيه ، وما قد ابتلى به</w:t>
      </w:r>
      <w:r>
        <w:rPr>
          <w:rFonts w:eastAsia="Amiri" w:cs="Amiri" w:ascii="Amiri" w:hAnsi="Amiri"/>
          <w:color w:val="111111"/>
          <w:sz w:val="28"/>
          <w:szCs w:val="28"/>
          <w:rtl w:val="true"/>
          <w:lang w:bidi="ar-SA"/>
        </w:rPr>
        <w:t xml:space="preserve">. </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 xml:space="preserve">ومعنى ذلك انّه كان لداود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زوجة وأراد أن يتمّها بامرأة غيره وبذلك ظلم أخاه ، فبعث الله ملكين يطرحان عمله بصورة أُخرى وانّ هناك أخوين لأحدهما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نعجة وللآخر نعجة واحدة فأراد صاحب النعاج الكثيرة أن يتملّك النعجة الوحيدة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القصة الخرافية وأمثالها تُنسب إلى الأنبياء بلا اكتراث ومع ذلك لا يرضون لأحد أن ينقد حياة صحابي حتى يأخذ دينه من عين صافية ومن رجال صلحاء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خامر الدين والإيمان أنفسهم وأرواحهم</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هكذا تورد يا سعدُ الابل</w:t>
      </w:r>
      <w:r>
        <w:rPr>
          <w:rFonts w:eastAsia="Amiri" w:cs="Amiri" w:ascii="Amiri" w:hAnsi="Amiri"/>
          <w:color w:val="111111"/>
          <w:sz w:val="28"/>
          <w:szCs w:val="28"/>
          <w:rtl w:val="true"/>
          <w:lang w:bidi="ar-SA"/>
        </w:rPr>
        <w:t xml:space="preserve">. </w:t>
      </w:r>
      <w:bookmarkStart w:id="1030" w:name="pg11047_103019"/>
    </w:p>
    <w:p>
      <w:pPr>
        <w:pStyle w:val="Heading3"/>
        <w:numPr>
          <w:ilvl w:val="2"/>
          <w:numId w:val="1"/>
        </w:numPr>
        <w:rPr/>
      </w:pPr>
      <w:bookmarkStart w:id="1031" w:name="__RefHeading___Toc1391663_1067777946"/>
      <w:bookmarkStart w:id="1032" w:name="_Toc381"/>
      <w:bookmarkEnd w:id="1030"/>
      <w:bookmarkEnd w:id="1031"/>
      <w:r>
        <w:rPr/>
        <w:t>7</w:t>
      </w:r>
      <w:r>
        <w:rPr>
          <w:rtl w:val="true"/>
        </w:rPr>
        <w:t xml:space="preserve">- </w:t>
      </w:r>
      <w:r>
        <w:rPr>
          <w:rtl w:val="true"/>
        </w:rPr>
        <w:t>مظاهر الغلو في الصحابة</w:t>
      </w:r>
      <w:bookmarkEnd w:id="1032"/>
    </w:p>
    <w:p>
      <w:pPr>
        <w:pStyle w:val="Heading4"/>
        <w:numPr>
          <w:ilvl w:val="3"/>
          <w:numId w:val="1"/>
        </w:numPr>
        <w:rPr/>
      </w:pPr>
      <w:bookmarkStart w:id="1033" w:name="__RefHeading___Toc1391665_1067777946"/>
      <w:bookmarkStart w:id="1034" w:name="_Toc382"/>
      <w:bookmarkEnd w:id="1033"/>
      <w:r>
        <w:rPr>
          <w:rtl w:val="true"/>
        </w:rPr>
        <w:t>اشارة</w:t>
      </w:r>
      <w:bookmarkEnd w:id="1034"/>
    </w:p>
    <w:p>
      <w:pPr>
        <w:pStyle w:val="BookText"/>
        <w:rPr/>
      </w:pPr>
      <w:r>
        <w:rPr>
          <w:rFonts w:ascii="Amiri" w:hAnsi="Amiri" w:eastAsia="Amiri" w:cs="Amiri"/>
          <w:color w:val="111111"/>
          <w:sz w:val="28"/>
          <w:sz w:val="28"/>
          <w:szCs w:val="28"/>
          <w:rtl w:val="true"/>
          <w:lang w:bidi="ar-SA"/>
        </w:rPr>
        <w:t xml:space="preserve">الغلو هو تجاوز الحدّ ، ومنه غلا السعر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تجاوز حدّه ،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الْكِتابِ لا تَغْلُوا فِي دِينِكُمْ وَلا تَقُولُوا عَلَى اللهِ إِلاَّ الْحَقَّ إِنَّمَا الْمَسِيحُ عِيسَى ابْنُ مَرْيَمَ رَسُولُ اللهِ وَكَلِمَتُهُ أَلْقاها إِلى مَرْيَمَ وَرُوحٌ مِنْهُ</w:t>
      </w:r>
      <w:r>
        <w:rPr>
          <w:rFonts w:eastAsia="Amiri" w:cs="Amiri" w:ascii="Amiri" w:hAnsi="Amiri"/>
          <w:color w:val="111111"/>
          <w:sz w:val="28"/>
          <w:szCs w:val="28"/>
          <w:rtl w:val="true"/>
          <w:lang w:bidi="ar-SA"/>
        </w:rPr>
        <w:t xml:space="preserve">). </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 xml:space="preserve">فالغلو في الدين في الآية ، كناية عن الغلو في رسوله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المسيح عيسى بن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 سبحانه أوّلاً واقعَ المسيح وانّه كان بشراً رسولاً ، لا يختلف عمّن تقدّم من الرسل ، وهو كلمة الله التي حملتها مريم وولدتها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أشار ثانياً إلى أنواع غلوهم فحلّت الآلهة الثلاثة مكان الإله الواحد ، وُعّد المسيح أحد الآلهة تارة ، وابن الإله أُخرى ، فهذا كلّه غلو وإفراط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فَآمِنُوا بِاللهِ وَرُسُلِهِ وَلا تَقُولُوا ثَلاثَةٌ انْتَهُوا خَيْراً لَكُمْ إِنَّمَا اللهُ إِلهٌ واحِدٌ سُبْحانَهُ أَنْ يَكُونَ لَهُ وَلَدٌ لَهُ ما فِي السَّماواتِ وَما فِي الْأَرْضِ وَكَفى بِاللهِ وَكِيلاً</w:t>
      </w:r>
      <w:r>
        <w:rPr>
          <w:rFonts w:eastAsia="Amiri" w:cs="Amiri" w:ascii="Amiri" w:hAnsi="Amiri"/>
          <w:color w:val="111111"/>
          <w:sz w:val="28"/>
          <w:szCs w:val="28"/>
          <w:rtl w:val="true"/>
          <w:lang w:bidi="ar-SA"/>
        </w:rPr>
        <w:t xml:space="preserve">). </w:t>
      </w:r>
      <w:r>
        <w:rPr>
          <w:rStyle w:val="FootnoteAnchor"/>
          <w:rtl w:val="true"/>
        </w:rPr>
        <w:footnoteReference w:id="691"/>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فكما أنّ الإفراط غلو وتجاوز للحد فهكذا التفريط والتقصير ، والداعي إلى </w:t>
      </w:r>
      <w:bookmarkStart w:id="1035" w:name="pg11047_103020"/>
    </w:p>
    <w:p>
      <w:pPr>
        <w:pStyle w:val="BookText"/>
        <w:rPr/>
      </w:pPr>
      <w:bookmarkEnd w:id="1035"/>
      <w:r>
        <w:rPr>
          <w:rFonts w:ascii="Amiri" w:hAnsi="Amiri" w:eastAsia="Amiri" w:cs="Amiri"/>
          <w:color w:val="111111"/>
          <w:sz w:val="28"/>
          <w:sz w:val="28"/>
          <w:szCs w:val="28"/>
          <w:rtl w:val="true"/>
          <w:lang w:bidi="ar-SA"/>
        </w:rPr>
        <w:t>الأخير إمّا عجز الإنسان وعيّه عن أداء الحقّ ، أو حسده وحقده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وللإمام أمير المؤمنين حول الإفراط والتفريط كلمتان نأتي بهما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الثناء بأكثر من الاستحقاق ملق ، والتقصير عن الاستحقاق عيّ أو حسد</w:t>
      </w:r>
      <w:r>
        <w:rPr>
          <w:rFonts w:eastAsia="Amiri" w:cs="Amiri" w:ascii="Amiri" w:hAnsi="Amiri"/>
          <w:color w:val="111111"/>
          <w:sz w:val="28"/>
          <w:szCs w:val="28"/>
          <w:rtl w:val="true"/>
          <w:lang w:bidi="ar-SA"/>
        </w:rPr>
        <w:t xml:space="preserve">. </w:t>
      </w:r>
      <w:r>
        <w:rPr>
          <w:rStyle w:val="FootnoteAnchor"/>
          <w:rtl w:val="true"/>
        </w:rPr>
        <w:footnoteReference w:id="69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دين الله بين المقصر والغالي ، فعليكم بالنمرقة الوسطى ، فيها يلحق المقصر ، ويلحق إليها الغالي</w:t>
      </w:r>
      <w:r>
        <w:rPr>
          <w:rFonts w:eastAsia="Amiri" w:cs="Amiri" w:ascii="Amiri" w:hAnsi="Amiri"/>
          <w:color w:val="111111"/>
          <w:sz w:val="28"/>
          <w:szCs w:val="28"/>
          <w:rtl w:val="true"/>
          <w:lang w:bidi="ar-SA"/>
        </w:rPr>
        <w:t xml:space="preserve">. </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فالمسلم الحرّ ، لا يعدل عن النمرقة الوسطى ، وهو يخضع للحق مكان خضوعه للملق والعاطفة ، أو للبغض والحسد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كثيراً من أهل السنّة ، غالوا في حقّ الصحابة وتجاوزوا الحد ، خضوعاً للعاطفة ، وإغماضاً عمّا ورد في حقّهم في الكتاب العزيز والسنّة النبوية والتاريخ الصحيح ، فألبسوهم جميعاً لباس 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العصمة من غير 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فصاروا مصادر للدين ، أُصوله وفروعه ، دون أن يقعوا في إطار الجرح والتعديل ، من غير فرق بين من آمن قبل بيعة الرضوان وبعدها ، ومن آمن قبل الفتح أو بعده ، ومن غير فرق بين الطلقاء وأبنائهم والأعراب ، مع تفريق الكتاب العزيز بينهم في الإيمان والإخلاص ، فالكلّ في نظرهم من أوّلهم إلى آخرهم عدول ، لا يخطئون ولا يسهون ، ولا يعصون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هذا إلاّ نوعا من الغلو لم يعهد في أُمّة عبر التاريخ</w:t>
      </w:r>
      <w:r>
        <w:rPr>
          <w:rFonts w:eastAsia="Amiri" w:cs="Amiri" w:ascii="Amiri" w:hAnsi="Amiri"/>
          <w:color w:val="111111"/>
          <w:sz w:val="28"/>
          <w:szCs w:val="28"/>
          <w:rtl w:val="true"/>
          <w:lang w:bidi="ar-SA"/>
        </w:rPr>
        <w:t>.</w:t>
      </w:r>
    </w:p>
    <w:p>
      <w:pPr>
        <w:pStyle w:val="Heading4"/>
        <w:numPr>
          <w:ilvl w:val="3"/>
          <w:numId w:val="1"/>
        </w:numPr>
        <w:rPr/>
      </w:pPr>
      <w:bookmarkStart w:id="1036" w:name="__RefHeading___Toc1391667_1067777946"/>
      <w:bookmarkStart w:id="1037" w:name="_Toc383"/>
      <w:bookmarkEnd w:id="1036"/>
      <w:r>
        <w:rPr>
          <w:rtl w:val="true"/>
        </w:rPr>
        <w:t>مظاهر الغلو</w:t>
      </w:r>
      <w:bookmarkEnd w:id="1037"/>
    </w:p>
    <w:p>
      <w:pPr>
        <w:pStyle w:val="Heading5"/>
        <w:numPr>
          <w:ilvl w:val="4"/>
          <w:numId w:val="1"/>
        </w:numPr>
        <w:rPr/>
      </w:pPr>
      <w:bookmarkStart w:id="1038" w:name="__RefHeading___Toc1391669_1067777946"/>
      <w:bookmarkStart w:id="1039" w:name="_Toc384"/>
      <w:bookmarkEnd w:id="1038"/>
      <w:r>
        <w:rPr>
          <w:rtl w:val="true"/>
        </w:rPr>
        <w:t>اشارة</w:t>
      </w:r>
      <w:bookmarkEnd w:id="1039"/>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وراء القول بعدالتهم بل عصمتهم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مظاهر للغلو ، نشير إليها </w:t>
      </w:r>
      <w:r>
        <w:rPr>
          <w:rFonts w:eastAsia="Amiri" w:cs="Amiri" w:ascii="Amiri" w:hAnsi="Amiri"/>
          <w:color w:val="111111"/>
          <w:sz w:val="28"/>
          <w:szCs w:val="28"/>
          <w:rtl w:val="true"/>
          <w:lang w:bidi="ar-SA"/>
        </w:rPr>
        <w:t xml:space="preserve">: </w:t>
      </w:r>
      <w:bookmarkStart w:id="1040" w:name="pg11047_103021"/>
    </w:p>
    <w:p>
      <w:pPr>
        <w:pStyle w:val="Heading5"/>
        <w:numPr>
          <w:ilvl w:val="4"/>
          <w:numId w:val="1"/>
        </w:numPr>
        <w:rPr/>
      </w:pPr>
      <w:bookmarkStart w:id="1041" w:name="__RefHeading___Toc1391671_1067777946"/>
      <w:bookmarkStart w:id="1042" w:name="_Toc385"/>
      <w:bookmarkEnd w:id="1040"/>
      <w:bookmarkEnd w:id="1041"/>
      <w:r>
        <w:rPr/>
        <w:t>1</w:t>
      </w:r>
      <w:r>
        <w:rPr>
          <w:rtl w:val="true"/>
        </w:rPr>
        <w:t xml:space="preserve">. </w:t>
      </w:r>
      <w:r>
        <w:rPr>
          <w:rtl w:val="true"/>
        </w:rPr>
        <w:t>سنّة الصحابة</w:t>
      </w:r>
      <w:bookmarkEnd w:id="1042"/>
    </w:p>
    <w:p>
      <w:pPr>
        <w:pStyle w:val="BookText"/>
        <w:rPr/>
      </w:pPr>
      <w:r>
        <w:rPr>
          <w:rFonts w:ascii="Amiri" w:hAnsi="Amiri" w:eastAsia="Amiri" w:cs="Amiri"/>
          <w:color w:val="111111"/>
          <w:sz w:val="28"/>
          <w:sz w:val="28"/>
          <w:szCs w:val="28"/>
          <w:rtl w:val="true"/>
          <w:lang w:bidi="ar-SA"/>
        </w:rPr>
        <w:t xml:space="preserve">يرى غير واحد من الباحثين انّ للصحابة سنّة ، تُعتبر حجة يعمل بها ، وإن لم تكن في الكتاب الكريم ولا في المأثور عن النبي ، قال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قبل التدوين</w:t>
      </w:r>
      <w:r>
        <w:rPr>
          <w:rFonts w:eastAsia="Amiri" w:cs="Amiri" w:ascii="Amiri" w:hAnsi="Amiri"/>
          <w:color w:val="111111"/>
          <w:sz w:val="28"/>
          <w:szCs w:val="28"/>
          <w:rtl w:val="true"/>
          <w:lang w:bidi="ar-SA"/>
        </w:rPr>
        <w:t xml:space="preserve">». </w:t>
      </w:r>
      <w:r>
        <w:rPr>
          <w:rStyle w:val="FootnoteAnchor"/>
          <w:rtl w:val="true"/>
        </w:rPr>
        <w:footnoteReference w:id="6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وتطلق السنّة أحياناً عند المحدّثين وعلماء أُصول الفقه على ما عمل به أصحاب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سواء أكان في الكتاب الكريم أم في المأثور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ويحتج لذلك بقوله عليه الصلاة والسلام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بسُنّتي وسنة الخلفاء المهديين الراشدين تمسّكوا بها وعضّوا عليها بالنّواجذ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تفترق أُمتي على ثلاث وسبعين فرقة كلّها في النار إلاّ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هم يا رسول الله؟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أنا عليه وأصحابي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أبرز ما ثبت في السنّة بهذا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الخمر ، وتضمين الصناع ، وجمع المصاحف في عهد أبي بكر برأي الفاروق ، وحمل الناس على القراءة بحرف واحد من الحروف السبعة ، وتدوين الدواوين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أشبه ذلك ممّا اقتضاه النظر المصلحي الذي أقرّه الصحابة رضي الله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على أنّ السنّة هي العمل المتبع في الصدر الأوّل قول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بن جعفر عند ما جلد شارب الخمر أربعين جلدة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أربعين ، وأبو بكر أربعين ، وكمّلها عمر ثمانين وكلّ سنّة</w:t>
      </w:r>
      <w:r>
        <w:rPr>
          <w:rFonts w:eastAsia="Amiri" w:cs="Amiri" w:ascii="Amiri" w:hAnsi="Amiri"/>
          <w:color w:val="111111"/>
          <w:sz w:val="28"/>
          <w:szCs w:val="28"/>
          <w:rtl w:val="true"/>
          <w:lang w:bidi="ar-SA"/>
        </w:rPr>
        <w:t xml:space="preserve">». </w:t>
      </w:r>
      <w:r>
        <w:rPr>
          <w:rStyle w:val="FootnoteAnchor"/>
          <w:rtl w:val="true"/>
        </w:rPr>
        <w:footnoteReference w:id="695"/>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حاجب بن خليفة شهدت عمر بن عبد العزيز يخطب </w:t>
      </w:r>
    </w:p>
    <w:p>
      <w:pPr>
        <w:pStyle w:val="BookText"/>
        <w:rPr/>
      </w:pPr>
      <w:r>
        <w:rPr>
          <w:rFonts w:ascii="Amiri" w:hAnsi="Amiri" w:eastAsia="Amiri" w:cs="Amiri"/>
          <w:color w:val="111111"/>
          <w:sz w:val="28"/>
          <w:sz w:val="28"/>
          <w:szCs w:val="28"/>
          <w:rtl w:val="true"/>
          <w:lang w:bidi="ar-SA"/>
        </w:rPr>
        <w:t xml:space="preserve">وهو خليفة فقال في خطبته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ما سنَّ رسول الله وصاحباه فهو دين نأخذ به ، وننتهي إليه وما سنّ سواهما فإنّما نرجئه</w:t>
      </w:r>
      <w:r>
        <w:rPr>
          <w:rFonts w:eastAsia="Amiri" w:cs="Amiri" w:ascii="Amiri" w:hAnsi="Amiri"/>
          <w:color w:val="111111"/>
          <w:sz w:val="28"/>
          <w:szCs w:val="28"/>
          <w:rtl w:val="true"/>
          <w:lang w:bidi="ar-SA"/>
        </w:rPr>
        <w:t xml:space="preserve">. </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 xml:space="preserve">هذا وقد احتلّت فتوى الصحابة منزلة الآثار النبوية يأخذ بها فقهاء السنّة ، يقول الشيخ أبو زهرة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وجدناهم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يأخذون جميعاً بفتوى الصحابي ولكن يختلفون في طريق الأخذ ، فالشافعي كما يصرح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 بفتواهم على أنّها اجتهاد منهم واجتهادهم أولى من اجتهاده ، ووجدنا مالكاً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بفتواهم على انّها من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p>
    <w:p>
      <w:pPr>
        <w:pStyle w:val="BookText"/>
        <w:rPr/>
      </w:pPr>
      <w:r>
        <w:rPr>
          <w:rFonts w:ascii="Amiri" w:hAnsi="Amiri" w:eastAsia="Amiri" w:cs="Amiri"/>
          <w:color w:val="111111"/>
          <w:sz w:val="28"/>
          <w:sz w:val="28"/>
          <w:szCs w:val="28"/>
          <w:rtl w:val="true"/>
          <w:lang w:bidi="ar-SA"/>
        </w:rPr>
        <w:t>وهذا يعرب عن أنّ للصحابة حق التشريع وجعل الأحكام في ضوء المصالح العامة ، مع أنّ الكتاب العزيز دلّ بوضوح على أنّ حق التشريع خاص بالله فقط ، ولا يحق لأحد أن يفرض رأيه على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فدفعُ زمام التشريع إلى غيره سبحانه أشبه بعمل أهل الكتاب حيث اتخذوا أحبارهم ورهبانهم أرباباً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يعبدوهم ، بل خضعوا لهم في التحريم والتحليل فصاروا أرباباً في مجال التقنين والتشريع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الثعلبي باسناده عن عدي بن حاتم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رسول الله وفي عنقي صليب من ذهب ، فقال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عدي اطرح هذا الوثن من عنقك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فطرحته ، ثم انتصب إليه وهو يقرأ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 أَحْبارَهُمْ وَرُهْبانَهُمْ أَرْباباً</w:t>
      </w:r>
      <w:r>
        <w:rPr>
          <w:rFonts w:eastAsia="Amiri" w:cs="Amiri" w:ascii="Amiri" w:hAnsi="Amiri"/>
          <w:color w:val="111111"/>
          <w:sz w:val="28"/>
          <w:szCs w:val="28"/>
          <w:rtl w:val="true"/>
          <w:lang w:bidi="ar-SA"/>
        </w:rPr>
        <w:t xml:space="preserve">) </w:t>
      </w:r>
      <w:r>
        <w:rPr>
          <w:rStyle w:val="FootnoteAnchor"/>
          <w:rtl w:val="true"/>
        </w:rPr>
        <w:footnoteReference w:id="697"/>
      </w:r>
      <w:r>
        <w:rPr>
          <w:rFonts w:ascii="Amiri" w:hAnsi="Amiri" w:eastAsia="Amiri" w:cs="Amiri"/>
          <w:color w:val="111111"/>
          <w:sz w:val="28"/>
          <w:sz w:val="28"/>
          <w:szCs w:val="28"/>
          <w:rtl w:val="true"/>
          <w:lang w:bidi="ar-SA"/>
        </w:rPr>
        <w:t xml:space="preserve">حتى فرغ منها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لسنا نعبدهم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 يحرّمون ما أحله الله فتحرّمونه ، ويحلّون ما حرّم الله فتتحلّونه؟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فتلك عبادة</w:t>
      </w:r>
      <w:r>
        <w:rPr>
          <w:rFonts w:eastAsia="Amiri" w:cs="Amiri" w:ascii="Amiri" w:hAnsi="Amiri"/>
          <w:color w:val="111111"/>
          <w:sz w:val="28"/>
          <w:szCs w:val="28"/>
          <w:rtl w:val="true"/>
          <w:lang w:bidi="ar-SA"/>
        </w:rPr>
        <w:t xml:space="preserve">»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وأين هذا ممّا عليه 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جابر بن عبد الله عن أبي جعفر </w:t>
      </w:r>
    </w:p>
    <w:p>
      <w:pPr>
        <w:pStyle w:val="BookText"/>
        <w:rPr/>
      </w:pP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جابر إنّا لو كنّا نحدّثكم برأينا وهوانا ، لكنّا من الهالكين ، ولكنّا نحدّثكم بأحاديث نكنزها عن رسول الله</w:t>
      </w:r>
      <w:r>
        <w:rPr>
          <w:rFonts w:eastAsia="Amiri" w:cs="Amiri" w:ascii="Amiri" w:hAnsi="Amiri"/>
          <w:color w:val="111111"/>
          <w:sz w:val="28"/>
          <w:szCs w:val="28"/>
          <w:rtl w:val="true"/>
          <w:lang w:bidi="ar-SA"/>
        </w:rPr>
        <w:t xml:space="preserve">». </w:t>
      </w:r>
      <w:r>
        <w:rPr>
          <w:rStyle w:val="FootnoteAnchor"/>
          <w:rtl w:val="true"/>
        </w:rPr>
        <w:footnoteReference w:id="699"/>
      </w:r>
    </w:p>
    <w:p>
      <w:pPr>
        <w:pStyle w:val="BookText"/>
        <w:rPr/>
      </w:pPr>
      <w:r>
        <w:rPr>
          <w:rFonts w:ascii="Amiri" w:hAnsi="Amiri" w:eastAsia="Amiri" w:cs="Amiri"/>
          <w:color w:val="111111"/>
          <w:sz w:val="28"/>
          <w:sz w:val="28"/>
          <w:szCs w:val="28"/>
          <w:rtl w:val="true"/>
          <w:lang w:bidi="ar-SA"/>
        </w:rPr>
        <w:t xml:space="preserve">وممّن وقف على خطورة الموقف ، الشوكاني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إنّ قول الصحابي ليس بحجّة ، فانّ الله سبحانه وتعالى لم يبعث إلى هذه الأُمّة إلاّ نبيّنا محمّداً ، وليس لنا إلاّ رسول واحد ، والصحابة ومن بعدهم مكلّفون على السواء باتّباع شرعه والكتاب والسنّة ، فمن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تقوم الحجّة في دين الله بغيرهما فقد قال في دين الله بما لا يثبت وأثبت شرعاً لم يأمر الله به</w:t>
      </w:r>
      <w:r>
        <w:rPr>
          <w:rFonts w:eastAsia="Amiri" w:cs="Amiri" w:ascii="Amiri" w:hAnsi="Amiri"/>
          <w:color w:val="111111"/>
          <w:sz w:val="28"/>
          <w:szCs w:val="28"/>
          <w:rtl w:val="true"/>
          <w:lang w:bidi="ar-SA"/>
        </w:rPr>
        <w:t xml:space="preserve">. </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 xml:space="preserve">وممّن بالغ في حجّية قول الصحابي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المسند إلى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قيّم الجوزية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اعلام الموقعين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أوضحنا حال أدلّته البالغة إلى ستة وأربعين دليلاً ، في تقديمنا لكتاب طبقات الفقهاء ، القسم الأوّل ، فلاحظ</w:t>
      </w:r>
      <w:r>
        <w:rPr>
          <w:rFonts w:eastAsia="Amiri" w:cs="Amiri" w:ascii="Amiri" w:hAnsi="Amiri"/>
          <w:color w:val="111111"/>
          <w:sz w:val="28"/>
          <w:szCs w:val="28"/>
          <w:rtl w:val="true"/>
          <w:lang w:bidi="ar-SA"/>
        </w:rPr>
        <w:t xml:space="preserve">. </w:t>
      </w:r>
      <w:r>
        <w:rPr>
          <w:rStyle w:val="FootnoteAnchor"/>
          <w:rtl w:val="true"/>
        </w:rPr>
        <w:footnoteReference w:id="701"/>
      </w:r>
    </w:p>
    <w:p>
      <w:pPr>
        <w:pStyle w:val="BookText"/>
        <w:rPr/>
      </w:pPr>
      <w:r>
        <w:rPr>
          <w:rFonts w:ascii="Amiri" w:hAnsi="Amiri" w:eastAsia="Amiri" w:cs="Amiri"/>
          <w:color w:val="111111"/>
          <w:sz w:val="28"/>
          <w:sz w:val="28"/>
          <w:szCs w:val="28"/>
          <w:rtl w:val="true"/>
          <w:lang w:bidi="ar-SA"/>
        </w:rPr>
        <w:t xml:space="preserve">والعجب انّ الصحابة لم يدّعوا لأنفسهم هذا المقام ولم يغالوا في حقّهم ولم يتجاوزوا الحد ، وهذا هو عمر بن الخطاب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لعلي أنهاكم عن أشياء تصلح لكم ، وآمركم بأشياء لا تصلح لكم</w:t>
      </w:r>
      <w:r>
        <w:rPr>
          <w:rFonts w:eastAsia="Amiri" w:cs="Amiri" w:ascii="Amiri" w:hAnsi="Amiri"/>
          <w:color w:val="111111"/>
          <w:sz w:val="28"/>
          <w:szCs w:val="28"/>
          <w:rtl w:val="true"/>
          <w:lang w:bidi="ar-SA"/>
        </w:rPr>
        <w:t xml:space="preserve">. </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 xml:space="preserve">وقد شاع وذاع عن الخلفاء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فيها برأيي فإن أصبتُ فمن الله ، وإن أخطأت فمنّي أو من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يمكن أن يكون الرأي المردد بين الله وغيره حكماً شرعياً لازم الاتّباع إلى يوم البعث</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إلاّ الغلو الواضح النابع من القول بعصمتهم من غير وعي</w:t>
      </w:r>
      <w:r>
        <w:rPr>
          <w:rFonts w:eastAsia="Amiri" w:cs="Amiri" w:ascii="Amiri" w:hAnsi="Amiri"/>
          <w:color w:val="111111"/>
          <w:sz w:val="28"/>
          <w:szCs w:val="28"/>
          <w:rtl w:val="true"/>
          <w:lang w:bidi="ar-SA"/>
        </w:rPr>
        <w:t xml:space="preserve">. </w:t>
      </w:r>
      <w:bookmarkStart w:id="1043" w:name="pg11047_103024"/>
    </w:p>
    <w:p>
      <w:pPr>
        <w:pStyle w:val="Heading5"/>
        <w:numPr>
          <w:ilvl w:val="4"/>
          <w:numId w:val="1"/>
        </w:numPr>
        <w:rPr/>
      </w:pPr>
      <w:bookmarkStart w:id="1044" w:name="__RefHeading___Toc1391673_1067777946"/>
      <w:bookmarkStart w:id="1045" w:name="_Toc386"/>
      <w:bookmarkEnd w:id="1043"/>
      <w:bookmarkEnd w:id="1044"/>
      <w:r>
        <w:rPr/>
        <w:t>2</w:t>
      </w:r>
      <w:r>
        <w:rPr>
          <w:rtl w:val="true"/>
        </w:rPr>
        <w:t xml:space="preserve">. </w:t>
      </w:r>
      <w:r>
        <w:rPr>
          <w:rtl w:val="true"/>
        </w:rPr>
        <w:t>العزوف عن نقد الصحابة</w:t>
      </w:r>
      <w:bookmarkEnd w:id="1045"/>
    </w:p>
    <w:p>
      <w:pPr>
        <w:pStyle w:val="BookText"/>
        <w:rPr/>
      </w:pPr>
      <w:r>
        <w:rPr>
          <w:rFonts w:ascii="Amiri" w:hAnsi="Amiri" w:eastAsia="Amiri" w:cs="Amiri"/>
          <w:color w:val="111111"/>
          <w:sz w:val="28"/>
          <w:sz w:val="28"/>
          <w:szCs w:val="28"/>
          <w:rtl w:val="true"/>
          <w:lang w:bidi="ar-SA"/>
        </w:rPr>
        <w:t xml:space="preserve">من مظاهر الغلو في الصحابة هو العزوف عن نقد الصحابة ، والمنع عن التكلم حول ما دار بينهم من النزاع والنقاش ، يقول إمام الحنابلة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وخير هذه الأُمّة بعد نبيّها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 وخيرهم بعد أبي بكر عمر ، وخيرهم بعد عمر ، عثمان ، وخيرهم بعد عثمان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خلفاء راشدون مهديّون ، ثمّ أصحاب محمّد بعد هؤلاء الأربعة لا يجوز لأحد أن يذكر شيئاً من مساويهم ولا يطعن على أحد منهم ، فمن فعل ذلك فقد وجب على السلطان تأديبه وعقوبته ، ليس له أن يعفو عنه ، بل يعاقبه ثمّ يستتيبه ، فإن تاب قبل منه ، وإن لم يتب أعاد عليه العقوبة ، وجلده في المجلس حتّى يتوب ويراجع</w:t>
      </w:r>
      <w:r>
        <w:rPr>
          <w:rFonts w:eastAsia="Amiri" w:cs="Amiri" w:ascii="Amiri" w:hAnsi="Amiri"/>
          <w:color w:val="111111"/>
          <w:sz w:val="28"/>
          <w:szCs w:val="28"/>
          <w:rtl w:val="true"/>
          <w:lang w:bidi="ar-SA"/>
        </w:rPr>
        <w:t xml:space="preserve">. </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 xml:space="preserve">وقال الإمام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ونشهد بالجنة للعشرة الذين شهد لهم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ونتولّى بها ونتولّى سائر أصحاب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ونكفّ عمّا شجر بينهم </w:t>
      </w:r>
      <w:r>
        <w:rPr>
          <w:rFonts w:eastAsia="Amiri" w:cs="Amiri" w:ascii="Amiri" w:hAnsi="Amiri"/>
          <w:color w:val="111111"/>
          <w:sz w:val="28"/>
          <w:szCs w:val="28"/>
          <w:rtl w:val="true"/>
          <w:lang w:bidi="ar-SA"/>
        </w:rPr>
        <w:t xml:space="preserve">... </w:t>
      </w:r>
      <w:r>
        <w:rPr>
          <w:rStyle w:val="FootnoteAnchor"/>
          <w:rtl w:val="true"/>
        </w:rPr>
        <w:footnoteReference w:id="704"/>
      </w:r>
    </w:p>
    <w:p>
      <w:pPr>
        <w:pStyle w:val="BookText"/>
        <w:rPr/>
      </w:pPr>
      <w:r>
        <w:rPr>
          <w:rFonts w:ascii="Amiri" w:hAnsi="Amiri" w:eastAsia="Amiri" w:cs="Amiri"/>
          <w:color w:val="111111"/>
          <w:sz w:val="28"/>
          <w:sz w:val="28"/>
          <w:szCs w:val="28"/>
          <w:rtl w:val="true"/>
          <w:lang w:bidi="ar-SA"/>
        </w:rPr>
        <w:t xml:space="preserve">وقال أبو الحسين محمد بن أحمد بن عبد الرحمن الملطي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ما ذكر عقائد أهل السنّة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 عن أصحاب محمد</w:t>
      </w:r>
      <w:r>
        <w:rPr>
          <w:rFonts w:eastAsia="Amiri" w:cs="Amiri" w:ascii="Amiri" w:hAnsi="Amiri"/>
          <w:color w:val="111111"/>
          <w:sz w:val="28"/>
          <w:szCs w:val="28"/>
          <w:rtl w:val="true"/>
          <w:lang w:bidi="ar-SA"/>
        </w:rPr>
        <w:t xml:space="preserve">. </w:t>
      </w:r>
      <w:r>
        <w:rPr>
          <w:rStyle w:val="FootnoteAnchor"/>
          <w:rtl w:val="true"/>
        </w:rPr>
        <w:footnoteReference w:id="705"/>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 ما يقف الباحث على مصادر جمة وتظهر أمامه أفانين من اقتراف المعاصي وسفك الدماء الطاهرة ، وهتك الحرمات ، ويجابههم بهذه الحقائق ، فإنّهم يلتجئون إلى ما يُروى عن عمر بن عبد العزيز وأحياناً عن الإمام أحمد بن حنبل من لزوم الإمساك عمّا شجر بين الصحابة من الاختلاف ، وكثيراً ما يقولون حول الدماء التي أُريقت بيد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قتل بعضهم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دماء طهّر الله </w:t>
      </w:r>
    </w:p>
    <w:p>
      <w:pPr>
        <w:pStyle w:val="BookText"/>
        <w:rPr/>
      </w:pPr>
      <w:r>
        <w:rPr>
          <w:rFonts w:ascii="Amiri" w:hAnsi="Amiri" w:eastAsia="Amiri" w:cs="Amiri"/>
          <w:color w:val="111111"/>
          <w:sz w:val="28"/>
          <w:sz w:val="28"/>
          <w:szCs w:val="28"/>
          <w:rtl w:val="true"/>
          <w:lang w:bidi="ar-SA"/>
        </w:rPr>
        <w:t>منها أيدينا فلا نلوّث بها ألسنتنا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 هذه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شخص صدرت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تخالف القرآن الكريم والسنّة النبوية والعقل الصريح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القرآن الكريم فقد وصف طوائف من الصحابة بالأوصاف التي سوف تقف عليها عند تصنيف الصحابة والتي منها الفسق وقال فيما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 جاءَكُمْ فاسِقٌ بِنَبَإٍ فَتَبَيَّنُوا أَنْ تُصِيبُوا قَوْماً بِجَهالَةٍ فَتُصْبِحُوا عَلى ما فَعَلْتُمْ نادِمِينَ</w:t>
      </w:r>
      <w:r>
        <w:rPr>
          <w:rFonts w:eastAsia="Amiri" w:cs="Amiri" w:ascii="Amiri" w:hAnsi="Amiri"/>
          <w:color w:val="111111"/>
          <w:sz w:val="28"/>
          <w:szCs w:val="28"/>
          <w:rtl w:val="true"/>
          <w:lang w:bidi="ar-SA"/>
        </w:rPr>
        <w:t xml:space="preserve">). </w:t>
      </w:r>
      <w:r>
        <w:rPr>
          <w:rStyle w:val="FootnoteAnchor"/>
          <w:rtl w:val="true"/>
        </w:rPr>
        <w:footnoteReference w:id="706"/>
      </w:r>
    </w:p>
    <w:p>
      <w:pPr>
        <w:pStyle w:val="BookText"/>
        <w:rPr/>
      </w:pPr>
      <w:r>
        <w:rPr>
          <w:rFonts w:ascii="Amiri" w:hAnsi="Amiri" w:eastAsia="Amiri" w:cs="Amiri"/>
          <w:color w:val="111111"/>
          <w:sz w:val="28"/>
          <w:sz w:val="28"/>
          <w:szCs w:val="28"/>
          <w:rtl w:val="true"/>
          <w:lang w:bidi="ar-SA"/>
        </w:rPr>
        <w:t xml:space="preserve">وأمّا السنّة النبوية فهي تصف قتلة عمار بالفئة الباغية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تقتلك الفئة الباغية ، تدعوهم إلى الجنّة ويدعونك إلى النار</w:t>
      </w:r>
      <w:r>
        <w:rPr>
          <w:rFonts w:eastAsia="Amiri" w:cs="Amiri" w:ascii="Amiri" w:hAnsi="Amiri"/>
          <w:color w:val="111111"/>
          <w:sz w:val="28"/>
          <w:szCs w:val="28"/>
          <w:rtl w:val="true"/>
          <w:lang w:bidi="ar-SA"/>
        </w:rPr>
        <w:t xml:space="preserve">». </w:t>
      </w:r>
      <w:r>
        <w:rPr>
          <w:rStyle w:val="FootnoteAnchor"/>
          <w:rtl w:val="true"/>
        </w:rPr>
        <w:footnoteReference w:id="707"/>
      </w:r>
      <w:r>
        <w:rPr>
          <w:rFonts w:ascii="Amiri" w:hAnsi="Amiri" w:eastAsia="Amiri" w:cs="Amiri"/>
          <w:color w:val="111111"/>
          <w:sz w:val="28"/>
          <w:sz w:val="28"/>
          <w:szCs w:val="28"/>
          <w:rtl w:val="true"/>
          <w:lang w:bidi="ar-SA"/>
        </w:rPr>
        <w:t>وكان معاوية ، وعمرو بن العاص يقودان الفئة الباغية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 الخوارج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تمرق مارقة على حين فرقة من المسلمين تقتلهم أولى الطائفتين بالحق</w:t>
      </w:r>
      <w:r>
        <w:rPr>
          <w:rFonts w:eastAsia="Amiri" w:cs="Amiri" w:ascii="Amiri" w:hAnsi="Amiri"/>
          <w:color w:val="111111"/>
          <w:sz w:val="28"/>
          <w:szCs w:val="28"/>
          <w:rtl w:val="true"/>
          <w:lang w:bidi="ar-SA"/>
        </w:rPr>
        <w:t xml:space="preserve">». </w:t>
      </w:r>
      <w:r>
        <w:rPr>
          <w:rStyle w:val="FootnoteAnchor"/>
          <w:rtl w:val="true"/>
        </w:rPr>
        <w:footnoteReference w:id="708"/>
      </w:r>
    </w:p>
    <w:p>
      <w:pPr>
        <w:pStyle w:val="BookText"/>
        <w:rPr/>
      </w:pPr>
      <w:r>
        <w:rPr>
          <w:rFonts w:ascii="Amiri" w:hAnsi="Amiri" w:eastAsia="Amiri" w:cs="Amiri"/>
          <w:color w:val="111111"/>
          <w:sz w:val="28"/>
          <w:sz w:val="28"/>
          <w:szCs w:val="28"/>
          <w:rtl w:val="true"/>
          <w:lang w:bidi="ar-SA"/>
        </w:rPr>
        <w:t xml:space="preserve">وهذه الأحاديث وأمثالها كثيرة مبثوثة في الصحاح والمسانيد ، فإذا كان الإمساك أمراً واجباً والإطلاق أمراً محرماً ، فلما ذا أطلق الوحي الإلهي والنبي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لسانهما بوصف هؤلاء بالأوصاف الماضية؟</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العقل فلا يجوّز لنا أن نلبس الحق بالباطل ونكتم الحقّ ونكيل للظالم والعادل بمكيال واحد ، أمّا ما روي عن الإمام أحمد فلعلّه يريد به الإمساك عن الكلام فيهم بالباطل والهوى ، وأمّا الكلام فيهم بما اشتهر اشتهار الشمس في رائعة النهار ونقله المحدّثون والمؤرخون في كتبهم وأُشير إليه في الذكر الحكيم فلا معنى </w:t>
      </w:r>
    </w:p>
    <w:p>
      <w:pPr>
        <w:pStyle w:val="BookText"/>
        <w:rPr/>
      </w:pPr>
      <w:r>
        <w:rPr>
          <w:rFonts w:ascii="Amiri" w:hAnsi="Amiri" w:eastAsia="Amiri" w:cs="Amiri"/>
          <w:color w:val="111111"/>
          <w:sz w:val="28"/>
          <w:sz w:val="28"/>
          <w:szCs w:val="28"/>
          <w:rtl w:val="true"/>
          <w:lang w:bidi="ar-SA"/>
        </w:rPr>
        <w:t>للزوم الإمساك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يُستشفّ من هذا الكلام أنّ الدماء التي أُريقت في وقائع الجمل وصفين والنهروان ، كانت قد سُفكت بغير حق ،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وأيم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النصب ، وقضاء بالباطل ، وإلاّ فأي ضمير حرّ يحكم بأنّ قتال الناكثين والقاسطين والمارقين ، كان قتالاً بغير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وكلّنا يعلم أنّ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بيّنة من ربّه وبصيرة من دينه ، يدور معه الحقّ حيثما دار ، وهو الذي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لو أُعطيتُ الأقاليم السبعة بما تحت أفلاكها على أن أعصيَ اللهَ في نملة أسلبُها جِلْبَ شعيرة ما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هذا التجنّي أمام الحقائق الواضحة؟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ليس العزوف عن نقد الصحابة تكريساً للأخطاء ، وإيغالاً في التقديس؟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ليس تنزيه الصحابة جميعاً تنكّراً للطبيعة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النقد الموضوعي تعزيز لجبهة الحق ، وتمييز الخبيث من الطيّب ، والمبطل عن المحق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اللهُ لِيَذَرَ الْمُؤْمِنِينَ عَلى ما أَنْتُمْ عَلَيْهِ حَتَّى يَمِيزَ الْخَبِيثَ مِنَ الطَّيِّبِ</w:t>
      </w:r>
      <w:r>
        <w:rPr>
          <w:rFonts w:eastAsia="Amiri" w:cs="Amiri" w:ascii="Amiri" w:hAnsi="Amiri"/>
          <w:color w:val="111111"/>
          <w:sz w:val="28"/>
          <w:szCs w:val="28"/>
          <w:rtl w:val="true"/>
          <w:lang w:bidi="ar-SA"/>
        </w:rPr>
        <w:t xml:space="preserve">). </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ولو كان الكفّ عمّا اقترفوا أمراً واجباً فلما ذا خرق النبي هذا الستر وأخبر عن رجوعهم عن الطريق المهيع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الإمام البخاري يروي روايات كثيرة حول ارتداد بعض الصحابة بعد رحيل النبي ، نكتفي بواحدة منها</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أنا قائم على الحوض إذا زمرة حتّى إذا </w:t>
      </w:r>
      <w:bookmarkStart w:id="1046" w:name="pg11047_103027"/>
    </w:p>
    <w:p>
      <w:pPr>
        <w:pStyle w:val="BookText"/>
        <w:rPr/>
      </w:pPr>
      <w:bookmarkEnd w:id="1046"/>
      <w:r>
        <w:rPr>
          <w:rFonts w:ascii="Amiri" w:hAnsi="Amiri" w:eastAsia="Amiri" w:cs="Amiri"/>
          <w:color w:val="111111"/>
          <w:sz w:val="28"/>
          <w:sz w:val="28"/>
          <w:szCs w:val="28"/>
          <w:rtl w:val="true"/>
          <w:lang w:bidi="ar-SA"/>
        </w:rPr>
        <w:t xml:space="preserve">عرفتهُم خرج رجل بيني وبينهم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النار والله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ارتدّوا على أدبارهم القهقرى ، ثمّ إذا زمرة أُخرى ، حتّى إذا عرفتهم خرج رجل بيني وبينهم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النار والله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ارتدوا على أدبارهم ، فلا أراه يخلص منهم إلاّ مثل هِمْل النعم</w:t>
      </w:r>
      <w:r>
        <w:rPr>
          <w:rFonts w:eastAsia="Amiri" w:cs="Amiri" w:ascii="Amiri" w:hAnsi="Amiri"/>
          <w:color w:val="111111"/>
          <w:sz w:val="28"/>
          <w:szCs w:val="28"/>
          <w:rtl w:val="true"/>
          <w:lang w:bidi="ar-SA"/>
        </w:rPr>
        <w:t xml:space="preserve">». </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 xml:space="preserve">وظاهر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عرفتهم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ارتدوا على أدبارهم القهقرى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الذين أدركوا عصره وكانوا معه ، هم الذين يرتدون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راجعنا الصحاح والمسانيد نجد أنّ أصحابهم أفردوا باباً بشأن فضائل الصحابة إلاّ أنّهم لم يفردوا باباً في مثالبهم ، بل أقحموا ما يرجع إلى هذه الناحية في أبواب أُخر ، ستراً لمثالبهم وقد ذكرها البخاري في الجزء التاسع من صحاحه في باب الفتن ، وأدرجها ابن الأثير في جامعه في أبواب القيامة عند البحث عن الحوض ، والوضع الطبيعي لجمع الأحاديث وترتيبها ، كان يقتضي عقد باب مستقل للمثالب في جنب الفضائل حتّى يطلع القارئ على قضاء السنة حول صحابة النبي الأكرم</w:t>
      </w:r>
      <w:r>
        <w:rPr>
          <w:rFonts w:eastAsia="Amiri" w:cs="Amiri" w:ascii="Amiri" w:hAnsi="Amiri"/>
          <w:color w:val="111111"/>
          <w:sz w:val="28"/>
          <w:szCs w:val="28"/>
          <w:rtl w:val="true"/>
          <w:lang w:bidi="ar-SA"/>
        </w:rPr>
        <w:t>.</w:t>
      </w:r>
    </w:p>
    <w:p>
      <w:pPr>
        <w:pStyle w:val="Heading5"/>
        <w:numPr>
          <w:ilvl w:val="4"/>
          <w:numId w:val="1"/>
        </w:numPr>
        <w:rPr/>
      </w:pPr>
      <w:bookmarkStart w:id="1047" w:name="__RefHeading___Toc1391675_1067777946"/>
      <w:bookmarkStart w:id="1048" w:name="_Toc387"/>
      <w:bookmarkEnd w:id="1047"/>
      <w:r>
        <w:rPr/>
        <w:t>3</w:t>
      </w:r>
      <w:r>
        <w:rPr>
          <w:rtl w:val="true"/>
        </w:rPr>
        <w:t xml:space="preserve">. </w:t>
      </w:r>
      <w:r>
        <w:rPr>
          <w:rtl w:val="true"/>
        </w:rPr>
        <w:t>السنّة قاضية على القرآن</w:t>
      </w:r>
      <w:bookmarkEnd w:id="1048"/>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القرآن الكريم هو المرجع الأوّل للمسلمين في الشريعة والعقيدة ، وقد وصفه سبحانه بأنّ فيه تبياناً لكلّ شيء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وَنَزَّلْنا عَلَيْكَ الْكِتابَ تِبْياناً لِكُلِّ شَيْءٍ</w:t>
      </w:r>
      <w:r>
        <w:rPr>
          <w:rFonts w:eastAsia="Amiri" w:cs="Amiri" w:ascii="Amiri" w:hAnsi="Amiri"/>
          <w:color w:val="111111"/>
          <w:sz w:val="28"/>
          <w:szCs w:val="28"/>
          <w:rtl w:val="true"/>
          <w:lang w:bidi="ar-SA"/>
        </w:rPr>
        <w:t xml:space="preserve">). </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والمراد من الشيء في الآية إمّا المعنى العام ، أو المعنى الخاص ، أي العقيدة والشريعة ، والمعنى الثاني هو القدر المتيقّن ، فيجب أن يكون ميزاناً للحقّ والباطل فيما تحكيه الروايات في مجالي العقيدة والشريعة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سبحانه عرّفه في مكان آخر بأنّه المهيمن على جميع الكتب السماوية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وَأَنْزَلْنا إِلَيْكَ الْكِتابَ بِالْحَقِّ مُصَدِّقاً لِما بَيْنَ يَدَيْهِ مِنَ الْكِتابِ وَمُهَيْمِناً عَلَيْهِ</w:t>
      </w:r>
      <w:r>
        <w:rPr>
          <w:rFonts w:eastAsia="Amiri" w:cs="Amiri" w:ascii="Amiri" w:hAnsi="Amiri"/>
          <w:color w:val="111111"/>
          <w:sz w:val="28"/>
          <w:szCs w:val="28"/>
          <w:rtl w:val="true"/>
          <w:lang w:bidi="ar-SA"/>
        </w:rPr>
        <w:t xml:space="preserve">). </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فإذا كان القرآن مهيمناً على جميع الكتب السماوية وميزاناً للحقّ والباطل الواردين فيها ، فأولى أن يكون مهيمناً على ما يُنسب إلى صاحب الشريعة المحمّدية من صحيح وسقيم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ومقتضى ذلك أن يكون القرآن حاكماً على السنّة ومعياراً لصحّتها وسقمها ؛ ولكن الغلوّ في رواة السنّة وعلى رأسهم الصحابة ، انتهى إلى خلاف ذلك ، فصارت السنّة قاضية على القرآن ، حاكمة عليه ، وهذا أحد مظاهر الغلوّ في الصحابة ومن تتلمذ على أيديهم حيث قدّموا رواياتهم على كتاب ربّ العزّة ، وإن كنت في ريب ممّا ذكرنا فاقرأ ما نتلوه عليك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الحافظ الكبير أبو محمد عبد الرحمن الدارمي في سننه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قاضية على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يحيى بن أبي كثير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قاضية على القرآن وليس القرآن بقاض على السنّة</w:t>
      </w:r>
      <w:r>
        <w:rPr>
          <w:rFonts w:eastAsia="Amiri" w:cs="Amiri" w:ascii="Amiri" w:hAnsi="Amiri"/>
          <w:color w:val="111111"/>
          <w:sz w:val="28"/>
          <w:szCs w:val="28"/>
          <w:rtl w:val="true"/>
          <w:lang w:bidi="ar-SA"/>
        </w:rPr>
        <w:t xml:space="preserve">. </w:t>
      </w:r>
      <w:r>
        <w:rPr>
          <w:rStyle w:val="FootnoteAnchor"/>
          <w:rtl w:val="true"/>
        </w:rPr>
        <w:footnoteReference w:id="713"/>
      </w:r>
    </w:p>
    <w:p>
      <w:pPr>
        <w:pStyle w:val="BookText"/>
        <w:rPr/>
      </w:pPr>
      <w:r>
        <w:rPr>
          <w:rFonts w:ascii="Amiri" w:hAnsi="Amiri" w:eastAsia="Amiri" w:cs="Amiri"/>
          <w:color w:val="111111"/>
          <w:sz w:val="28"/>
          <w:sz w:val="28"/>
          <w:szCs w:val="28"/>
          <w:rtl w:val="true"/>
          <w:lang w:bidi="ar-SA"/>
        </w:rPr>
        <w:t xml:space="preserve">قال الإمام الأشعري واختلفوا في القرآن هل ينسخ إلاّ بقرآن ، وفي السنّة هل ينسخها القرآن؟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المختلفون في ذلك ثلاثة أقاويل ، منها </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السنّة تنسخ القرآنَ وتقضي عليه ، والقرآن لا ينسخ السنّة ولا يقضي </w:t>
      </w:r>
      <w:bookmarkStart w:id="1049" w:name="pg11047_103029"/>
    </w:p>
    <w:p>
      <w:pPr>
        <w:pStyle w:val="BookText"/>
        <w:rPr/>
      </w:pPr>
      <w:bookmarkEnd w:id="1049"/>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Style w:val="FootnoteAnchor"/>
          <w:rtl w:val="true"/>
        </w:rPr>
        <w:footnoteReference w:id="714"/>
      </w:r>
    </w:p>
    <w:p>
      <w:pPr>
        <w:pStyle w:val="BookText"/>
        <w:rPr/>
      </w:pPr>
      <w:r>
        <w:rPr>
          <w:rFonts w:ascii="Amiri" w:hAnsi="Amiri" w:eastAsia="Amiri" w:cs="Amiri"/>
          <w:color w:val="111111"/>
          <w:sz w:val="28"/>
          <w:sz w:val="28"/>
          <w:szCs w:val="28"/>
          <w:rtl w:val="true"/>
          <w:lang w:bidi="ar-SA"/>
        </w:rPr>
        <w:t>لا شكّ انّ السنّة المحكية الّتي تصدر عن لسان النبيّ هي كالقرآن الكريم ، تخصِّص عموم القرآن وتقيّد مطلقه ، ولا يكون بينهما أيّ خلاف حتّى يكون أحدهما قاضياً على الآخر ، إنّما الكلام في هذه السنن الحاكية المبثوثة في الصحاح والسنن والمسانيد ، فهل يمكن أن تكون تلك السنّة قاضية على كتاب الله ولا يكون الكتاب قاضياً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إِذاً قِسْمَةٌ ضِيزى</w:t>
      </w:r>
      <w:r>
        <w:rPr>
          <w:rFonts w:eastAsia="Amiri" w:cs="Amiri" w:ascii="Amiri" w:hAnsi="Amiri"/>
          <w:color w:val="111111"/>
          <w:sz w:val="28"/>
          <w:szCs w:val="28"/>
          <w:rtl w:val="true"/>
          <w:lang w:bidi="ar-SA"/>
        </w:rPr>
        <w:t>).</w:t>
      </w:r>
    </w:p>
    <w:p>
      <w:pPr>
        <w:pStyle w:val="Heading5"/>
        <w:numPr>
          <w:ilvl w:val="4"/>
          <w:numId w:val="1"/>
        </w:numPr>
        <w:rPr/>
      </w:pPr>
      <w:bookmarkStart w:id="1050" w:name="__RefHeading___Toc1391677_1067777946"/>
      <w:bookmarkStart w:id="1051" w:name="_Toc388"/>
      <w:bookmarkEnd w:id="1050"/>
      <w:r>
        <w:rPr/>
        <w:t>4</w:t>
      </w:r>
      <w:r>
        <w:rPr>
          <w:rtl w:val="true"/>
        </w:rPr>
        <w:t xml:space="preserve">. </w:t>
      </w:r>
      <w:r>
        <w:rPr>
          <w:rtl w:val="true"/>
        </w:rPr>
        <w:t>حجّية رواياتهم بلا استثناء</w:t>
      </w:r>
      <w:bookmarkEnd w:id="1051"/>
    </w:p>
    <w:p>
      <w:pPr>
        <w:pStyle w:val="BookText"/>
        <w:rPr/>
      </w:pPr>
      <w:r>
        <w:rPr>
          <w:rFonts w:ascii="Amiri" w:hAnsi="Amiri" w:eastAsia="Amiri" w:cs="Amiri"/>
          <w:color w:val="111111"/>
          <w:sz w:val="28"/>
          <w:sz w:val="28"/>
          <w:szCs w:val="28"/>
          <w:rtl w:val="true"/>
          <w:lang w:bidi="ar-SA"/>
        </w:rPr>
        <w:t>من مظاهر الغلو في حقّ الصحابة ، حجّية رواياتهم بلا استثناء ، مع أنّ الصحابة كانوا على أصناف يعرفهم كلّ من قرأ الكتاب العزيز وتدبّر في آياته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في الصحابة طائفة من المؤمنين المخلصين بدرجات مختلفة ، وفيهم المسلمون الذين لم يدخل الإيمان في قلوبهم ، وفيهم المنافقون وهم عدد غير قليل ، وفيهم المؤلّفة قلوبهم ، وفيهم من نزل القرآن بفسقه ، وفيهم من أُقيم عليه الحدّ الشرعي في زمن النبيّ ، وفيهم من ارتدّ عن دينه إلى غير ذلك من الأصناف الّتي لا يحتجّ بأقوالها ورواياتها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احتج بروايات الصحابي مطلقاً ، ومن دون 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الرسول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 أصحابه من الكذب عليه في حياته ، وهذا يعرب عن وجود من كان يكذب عليه في حياته فكيف بعد مماته</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البخاري ، عن رِبْعي بن حراش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تكذبوا عليّ فانّه مَنْ كذب عليّ فليلج النار</w:t>
      </w:r>
      <w:r>
        <w:rPr>
          <w:rFonts w:eastAsia="Amiri" w:cs="Amiri" w:ascii="Amiri" w:hAnsi="Amiri"/>
          <w:color w:val="111111"/>
          <w:sz w:val="28"/>
          <w:szCs w:val="28"/>
          <w:rtl w:val="true"/>
          <w:lang w:bidi="ar-SA"/>
        </w:rPr>
        <w:t xml:space="preserve">». </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 xml:space="preserve">وروى أيضاً عن عبد الله بن الزبير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أسمعك تحدّث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يحدّث فلان وفلان؟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أُفارقه ، ولكن سمعته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كذب عليّ فليتبوّأ مقعده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الأحاديث الّتي رواها الإمام البخاري في هذه المضمار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عقد ابن ماجة في سننه باب التغليظ على تعمّد الكذب على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وروى فيه ثماني روايات حول نهي النبي عن الكذب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قتادة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على هذا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وكثرة الحديث عنّي ، فمن قال ، عليّ فليقل عدلاً أو صدقاً ، ومن تقوّل عليّ ما لم أقل فليتبوّأ مقعده من النار</w:t>
      </w:r>
      <w:r>
        <w:rPr>
          <w:rFonts w:eastAsia="Amiri" w:cs="Amiri" w:ascii="Amiri" w:hAnsi="Amiri"/>
          <w:color w:val="111111"/>
          <w:sz w:val="28"/>
          <w:szCs w:val="28"/>
          <w:rtl w:val="true"/>
          <w:lang w:bidi="ar-SA"/>
        </w:rPr>
        <w:t xml:space="preserve">. </w:t>
      </w:r>
      <w:r>
        <w:rPr>
          <w:rStyle w:val="FootnoteAnchor"/>
          <w:rtl w:val="true"/>
        </w:rPr>
        <w:footnoteReference w:id="716"/>
      </w:r>
    </w:p>
    <w:p>
      <w:pPr>
        <w:pStyle w:val="BookText"/>
        <w:rPr/>
      </w:pPr>
      <w:r>
        <w:rPr>
          <w:rFonts w:ascii="Amiri" w:hAnsi="Amiri" w:eastAsia="Amiri" w:cs="Amiri"/>
          <w:color w:val="111111"/>
          <w:sz w:val="28"/>
          <w:sz w:val="28"/>
          <w:szCs w:val="28"/>
          <w:rtl w:val="true"/>
          <w:lang w:bidi="ar-SA"/>
        </w:rPr>
        <w:t xml:space="preserve">ما ذا يريد رسول الله من خطابه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وكثرة الحديث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يدلّ هذا على أنّه كان بين الصحابة من يتقوّل عليه وينقل عنه ما لم يقل؟ نعم هذا لا يستلزم اختصاص الحكم بالصحابة ، بل يحرم التقوّل على غير الصحابي ، أيضاً بملاك الاشتراك في التكليف ، ولكن الخطاب متوجه إلى الصحابة يخصّهم بالذكر وإن كان الحكم واسعاً</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ابن ماجة عقد باباً آخر ،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حدّث عن رسول الله حديثاً وهو يُرى أنّه 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فيه أربع روايات كلّها بمضمون الحديث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حدّث عنّي حديثاً وهو يرى أنّه كذب فهو أحد الكاذبين</w:t>
      </w:r>
      <w:r>
        <w:rPr>
          <w:rFonts w:eastAsia="Amiri" w:cs="Amiri" w:ascii="Amiri" w:hAnsi="Amiri"/>
          <w:color w:val="111111"/>
          <w:sz w:val="28"/>
          <w:szCs w:val="28"/>
          <w:rtl w:val="true"/>
          <w:lang w:bidi="ar-SA"/>
        </w:rPr>
        <w:t xml:space="preserve">. </w:t>
      </w:r>
      <w:r>
        <w:rPr>
          <w:rStyle w:val="FootnoteAnchor"/>
          <w:rtl w:val="true"/>
        </w:rPr>
        <w:footnoteReference w:id="717"/>
      </w:r>
      <w:bookmarkStart w:id="1052" w:name="pg11047_103031"/>
    </w:p>
    <w:p>
      <w:pPr>
        <w:pStyle w:val="BookText"/>
        <w:rPr/>
      </w:pPr>
      <w:bookmarkEnd w:id="1052"/>
      <w:r>
        <w:rPr>
          <w:rFonts w:ascii="Amiri" w:hAnsi="Amiri" w:eastAsia="Amiri" w:cs="Amiri"/>
          <w:color w:val="111111"/>
          <w:sz w:val="28"/>
          <w:sz w:val="28"/>
          <w:szCs w:val="28"/>
          <w:rtl w:val="true"/>
          <w:lang w:bidi="ar-SA"/>
        </w:rPr>
        <w:t>وهذا يكشف عن وجود أرضية سيّئة بين نقلة الحديث في عصر الرسول ، أفيمكن بعد هذه الروايات أن نكيل عامة الصحابة بكيل واحد ونصفهم بالعدل والزهد والتقى؟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ظهر كذبه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يعتذر بأنّه من كيسه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البخاري عن أبي صالح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هريرة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أفضل الصدقة ما ترك غنىً ، واليد العليا خير من اليد السفلى ، وابدأ بمن تعول ، تقول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تطعمني وإمّا أن تطلقني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اطعمني واستعملني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أطعمني إلى من تدعني؟</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هريرة ، سمعت هذا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من كيس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الإمام أحمد في مسنده باختلاف طفيف في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إلى الرجل ينسب في صدر الحديث الرواية إلى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بضرس قاطع ، ولكنّه عند ما سُئل عن سماع الحديث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عمّا ذكره أوّلاً ، وصرح بأنّه من كيسه الخاص أي من موضوعاته</w:t>
      </w:r>
      <w:r>
        <w:rPr>
          <w:rFonts w:eastAsia="Amiri" w:cs="Amiri" w:ascii="Amiri" w:hAnsi="Amiri"/>
          <w:color w:val="111111"/>
          <w:sz w:val="28"/>
          <w:szCs w:val="28"/>
          <w:rtl w:val="true"/>
          <w:lang w:bidi="ar-SA"/>
        </w:rPr>
        <w:t xml:space="preserve">. </w:t>
      </w:r>
      <w:r>
        <w:rPr>
          <w:rStyle w:val="FootnoteAnchor"/>
          <w:rtl w:val="true"/>
        </w:rPr>
        <w:footnoteReference w:id="718"/>
      </w:r>
    </w:p>
    <w:p>
      <w:pPr>
        <w:pStyle w:val="Heading5"/>
        <w:numPr>
          <w:ilvl w:val="4"/>
          <w:numId w:val="1"/>
        </w:numPr>
        <w:rPr/>
      </w:pPr>
      <w:bookmarkStart w:id="1053" w:name="__RefHeading___Toc1391679_1067777946"/>
      <w:bookmarkStart w:id="1054" w:name="_Toc389"/>
      <w:bookmarkEnd w:id="1053"/>
      <w:r>
        <w:rPr/>
        <w:t>5</w:t>
      </w:r>
      <w:r>
        <w:rPr>
          <w:rtl w:val="true"/>
        </w:rPr>
        <w:t xml:space="preserve">. </w:t>
      </w:r>
      <w:r>
        <w:rPr>
          <w:rtl w:val="true"/>
        </w:rPr>
        <w:t>القول بعدالتهم جميعاً</w:t>
      </w:r>
      <w:bookmarkEnd w:id="1054"/>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مظاهر الغلو في الصحابة ، القول بعدالتهم جميعاً ، كأنّ الرؤية أو الصحبة جعلتهم ملائكة يسيرون في الأرض بصورة الإنس ، لا يعصون الله ما </w:t>
      </w:r>
    </w:p>
    <w:p>
      <w:pPr>
        <w:pStyle w:val="BookText"/>
        <w:rPr/>
      </w:pPr>
      <w:r>
        <w:rPr>
          <w:rFonts w:ascii="Amiri" w:hAnsi="Amiri" w:eastAsia="Amiri" w:cs="Amiri"/>
          <w:color w:val="111111"/>
          <w:sz w:val="28"/>
          <w:sz w:val="28"/>
          <w:szCs w:val="28"/>
          <w:rtl w:val="true"/>
          <w:lang w:bidi="ar-SA"/>
        </w:rPr>
        <w:t>أمرهم ويفعلون ما يؤمرون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والقوم وإن كانوا يصفونهم بالعدل ، ولكن يتعاملون معهم بنحو كأنّهم معصومون ، فوق أن يكونوا عدولاً ، ولذلك يتحاشون عن نسبة أيّ ذنب أو خطيئة إليهم ، إلى حدّ ذهب الإمام أحمد إلى وجوب الإمساك عن التعرض للصحابة وحمل أعمالهم على الصحة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لأحد أن يذكر شيئاً من مساوئهم ، ولا يطعن على أحد منهم بعيب أو نقص ، فمن فعل ذلك فقد وجب على السلطان تأديبه عقوبته ليس له أن يعفو عنه ، بل يعاقبه ثمّ يستتيبه فإن تاب قبل منه ، وإن لم يتب أعاد عليه العقوبة وجلده في المجلس حتّى يتوب ويراجع</w:t>
      </w:r>
      <w:r>
        <w:rPr>
          <w:rFonts w:eastAsia="Amiri" w:cs="Amiri" w:ascii="Amiri" w:hAnsi="Amiri"/>
          <w:color w:val="111111"/>
          <w:sz w:val="28"/>
          <w:szCs w:val="28"/>
          <w:rtl w:val="true"/>
          <w:lang w:bidi="ar-SA"/>
        </w:rPr>
        <w:t xml:space="preserve">. </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 xml:space="preserve">وقال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الاعتقاد بنزاهتهم لأنّه قد ثبت أنّ الجميع من أهل الجنّة وأنّه لا يدخل أحد منهم النار</w:t>
      </w:r>
      <w:r>
        <w:rPr>
          <w:rFonts w:eastAsia="Amiri" w:cs="Amiri" w:ascii="Amiri" w:hAnsi="Amiri"/>
          <w:color w:val="111111"/>
          <w:sz w:val="28"/>
          <w:szCs w:val="28"/>
          <w:rtl w:val="true"/>
          <w:lang w:bidi="ar-SA"/>
        </w:rPr>
        <w:t xml:space="preserve">. </w:t>
      </w:r>
      <w:r>
        <w:rPr>
          <w:rStyle w:val="FootnoteAnchor"/>
          <w:rtl w:val="true"/>
        </w:rPr>
        <w:footnoteReference w:id="720"/>
      </w:r>
    </w:p>
    <w:p>
      <w:pPr>
        <w:pStyle w:val="BookText"/>
        <w:rPr/>
      </w:pPr>
      <w:r>
        <w:rPr>
          <w:rFonts w:ascii="Amiri" w:hAnsi="Amiri" w:eastAsia="Amiri" w:cs="Amiri"/>
          <w:color w:val="111111"/>
          <w:sz w:val="28"/>
          <w:sz w:val="28"/>
          <w:szCs w:val="28"/>
          <w:rtl w:val="true"/>
          <w:lang w:bidi="ar-SA"/>
        </w:rPr>
        <w:t>ليت ابن حجر يشير إلى آية أو رواية صحيحة تدلّ على أنّ جميع الصحابة من أهل الجنّة ، وأنّه لا يدخل أحد منهم النار ، وسيوافيك من الصحابة مَن وصفه الله سبحانه بأنّه فاسق</w:t>
      </w:r>
      <w:r>
        <w:rPr>
          <w:rFonts w:eastAsia="Amiri" w:cs="Amiri" w:ascii="Amiri" w:hAnsi="Amiri"/>
          <w:color w:val="111111"/>
          <w:sz w:val="28"/>
          <w:szCs w:val="28"/>
          <w:rtl w:val="true"/>
          <w:lang w:bidi="ar-SA"/>
        </w:rPr>
        <w:t xml:space="preserve">. </w:t>
      </w:r>
      <w:r>
        <w:rPr>
          <w:rStyle w:val="FootnoteAnchor"/>
          <w:rtl w:val="true"/>
        </w:rPr>
        <w:footnoteReference w:id="721"/>
      </w:r>
      <w:r>
        <w:rPr>
          <w:rFonts w:ascii="Amiri" w:hAnsi="Amiri" w:eastAsia="Amiri" w:cs="Amiri"/>
          <w:color w:val="111111"/>
          <w:sz w:val="28"/>
          <w:sz w:val="28"/>
          <w:szCs w:val="28"/>
          <w:rtl w:val="true"/>
          <w:lang w:bidi="ar-SA"/>
        </w:rPr>
        <w:t xml:space="preserve">كما وصف لفيفاً منهم بأنّهم يريدون الدنيا ولفيفاً يريدون الآخرة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مِنْكُمْ مَنْ يُرِيدُ الدُّنْيا وَمِنْكُمْ مَنْ يُرِيدُ الْآخِرَةَ</w:t>
      </w:r>
      <w:r>
        <w:rPr>
          <w:rFonts w:eastAsia="Amiri" w:cs="Amiri" w:ascii="Amiri" w:hAnsi="Amiri"/>
          <w:color w:val="111111"/>
          <w:sz w:val="28"/>
          <w:szCs w:val="28"/>
          <w:rtl w:val="true"/>
          <w:lang w:bidi="ar-SA"/>
        </w:rPr>
        <w:t xml:space="preserve">). </w:t>
      </w:r>
      <w:r>
        <w:rPr>
          <w:rStyle w:val="FootnoteAnchor"/>
          <w:rtl w:val="true"/>
        </w:rPr>
        <w:footnoteReference w:id="722"/>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تحرم النار على مَن ترك رسول الله وهو يلقي عليهم خطبة الجمعة وذهب للهو والتجارة ،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رَأَوْا تِجارَةً أَوْ لَهْواً انْفَضُّوا إِلَيْها وَتَرَكُوكَ قائِماً </w:t>
      </w:r>
      <w:r>
        <w:rPr>
          <w:rFonts w:eastAsia="Amiri" w:cs="Amiri" w:ascii="Amiri" w:hAnsi="Amiri"/>
          <w:color w:val="111111"/>
          <w:sz w:val="28"/>
          <w:szCs w:val="28"/>
          <w:rtl w:val="true"/>
          <w:lang w:bidi="ar-SA"/>
        </w:rPr>
        <w:t xml:space="preserve">...) </w:t>
      </w:r>
      <w:r>
        <w:rPr>
          <w:rStyle w:val="FootnoteAnchor"/>
          <w:rtl w:val="true"/>
        </w:rPr>
        <w:footnoteReference w:id="723"/>
      </w:r>
      <w:r>
        <w:rPr>
          <w:rFonts w:ascii="Amiri" w:hAnsi="Amiri" w:eastAsia="Amiri" w:cs="Amiri"/>
          <w:color w:val="111111"/>
          <w:sz w:val="28"/>
          <w:sz w:val="28"/>
          <w:szCs w:val="28"/>
          <w:rtl w:val="true"/>
          <w:lang w:bidi="ar-SA"/>
        </w:rPr>
        <w:t>، إلى غير ذلك من الآيات الذامة لفئة منهم ، وستوافيك تلك الآيات في مكانها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الصحابة فبساطهم مطوي ، وإن جرى ما جرى ، وإن غلطوا كما غلط غيرهم من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يكاد يسلم أحد من الغلط ولكنّه غلط نادر لا يضر أبداً ، إذ على عدالتهم ، وقبول ما نقلوا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وبه ندين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التابعون فيكاد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يكذب عمداً ، ولكن لهم غلط وأوهام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أصحاب التابعين كمالك والأوزاعي ، وهذا الضرب ، فعلى المراتب المذكورة ووجد في عصرهم من يتعمد الكذب أو من كثر غلطه ، فترك حديثه هذا مالك وهو النجم الهادي بين الأُمّة ، وما سلم من الكلام فيه ، وكذا الأوزاعي ثقة حجة ، وربما انفرد ووهم ، وحديثه عن الزهري فيه شيء </w:t>
      </w:r>
      <w:r>
        <w:rPr>
          <w:rFonts w:eastAsia="Amiri" w:cs="Amiri" w:ascii="Amiri" w:hAnsi="Amiri"/>
          <w:color w:val="111111"/>
          <w:sz w:val="28"/>
          <w:szCs w:val="28"/>
          <w:rtl w:val="true"/>
          <w:lang w:bidi="ar-SA"/>
        </w:rPr>
        <w:t xml:space="preserve">.... </w:t>
      </w:r>
      <w:r>
        <w:rPr>
          <w:rStyle w:val="FootnoteAnchor"/>
          <w:rtl w:val="true"/>
        </w:rPr>
        <w:footnoteReference w:id="724"/>
      </w:r>
    </w:p>
    <w:p>
      <w:pPr>
        <w:pStyle w:val="BookText"/>
        <w:rPr/>
      </w:pPr>
      <w:r>
        <w:rPr>
          <w:rFonts w:ascii="Amiri" w:hAnsi="Amiri" w:eastAsia="Amiri" w:cs="Amiri"/>
          <w:color w:val="111111"/>
          <w:sz w:val="28"/>
          <w:sz w:val="28"/>
          <w:szCs w:val="28"/>
          <w:rtl w:val="true"/>
          <w:lang w:bidi="ar-SA"/>
        </w:rPr>
        <w:t xml:space="preserve">وقال الطحاوي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ونحبّ أصحاب رسول الله ولا نفرّط في حب أحد منهم ، ولا نتبرّأ من أحد منهم ، ونبغض من يبغضهم ، وبغير الخير يذكرهم ، ولا نذكرهم إلاّ بخير ، وحبّهم دين وإيمان وإحسان وبغضهم كفر ونفاق وطغيان</w:t>
      </w:r>
      <w:r>
        <w:rPr>
          <w:rFonts w:eastAsia="Amiri" w:cs="Amiri" w:ascii="Amiri" w:hAnsi="Amiri"/>
          <w:color w:val="111111"/>
          <w:sz w:val="28"/>
          <w:szCs w:val="28"/>
          <w:rtl w:val="true"/>
          <w:lang w:bidi="ar-SA"/>
        </w:rPr>
        <w:t xml:space="preserve">. </w:t>
      </w:r>
      <w:r>
        <w:rPr>
          <w:rStyle w:val="FootnoteAnchor"/>
          <w:rtl w:val="true"/>
        </w:rPr>
        <w:footnoteReference w:id="725"/>
      </w:r>
    </w:p>
    <w:p>
      <w:pPr>
        <w:pStyle w:val="BookText"/>
        <w:rPr/>
      </w:pPr>
      <w:r>
        <w:rPr>
          <w:rFonts w:ascii="Amiri" w:hAnsi="Amiri" w:eastAsia="Amiri" w:cs="Amiri"/>
          <w:color w:val="111111"/>
          <w:sz w:val="28"/>
          <w:sz w:val="28"/>
          <w:szCs w:val="28"/>
          <w:rtl w:val="true"/>
          <w:lang w:bidi="ar-SA"/>
        </w:rPr>
        <w:t xml:space="preserve">ولمّا كان القول بعدالة الصحابة جميعاً أمراً غريباً ، إذ كيف يتصوّر أنّ جماعة كثيرة ربما تناهز مائة ألف قد صاروا عدولاً بمجرّد الرؤية أو بإضافة الصحبة مع أنّ قسماً منهم كانوا يفقدون حسن السابقة في عهد الجاهلية وارتكبوا جنايات يندى لها الجبين ، فهل يمكن أن تكون رؤية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صحبته إكسيراً يقلب العنصر الخبيث إلى العنصر الطيب كقلب النحاس إلى الذهب؟</w:t>
      </w:r>
    </w:p>
    <w:p>
      <w:pPr>
        <w:pStyle w:val="BookText"/>
        <w:rPr/>
      </w:pPr>
      <w:r>
        <w:rPr>
          <w:rFonts w:ascii="Amiri" w:hAnsi="Amiri" w:eastAsia="Amiri" w:cs="Amiri"/>
          <w:color w:val="111111"/>
          <w:sz w:val="28"/>
          <w:sz w:val="28"/>
          <w:szCs w:val="28"/>
          <w:rtl w:val="true"/>
          <w:lang w:bidi="ar-SA"/>
        </w:rPr>
        <w:t>كلاّ لا يمكن ، ولا العقل يصدقه ، ولا العلم ولا التجربة الاجتماعية</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نرى أنّ بعض المنصفين من أهل السنة توقّفوا في الحكم بعدالة جميع </w:t>
      </w:r>
    </w:p>
    <w:p>
      <w:pPr>
        <w:pStyle w:val="BookText"/>
        <w:rPr/>
      </w:pPr>
      <w:r>
        <w:rPr>
          <w:rFonts w:ascii="Amiri" w:hAnsi="Amiri" w:eastAsia="Amiri" w:cs="Amiri"/>
          <w:color w:val="111111"/>
          <w:sz w:val="28"/>
          <w:sz w:val="28"/>
          <w:szCs w:val="28"/>
          <w:rtl w:val="true"/>
          <w:lang w:bidi="ar-SA"/>
        </w:rPr>
        <w:t xml:space="preserve">الصحابة فلم يؤيّدوا عدالتهم بقول مطلق ولم ينفوها كذلك ولم يبدوا رأيهم في المسألة وإنّما حكوا الآراء فيها وإليك نقل بعض كلماتهم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الآمدي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 الجمهور على عدالة الصحابة ، 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حكمهم في العدالة حكم من بعدهم في لزوم البحث عن عدالتهم في الرواية ، ومنهم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لم يزالوا عدولاً إلى حين ما وقع الاختلاف والفتن فيما بينهم ، وبعد ذلك فلا بدّ من البحث في العدالة عن الراوي أو الشاهد منهم إذا لم يكن ظاهر العدالة ، ومنهم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من قاتل عليّاً عالماً منهم فهو فاسق مردود الرواية والشهادة على الإمام الحقّ ، ومنهم من قال بردّ رواية الكلّ وشهادتهم ، لأنّ أحد الفريقين فاسق وهو غير معلوم ولا معيّن</w:t>
      </w:r>
      <w:r>
        <w:rPr>
          <w:rFonts w:eastAsia="Amiri" w:cs="Amiri" w:ascii="Amiri" w:hAnsi="Amiri"/>
          <w:color w:val="111111"/>
          <w:sz w:val="28"/>
          <w:szCs w:val="28"/>
          <w:rtl w:val="true"/>
          <w:lang w:bidi="ar-SA"/>
        </w:rPr>
        <w:t xml:space="preserve">. </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 xml:space="preserve">قال الغزالي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 قوم إنّ حالهم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كحال غيرهم في لزوم البحث ، 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حالهم العدالة في بداية الأمر إلى ظهور الحرب والخصومات ، ثمّ تغيرت الحال وسفكت الدماء فلا بدّ من البحث</w:t>
      </w:r>
      <w:r>
        <w:rPr>
          <w:rFonts w:eastAsia="Amiri" w:cs="Amiri" w:ascii="Amiri" w:hAnsi="Amiri"/>
          <w:color w:val="111111"/>
          <w:sz w:val="28"/>
          <w:szCs w:val="28"/>
          <w:rtl w:val="true"/>
          <w:lang w:bidi="ar-SA"/>
        </w:rPr>
        <w:t xml:space="preserve">. </w:t>
      </w:r>
      <w:r>
        <w:rPr>
          <w:rStyle w:val="FootnoteAnchor"/>
          <w:rtl w:val="true"/>
        </w:rPr>
        <w:footnoteReference w:id="727"/>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وسيوافيك انّ القول بعدالة الصحابة أو التوقّف فيها مرفوض بتصريح القرآن على خلافه وشهادة السنّة على ضدّه</w:t>
      </w:r>
      <w:r>
        <w:rPr>
          <w:rFonts w:eastAsia="Amiri" w:cs="Amiri" w:ascii="Amiri" w:hAnsi="Amiri"/>
          <w:color w:val="111111"/>
          <w:sz w:val="28"/>
          <w:szCs w:val="28"/>
          <w:rtl w:val="true"/>
          <w:lang w:bidi="ar-SA"/>
        </w:rPr>
        <w:t xml:space="preserve">. </w:t>
      </w:r>
      <w:bookmarkStart w:id="1055" w:name="pg11047_103035"/>
    </w:p>
    <w:p>
      <w:pPr>
        <w:pStyle w:val="Heading3"/>
        <w:numPr>
          <w:ilvl w:val="2"/>
          <w:numId w:val="1"/>
        </w:numPr>
        <w:rPr/>
      </w:pPr>
      <w:bookmarkStart w:id="1056" w:name="__RefHeading___Toc1391681_1067777946"/>
      <w:bookmarkStart w:id="1057" w:name="_Toc390"/>
      <w:bookmarkEnd w:id="1055"/>
      <w:bookmarkEnd w:id="1056"/>
      <w:r>
        <w:rPr/>
        <w:t>8</w:t>
      </w:r>
      <w:r>
        <w:rPr>
          <w:rtl w:val="true"/>
        </w:rPr>
        <w:t xml:space="preserve">- </w:t>
      </w:r>
      <w:r>
        <w:rPr>
          <w:rtl w:val="true"/>
        </w:rPr>
        <w:t>الاعتقاد بعدالة الصحابة كخلافة الخلفاء ليس من صميم الدين</w:t>
      </w:r>
      <w:bookmarkEnd w:id="1057"/>
    </w:p>
    <w:p>
      <w:pPr>
        <w:pStyle w:val="Heading4"/>
        <w:numPr>
          <w:ilvl w:val="3"/>
          <w:numId w:val="1"/>
        </w:numPr>
        <w:rPr/>
      </w:pPr>
      <w:bookmarkStart w:id="1058" w:name="__RefHeading___Toc1391683_1067777946"/>
      <w:bookmarkStart w:id="1059" w:name="_Toc391"/>
      <w:bookmarkEnd w:id="1058"/>
      <w:r>
        <w:rPr>
          <w:rtl w:val="true"/>
        </w:rPr>
        <w:t>اشارة</w:t>
      </w:r>
      <w:bookmarkEnd w:id="1059"/>
    </w:p>
    <w:p>
      <w:pPr>
        <w:pStyle w:val="BookText"/>
        <w:rPr/>
      </w:pPr>
      <w:r>
        <w:rPr>
          <w:rFonts w:ascii="Amiri" w:hAnsi="Amiri" w:eastAsia="Amiri" w:cs="Amiri"/>
          <w:color w:val="111111"/>
          <w:sz w:val="28"/>
          <w:sz w:val="28"/>
          <w:szCs w:val="28"/>
          <w:rtl w:val="true"/>
          <w:lang w:bidi="ar-SA"/>
        </w:rPr>
        <w:t xml:space="preserve">من يراجع الرسائل والكتب العقائدية يقف فيها على مسألتين تعتبران منذ عصر الإمام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صميم الدين وممّا يجب الإيمان به ، وهما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خلافة الخلفاء الأربعة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عدالة الصحابة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إمام الحنابلة في رسالة عقائدية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وخير هذه الأُمّة بعد نبيّها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 وخيرهم بعد أبي بكر ، عمر ، وخيرهم بعد عمر ، عثمان ، وخيرهم بعد عثمان ،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خلفاء راشدون مهديّون ، ثمّ أصحاب محمد بعد هؤلاء الأربعة</w:t>
      </w:r>
      <w:r>
        <w:rPr>
          <w:rFonts w:eastAsia="Amiri" w:cs="Amiri" w:ascii="Amiri" w:hAnsi="Amiri"/>
          <w:color w:val="111111"/>
          <w:sz w:val="28"/>
          <w:szCs w:val="28"/>
          <w:rtl w:val="true"/>
          <w:lang w:bidi="ar-SA"/>
        </w:rPr>
        <w:t xml:space="preserve">. </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 xml:space="preserve">وقال الإمام الأشعري في رسالة ألّفها لبيان عقيدة أهل الحديث </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الإمام الفاضل بعد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الصدّيق ، ثمّ عمر بن الخطاب ، ثمّ عثمان بن عفان ، ثمّ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bookmarkStart w:id="1060" w:name="pg11047_103036"/>
    </w:p>
    <w:p>
      <w:pPr>
        <w:pStyle w:val="BookText"/>
        <w:rPr/>
      </w:pPr>
      <w:bookmarkEnd w:id="1060"/>
      <w:r>
        <w:rPr>
          <w:rFonts w:ascii="Amiri" w:hAnsi="Amiri" w:eastAsia="Amiri" w:cs="Amiri"/>
          <w:color w:val="111111"/>
          <w:sz w:val="28"/>
          <w:sz w:val="28"/>
          <w:szCs w:val="28"/>
          <w:rtl w:val="true"/>
          <w:lang w:bidi="ar-SA"/>
        </w:rPr>
        <w:t xml:space="preserve">فهؤلاء الأئمّة بعد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وخلافتهم خلافة النبوّة</w:t>
      </w:r>
      <w:r>
        <w:rPr>
          <w:rFonts w:eastAsia="Amiri" w:cs="Amiri" w:ascii="Amiri" w:hAnsi="Amiri"/>
          <w:color w:val="111111"/>
          <w:sz w:val="28"/>
          <w:szCs w:val="28"/>
          <w:rtl w:val="true"/>
          <w:lang w:bidi="ar-SA"/>
        </w:rPr>
        <w:t xml:space="preserve">. </w:t>
      </w:r>
      <w:r>
        <w:rPr>
          <w:rStyle w:val="FootnoteAnchor"/>
          <w:rtl w:val="true"/>
        </w:rPr>
        <w:footnoteReference w:id="729"/>
      </w:r>
    </w:p>
    <w:p>
      <w:pPr>
        <w:pStyle w:val="BookText"/>
        <w:rPr/>
      </w:pPr>
      <w:r>
        <w:rPr>
          <w:rFonts w:ascii="Amiri" w:hAnsi="Amiri" w:eastAsia="Amiri" w:cs="Amiri"/>
          <w:color w:val="111111"/>
          <w:sz w:val="28"/>
          <w:sz w:val="28"/>
          <w:szCs w:val="28"/>
          <w:rtl w:val="true"/>
          <w:lang w:bidi="ar-SA"/>
        </w:rPr>
        <w:t xml:space="preserve">وقال أبو جعفر الطحاوي في العقيدة الطحاوية المسمّاة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السنّة والجماعة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وتثبيت لأبي بكر الصديق تفضيلاً وتقديماً على جميع الأُمّة ثمّ لعمر بن الخطاب ، ثمّ لعثمان ، ثمّ لعلي</w:t>
      </w:r>
      <w:r>
        <w:rPr>
          <w:rFonts w:eastAsia="Amiri" w:cs="Amiri" w:ascii="Amiri" w:hAnsi="Amiri"/>
          <w:color w:val="111111"/>
          <w:sz w:val="28"/>
          <w:szCs w:val="28"/>
          <w:rtl w:val="true"/>
          <w:lang w:bidi="ar-SA"/>
        </w:rPr>
        <w:t xml:space="preserve">». </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 xml:space="preserve">هذه النصوص المذكورة وما لم نذكره تعرب عن أنّ خلافة 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عقيدة إسلامية يجب على كلّ مسلم الاعتقاد بها كالاعتقاد بسائر الأُصول من توحيده سبحانه ونبوّة نبيّه ومعاد الإنسان ، وقد ذكرها الإمامان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والأشعري في عداد عقائد أهل السنة والجماعة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المفهوم من هذه الكلمات وربما يتصوّر القائل أنّ الاعتقاد بخلافة الخلفاء أصل من أُصول الإسلام وقد جاء به النبيّ الخاتم وأمر الناس بالاعتقاد به</w:t>
      </w:r>
      <w:r>
        <w:rPr>
          <w:rFonts w:eastAsia="Amiri" w:cs="Amiri" w:ascii="Amiri" w:hAnsi="Amiri"/>
          <w:color w:val="111111"/>
          <w:sz w:val="28"/>
          <w:szCs w:val="28"/>
          <w:rtl w:val="true"/>
          <w:lang w:bidi="ar-SA"/>
        </w:rPr>
        <w:t>.</w:t>
      </w:r>
    </w:p>
    <w:p>
      <w:pPr>
        <w:pStyle w:val="Heading4"/>
        <w:numPr>
          <w:ilvl w:val="3"/>
          <w:numId w:val="1"/>
        </w:numPr>
        <w:rPr/>
      </w:pPr>
      <w:bookmarkStart w:id="1061" w:name="__RefHeading___Toc1391685_1067777946"/>
      <w:bookmarkStart w:id="1062" w:name="_Toc392"/>
      <w:bookmarkEnd w:id="1061"/>
      <w:r>
        <w:rPr>
          <w:rtl w:val="true"/>
        </w:rPr>
        <w:t>الاعتقاد بخلافة الخلفاء ليس من صميم الدين</w:t>
      </w:r>
      <w:bookmarkEnd w:id="1062"/>
    </w:p>
    <w:p>
      <w:pPr>
        <w:pStyle w:val="BookText"/>
        <w:rPr/>
      </w:pPr>
      <w:r>
        <w:rPr>
          <w:rFonts w:ascii="Amiri" w:hAnsi="Amiri" w:eastAsia="Amiri" w:cs="Amiri"/>
          <w:color w:val="111111"/>
          <w:sz w:val="28"/>
          <w:sz w:val="28"/>
          <w:szCs w:val="28"/>
          <w:rtl w:val="true"/>
          <w:lang w:bidi="ar-SA"/>
        </w:rPr>
        <w:t xml:space="preserve">كيف يتصوّر ذلك مع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يقبل إسلام من ذكر الشهادتين دون أن يسأله عن خلافة الخلفاء؟</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يدلّ على أنّ خلافة الخلفاء ليست أصلاً دينيّاً وإنّما هي مرحلة زمنية مرّ بها المسلمون في فترة من تاريخهم كما مرّوا بخلافة سائر الخلفاء ، هو أنّ أصل الخلافة والإمامة من الفروع عند متكلّمي أهل السنّة ، فكيف تكون خلافة </w:t>
      </w:r>
    </w:p>
    <w:p>
      <w:pPr>
        <w:pStyle w:val="BookText"/>
        <w:rPr/>
      </w:pPr>
      <w:r>
        <w:rPr>
          <w:rFonts w:ascii="IRNazanin" w:hAnsi="IRNazanin" w:eastAsia="IRNazanin"/>
          <w:color w:val="111111"/>
          <w:sz w:val="28"/>
          <w:sz w:val="28"/>
          <w:szCs w:val="28"/>
          <w:rtl w:val="true"/>
          <w:lang w:bidi="fa-IR"/>
        </w:rPr>
        <w:t>الخلفاء من الأُصول؟</w:t>
      </w:r>
    </w:p>
    <w:p>
      <w:pPr>
        <w:pStyle w:val="BookText"/>
        <w:rPr/>
      </w:pPr>
      <w:r>
        <w:rPr>
          <w:rFonts w:ascii="Amiri" w:hAnsi="Amiri" w:eastAsia="Amiri" w:cs="Amiri"/>
          <w:color w:val="111111"/>
          <w:sz w:val="28"/>
          <w:sz w:val="28"/>
          <w:szCs w:val="28"/>
          <w:rtl w:val="true"/>
          <w:lang w:bidi="ar-SA"/>
        </w:rPr>
        <w:t xml:space="preserve">قال الغزالي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النظر في الإمامة أيضاً ليست من المهمّات ، وليس أيضاً من فن المعقولات ، بل من الفقهيّات</w:t>
      </w:r>
      <w:r>
        <w:rPr>
          <w:rFonts w:eastAsia="Amiri" w:cs="Amiri" w:ascii="Amiri" w:hAnsi="Amiri"/>
          <w:color w:val="111111"/>
          <w:sz w:val="28"/>
          <w:szCs w:val="28"/>
          <w:rtl w:val="true"/>
          <w:lang w:bidi="ar-SA"/>
        </w:rPr>
        <w:t xml:space="preserve">. </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 xml:space="preserve">وقال الآمدي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الكلام في الإمامة ليس من أُصول الديانات ، ولا من الأُمور اللابدّيّات بحيث لا يسع المكلّف الإعراض عنها والجهل بها</w:t>
      </w:r>
      <w:r>
        <w:rPr>
          <w:rFonts w:eastAsia="Amiri" w:cs="Amiri" w:ascii="Amiri" w:hAnsi="Amiri"/>
          <w:color w:val="111111"/>
          <w:sz w:val="28"/>
          <w:szCs w:val="28"/>
          <w:rtl w:val="true"/>
          <w:lang w:bidi="ar-SA"/>
        </w:rPr>
        <w:t xml:space="preserve">. </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 xml:space="preserve">وقال السيد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الإمامة من أُصول الديانات والعقائد ، بل هي من الفروع المتعلّقة بأفعال المكلّفين ، إذ نصب الإمام عندنا واجب على الأُمّة سمعاً</w:t>
      </w:r>
      <w:r>
        <w:rPr>
          <w:rFonts w:eastAsia="Amiri" w:cs="Amiri" w:ascii="Amiri" w:hAnsi="Amiri"/>
          <w:color w:val="111111"/>
          <w:sz w:val="28"/>
          <w:szCs w:val="28"/>
          <w:rtl w:val="true"/>
          <w:lang w:bidi="ar-SA"/>
        </w:rPr>
        <w:t xml:space="preserve">. </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فإذا كانت الكبرى حكماً فرعياً من فروع الأمر بالمعروف والنهي عن المنكر ، وقد قام المسلمون بعد رحيل الرسول بتطبيقها على الخلفاء الأربعة ثم توالى الخلفاء بعدهم ، أفهل يكون ذلك دليلاً على أنّ الاعتقاد بخلافتهم أصل من الأُصول؟</w:t>
      </w:r>
    </w:p>
    <w:p>
      <w:pPr>
        <w:pStyle w:val="BookText"/>
        <w:rPr/>
      </w:pPr>
      <w:r>
        <w:rPr>
          <w:rFonts w:ascii="Amiri" w:hAnsi="Amiri" w:eastAsia="Amiri" w:cs="Amiri"/>
          <w:color w:val="111111"/>
          <w:sz w:val="28"/>
          <w:sz w:val="28"/>
          <w:szCs w:val="28"/>
          <w:rtl w:val="true"/>
          <w:lang w:bidi="ar-SA"/>
        </w:rPr>
        <w:t>إذ طالما قام المسلمون بواجبهم في أكثر بقاع العالم فبايعوا شخصاً بالخلافة فلم تُصبح خلافته أصلاً من أُصول الإسلام ، هذا من غير فرق بين أن نقول بصحّة خلافتهم وكونها جامعة شرائط الخلافة أم لم نقل ، إنّما الكلام في أنّ الاعتقاد بها ليس أصلاً من أُصول الإسلام</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سبر التاريخ يقف على أنّ يد السياسة أوجدت تلك الفكرة ، وجعلت خلافة الخلفاء الثلاث أصلاً من أُصول الإيمان ليكون ذريعة إلى سائر المسائل السياسية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ذكر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عمرو بن العاص مع أبي موسى الأشعري في دومة الجندل ، فجرى بينهما مناظرات ، وقد أحضر عمرو غلامه لكتابة ما يتّفقان عليه ، فقال عمرو بن العاص بعد الشهادة بتوحيده سبحانه ونبوّة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ونشهد أنّ أبا بكر خليفة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بكتاب الله وسنّة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قبضه الله إليه ، وقد أدّى الحق الذي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 ثمّ قال في عمر مثل ذلك ، فقال أبو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انّ عثمان ولي هذا الأمر بعد عمر على إجماع من المسلمين وشورى من أصحاب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ورضا منهم وأنّه كان مؤمناً ، فقال أبو موسى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ممّا قعدنا 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بدّ من أن يكون مؤمناً أو كافراً ، فقال أبو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فمره يكتب ، قال أبو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فظالماً قتل عثمان أو مظلوماً؟ قال أبو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قتل مظلوماً ، 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ليس قد جعل الله لوليّ المظلوم سلطاناً يطلب بدمه؟ قال أبو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تعلم لعثمان ولياً أولى من معاوية؟ قال أبو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أفليس لمعاوية أن يطلب قاتله حيثما كان حتّى يقتله أو يعجز عنه؟ قال أبو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عمرو للكاتب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وأمره أبو موسى فكتب ، 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نقيم البيّنة على أنّ علياً قتل عثمان </w:t>
      </w:r>
      <w:r>
        <w:rPr>
          <w:rFonts w:eastAsia="Amiri" w:cs="Amiri" w:ascii="Amiri" w:hAnsi="Amiri"/>
          <w:color w:val="111111"/>
          <w:sz w:val="28"/>
          <w:szCs w:val="28"/>
          <w:rtl w:val="true"/>
          <w:lang w:bidi="ar-SA"/>
        </w:rPr>
        <w:t xml:space="preserve">.... </w:t>
      </w:r>
      <w:r>
        <w:rPr>
          <w:rStyle w:val="FootnoteAnchor"/>
          <w:rtl w:val="true"/>
        </w:rPr>
        <w:footnoteReference w:id="734"/>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يقرأ قصة التحكيم في حرب صفّين يجد أنّ إقحام الاعتقاد بخلافة الشيخين ، كان تمهيداً لانتزاع الإقرار بخلافة الثالث ، ولم يكن الإقرار بخلافة الثالث مقصوداً بالذات ، بل كان ذريعة لانتزاع اعترافات أُخرى من أنّه قتل مظلوماً ، وأنّه ليس له وليّ يطلب بدمه أولى من معاوية وأنّ علياً هو الذي قتله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استفحلت أهميّة الإيمان بخلافة الخلفاء ولا سيما الثالث في عهد معاوية للإطاحة بعليّ وأهل بيته وإقصائهم عن الساحة السياسية ، حتّى يخلو الجوّ لمعاوية وأبناء بيته ، وقد أمر الخطباء والوعّاظ بنشر مناقب الخلفاء أوّلاً ، وسائر الصحابة ثانياً ، والمنع عن نشر أيّة فضيلة من فضائل أمير المؤمنين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الرسائل العقائدية الّتي أشرنا إليها اشتملت على ما يربو على خمسين أصلاً ، يتراءى لنا أنّها من أُصول الإسلام ، وأنّها ممّا قد أجمع عليها المسلمون بعد رحيل الرسول ، ولكن الواقع غير ذلك فأكثر الأُصول ردود على الفرق الكلامية الّتي ظهرت في الساحة ، فصارت العقائد الإسلامية كأنّها ردود على الفرق الناجمة في عصر التيارات الكلامية ولا أصالة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لا تلك الفرق الضالة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لهذه الأُصول عين ولا أثر ، حتّى أنّ مسألة تربيع الخلفاء تمّ الاتّفاق عليها في عصر الإمام أحمد ، وكان أكثر المحدّثين على التثليث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ذكر ابن أبي يعلى بالاسناد إلى وديزة الحمصي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أحمد بن حنبل حين أظهر التربيع بعلي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إنّ هذا لطعن على طلحة والزبير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ما قلت وما نحن وحرب القوم وذكرها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إنّما ذكرناها حين ربّعت بعلي وأوجبت له الخلافة وما يجب للأئمّة قبله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يمنعني من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خير من ابنه فقد رضي علياً للخلافة على المسلمين وأدخله في الشورى ، وعلي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سمّى نفسه أمير المؤمنين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ليس للمؤمنين بأمير ، فانصرفتُ عنه</w:t>
      </w:r>
      <w:r>
        <w:rPr>
          <w:rFonts w:eastAsia="Amiri" w:cs="Amiri" w:ascii="Amiri" w:hAnsi="Amiri"/>
          <w:color w:val="111111"/>
          <w:sz w:val="28"/>
          <w:szCs w:val="28"/>
          <w:rtl w:val="true"/>
          <w:lang w:bidi="ar-SA"/>
        </w:rPr>
        <w:t xml:space="preserve">. </w:t>
      </w:r>
      <w:r>
        <w:rPr>
          <w:rStyle w:val="FootnoteAnchor"/>
          <w:rtl w:val="true"/>
        </w:rPr>
        <w:footnoteReference w:id="735"/>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أنّ الأُصول التي تبنّاها الإمام أحمد وبعده الإمام الأشعري أو جاءت </w:t>
      </w:r>
      <w:bookmarkStart w:id="1063" w:name="pg11047_103040"/>
    </w:p>
    <w:p>
      <w:pPr>
        <w:pStyle w:val="BookText"/>
        <w:rPr/>
      </w:pPr>
      <w:bookmarkEnd w:id="1063"/>
      <w:r>
        <w:rPr>
          <w:rFonts w:ascii="Amiri" w:hAnsi="Amiri" w:eastAsia="Amiri" w:cs="Amiri"/>
          <w:color w:val="111111"/>
          <w:sz w:val="28"/>
          <w:sz w:val="28"/>
          <w:szCs w:val="28"/>
          <w:rtl w:val="true"/>
          <w:lang w:bidi="ar-SA"/>
        </w:rPr>
        <w:t xml:space="preserve">في العقيدة الطحاوية هي أُصول استنبطها الإمام من الآيات والروايات فجعلها عقائد إسلامية يجب الإيمان بها ، وهي أولى بأن تسمّى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عقائد الإمام أحمد بدل أن تسمّى عقائد إسلاميّة</w:t>
      </w:r>
      <w:r>
        <w:rPr>
          <w:rFonts w:eastAsia="Amiri" w:cs="Amiri" w:ascii="Amiri" w:hAnsi="Amiri"/>
          <w:color w:val="111111"/>
          <w:sz w:val="28"/>
          <w:szCs w:val="28"/>
          <w:rtl w:val="true"/>
          <w:lang w:bidi="ar-SA"/>
        </w:rPr>
        <w:t>.</w:t>
      </w:r>
    </w:p>
    <w:p>
      <w:pPr>
        <w:pStyle w:val="Heading4"/>
        <w:numPr>
          <w:ilvl w:val="3"/>
          <w:numId w:val="1"/>
        </w:numPr>
        <w:rPr/>
      </w:pPr>
      <w:bookmarkStart w:id="1064" w:name="__RefHeading___Toc1391687_1067777946"/>
      <w:bookmarkStart w:id="1065" w:name="_Toc393"/>
      <w:bookmarkEnd w:id="1064"/>
      <w:r>
        <w:rPr>
          <w:rtl w:val="true"/>
        </w:rPr>
        <w:t>الاعتقاد بعدالة الصحابة ليس من صميم الدين</w:t>
      </w:r>
      <w:bookmarkEnd w:id="1065"/>
    </w:p>
    <w:p>
      <w:pPr>
        <w:pStyle w:val="BookText"/>
        <w:rPr/>
      </w:pPr>
      <w:r>
        <w:rPr>
          <w:rFonts w:ascii="Amiri" w:hAnsi="Amiri" w:eastAsia="Amiri" w:cs="Amiri"/>
          <w:color w:val="111111"/>
          <w:sz w:val="28"/>
          <w:sz w:val="28"/>
          <w:szCs w:val="28"/>
          <w:rtl w:val="true"/>
          <w:lang w:bidi="ar-SA"/>
        </w:rPr>
        <w:t>هذا هو حال الخلافة التي جعلوها من الأُصول ولا تمّت إليها بصلة ، ولنبحث الآن مسألة عدالة الصحابة ، أي عدالة مائة ألف إنسان رأى النبيّ وشاهده أو عدالة خمسة عشر ألف صحابي سُجّلت أسماؤهم في المعاجم فقد هتفت الكتب الرجالية بعدالتهم على الإطلاق ، وحُرّم أيّ نقد علمي أو تاريخي في حقّهم ، بل عُدّ الناقد لهم خارجاً عن الإسلام مبطلاً لأدلة المسلمين على ما مرّ</w:t>
      </w:r>
      <w:r>
        <w:rPr>
          <w:rFonts w:eastAsia="Amiri" w:cs="Amiri" w:ascii="Amiri" w:hAnsi="Amiri"/>
          <w:color w:val="111111"/>
          <w:sz w:val="28"/>
          <w:szCs w:val="28"/>
          <w:rtl w:val="true"/>
          <w:lang w:bidi="ar-SA"/>
        </w:rPr>
        <w:t xml:space="preserve">. </w:t>
      </w:r>
      <w:r>
        <w:rPr>
          <w:rStyle w:val="FootnoteAnchor"/>
          <w:rtl w:val="true"/>
        </w:rPr>
        <w:footnoteReference w:id="736"/>
      </w:r>
    </w:p>
    <w:p>
      <w:pPr>
        <w:pStyle w:val="BookText"/>
        <w:rPr/>
      </w:pPr>
      <w:r>
        <w:rPr>
          <w:rFonts w:ascii="Amiri" w:hAnsi="Amiri" w:eastAsia="Amiri" w:cs="Amiri"/>
          <w:color w:val="111111"/>
          <w:sz w:val="28"/>
          <w:sz w:val="28"/>
          <w:szCs w:val="28"/>
          <w:rtl w:val="true"/>
          <w:lang w:bidi="ar-SA"/>
        </w:rPr>
        <w:t>إنّ الدارس لتاريخ حياة الصحابة يقف بوضوح على أنّ هذه الحالة القدسية التي يضفيها جمهور السنّة على الصحابة ليست إلاّ وليدة عصر متأخر عنهم ، ولم تزل هذه الحالة تزداد وتتّسع ، حتّى أصبحنا في عصر لا يمكن فيه لأحد أن يبحث في ممارسات الصحابة وسلوكيّاتهم ، ولا أن يشير إلى مواضع الألم في تاريخ تلك الحقبة ، حتّى ولو اعتمد القائل في قضائه على الآيات والروايات والتاريخ الصحيح ، بل يتّهم بأنّه زنديق ، وأنّ الجارح أولى بالجرح</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تكوّنت هذه النظرية ونشأت عن العاطفة الدينية التي حملها المسلمون تجاه الرسول الأكرم وجرّتهم إلى تبنّي تلك الفكرة واستغلّتها السلطة الأموية لإبعاد الناس عن 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الثقلين الذين تركهما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رحيله لهداية الناس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والشاهد على أنّ هذه القداسة طارئة على فكر المجتمع الإسلامي ، هو تضافر الآيات على تصنيف الصحابة إلى أصناف مختلفة يجمعها من حسنت صحبته ومن لم تحسن ، كما تضافرت الروايات على ذمّ لفيف منهم ، وقد احتفل التاريخ بنزاعهم وقتالهم وقتلهم الأبرياء ، ومع ذلك كلّه فعدالة الصحابة من أوّلهم إلى آخرهم صارت كعقيدة راسخة في فكر المجتمع الإسلامي ، لا يجترئ أحد على التشكيك فيها إلاّ من تجرّد عن العقائد المسبقة وقدّم تبنّي الحقيقة على المناصب الدنيوية وزخارفها وابتاع لنفسه أنواع التهم والذموم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 نحن نذكر شيئاً من الآيات الصريحة في ذمّ لفيف منهم على نحو لا يبقى معه شكّ لمشكّك ولا ريب لمرتاب</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ما سيوافيك في الفصل التالي </w:t>
      </w:r>
      <w:r>
        <w:rPr>
          <w:rFonts w:eastAsia="Amiri" w:cs="Amiri" w:ascii="Amiri" w:hAnsi="Amiri"/>
          <w:color w:val="111111"/>
          <w:sz w:val="28"/>
          <w:szCs w:val="28"/>
          <w:rtl w:val="true"/>
          <w:lang w:bidi="ar-SA"/>
        </w:rPr>
        <w:t xml:space="preserve">: </w:t>
      </w:r>
      <w:bookmarkStart w:id="1066" w:name="pg11047_103042"/>
    </w:p>
    <w:p>
      <w:pPr>
        <w:pStyle w:val="Heading3"/>
        <w:numPr>
          <w:ilvl w:val="2"/>
          <w:numId w:val="1"/>
        </w:numPr>
        <w:rPr/>
      </w:pPr>
      <w:bookmarkStart w:id="1067" w:name="__RefHeading___Toc1391689_1067777946"/>
      <w:bookmarkStart w:id="1068" w:name="_Toc394"/>
      <w:bookmarkEnd w:id="1066"/>
      <w:bookmarkEnd w:id="1067"/>
      <w:r>
        <w:rPr/>
        <w:t>9</w:t>
      </w:r>
      <w:r>
        <w:rPr>
          <w:rtl w:val="true"/>
        </w:rPr>
        <w:t xml:space="preserve">- </w:t>
      </w:r>
      <w:r>
        <w:rPr>
          <w:rtl w:val="true"/>
        </w:rPr>
        <w:t>القرآن الكريم وعدالة الصحابة</w:t>
      </w:r>
      <w:bookmarkEnd w:id="1068"/>
    </w:p>
    <w:p>
      <w:pPr>
        <w:pStyle w:val="Heading4"/>
        <w:numPr>
          <w:ilvl w:val="3"/>
          <w:numId w:val="1"/>
        </w:numPr>
        <w:rPr/>
      </w:pPr>
      <w:bookmarkStart w:id="1069" w:name="__RefHeading___Toc1391691_1067777946"/>
      <w:bookmarkStart w:id="1070" w:name="_Toc395"/>
      <w:bookmarkEnd w:id="1069"/>
      <w:r>
        <w:rPr>
          <w:rtl w:val="true"/>
        </w:rPr>
        <w:t>اشارة</w:t>
      </w:r>
      <w:bookmarkEnd w:id="1070"/>
    </w:p>
    <w:p>
      <w:pPr>
        <w:pStyle w:val="BookText"/>
        <w:rPr/>
      </w:pPr>
      <w:r>
        <w:rPr>
          <w:rFonts w:ascii="Amiri" w:hAnsi="Amiri" w:eastAsia="Amiri" w:cs="Amiri"/>
          <w:color w:val="111111"/>
          <w:sz w:val="28"/>
          <w:sz w:val="28"/>
          <w:szCs w:val="28"/>
          <w:rtl w:val="true"/>
          <w:lang w:bidi="ar-SA"/>
        </w:rPr>
        <w:t>إنّ القرآن الكريم في مختلف سوره وآياته ينقد أقوال الصحابة وأفعالهم بوضوح كما أنّه في بعض آياته يثني على طائفة منهم ، فمن الخطأ أن نركّز على طائفة دون طائفة ، فها نحن ندرس في هذا الفصل بعض الآيات التي تنقد أفعالهم وآراءهم كما ندرس في الفصول القادمة الآيات المادحة</w:t>
      </w:r>
      <w:r>
        <w:rPr>
          <w:rFonts w:eastAsia="Amiri" w:cs="Amiri" w:ascii="Amiri" w:hAnsi="Amiri"/>
          <w:color w:val="111111"/>
          <w:sz w:val="28"/>
          <w:szCs w:val="28"/>
          <w:rtl w:val="true"/>
          <w:lang w:bidi="ar-SA"/>
        </w:rPr>
        <w:t>.</w:t>
      </w:r>
    </w:p>
    <w:p>
      <w:pPr>
        <w:pStyle w:val="Heading4"/>
        <w:numPr>
          <w:ilvl w:val="3"/>
          <w:numId w:val="1"/>
        </w:numPr>
        <w:rPr/>
      </w:pPr>
      <w:bookmarkStart w:id="1071" w:name="__RefHeading___Toc1391693_1067777946"/>
      <w:bookmarkStart w:id="1072" w:name="_Toc396"/>
      <w:bookmarkEnd w:id="1071"/>
      <w:r>
        <w:rPr/>
        <w:t>1</w:t>
      </w:r>
      <w:r>
        <w:rPr>
          <w:rtl w:val="true"/>
        </w:rPr>
        <w:t xml:space="preserve">. </w:t>
      </w:r>
      <w:r>
        <w:rPr>
          <w:rtl w:val="true"/>
        </w:rPr>
        <w:t>تنبّؤ القرآن بارتداد لفيف من الصحابة</w:t>
      </w:r>
      <w:bookmarkEnd w:id="1072"/>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القرآن يتنبّأ بإمكان ارتداد بعض الصحابة بعد رحيل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لمّا انهزم من انهزم من المسلمين يوم أُحد وقتل من قتل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نادى الشيطان على أنّ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ذلك في قلوب كثير من الناس واعتقدوا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قتل وجوّزوا عليه ذلك ، فحصل ضعف ووهن وتأخّر عن القتال ، روى ابن نجيح عن أبيه إنّ رجلاً من المهاجرين مرّ على رجل من الأنصار وهو يتشحّط في دمه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أشعرت أنّ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فقال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محمّد قد قتل فقد بلّغ ، فقاتلوا عن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w:t>
      </w:r>
      <w:bookmarkStart w:id="1073" w:name="pg11047_103043"/>
    </w:p>
    <w:p>
      <w:pPr>
        <w:pStyle w:val="BookText"/>
        <w:rPr/>
      </w:pPr>
      <w:bookmarkEnd w:id="1073"/>
      <w:r>
        <w:rPr>
          <w:rFonts w:ascii="Amiri" w:hAnsi="Amiri" w:eastAsia="Amiri" w:cs="Amiri"/>
          <w:color w:val="111111"/>
          <w:sz w:val="28"/>
          <w:sz w:val="28"/>
          <w:szCs w:val="28"/>
          <w:rtl w:val="true"/>
          <w:lang w:bidi="ar-SA"/>
        </w:rPr>
        <w:t xml:space="preserve">سبحانه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مُحَمَّدٌ إِلاَّ رَسُولٌ قَدْ خَلَتْ مِنْ قَبْلِهِ الرُّسُلُ أَفَإِنْ ماتَ أَوْ قُتِلَ انْقَلَبْتُمْ عَلى أَعْقابِكُمْ وَمَنْ يَنْقَلِبْ عَلى عَقِبَيْهِ فَلَنْ يَضُرَّ اللهَ شَيْئاً وَسَيَجْزِي اللهُ الشَّاكِرِينَ</w:t>
      </w:r>
      <w:r>
        <w:rPr>
          <w:rFonts w:eastAsia="Amiri" w:cs="Amiri" w:ascii="Amiri" w:hAnsi="Amiri"/>
          <w:color w:val="111111"/>
          <w:sz w:val="28"/>
          <w:szCs w:val="28"/>
          <w:rtl w:val="true"/>
          <w:lang w:bidi="ar-SA"/>
        </w:rPr>
        <w:t xml:space="preserve">). </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 xml:space="preserve">قال ابن قيّم الجوزية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وقعة أُحد مقدّمة وإرهاصاً بين يدي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ونبّأهم ووبّخهم على انقلابهم على أعقابهم إن مات رسول الله أو قتل</w:t>
      </w:r>
      <w:r>
        <w:rPr>
          <w:rFonts w:eastAsia="Amiri" w:cs="Amiri" w:ascii="Amiri" w:hAnsi="Amiri"/>
          <w:color w:val="111111"/>
          <w:sz w:val="28"/>
          <w:szCs w:val="28"/>
          <w:rtl w:val="true"/>
          <w:lang w:bidi="ar-SA"/>
        </w:rPr>
        <w:t xml:space="preserve">. </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 xml:space="preserve">والظاهر من الارتداد هو الأعمّ من الارتداد عن الدين الذي جاهر به بعض المنافقين والارتداد عن العمل كالجهاد ومكافحة الأعداء وتأييد الحقّ إنساء ما أوصى به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الآية تخبر عن إمكانية الانقلاب على الأعقاب بعد رحيل الرسول ، فهل يمكن أن يوصف بالعدالة التامّة الّتي هي أُخت العصمة من كان يُحتمل فيه تلك الإمكانية؟ ولذلك ترى أنّهم لا يرضون بنقد آراء الصحابة وأقوالهم</w:t>
      </w:r>
      <w:r>
        <w:rPr>
          <w:rFonts w:eastAsia="Amiri" w:cs="Amiri" w:ascii="Amiri" w:hAnsi="Amiri"/>
          <w:color w:val="111111"/>
          <w:sz w:val="28"/>
          <w:szCs w:val="28"/>
          <w:rtl w:val="true"/>
          <w:lang w:bidi="ar-SA"/>
        </w:rPr>
        <w:t>.</w:t>
      </w:r>
    </w:p>
    <w:p>
      <w:pPr>
        <w:pStyle w:val="Heading4"/>
        <w:numPr>
          <w:ilvl w:val="3"/>
          <w:numId w:val="1"/>
        </w:numPr>
        <w:rPr/>
      </w:pPr>
      <w:bookmarkStart w:id="1074" w:name="__RefHeading___Toc1391695_1067777946"/>
      <w:bookmarkStart w:id="1075" w:name="_Toc397"/>
      <w:bookmarkEnd w:id="1074"/>
      <w:r>
        <w:rPr/>
        <w:t>2</w:t>
      </w:r>
      <w:r>
        <w:rPr>
          <w:rtl w:val="true"/>
        </w:rPr>
        <w:t xml:space="preserve">. </w:t>
      </w:r>
      <w:r>
        <w:rPr>
          <w:rtl w:val="true"/>
        </w:rPr>
        <w:t>ترك الرسول قائماً وهو يخطب</w:t>
      </w:r>
      <w:bookmarkEnd w:id="1075"/>
    </w:p>
    <w:p>
      <w:pPr>
        <w:pStyle w:val="BookText"/>
        <w:rPr/>
      </w:pPr>
      <w:r>
        <w:rPr>
          <w:rFonts w:ascii="Amiri" w:hAnsi="Amiri" w:eastAsia="Amiri" w:cs="Amiri"/>
          <w:color w:val="111111"/>
          <w:sz w:val="28"/>
          <w:sz w:val="28"/>
          <w:szCs w:val="28"/>
          <w:rtl w:val="true"/>
          <w:lang w:bidi="ar-SA"/>
        </w:rPr>
        <w:t xml:space="preserve">بينا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يخطب الجمعة قدمت عير المدينة فابتدرها أصحاب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لم يبق معه إلاّ اثنا عشر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نفسي بيده ، لو تتابعتم حتّى لا يبقى منكم أحد سال لكم الوادي ناراً ، فنزلت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رَأَوْا تِجارَةً أَوْ لَهْواً انْفَضُّوا إِلَيْها وَتَرَكُوكَ قائِماً قُلْ ما عِنْدَ اللهِ خَيْرٌ مِنَ اللهْوِ وَمِنَ التِّجارَةِ وَاللهُ خَيْرُ الرَّازِقِينَ</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يعاتب تبارك وتعالى على ما كان وقع ، من الانصراف عن </w:t>
      </w:r>
      <w:bookmarkStart w:id="1076" w:name="pg11047_103044"/>
    </w:p>
    <w:p>
      <w:pPr>
        <w:pStyle w:val="BookText"/>
        <w:rPr/>
      </w:pPr>
      <w:bookmarkEnd w:id="1076"/>
      <w:r>
        <w:rPr>
          <w:rFonts w:ascii="Amiri" w:hAnsi="Amiri" w:eastAsia="Amiri" w:cs="Amiri"/>
          <w:color w:val="111111"/>
          <w:sz w:val="28"/>
          <w:sz w:val="28"/>
          <w:szCs w:val="28"/>
          <w:rtl w:val="true"/>
          <w:lang w:bidi="ar-SA"/>
        </w:rPr>
        <w:t xml:space="preserve">الخطبة يوم الجمعة إلى التجارة التي قدمت المدينة يومئذ ، فقال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رَأَوْا تِجارَةً أَوْ لَهْواً انْفَضُّوا إِلَيْها وَتَرَكُوكَ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المنبر تخطب ، هكذا ذكره غير واحد من التابعين منهم أبو العالية والحسن وزيد بن أسلم وقتادة وزعم بن حبّان أنّ التجارة كانت لدحية بن خليفة قبل أن يسلم وكان معها طبل ، فانصرفوا إليها وتركوا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قائماً على المنبر إلاّ القليل منهم ، وقد صحّ بذلك الخبر ، فقال الإمام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إدريس ، عن حصين بن سالم بن أبي الجعد ، عن جابر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غير مرّة المدينة ورسول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يخطب فخرج الناس وبقي اثنا عشر رجلاً فنزلت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رَأَوْا تِجارَةً أَوْ لَهْواً انْفَضُّوا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أخرجاه في الصحيحين</w:t>
      </w:r>
      <w:r>
        <w:rPr>
          <w:rFonts w:eastAsia="Amiri" w:cs="Amiri" w:ascii="Amiri" w:hAnsi="Amiri"/>
          <w:color w:val="111111"/>
          <w:sz w:val="28"/>
          <w:szCs w:val="28"/>
          <w:rtl w:val="true"/>
          <w:lang w:bidi="ar-SA"/>
        </w:rPr>
        <w:t xml:space="preserve">. </w:t>
      </w:r>
      <w:r>
        <w:rPr>
          <w:rStyle w:val="FootnoteAnchor"/>
          <w:rtl w:val="true"/>
        </w:rPr>
        <w:footnoteReference w:id="739"/>
      </w:r>
    </w:p>
    <w:p>
      <w:pPr>
        <w:pStyle w:val="BookText"/>
        <w:rPr/>
      </w:pPr>
      <w:r>
        <w:rPr>
          <w:rFonts w:ascii="Amiri" w:hAnsi="Amiri" w:eastAsia="Amiri" w:cs="Amiri"/>
          <w:color w:val="111111"/>
          <w:sz w:val="28"/>
          <w:sz w:val="28"/>
          <w:szCs w:val="28"/>
          <w:rtl w:val="true"/>
          <w:lang w:bidi="ar-SA"/>
        </w:rPr>
        <w:t>أفمن يقدّم اللهو والتجارة على ذكر الله ويستخف بالنبيّ ، يكون ذا ملكة نفسانية تحجزه عن اقتراف المعاصي واجتراح الكبائر ، ما لكم كيف تحكمون؟</w:t>
      </w:r>
    </w:p>
    <w:p>
      <w:pPr>
        <w:pStyle w:val="Heading4"/>
        <w:numPr>
          <w:ilvl w:val="3"/>
          <w:numId w:val="1"/>
        </w:numPr>
        <w:rPr/>
      </w:pPr>
      <w:bookmarkStart w:id="1077" w:name="__RefHeading___Toc1391697_1067777946"/>
      <w:bookmarkStart w:id="1078" w:name="_Toc398"/>
      <w:bookmarkEnd w:id="1077"/>
      <w:r>
        <w:rPr/>
        <w:t>3</w:t>
      </w:r>
      <w:r>
        <w:rPr>
          <w:rtl w:val="true"/>
        </w:rPr>
        <w:t xml:space="preserve">. </w:t>
      </w:r>
      <w:r>
        <w:rPr>
          <w:rtl w:val="true"/>
        </w:rPr>
        <w:t>الخيانة بالنكاح سرّاً</w:t>
      </w:r>
      <w:bookmarkEnd w:id="1078"/>
    </w:p>
    <w:p>
      <w:pPr>
        <w:pStyle w:val="BookText"/>
        <w:rPr/>
      </w:pPr>
      <w:r>
        <w:rPr>
          <w:rFonts w:ascii="Amiri" w:hAnsi="Amiri" w:eastAsia="Amiri" w:cs="Amiri"/>
          <w:color w:val="111111"/>
          <w:sz w:val="28"/>
          <w:sz w:val="28"/>
          <w:szCs w:val="28"/>
          <w:rtl w:val="true"/>
          <w:lang w:bidi="ar-SA"/>
        </w:rPr>
        <w:t>شرّع الله سبحانه صوم شهر رمضان وحرّم على الصائم إذا نام ليلاً مجامعة النساء ، فكان جماعة من المسلمين ينكحون سرّاً وهو محرّم عليهم</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الأمر في ابتداء الإسلام ، هو إذا أفطر أحدهم إنّما يحلّ له الأكل والشرب والجماع إلى صلاة العشاء أو نام قبل ذلك فمتى نام أو صلّى العشاء حرم عليه الطعام والشراب والجماع إلى الليلة القادمة ، ثمّ إنّ أُناساً من المسلمين أصابوا من النساء والطعام في شهر رمضان بعد العشاء ، منهم عمر بن الخطاب ، فشكوا ذلك إلى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أُحِلَّ لَكُمْ لَيْلَةَ الصِّيامِ </w:t>
      </w:r>
      <w:bookmarkStart w:id="1079" w:name="pg11047_103045"/>
    </w:p>
    <w:p>
      <w:pPr>
        <w:pStyle w:val="BookText"/>
        <w:rPr/>
      </w:pPr>
      <w:bookmarkEnd w:id="1079"/>
      <w:r>
        <w:rPr>
          <w:rFonts w:ascii="Amiri" w:hAnsi="Amiri" w:eastAsia="Amiri" w:cs="Amiri"/>
          <w:color w:val="111111"/>
          <w:sz w:val="28"/>
          <w:sz w:val="28"/>
          <w:szCs w:val="28"/>
          <w:rtl w:val="true"/>
          <w:lang w:bidi="ar-SA"/>
        </w:rPr>
        <w:t xml:space="preserve">الرَّفَثُ إِلى نِسائِكُمْ هُنَّ لِباسٌ لَكُمْ وَأَنْتُمْ لِباسٌ لَهُنَّ عَلِمَ اللهُ أَنَّكُمْ كُنْتُمْ تَخْتانُونَ أَنْفُسَكُمْ فَتابَ عَلَيْكُمْ وَعَفا عَنْكُمْ فَالْآنَ بَاشِرُوهُنَّ وَابْتَغُوا ما كَتَبَ اللهُ لَكُمْ </w:t>
      </w:r>
      <w:r>
        <w:rPr>
          <w:rFonts w:eastAsia="Amiri" w:cs="Amiri" w:ascii="Amiri" w:hAnsi="Amiri"/>
          <w:color w:val="111111"/>
          <w:sz w:val="28"/>
          <w:szCs w:val="28"/>
          <w:rtl w:val="true"/>
          <w:lang w:bidi="ar-SA"/>
        </w:rPr>
        <w:t xml:space="preserve">...). </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فهل يصحّ لنا أن نصف من خانوا أنفسهم بارتكاب الحرام بأنّهم عدول ذوي ملكة رادعة عن اقتراف الكبائر والإصرار على الصغائر؟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أكثرهم لم يكونوا حائزين تلك الملكة ، وإنّما كانوا على درجة متوسطة من الإيمان والتقوى وقد يغلب عليهم حبّ الدنيا ولذّاتها</w:t>
      </w:r>
      <w:r>
        <w:rPr>
          <w:rFonts w:eastAsia="Amiri" w:cs="Amiri" w:ascii="Amiri" w:hAnsi="Amiri"/>
          <w:color w:val="111111"/>
          <w:sz w:val="28"/>
          <w:szCs w:val="28"/>
          <w:rtl w:val="true"/>
          <w:lang w:bidi="ar-SA"/>
        </w:rPr>
        <w:t>.</w:t>
      </w:r>
    </w:p>
    <w:p>
      <w:pPr>
        <w:pStyle w:val="Heading4"/>
        <w:numPr>
          <w:ilvl w:val="3"/>
          <w:numId w:val="1"/>
        </w:numPr>
        <w:rPr/>
      </w:pPr>
      <w:bookmarkStart w:id="1080" w:name="__RefHeading___Toc1391699_1067777946"/>
      <w:bookmarkStart w:id="1081" w:name="_Toc399"/>
      <w:bookmarkEnd w:id="1080"/>
      <w:r>
        <w:rPr/>
        <w:t>4</w:t>
      </w:r>
      <w:r>
        <w:rPr>
          <w:rtl w:val="true"/>
        </w:rPr>
        <w:t xml:space="preserve">. </w:t>
      </w:r>
      <w:r>
        <w:rPr>
          <w:rtl w:val="true"/>
        </w:rPr>
        <w:t>خيانة بعض البدريّين</w:t>
      </w:r>
      <w:bookmarkEnd w:id="1081"/>
    </w:p>
    <w:p>
      <w:pPr>
        <w:pStyle w:val="BookText"/>
        <w:rPr/>
      </w:pPr>
      <w:r>
        <w:rPr>
          <w:rFonts w:ascii="Amiri" w:hAnsi="Amiri" w:eastAsia="Amiri" w:cs="Amiri"/>
          <w:color w:val="111111"/>
          <w:sz w:val="28"/>
          <w:sz w:val="28"/>
          <w:szCs w:val="28"/>
          <w:rtl w:val="true"/>
          <w:lang w:bidi="ar-SA"/>
        </w:rPr>
        <w:t xml:space="preserve">يقول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لِنَبِيٍّ أَنْ يَغُلَّ وَمَنْ يَغْلُلْ يَأْتِ بِما غَلَّ يَوْمَ الْقِيامَةِ ثُمَّ تُوَفَّى كُلُّ نَفْسٍ ما كَسَبَتْ وَهُمْ لا يُظْلَمُونَ</w:t>
      </w:r>
      <w:r>
        <w:rPr>
          <w:rFonts w:eastAsia="Amiri" w:cs="Amiri" w:ascii="Amiri" w:hAnsi="Amiri"/>
          <w:color w:val="111111"/>
          <w:sz w:val="28"/>
          <w:szCs w:val="28"/>
          <w:rtl w:val="true"/>
          <w:lang w:bidi="ar-SA"/>
        </w:rPr>
        <w:t xml:space="preserve">). </w:t>
      </w:r>
      <w:r>
        <w:rPr>
          <w:rStyle w:val="FootnoteAnchor"/>
          <w:rtl w:val="true"/>
        </w:rPr>
        <w:footnoteReference w:id="741"/>
      </w:r>
    </w:p>
    <w:p>
      <w:pPr>
        <w:pStyle w:val="BookText"/>
        <w:rPr/>
      </w:pPr>
      <w:r>
        <w:rPr>
          <w:rFonts w:ascii="Amiri" w:hAnsi="Amiri" w:eastAsia="Amiri" w:cs="Amiri"/>
          <w:color w:val="111111"/>
          <w:sz w:val="28"/>
          <w:sz w:val="28"/>
          <w:szCs w:val="28"/>
          <w:rtl w:val="true"/>
          <w:lang w:bidi="ar-SA"/>
        </w:rPr>
        <w:t xml:space="preserve">قال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قطيفة حمراء فقدت يوم بدر ، فقال بعض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رسول الله أخذها فأكثروا في ذلك ، فأنزل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لِنَبِيٍّ أَنْ يَغُلَّ وَمَنْ يَغْلُلْ يَأْتِ بِما غَلَّ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تنزيه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وسلامه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جميع وجوه الخيانة في أداء الأمانة وقسم الغنيمة ، ثمّ تبيّن أنّه قد غلّ بعض أصحابه</w:t>
      </w:r>
      <w:r>
        <w:rPr>
          <w:rFonts w:eastAsia="Amiri" w:cs="Amiri" w:ascii="Amiri" w:hAnsi="Amiri"/>
          <w:color w:val="111111"/>
          <w:sz w:val="28"/>
          <w:szCs w:val="28"/>
          <w:rtl w:val="true"/>
          <w:lang w:bidi="ar-SA"/>
        </w:rPr>
        <w:t xml:space="preserve">. </w:t>
      </w:r>
      <w:r>
        <w:rPr>
          <w:rStyle w:val="FootnoteAnchor"/>
          <w:rtl w:val="true"/>
        </w:rPr>
        <w:footnoteReference w:id="742"/>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والآية تعرب عن مدى حسن ظنّهم واعتقادهم برسول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اتّهموه بالخيانة في الأمانة وتقسيم الأموال ، ثمّ تبين أنّه قد غلّه بعض أصحابه ، فهؤلاء الجاهلون بمكانة النبي ، أو من مارس الخيانة في أموال المسلمين لا يوصفون بالعدالة</w:t>
      </w:r>
      <w:r>
        <w:rPr>
          <w:rFonts w:eastAsia="Amiri" w:cs="Amiri" w:ascii="Amiri" w:hAnsi="Amiri"/>
          <w:color w:val="111111"/>
          <w:sz w:val="28"/>
          <w:szCs w:val="28"/>
          <w:rtl w:val="true"/>
          <w:lang w:bidi="ar-SA"/>
        </w:rPr>
        <w:t xml:space="preserve">. </w:t>
      </w:r>
      <w:bookmarkStart w:id="1082" w:name="pg11047_103046"/>
    </w:p>
    <w:p>
      <w:pPr>
        <w:pStyle w:val="BookText"/>
        <w:rPr/>
      </w:pPr>
      <w:bookmarkEnd w:id="1082"/>
      <w:r>
        <w:rPr>
          <w:rFonts w:ascii="Amiri" w:hAnsi="Amiri" w:eastAsia="Amiri" w:cs="Amiri"/>
          <w:color w:val="111111"/>
          <w:sz w:val="28"/>
          <w:sz w:val="28"/>
          <w:szCs w:val="28"/>
          <w:rtl w:val="true"/>
          <w:lang w:bidi="ar-SA"/>
        </w:rPr>
        <w:t>وهذا حال البدريين ، لا الأعراب ولا الطلقاء ولا أبنائهم ولا المنافقين ، فكيف حال من أتى بعدهم؟ ولعمري أنّ من يقرأ هذه الآيات البيّنات وما ورد حولها من الأحاديث والكلمات ثمّ يصرّ على عدالة الصحابة جميعاً دون تحقيق فقد ظلم نفسه وظلم أُمّته</w:t>
      </w:r>
      <w:r>
        <w:rPr>
          <w:rFonts w:eastAsia="Amiri" w:cs="Amiri" w:ascii="Amiri" w:hAnsi="Amiri"/>
          <w:color w:val="111111"/>
          <w:sz w:val="28"/>
          <w:szCs w:val="28"/>
          <w:rtl w:val="true"/>
          <w:lang w:bidi="ar-SA"/>
        </w:rPr>
        <w:t>.</w:t>
      </w:r>
    </w:p>
    <w:p>
      <w:pPr>
        <w:pStyle w:val="Heading4"/>
        <w:numPr>
          <w:ilvl w:val="3"/>
          <w:numId w:val="1"/>
        </w:numPr>
        <w:rPr/>
      </w:pPr>
      <w:bookmarkStart w:id="1083" w:name="__RefHeading___Toc1391701_1067777946"/>
      <w:bookmarkStart w:id="1084" w:name="_Toc400"/>
      <w:bookmarkEnd w:id="1083"/>
      <w:r>
        <w:rPr/>
        <w:t>5</w:t>
      </w:r>
      <w:r>
        <w:rPr>
          <w:rtl w:val="true"/>
        </w:rPr>
        <w:t xml:space="preserve">. </w:t>
      </w:r>
      <w:r>
        <w:rPr>
          <w:rtl w:val="true"/>
        </w:rPr>
        <w:t>فاسق يغرّ النبيّ وأصحابه</w:t>
      </w:r>
      <w:bookmarkEnd w:id="1084"/>
    </w:p>
    <w:p>
      <w:pPr>
        <w:pStyle w:val="BookText"/>
        <w:rPr/>
      </w:pPr>
      <w:r>
        <w:rPr>
          <w:rFonts w:ascii="Amiri" w:hAnsi="Amiri" w:eastAsia="Amiri" w:cs="Amiri"/>
          <w:color w:val="111111"/>
          <w:sz w:val="28"/>
          <w:sz w:val="28"/>
          <w:szCs w:val="28"/>
          <w:rtl w:val="true"/>
          <w:lang w:bidi="ar-SA"/>
        </w:rPr>
        <w:t xml:space="preserve">يقول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 جاءَكُمْ فاسِقٌ بِنَبَإٍ فَتَبَيَّنُوا أَنْ تُصِيبُوا قَوْماً بِجَهالَةٍ فَتُصْبِحُوا عَلى ما فَعَلْتُمْ نادِمِينَ</w:t>
      </w:r>
      <w:r>
        <w:rPr>
          <w:rFonts w:eastAsia="Amiri" w:cs="Amiri" w:ascii="Amiri" w:hAnsi="Amiri"/>
          <w:color w:val="111111"/>
          <w:sz w:val="28"/>
          <w:szCs w:val="28"/>
          <w:rtl w:val="true"/>
          <w:lang w:bidi="ar-SA"/>
        </w:rPr>
        <w:t xml:space="preserve">). </w:t>
      </w:r>
      <w:r>
        <w:rPr>
          <w:rStyle w:val="FootnoteAnchor"/>
          <w:rtl w:val="true"/>
        </w:rPr>
        <w:footnoteReference w:id="743"/>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أمر الله سبحانه بالتثبت في خبر الفاسق ليحتاط له لئلاّ يحكم بقوله فيكون في نفس الأمر كاذباً أو مخطئاً ، قال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كثير من المفسّرين أنّ الآية نزلت في الوليد بن عقبة بن أبي معيط حين بعثه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صدقات بني المصطلق إلى حارث بن ضرار وهو رئيسهم ليقبض ما كان عنده ممّا جمع من الزكاة ، فلمّا أن سار الوليد حتّى بلغ بعض الطريق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حتّى أتى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الحارث قد منعني الزكاة وأراد قتلي ، فغضب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 البعث إلى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 الحارث بأصحابه حتّى إذا استقبل البعث وفصل عن المدينة لقيهم الحارث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غشيهم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 بعثتم؟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إليك الوليد بن عقبة فزعم أنّك منعته الزكاة وأردت قتله ، قال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والذي بعث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بالحقّ ما رأيته بتة ولا أتاني ، فلمّا دخل الحارث على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منعتَ الزكاة وأردتَ قتل رسولي؟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w:t>
      </w:r>
      <w:bookmarkStart w:id="1085" w:name="pg11047_103047"/>
    </w:p>
    <w:p>
      <w:pPr>
        <w:pStyle w:val="BookText"/>
        <w:rPr/>
      </w:pPr>
      <w:bookmarkEnd w:id="1085"/>
      <w:r>
        <w:rPr>
          <w:rFonts w:ascii="Amiri" w:hAnsi="Amiri" w:eastAsia="Amiri" w:cs="Amiri"/>
          <w:color w:val="111111"/>
          <w:sz w:val="28"/>
          <w:sz w:val="28"/>
          <w:szCs w:val="28"/>
          <w:rtl w:val="true"/>
          <w:lang w:bidi="ar-SA"/>
        </w:rPr>
        <w:t xml:space="preserve">والذي بعثك بالحقّ ما رأيته ولا أتاني ، وما أقبلت إلاّ حين احتبس عليّ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خشيت أن تكون سخطة من الله تعالى ورسوله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الحجرات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 جاءَكُمْ فاسِقٌ بِنَبَإٍ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حَكِيمٌ</w:t>
      </w:r>
      <w:r>
        <w:rPr>
          <w:rFonts w:eastAsia="Amiri" w:cs="Amiri" w:ascii="Amiri" w:hAnsi="Amiri"/>
          <w:color w:val="111111"/>
          <w:sz w:val="28"/>
          <w:szCs w:val="28"/>
          <w:rtl w:val="true"/>
          <w:lang w:bidi="ar-SA"/>
        </w:rPr>
        <w:t xml:space="preserve">). </w:t>
      </w:r>
      <w:r>
        <w:rPr>
          <w:rStyle w:val="FootnoteAnchor"/>
          <w:rtl w:val="true"/>
        </w:rPr>
        <w:footnoteReference w:id="744"/>
      </w:r>
    </w:p>
    <w:p>
      <w:pPr>
        <w:pStyle w:val="Heading4"/>
        <w:numPr>
          <w:ilvl w:val="3"/>
          <w:numId w:val="1"/>
        </w:numPr>
        <w:rPr/>
      </w:pPr>
      <w:bookmarkStart w:id="1086" w:name="__RefHeading___Toc1391703_1067777946"/>
      <w:bookmarkStart w:id="1087" w:name="_Toc401"/>
      <w:bookmarkEnd w:id="1086"/>
      <w:r>
        <w:rPr/>
        <w:t>6</w:t>
      </w:r>
      <w:r>
        <w:rPr>
          <w:rtl w:val="true"/>
        </w:rPr>
        <w:t xml:space="preserve">. </w:t>
      </w:r>
      <w:r>
        <w:rPr>
          <w:rtl w:val="true"/>
        </w:rPr>
        <w:t>تنازعهم في الغنائم إلى حدّ التخاصم</w:t>
      </w:r>
      <w:bookmarkEnd w:id="1087"/>
    </w:p>
    <w:p>
      <w:pPr>
        <w:pStyle w:val="BookText"/>
        <w:rPr/>
      </w:pPr>
      <w:r>
        <w:rPr>
          <w:rFonts w:ascii="Amiri" w:hAnsi="Amiri" w:eastAsia="Amiri" w:cs="Amiri"/>
          <w:color w:val="111111"/>
          <w:sz w:val="28"/>
          <w:sz w:val="28"/>
          <w:szCs w:val="28"/>
          <w:rtl w:val="true"/>
          <w:lang w:bidi="ar-SA"/>
        </w:rPr>
        <w:t xml:space="preserve">إنّ صحابة النبي بعد انتصارهم على المشركين في غزوة بدر ، استولوا على أموالهم وتنازعوا فيها إلى حدّ التخاصم ، قال الذين جمعوا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حويناها وجمعناها فليس لأحد فيها نصيب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الذين خرجوا في طلب العدو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لستم أحقّ بها منّا ونحن منعنا عنه العدوّ وهزمناهم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الذين أحدقوا برسول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لستم بأحقّ بها منّا نحن أحدقنا برسول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وخفنا أن يصيب العدوّ منه غرّة واشتغلنا به فنزل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يَسْئَلُونَكَ عَنِ الْأَنْفالِ قُلِ الْأَنْفالُ لِلَّهِ وَالرَّسُولِ فَاتَّقُوا اللهَ وَأَصْلِحُوا ذاتَ بَيْنِكُمْ وَأَطِيعُوا اللهَ وَرَسُولَهُ إِنْ كُنْتُمْ مُؤْمِنِينَ</w:t>
      </w:r>
      <w:r>
        <w:rPr>
          <w:rFonts w:eastAsia="Amiri" w:cs="Amiri" w:ascii="Amiri" w:hAnsi="Amiri"/>
          <w:color w:val="111111"/>
          <w:sz w:val="28"/>
          <w:szCs w:val="28"/>
          <w:rtl w:val="true"/>
          <w:lang w:bidi="ar-SA"/>
        </w:rPr>
        <w:t xml:space="preserve">). </w:t>
      </w:r>
      <w:r>
        <w:rPr>
          <w:rStyle w:val="FootnoteAnchor"/>
          <w:rtl w:val="true"/>
        </w:rPr>
        <w:footnoteReference w:id="745"/>
      </w:r>
    </w:p>
    <w:p>
      <w:pPr>
        <w:pStyle w:val="BookText"/>
        <w:rPr/>
      </w:pPr>
      <w:r>
        <w:rPr>
          <w:rFonts w:ascii="Amiri" w:hAnsi="Amiri" w:eastAsia="Amiri" w:cs="Amiri"/>
          <w:color w:val="111111"/>
          <w:sz w:val="28"/>
          <w:sz w:val="28"/>
          <w:szCs w:val="28"/>
          <w:rtl w:val="true"/>
          <w:lang w:bidi="ar-SA"/>
        </w:rPr>
        <w:t xml:space="preserve">قال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أبو أمامة عبادة عن الأنفال؟ قال فينا أصحاب بدر نزلت حين اختلفنا في النفل وساءت فيه أخلاقنا ، فانتزعه الله من أيدينا وجعله إلى رسول الله ، فقسّمه رسول الله بين المسلمين عن سواء</w:t>
      </w:r>
      <w:r>
        <w:rPr>
          <w:rFonts w:eastAsia="Amiri" w:cs="Amiri" w:ascii="Amiri" w:hAnsi="Amiri"/>
          <w:color w:val="111111"/>
          <w:sz w:val="28"/>
          <w:szCs w:val="28"/>
          <w:rtl w:val="true"/>
          <w:lang w:bidi="ar-SA"/>
        </w:rPr>
        <w:t xml:space="preserve">. </w:t>
      </w:r>
      <w:r>
        <w:rPr>
          <w:rStyle w:val="FootnoteAnchor"/>
          <w:rtl w:val="true"/>
        </w:rPr>
        <w:footnoteReference w:id="746"/>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الآية إلماعات إلى سوء أخلاقهم حيث يعظ سبحانه هؤلاء السائلين ويأمرهم بأُمور ثلاثة بقوله </w:t>
      </w:r>
      <w:r>
        <w:rPr>
          <w:rFonts w:eastAsia="Amiri" w:cs="Amiri" w:ascii="Amiri" w:hAnsi="Amiri"/>
          <w:color w:val="111111"/>
          <w:sz w:val="28"/>
          <w:szCs w:val="28"/>
          <w:rtl w:val="true"/>
          <w:lang w:bidi="ar-SA"/>
        </w:rPr>
        <w:t xml:space="preserve">: </w:t>
      </w:r>
      <w:bookmarkStart w:id="1088" w:name="pg11047_103048"/>
    </w:p>
    <w:p>
      <w:pPr>
        <w:pStyle w:val="BookText"/>
        <w:rPr/>
      </w:pPr>
      <w:bookmarkEnd w:id="1088"/>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أُموركم وأصلحوا فيما بينكم ولا تظالموا ولا تخاصموا ولا تشاجروا ، فما آتاكم الله من الهدى والعلم خير ممّا تختصمون بسببه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وَأَصْلِحُوا ذاتَ بَيْنِكُمْ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لا تسبّوا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وَأَطِيعُوا اللهَ وَرَسُولَهُ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لا تخالفوه ولا تشاجروا</w:t>
      </w:r>
      <w:r>
        <w:rPr>
          <w:rFonts w:eastAsia="Amiri" w:cs="Amiri" w:ascii="Amiri" w:hAnsi="Amiri"/>
          <w:color w:val="111111"/>
          <w:sz w:val="28"/>
          <w:szCs w:val="28"/>
          <w:rtl w:val="true"/>
          <w:lang w:bidi="ar-SA"/>
        </w:rPr>
        <w:t xml:space="preserve">. </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 xml:space="preserve">فالإمعان في الآيات النازلة حول هؤلاء المتنازعين والروايات الواردة في تفسير الآية ، لا تدع مجالاً للشكّ في أنّ لفيفاً من الحاضرين في غزوة بدر لم يبلغوا مرحلة عالية تميزهم عن غيرهم ، بل كانوا كسائر الناس الذين يتنازعون على حطام الدنيا وزبرجها دون أن يستشيروا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أمرها ، ويسألونه عن حكمها ، أفهؤلاء الذين كانوا يتنازعون على حطام الدنيا ، يصبحون مُثُلاً للفضيلة وكرامة النفس والطهارة؟</w:t>
      </w:r>
      <w:r>
        <w:rPr>
          <w:rFonts w:eastAsia="Amiri" w:cs="Amiri" w:ascii="Amiri" w:hAnsi="Amiri"/>
          <w:color w:val="111111"/>
          <w:sz w:val="28"/>
          <w:szCs w:val="28"/>
          <w:rtl w:val="true"/>
          <w:lang w:bidi="ar-SA"/>
        </w:rPr>
        <w:t>!</w:t>
      </w:r>
    </w:p>
    <w:p>
      <w:pPr>
        <w:pStyle w:val="Heading4"/>
        <w:numPr>
          <w:ilvl w:val="3"/>
          <w:numId w:val="1"/>
        </w:numPr>
        <w:rPr/>
      </w:pPr>
      <w:bookmarkStart w:id="1089" w:name="__RefHeading___Toc1391705_1067777946"/>
      <w:bookmarkStart w:id="1090" w:name="_Toc402"/>
      <w:bookmarkEnd w:id="1089"/>
      <w:r>
        <w:rPr/>
        <w:t>7</w:t>
      </w:r>
      <w:r>
        <w:rPr>
          <w:rtl w:val="true"/>
        </w:rPr>
        <w:t xml:space="preserve">. </w:t>
      </w:r>
      <w:r>
        <w:rPr>
          <w:rtl w:val="true"/>
        </w:rPr>
        <w:t>استحقاقهم مسَّ عذاب عظيم</w:t>
      </w:r>
      <w:bookmarkEnd w:id="1090"/>
    </w:p>
    <w:p>
      <w:pPr>
        <w:pStyle w:val="BookText"/>
        <w:rPr/>
      </w:pPr>
      <w:r>
        <w:rPr>
          <w:rFonts w:ascii="Amiri" w:hAnsi="Amiri" w:eastAsia="Amiri" w:cs="Amiri"/>
          <w:color w:val="111111"/>
          <w:sz w:val="28"/>
          <w:sz w:val="28"/>
          <w:szCs w:val="28"/>
          <w:rtl w:val="true"/>
          <w:lang w:bidi="ar-SA"/>
        </w:rPr>
        <w:t>كانت السنّة الجارية في الأنبياء الماضين انّهم إذا حاربوا أعداءهم وظفروا بهم ينكّلون بهم بالقتل ليعتبر به من وراءهم حتّى يكفّوا عن عدائهم لله ورسوله ، وكانوا لا يأخذون أسرى حتّى يثخنوا في الأرض ويستقر دينهم بين الناس ، فعند ذلك لم يكن مانع من الأسر ، ثمّ يعقبه المنّ أو الفداء</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سبحانه في آية أُخرى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لَقِيتُمُ الَّذِينَ كَفَرُوا فَضَرْبَ الرِّقابِ حَتَّى إِذا أَثْخَنْتُمُوهُمْ فَشُدُّوا الْوَثاقَ فَإِمَّا مَنًّا بَعْدُ وَإِمَّا فِداءً</w:t>
      </w:r>
      <w:r>
        <w:rPr>
          <w:rFonts w:eastAsia="Amiri" w:cs="Amiri" w:ascii="Amiri" w:hAnsi="Amiri"/>
          <w:color w:val="111111"/>
          <w:sz w:val="28"/>
          <w:szCs w:val="28"/>
          <w:rtl w:val="true"/>
          <w:lang w:bidi="ar-SA"/>
        </w:rPr>
        <w:t xml:space="preserve">) </w:t>
      </w:r>
      <w:r>
        <w:rPr>
          <w:rStyle w:val="FootnoteAnchor"/>
          <w:rtl w:val="true"/>
        </w:rPr>
        <w:footnoteReference w:id="748"/>
      </w:r>
      <w:r>
        <w:rPr>
          <w:rFonts w:ascii="Amiri" w:hAnsi="Amiri" w:eastAsia="Amiri" w:cs="Amiri"/>
          <w:color w:val="111111"/>
          <w:sz w:val="28"/>
          <w:sz w:val="28"/>
          <w:szCs w:val="28"/>
          <w:rtl w:val="true"/>
          <w:lang w:bidi="ar-SA"/>
        </w:rPr>
        <w:t>فأجاز أخذ الأسر ، لكن بعد الإثخان في الأرض واستتباب الأمر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غير أنّ لفيفاً من الصحابة كانوا يصرون على النبي بالعفو عنهم وقبول الفداء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الإثخان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فأخذوا الأسرى ، فنزلت الآية في ذم هؤلاء وعرّفهم بأنّهم استحقوا مسَّ عذاب عظيم لو لا ما سبق كتاب من الله ، يقول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لِنَبِيٍّ أَنْ يَكُونَ لَهُ أَسْرى حَتَّى يُثْخِنَ فِي الْأَرْضِ تُرِيدُونَ عَرَضَ الدُّنْيا وَاللهُ يُرِيدُ الْآخِرَةَ وَاللهُ عَزِيزٌ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كِتابٌ مِنَ اللهِ سَبَقَ لَمَسَّكُمْ فِيما أَخَذْتُمْ عَذابٌ عَظِيمٌ</w:t>
      </w:r>
      <w:r>
        <w:rPr>
          <w:rFonts w:eastAsia="Amiri" w:cs="Amiri" w:ascii="Amiri" w:hAnsi="Amiri"/>
          <w:color w:val="111111"/>
          <w:sz w:val="28"/>
          <w:szCs w:val="28"/>
          <w:rtl w:val="true"/>
          <w:lang w:bidi="ar-SA"/>
        </w:rPr>
        <w:t xml:space="preserve">). </w:t>
      </w:r>
      <w:r>
        <w:rPr>
          <w:rStyle w:val="FootnoteAnchor"/>
          <w:rtl w:val="true"/>
        </w:rPr>
        <w:footnoteReference w:id="749"/>
      </w:r>
    </w:p>
    <w:p>
      <w:pPr>
        <w:pStyle w:val="BookText"/>
        <w:rPr/>
      </w:pPr>
      <w:r>
        <w:rPr>
          <w:rFonts w:ascii="Amiri" w:hAnsi="Amiri" w:eastAsia="Amiri" w:cs="Amiri"/>
          <w:color w:val="111111"/>
          <w:sz w:val="28"/>
          <w:sz w:val="28"/>
          <w:szCs w:val="28"/>
          <w:rtl w:val="true"/>
          <w:lang w:bidi="ar-SA"/>
        </w:rPr>
        <w:t xml:space="preserve">والمستفاد من الآيتين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الحافز لأكثرهم أو لفئة منهم هو الاستيلاء على عرض الدنيا دون الآخرة كما يشير إليه سبحانه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تُرِيدُونَ عَرَضَ الدُّنْيا وَاللهُ يُرِيدُ الْآخِرَةَ</w:t>
      </w:r>
      <w:r>
        <w:rPr>
          <w:rFonts w:eastAsia="Amiri" w:cs="Amiri" w:ascii="Amiri" w:hAnsi="Amiri"/>
          <w:color w:val="111111"/>
          <w:sz w:val="28"/>
          <w:szCs w:val="28"/>
          <w:rtl w:val="true"/>
          <w:lang w:bidi="ar-SA"/>
        </w:rPr>
        <w:t xml:space="preserve">). </w:t>
      </w:r>
      <w:r>
        <w:rPr>
          <w:rStyle w:val="FootnoteAnchor"/>
          <w:rtl w:val="true"/>
        </w:rPr>
        <w:footnoteReference w:id="750"/>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بلغ عملهم من الشناعة درجة ، بحيث استحقُّوا مسَّ عذاب عظيم ، غير أنّه سبحانه دفع عنهم العذاب لما سبق منه في الكتاب ،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كِتابٌ مِنَ اللهِ سَبَقَ لَمَسَّكُمْ فِيما أَخَذْتُمْ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الأسرى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عَذابٌ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يعرب عن عظم المعصية التي اقترفوها حتّى استحقوا بها العذاب العظيم</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أفيمكن وصف من أراد عرض الدنيا مكان الآخرة واستحقّ مس عذاب عظيم بأنّه ذو ملكة نفسانية تصده عن اقتراف الكبائر والإصرار على الصغائر ، كلاّ ، ولا</w:t>
      </w:r>
      <w:r>
        <w:rPr>
          <w:rFonts w:eastAsia="Amiri" w:cs="Amiri" w:ascii="Amiri" w:hAnsi="Amiri"/>
          <w:color w:val="111111"/>
          <w:sz w:val="28"/>
          <w:szCs w:val="28"/>
          <w:rtl w:val="true"/>
          <w:lang w:bidi="ar-SA"/>
        </w:rPr>
        <w:t xml:space="preserve">. </w:t>
      </w:r>
      <w:bookmarkStart w:id="1091" w:name="pg11047_103050"/>
    </w:p>
    <w:p>
      <w:pPr>
        <w:pStyle w:val="Heading4"/>
        <w:numPr>
          <w:ilvl w:val="3"/>
          <w:numId w:val="1"/>
        </w:numPr>
        <w:rPr/>
      </w:pPr>
      <w:bookmarkStart w:id="1092" w:name="__RefHeading___Toc1391707_1067777946"/>
      <w:bookmarkStart w:id="1093" w:name="_Toc403"/>
      <w:bookmarkEnd w:id="1091"/>
      <w:bookmarkEnd w:id="1092"/>
      <w:r>
        <w:rPr/>
        <w:t>8</w:t>
      </w:r>
      <w:r>
        <w:rPr>
          <w:rtl w:val="true"/>
        </w:rPr>
        <w:t xml:space="preserve">. </w:t>
      </w:r>
      <w:r>
        <w:rPr>
          <w:rtl w:val="true"/>
        </w:rPr>
        <w:t>الفرار من الزحف</w:t>
      </w:r>
      <w:bookmarkEnd w:id="1093"/>
    </w:p>
    <w:p>
      <w:pPr>
        <w:pStyle w:val="BookText"/>
        <w:rPr/>
      </w:pPr>
      <w:r>
        <w:rPr>
          <w:rFonts w:ascii="Amiri" w:hAnsi="Amiri" w:eastAsia="Amiri" w:cs="Amiri"/>
          <w:color w:val="111111"/>
          <w:sz w:val="28"/>
          <w:sz w:val="28"/>
          <w:szCs w:val="28"/>
          <w:rtl w:val="true"/>
          <w:lang w:bidi="ar-SA"/>
        </w:rPr>
        <w:t>لقد دارت الدوائر على المسلمين يوم أُحد ، لأنّهم عصوا أمر الرسول وتركوا مواقعهم على الجبل طمعاً في الغنائم فأصابهم ما أصابهم من الهزيمة التي ذكرتها كتب السيرة والتاريخ على وجه 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وبالتالي تركوا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ساحة الحرب وليس معه إلاّ عدد قليل من الصحابة ، ولم تنفع معهم دعواته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بالعودة إلى ساحة القتال ونصرته ، فقد خذلوه في تلك الساعات الرهيبة ، وأخذوا يلتجئون إلى الجبال حذراً من العدو ، ويتحدّث سبحانه تبارك وتعالى عن تلك الهزيمة النكراء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تُصْعِدُونَ وَلا تَلْوُونَ عَلى أَحَدٍ وَالرَّسُولُ يَدْعُوكُمْ فِي أُخْراكُمْ فَأَثابَكُمْ غَمًّا بِغَمٍّ لِكَيْلا تَحْزَنُوا عَلى ما فاتَكُمْ وَلا ما أَصابَكُمْ وَاللهُ خَبِيرٌ بِما تَعْمَلُونَ</w:t>
      </w:r>
      <w:r>
        <w:rPr>
          <w:rFonts w:eastAsia="Amiri" w:cs="Amiri" w:ascii="Amiri" w:hAnsi="Amiri"/>
          <w:color w:val="111111"/>
          <w:sz w:val="28"/>
          <w:szCs w:val="28"/>
          <w:rtl w:val="true"/>
          <w:lang w:bidi="ar-SA"/>
        </w:rPr>
        <w:t xml:space="preserve">). </w:t>
      </w:r>
      <w:r>
        <w:rPr>
          <w:rStyle w:val="FootnoteAnchor"/>
          <w:rtl w:val="true"/>
        </w:rPr>
        <w:footnoteReference w:id="751"/>
      </w:r>
    </w:p>
    <w:p>
      <w:pPr>
        <w:pStyle w:val="BookText"/>
        <w:rPr/>
      </w:pPr>
      <w:r>
        <w:rPr>
          <w:rFonts w:ascii="Amiri" w:hAnsi="Amiri" w:eastAsia="Amiri" w:cs="Amiri"/>
          <w:color w:val="111111"/>
          <w:sz w:val="28"/>
          <w:sz w:val="28"/>
          <w:szCs w:val="28"/>
          <w:rtl w:val="true"/>
          <w:lang w:bidi="ar-SA"/>
        </w:rPr>
        <w:t xml:space="preserve">فالخطاب موجّه للذين انهزموا يوم أُحد ، وهو يصف خوفهم من المشركين وفرارهم يوم الزحف ، غير ملتفتين إلى أحد ، ولا مستجيبين لدعوة الرسول ، حين كان يناديهم من ورائهم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إليَّ عباد الله أنا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لم يُجبه أحد من المولّين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والآية تصف تفرقهم وتولّيهم على طوائف أُولاهم بعيدة عنه ، وأُخراهم قريبة ، والرسول يدعوهم ولا يجيبه أحد لا أوّلهم ولا آخرهم ، فتركوا النبيّ بين جموع المشركين غير مكترثين بما يصيبه من القتل أو الأسر أو من الجراح</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كان هذا وصف طوائف منهم وكانت هناك طائفة أُخرى ، التفت حول النبي ودفعت عنه شرّ الأعداء ، وهم الذين أُشير إليهم بقوله سبحانه </w:t>
      </w:r>
      <w:r>
        <w:rPr>
          <w:rFonts w:eastAsia="Amiri" w:cs="Amiri" w:ascii="Amiri" w:hAnsi="Amiri"/>
          <w:color w:val="111111"/>
          <w:sz w:val="28"/>
          <w:szCs w:val="28"/>
          <w:rtl w:val="true"/>
          <w:lang w:bidi="ar-SA"/>
        </w:rPr>
        <w:t xml:space="preserve">: </w:t>
      </w:r>
      <w:bookmarkStart w:id="1094" w:name="pg11047_103051"/>
    </w:p>
    <w:p>
      <w:pPr>
        <w:pStyle w:val="BookText"/>
        <w:rPr/>
      </w:pPr>
      <w:bookmarkEnd w:id="109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وَسَيَجْزِي اللهُ الشَّاكِرِينَ</w:t>
      </w:r>
      <w:r>
        <w:rPr>
          <w:rFonts w:eastAsia="Amiri" w:cs="Amiri" w:ascii="Amiri" w:hAnsi="Amiri"/>
          <w:color w:val="111111"/>
          <w:sz w:val="28"/>
          <w:szCs w:val="28"/>
          <w:rtl w:val="true"/>
          <w:lang w:bidi="ar-SA"/>
        </w:rPr>
        <w:t xml:space="preserve">). </w:t>
      </w:r>
      <w:r>
        <w:rPr>
          <w:rStyle w:val="FootnoteAnchor"/>
          <w:rtl w:val="true"/>
        </w:rPr>
        <w:footnoteReference w:id="752"/>
      </w:r>
    </w:p>
    <w:p>
      <w:pPr>
        <w:pStyle w:val="BookText"/>
        <w:rPr/>
      </w:pPr>
      <w:r>
        <w:rPr>
          <w:rFonts w:ascii="Amiri" w:hAnsi="Amiri" w:eastAsia="Amiri" w:cs="Amiri"/>
          <w:color w:val="111111"/>
          <w:sz w:val="28"/>
          <w:sz w:val="28"/>
          <w:szCs w:val="28"/>
          <w:rtl w:val="true"/>
          <w:lang w:bidi="ar-SA"/>
        </w:rPr>
        <w:t xml:space="preserve">ثمّ إنّه سبحانه يصرح بتولّيهم وفرارهم عن الجهاد وينسب زلّتهم إلى الشيطان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تَوَلَّوْا مِنْكُمْ يَوْمَ الْتَقَى الْجَمْعانِ إِنَّمَا اسْتَزَلَّهُمُ الشَّيْطانُ بِبَعْضِ ما كَسَبُوا وَلَقَدْ عَفَا اللهُ عَنْهُمْ إِنَّ اللهَ غَفُورٌ حَلِيمٌ</w:t>
      </w:r>
      <w:r>
        <w:rPr>
          <w:rFonts w:eastAsia="Amiri" w:cs="Amiri" w:ascii="Amiri" w:hAnsi="Amiri"/>
          <w:color w:val="111111"/>
          <w:sz w:val="28"/>
          <w:szCs w:val="28"/>
          <w:rtl w:val="true"/>
          <w:lang w:bidi="ar-SA"/>
        </w:rPr>
        <w:t xml:space="preserve">). </w:t>
      </w:r>
      <w:r>
        <w:rPr>
          <w:rStyle w:val="FootnoteAnchor"/>
          <w:rtl w:val="true"/>
        </w:rPr>
        <w:footnoteReference w:id="753"/>
      </w:r>
      <w:r>
        <w:rPr>
          <w:rFonts w:ascii="Amiri" w:hAnsi="Amiri" w:eastAsia="Amiri" w:cs="Amiri"/>
          <w:color w:val="111111"/>
          <w:sz w:val="28"/>
          <w:sz w:val="28"/>
          <w:szCs w:val="28"/>
          <w:rtl w:val="true"/>
          <w:lang w:bidi="ar-SA"/>
        </w:rPr>
        <w:t xml:space="preserve">وليس هؤلاء من أصحاب النفاق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المنافق لا يُغفر له ولا يعفى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الصحابة العدول</w:t>
      </w:r>
      <w:r>
        <w:rPr>
          <w:rFonts w:eastAsia="Amiri" w:cs="Amiri" w:ascii="Amiri" w:hAnsi="Amiri"/>
          <w:color w:val="111111"/>
          <w:sz w:val="28"/>
          <w:szCs w:val="28"/>
          <w:rtl w:val="true"/>
          <w:lang w:bidi="ar-SA"/>
        </w:rPr>
        <w:t>!</w:t>
      </w:r>
    </w:p>
    <w:p>
      <w:pPr>
        <w:pStyle w:val="Heading4"/>
        <w:numPr>
          <w:ilvl w:val="3"/>
          <w:numId w:val="1"/>
        </w:numPr>
        <w:rPr/>
      </w:pPr>
      <w:bookmarkStart w:id="1095" w:name="__RefHeading___Toc1391709_1067777946"/>
      <w:bookmarkStart w:id="1096" w:name="_Toc404"/>
      <w:bookmarkEnd w:id="1095"/>
      <w:r>
        <w:rPr/>
        <w:t>9</w:t>
      </w:r>
      <w:r>
        <w:rPr>
          <w:rtl w:val="true"/>
        </w:rPr>
        <w:t xml:space="preserve">. </w:t>
      </w:r>
      <w:r>
        <w:rPr>
          <w:rtl w:val="true"/>
        </w:rPr>
        <w:t>نسبة الغرور إلى الله ورسوله</w:t>
      </w:r>
      <w:bookmarkEnd w:id="1096"/>
    </w:p>
    <w:p>
      <w:pPr>
        <w:pStyle w:val="BookText"/>
        <w:rPr/>
      </w:pPr>
      <w:r>
        <w:rPr>
          <w:rFonts w:ascii="Amiri" w:hAnsi="Amiri" w:eastAsia="Amiri" w:cs="Amiri"/>
          <w:color w:val="111111"/>
          <w:sz w:val="28"/>
          <w:sz w:val="28"/>
          <w:szCs w:val="28"/>
          <w:rtl w:val="true"/>
          <w:lang w:bidi="ar-SA"/>
        </w:rPr>
        <w:t>إنّ غزوة الأحزاب من المغازي المعروفة في الإسلام ، حيث اتحد المشركون واليهود للانقضاض على الإسلام ، فحاصروا المدينة وهم عشرة آلاف مدجّجين بالسلاح ، وحفر المسلمون خندقاً حول المدينة لمنع العدو من اقتحامها وقد طال الحصار نحو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الغزوة امتحِن أصحابُ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وزلزلوا زلزالاً عظيماً ، وتبيّن الثابت من المستزلّ ، وانقسم أصحابه إلى قسمين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المؤمنون وشعارهم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وَعَدَنَا اللهُ وَرَسُولُهُ وَصَدَقَ اللهُ وَرَسُولُهُ وَما زادَهُمْ إِلاَّ إِيماناً وَتَسْلِيماً</w:t>
      </w:r>
      <w:r>
        <w:rPr>
          <w:rFonts w:eastAsia="Amiri" w:cs="Amiri" w:ascii="Amiri" w:hAnsi="Amiri"/>
          <w:color w:val="111111"/>
          <w:sz w:val="28"/>
          <w:szCs w:val="28"/>
          <w:rtl w:val="true"/>
          <w:lang w:bidi="ar-SA"/>
        </w:rPr>
        <w:t xml:space="preserve">). </w:t>
      </w:r>
      <w:r>
        <w:rPr>
          <w:rStyle w:val="FootnoteAnchor"/>
          <w:rtl w:val="true"/>
        </w:rPr>
        <w:footnoteReference w:id="75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المنافقون والذين في قلوبهم مرض وشعارهم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وَعَدَنَا اللهُ وَرَسُولُهُ إِلاَّ غُرُوراً</w:t>
      </w:r>
      <w:r>
        <w:rPr>
          <w:rFonts w:eastAsia="Amiri" w:cs="Amiri" w:ascii="Amiri" w:hAnsi="Amiri"/>
          <w:color w:val="111111"/>
          <w:sz w:val="28"/>
          <w:szCs w:val="28"/>
          <w:rtl w:val="true"/>
          <w:lang w:bidi="ar-SA"/>
        </w:rPr>
        <w:t xml:space="preserve">). </w:t>
      </w:r>
      <w:r>
        <w:rPr>
          <w:rStyle w:val="FootnoteAnchor"/>
          <w:rtl w:val="true"/>
        </w:rPr>
        <w:footnoteReference w:id="755"/>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فضعفاء الإيمان من المؤمنين كانوا يظنون بالله انّه وعدهم وعداً غروراً ، فهل </w:t>
      </w:r>
      <w:bookmarkStart w:id="1097" w:name="pg11047_103052"/>
    </w:p>
    <w:p>
      <w:pPr>
        <w:pStyle w:val="BookText"/>
        <w:rPr/>
      </w:pPr>
      <w:bookmarkEnd w:id="1097"/>
      <w:r>
        <w:rPr>
          <w:rFonts w:ascii="Amiri" w:hAnsi="Amiri" w:eastAsia="Amiri" w:cs="Amiri"/>
          <w:color w:val="111111"/>
          <w:sz w:val="28"/>
          <w:sz w:val="28"/>
          <w:szCs w:val="28"/>
          <w:rtl w:val="true"/>
          <w:lang w:bidi="ar-SA"/>
        </w:rPr>
        <w:t>يصحّ وصف هؤلاء بالعدالة والتزكية؟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المنافقين الذين يظهرون الإيمان ويبطنون الكفر ، ويدلّ على ذلك ،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فِي قُلُوبِهِمْ 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المنافقين ،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يَقُولُ الْمُنافِقُونَ وَالَّذِينَ فِي قُلُوبِهِمْ 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يمعن النظر في الآيات الواردة حول غزوة الأحزاب يعرف مدى صمود كثير من الصحابة أمام ذلك السيل الجارف ، فإنّ كثيراً منهم كانوا يستأذنون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للرجوع إلى المدينة بحجة انّ بيوتهم عورة ويقول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هِيَ بِعَوْرَةٍ إِنْ يُرِيدُونَ إِلاَّ فِراراً وَلَقَدْ كانُوا عاهَدُوا اللهَ مِنْ قَبْلُ لا يُوَلُّونَ الْأَدْبارَ وَكانَ عَهْدُ اللهِ مَسْؤُلاً</w:t>
      </w:r>
      <w:r>
        <w:rPr>
          <w:rFonts w:eastAsia="Amiri" w:cs="Amiri" w:ascii="Amiri" w:hAnsi="Amiri"/>
          <w:color w:val="111111"/>
          <w:sz w:val="28"/>
          <w:szCs w:val="28"/>
          <w:rtl w:val="true"/>
          <w:lang w:bidi="ar-SA"/>
        </w:rPr>
        <w:t xml:space="preserve">). </w:t>
      </w:r>
      <w:r>
        <w:rPr>
          <w:rStyle w:val="FootnoteAnchor"/>
          <w:rtl w:val="true"/>
        </w:rPr>
        <w:footnoteReference w:id="756"/>
      </w:r>
    </w:p>
    <w:p>
      <w:pPr>
        <w:pStyle w:val="Heading4"/>
        <w:numPr>
          <w:ilvl w:val="3"/>
          <w:numId w:val="1"/>
        </w:numPr>
        <w:rPr/>
      </w:pPr>
      <w:bookmarkStart w:id="1098" w:name="__RefHeading___Toc1391711_1067777946"/>
      <w:bookmarkStart w:id="1099" w:name="_Toc405"/>
      <w:bookmarkEnd w:id="1098"/>
      <w:r>
        <w:rPr/>
        <w:t>10</w:t>
      </w:r>
      <w:r>
        <w:rPr>
          <w:rtl w:val="true"/>
        </w:rPr>
        <w:t xml:space="preserve">. </w:t>
      </w:r>
      <w:r>
        <w:rPr>
          <w:rtl w:val="true"/>
        </w:rPr>
        <w:t>المنافقون المندسّون بين الصحابة</w:t>
      </w:r>
      <w:bookmarkEnd w:id="1099"/>
    </w:p>
    <w:p>
      <w:pPr>
        <w:pStyle w:val="BookText"/>
        <w:rPr/>
      </w:pPr>
      <w:r>
        <w:rPr>
          <w:rFonts w:ascii="Amiri" w:hAnsi="Amiri" w:eastAsia="Amiri" w:cs="Amiri"/>
          <w:color w:val="111111"/>
          <w:sz w:val="28"/>
          <w:sz w:val="28"/>
          <w:szCs w:val="28"/>
          <w:rtl w:val="true"/>
          <w:lang w:bidi="ar-SA"/>
        </w:rPr>
        <w:t xml:space="preserve">لقد شاع النفاق بين الصحابة منذ نزول النبي ، بالمدينة ، وقد ركّز القرآن على عصبة المنافقين وصفاتهم ، وفضح نواياهم ، وندّد بهم في السور التالية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 ، آل عمران ، المائدة ، التوبة ، العنكبوت ، الأحزاب ، محمد ، الفتح ، الحديد ، المجادلة ، الحشر ، والمنافقون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إن دلّ على شيء فإنّما يدلّ على أنّ المنافقين كانوا جماعة هائلة في المجتمع الإسلامي ، بين معروف عرف بسمة النفاق ووصمة الكذب ، وغير معروف بذلك ، ولأنّه مقنّع بقناع الإيمان والحب للنبي ، فلو كان المنافقون جماعة قليلة غير مؤثرة لما رأيت هذه العناية البالغة في القرآن الكريم</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ثلة من المحقّقين ألّفوا كتباً ورسائل حول النفاق والمنافقين ، وقد قام بعضهم بإحصاء ما يرجع إليهم فبلغ مقداراً يقرب من عشر القرآن الكريم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ومع ذلك فهل يمكن عد جميع من صحب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المنافقون ليسوا من الصحابة ولكنّهم كانوا مندسّين فيهم ، وعند ذلك فكثيراً ما يشتبه الصحابي الصادق بالمنافق ، ولا يتميّز المنافق عن المؤمن ، حتّى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كان لا يعرفهم ، يقول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أَهْلِ الْمَدِينَةِ مَرَدُوا عَلَى النِّفاقِ لا تَعْلَمُهُمْ نَحْنُ نَعْلَمُهُمْ</w:t>
      </w:r>
      <w:r>
        <w:rPr>
          <w:rFonts w:eastAsia="Amiri" w:cs="Amiri" w:ascii="Amiri" w:hAnsi="Amiri"/>
          <w:color w:val="111111"/>
          <w:sz w:val="28"/>
          <w:szCs w:val="28"/>
          <w:rtl w:val="true"/>
          <w:lang w:bidi="ar-SA"/>
        </w:rPr>
        <w:t xml:space="preserve">). </w:t>
      </w:r>
      <w:r>
        <w:rPr>
          <w:rStyle w:val="FootnoteAnchor"/>
          <w:rtl w:val="true"/>
        </w:rPr>
        <w:footnoteReference w:id="757"/>
      </w:r>
    </w:p>
    <w:p>
      <w:pPr>
        <w:pStyle w:val="BookText"/>
        <w:rPr/>
      </w:pPr>
      <w:r>
        <w:rPr>
          <w:rFonts w:ascii="Amiri" w:hAnsi="Amiri" w:eastAsia="Amiri" w:cs="Amiri"/>
          <w:color w:val="111111"/>
          <w:sz w:val="28"/>
          <w:sz w:val="28"/>
          <w:szCs w:val="28"/>
          <w:rtl w:val="true"/>
          <w:lang w:bidi="ar-SA"/>
        </w:rPr>
        <w:t xml:space="preserve">فهذا يجر الباحث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يريد الإفتاء على ضوء ما قاله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التفتيش عن حال الصحابي حتّى يعرف المنافق عن غيره ، فلو اشتبه الحال فلا يكون قوله ولا روايته حجّة</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بعض قضاء القرآن في حق الصحابة ، ولسنا بصدد الاستقصاء بأنّ أصناف الصحابة المجانبين للعدالة ، أكثر </w:t>
      </w:r>
      <w:r>
        <w:rPr>
          <w:rStyle w:val="FootnoteAnchor"/>
          <w:rtl w:val="true"/>
        </w:rPr>
        <w:footnoteReference w:id="758"/>
      </w:r>
      <w:r>
        <w:rPr>
          <w:rFonts w:ascii="Amiri" w:hAnsi="Amiri" w:eastAsia="Amiri" w:cs="Amiri"/>
          <w:color w:val="111111"/>
          <w:sz w:val="28"/>
          <w:sz w:val="28"/>
          <w:szCs w:val="28"/>
          <w:rtl w:val="true"/>
          <w:lang w:bidi="ar-SA"/>
        </w:rPr>
        <w:t>ممّا ذكرنا لكن التفصيل لا يناسب وضع الكتاب</w:t>
      </w:r>
      <w:r>
        <w:rPr>
          <w:rFonts w:eastAsia="Amiri" w:cs="Amiri" w:ascii="Amiri" w:hAnsi="Amiri"/>
          <w:color w:val="111111"/>
          <w:sz w:val="28"/>
          <w:szCs w:val="28"/>
          <w:rtl w:val="true"/>
          <w:lang w:bidi="ar-SA"/>
        </w:rPr>
        <w:t xml:space="preserve">. </w:t>
      </w:r>
      <w:bookmarkStart w:id="1100" w:name="pg11047_103054"/>
    </w:p>
    <w:p>
      <w:pPr>
        <w:pStyle w:val="Heading3"/>
        <w:numPr>
          <w:ilvl w:val="2"/>
          <w:numId w:val="1"/>
        </w:numPr>
        <w:rPr/>
      </w:pPr>
      <w:bookmarkStart w:id="1101" w:name="__RefHeading___Toc1391713_1067777946"/>
      <w:bookmarkStart w:id="1102" w:name="_Toc406"/>
      <w:bookmarkEnd w:id="1100"/>
      <w:bookmarkEnd w:id="1101"/>
      <w:r>
        <w:rPr/>
        <w:t>10</w:t>
      </w:r>
      <w:r>
        <w:rPr>
          <w:rtl w:val="true"/>
        </w:rPr>
        <w:t xml:space="preserve">- </w:t>
      </w:r>
      <w:r>
        <w:rPr>
          <w:rtl w:val="true"/>
        </w:rPr>
        <w:t>السنّة النبوية وعدالة الصحابة</w:t>
      </w:r>
      <w:bookmarkEnd w:id="1102"/>
    </w:p>
    <w:p>
      <w:pPr>
        <w:pStyle w:val="Heading4"/>
        <w:numPr>
          <w:ilvl w:val="3"/>
          <w:numId w:val="1"/>
        </w:numPr>
        <w:rPr/>
      </w:pPr>
      <w:bookmarkStart w:id="1103" w:name="__RefHeading___Toc1391715_1067777946"/>
      <w:bookmarkStart w:id="1104" w:name="_Toc407"/>
      <w:bookmarkEnd w:id="1103"/>
      <w:r>
        <w:rPr>
          <w:rtl w:val="true"/>
        </w:rPr>
        <w:t>اشارة</w:t>
      </w:r>
      <w:bookmarkEnd w:id="1104"/>
    </w:p>
    <w:p>
      <w:pPr>
        <w:pStyle w:val="BookText"/>
        <w:rPr/>
      </w:pPr>
      <w:r>
        <w:rPr>
          <w:rFonts w:ascii="Amiri" w:hAnsi="Amiri" w:eastAsia="Amiri" w:cs="Amiri"/>
          <w:color w:val="111111"/>
          <w:sz w:val="28"/>
          <w:sz w:val="28"/>
          <w:szCs w:val="28"/>
          <w:rtl w:val="true"/>
          <w:lang w:bidi="ar-SA"/>
        </w:rPr>
        <w:t xml:space="preserve">درسنا عدالة الصحابة في ضوء القرآن الكريم وخرجنا بالنتيجة التالية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حال الصحابة كحال التابعين ، ففيهم عادل وفاسق ، وصالح وطالح ، منهم من يُستدرّ به الغمام ومنهم من دون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حسن الحظ انّ السنّة النبوية تدعم ذلك الموقف ، فلنذكر منها نزراً قليلاً حسب ما يقتضيه وضع الرسالة</w:t>
      </w:r>
      <w:r>
        <w:rPr>
          <w:rFonts w:eastAsia="Amiri" w:cs="Amiri" w:ascii="Amiri" w:hAnsi="Amiri"/>
          <w:color w:val="111111"/>
          <w:sz w:val="28"/>
          <w:szCs w:val="28"/>
          <w:rtl w:val="true"/>
          <w:lang w:bidi="ar-SA"/>
        </w:rPr>
        <w:t>.</w:t>
      </w:r>
    </w:p>
    <w:p>
      <w:pPr>
        <w:pStyle w:val="Heading4"/>
        <w:numPr>
          <w:ilvl w:val="3"/>
          <w:numId w:val="1"/>
        </w:numPr>
        <w:rPr/>
      </w:pPr>
      <w:bookmarkStart w:id="1105" w:name="__RefHeading___Toc1391717_1067777946"/>
      <w:bookmarkStart w:id="1106" w:name="_Toc408"/>
      <w:bookmarkEnd w:id="1105"/>
      <w:r>
        <w:rPr/>
        <w:t>1</w:t>
      </w:r>
      <w:r>
        <w:rPr>
          <w:rtl w:val="true"/>
        </w:rPr>
        <w:t xml:space="preserve">. </w:t>
      </w:r>
      <w:r>
        <w:rPr>
          <w:rtl w:val="true"/>
        </w:rPr>
        <w:t>زعيم الفئة الباغية</w:t>
      </w:r>
      <w:bookmarkEnd w:id="1106"/>
    </w:p>
    <w:p>
      <w:pPr>
        <w:pStyle w:val="BookText"/>
        <w:rPr/>
      </w:pPr>
      <w:r>
        <w:rPr>
          <w:rFonts w:ascii="Amiri" w:hAnsi="Amiri" w:eastAsia="Amiri" w:cs="Amiri"/>
          <w:color w:val="111111"/>
          <w:sz w:val="28"/>
          <w:sz w:val="28"/>
          <w:szCs w:val="28"/>
          <w:rtl w:val="true"/>
          <w:lang w:bidi="ar-SA"/>
        </w:rPr>
        <w:t xml:space="preserve">روى مسلم عن أبي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من هو خير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لعمّار حين جعل يحفر الخندق وجعل يمسح رأسه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بُؤسَ ابنُ سمية تقتلك فئة باغية</w:t>
      </w:r>
      <w:r>
        <w:rPr>
          <w:rFonts w:eastAsia="Amiri" w:cs="Amiri" w:ascii="Amiri" w:hAnsi="Amiri"/>
          <w:color w:val="111111"/>
          <w:sz w:val="28"/>
          <w:szCs w:val="28"/>
          <w:rtl w:val="true"/>
          <w:lang w:bidi="ar-SA"/>
        </w:rPr>
        <w:t xml:space="preserve">. </w:t>
      </w:r>
      <w:r>
        <w:rPr>
          <w:rStyle w:val="FootnoteAnchor"/>
          <w:rtl w:val="true"/>
        </w:rPr>
        <w:footnoteReference w:id="759"/>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البخاري عن أبي سعيد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نحمل لبنة لبنة وعمار لبنتين لبنتين ، فرآه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فجعل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ينفض التراب عنه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 عمار </w:t>
      </w:r>
      <w:bookmarkStart w:id="1107" w:name="pg11047_103055"/>
    </w:p>
    <w:p>
      <w:pPr>
        <w:pStyle w:val="BookText"/>
        <w:rPr/>
      </w:pPr>
      <w:bookmarkEnd w:id="1107"/>
      <w:r>
        <w:rPr>
          <w:rFonts w:ascii="Amiri" w:hAnsi="Amiri" w:eastAsia="Amiri" w:cs="Amiri"/>
          <w:color w:val="111111"/>
          <w:sz w:val="28"/>
          <w:sz w:val="28"/>
          <w:szCs w:val="28"/>
          <w:rtl w:val="true"/>
          <w:lang w:bidi="ar-SA"/>
        </w:rPr>
        <w:t>يدعوهم إلى الجنة ويدعونه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الحميدي في هذا الحديث زيادة مشهورة لم يذكرها البخاري أصلاً من طريق هذا الحديث ، ولعلّها لم تقع إليه فيها ، أو وقعت فحذفها لغرض قصده في ذلك ، وأخرجها أبو بكر البرقاني ، وأبو بكر الإسماعيلي قبله ، وفي هذا الحديث عندهما 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 عمّار ، تقتله الفئة الباغية يدعوهم إلى الجنة ، ويدعونه إلى النار</w:t>
      </w:r>
      <w:r>
        <w:rPr>
          <w:rFonts w:eastAsia="Amiri" w:cs="Amiri" w:ascii="Amiri" w:hAnsi="Amiri"/>
          <w:color w:val="111111"/>
          <w:sz w:val="28"/>
          <w:szCs w:val="28"/>
          <w:rtl w:val="true"/>
          <w:lang w:bidi="ar-SA"/>
        </w:rPr>
        <w:t xml:space="preserve">. </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 xml:space="preserve">وقد كشف الحميدي عن نوايا البخاري انّه ربما يتلاعب بالحديث فيحذف بعض أجزائه لغرض معيّن ، وهو إنّما حذف هذه الجملة المشهورة ، أعني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تقتله الفئة الباغية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بقصد تبرئة معاوية ، وتبرير أعماله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نسأل القائلين بعدالة الصحابة من هي الفئة الباغية التي قتلت عماراً؟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كان فيها من صحابة النبي من يؤيّد موقف الفئة الباغية؟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انّ معاوية كان يترأس الفئة الباغية وكان عمرو بن العاص وزيره في الحرب ، وكان انتصار معاوية في حرب صفين رهن مكيدة عمرو بن العاص ، وكان بين الفئة الباغية من الصحابة النعمان بن بشير الأنصاري ، وعُقْبة بن عامر الجهني ، وأبو الغادية يسار بن سبع الجهني وغيرهم</w:t>
      </w:r>
      <w:r>
        <w:rPr>
          <w:rFonts w:eastAsia="Amiri" w:cs="Amiri" w:ascii="Amiri" w:hAnsi="Amiri"/>
          <w:color w:val="111111"/>
          <w:sz w:val="28"/>
          <w:szCs w:val="28"/>
          <w:rtl w:val="true"/>
          <w:lang w:bidi="ar-SA"/>
        </w:rPr>
        <w:t>.</w:t>
      </w:r>
    </w:p>
    <w:p>
      <w:pPr>
        <w:pStyle w:val="Heading4"/>
        <w:numPr>
          <w:ilvl w:val="3"/>
          <w:numId w:val="1"/>
        </w:numPr>
        <w:rPr/>
      </w:pPr>
      <w:bookmarkStart w:id="1108" w:name="__RefHeading___Toc1391719_1067777946"/>
      <w:bookmarkStart w:id="1109" w:name="_Toc409"/>
      <w:bookmarkEnd w:id="1108"/>
      <w:r>
        <w:rPr/>
        <w:t>2</w:t>
      </w:r>
      <w:r>
        <w:rPr>
          <w:rtl w:val="true"/>
        </w:rPr>
        <w:t xml:space="preserve">. </w:t>
      </w:r>
      <w:r>
        <w:rPr>
          <w:rtl w:val="true"/>
        </w:rPr>
        <w:t xml:space="preserve">عصيان أمر النبي </w:t>
      </w:r>
      <w:r>
        <w:rPr>
          <w:rtl w:val="true"/>
        </w:rPr>
        <w:t xml:space="preserve">- </w:t>
      </w:r>
      <w:r>
        <w:rPr>
          <w:rtl w:val="true"/>
        </w:rPr>
        <w:t xml:space="preserve">صلى الله عليه وآله وسلم </w:t>
      </w:r>
      <w:r>
        <w:rPr>
          <w:rtl w:val="true"/>
        </w:rPr>
        <w:t xml:space="preserve">- </w:t>
      </w:r>
      <w:r>
        <w:rPr>
          <w:rtl w:val="true"/>
        </w:rPr>
        <w:t>بإحضار القلم والدواة</w:t>
      </w:r>
      <w:bookmarkEnd w:id="1109"/>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روى أصحاب الصحاح انّ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بإحضار القلم والدواة ليكتب كتاباً لا يضلّوا بعده أبداً ، وقد حال بعض الحاضرين بينه وبين ما يروم إليه ، وقد أخرجه البخاري في غير مورد من صحيحه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ففي كتاب العلم أخرج عن ابن عباس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اشتدّ بالنبيّ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ائتوني بكتاب اكتب لكم كتاباً لا تضلّوا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غلبه الوجع ، وعندنا كتاب الله حسبنا ، فاختلفوا وكثر اللغط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قوموا عنّي ولا ينبغي عندي التنازع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ابن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الرزية كلّ الرزية ما حال بين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كتابه</w:t>
      </w:r>
      <w:r>
        <w:rPr>
          <w:rFonts w:eastAsia="Amiri" w:cs="Amiri" w:ascii="Amiri" w:hAnsi="Amiri"/>
          <w:color w:val="111111"/>
          <w:sz w:val="28"/>
          <w:szCs w:val="28"/>
          <w:rtl w:val="true"/>
          <w:lang w:bidi="ar-SA"/>
        </w:rPr>
        <w:t xml:space="preserve">. </w:t>
      </w:r>
      <w:r>
        <w:rPr>
          <w:rStyle w:val="FootnoteAnchor"/>
          <w:rtl w:val="true"/>
        </w:rPr>
        <w:footnoteReference w:id="761"/>
      </w:r>
    </w:p>
    <w:p>
      <w:pPr>
        <w:pStyle w:val="BookText"/>
        <w:rPr/>
      </w:pPr>
      <w:r>
        <w:rPr>
          <w:rFonts w:ascii="Amiri" w:hAnsi="Amiri" w:eastAsia="Amiri" w:cs="Amiri"/>
          <w:color w:val="111111"/>
          <w:sz w:val="28"/>
          <w:sz w:val="28"/>
          <w:szCs w:val="28"/>
          <w:rtl w:val="true"/>
          <w:lang w:bidi="ar-SA"/>
        </w:rPr>
        <w:t xml:space="preserve">وأخرج أيضاً عن سعيد بن جبير ، عن ابن عباس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الخميس وما يوم الخميس ، ثمّ بكى حتّى خَضَبَ دمعُه الحصباءَ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 برسول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وجعه يوم الخميس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ائتوني بكتاب اكتب لكم كتاباً لن تضلّوا بعده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فتنازعوا ، ولا ينبغي عند نبي تنازع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دعوني فالذي أنا فيه خير ممّا تدعوني إليه</w:t>
      </w:r>
      <w:r>
        <w:rPr>
          <w:rFonts w:eastAsia="Amiri" w:cs="Amiri" w:ascii="Amiri" w:hAnsi="Amiri"/>
          <w:color w:val="111111"/>
          <w:sz w:val="28"/>
          <w:szCs w:val="28"/>
          <w:rtl w:val="true"/>
          <w:lang w:bidi="ar-SA"/>
        </w:rPr>
        <w:t xml:space="preserve">». </w:t>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 xml:space="preserve">وهنا نكتة لا بدّ من إلفات القارئ إليها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نسب في الصورة الأُولى إلى غلبة الوجع وعند ذاك سمّي القائل به وهو عمر ، وفي الصورة الثانية نسب إلى الهجر والهذيان ، ولم يذكر اسم القائل ، وجاء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كانت الصورة الأُولى أخف وطأة من الثانية ، جاء فيها ذكر القائل دون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والقائل في الجميع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ويذكره أيضاً بشكل آخر في موضع ثالث ، يقول </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اشتدّ برسول الله وجعه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ائتوني بكتف اكتب لكم كتاباً لا تضلّوا بعده </w:t>
      </w:r>
      <w:bookmarkStart w:id="1110" w:name="pg11047_103057"/>
    </w:p>
    <w:p>
      <w:pPr>
        <w:pStyle w:val="BookText"/>
        <w:rPr/>
      </w:pPr>
      <w:bookmarkEnd w:id="1110"/>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فتنازعوا ولا ينبغي عند نبي تنازع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ماله أهجر؟ استفهموه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ذروني فالذي أنا فيه خير ممّا تدعوني إليه</w:t>
      </w:r>
      <w:r>
        <w:rPr>
          <w:rFonts w:eastAsia="Amiri" w:cs="Amiri" w:ascii="Amiri" w:hAnsi="Amiri"/>
          <w:color w:val="111111"/>
          <w:sz w:val="28"/>
          <w:szCs w:val="28"/>
          <w:rtl w:val="true"/>
          <w:lang w:bidi="ar-SA"/>
        </w:rPr>
        <w:t xml:space="preserve">». </w:t>
      </w:r>
      <w:r>
        <w:rPr>
          <w:rStyle w:val="FootnoteAnchor"/>
          <w:rtl w:val="true"/>
        </w:rPr>
        <w:footnoteReference w:id="763"/>
      </w:r>
    </w:p>
    <w:p>
      <w:pPr>
        <w:pStyle w:val="BookText"/>
        <w:rPr/>
      </w:pPr>
      <w:r>
        <w:rPr>
          <w:rFonts w:ascii="Amiri" w:hAnsi="Amiri" w:eastAsia="Amiri" w:cs="Amiri"/>
          <w:color w:val="111111"/>
          <w:sz w:val="28"/>
          <w:sz w:val="28"/>
          <w:szCs w:val="28"/>
          <w:rtl w:val="true"/>
          <w:lang w:bidi="ar-SA"/>
        </w:rPr>
        <w:t xml:space="preserve">وفي صورة رابعة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غلبه الوجع وعندكم القرآن ، حسبنا كتاب الله ، فاختلف أهل البيت واختصموا ، فمنهم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قرّبوا يكتب لكم كتاباً لا تضلوا بعده ، ومنهم من يقول غير ذلك ، فلمّا أكثروا اللغو والاختلاف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قوموا</w:t>
      </w:r>
      <w:r>
        <w:rPr>
          <w:rFonts w:eastAsia="Amiri" w:cs="Amiri" w:ascii="Amiri" w:hAnsi="Amiri"/>
          <w:color w:val="111111"/>
          <w:sz w:val="28"/>
          <w:szCs w:val="28"/>
          <w:rtl w:val="true"/>
          <w:lang w:bidi="ar-SA"/>
        </w:rPr>
        <w:t xml:space="preserve">. </w:t>
      </w:r>
      <w:r>
        <w:rPr>
          <w:rStyle w:val="FootnoteAnchor"/>
          <w:rtl w:val="true"/>
        </w:rPr>
        <w:footnoteReference w:id="764"/>
      </w:r>
    </w:p>
    <w:p>
      <w:pPr>
        <w:pStyle w:val="BookText"/>
        <w:rPr/>
      </w:pPr>
      <w:r>
        <w:rPr>
          <w:rFonts w:ascii="Amiri" w:hAnsi="Amiri" w:eastAsia="Amiri" w:cs="Amiri"/>
          <w:color w:val="111111"/>
          <w:sz w:val="28"/>
          <w:sz w:val="28"/>
          <w:szCs w:val="28"/>
          <w:rtl w:val="true"/>
          <w:lang w:bidi="ar-SA"/>
        </w:rPr>
        <w:t xml:space="preserve">أُنشدك بالله انّ من يخالف أمر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تدلّ القرائن على كونه إلزامياً ، ثمّ يصف أمره بأنّه نتيجة غلبة الوجع أو الهجر والهذيان هل يوصف هذا بأنّه صاحب ملكة رادعة عن اقتراف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أبعد ما بين وصف هؤلاء وبين وصفه سبحانه لنبيّه الكريم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وَالنَّجْمِ إِذا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ضَلَّ صاحِبُكُمْ وَما 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يقول ذلك الصحابي حسبنا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هذا صحيحاً فلما ذا ألف المسلمون الصحاح والسنن والمسانيد؟</w:t>
      </w:r>
      <w:r>
        <w:rPr>
          <w:rFonts w:eastAsia="Amiri" w:cs="Amiri" w:ascii="Amiri" w:hAnsi="Amiri"/>
          <w:color w:val="111111"/>
          <w:sz w:val="28"/>
          <w:szCs w:val="28"/>
          <w:rtl w:val="true"/>
          <w:lang w:bidi="ar-SA"/>
        </w:rPr>
        <w:t>!</w:t>
      </w:r>
    </w:p>
    <w:p>
      <w:pPr>
        <w:pStyle w:val="Heading4"/>
        <w:numPr>
          <w:ilvl w:val="3"/>
          <w:numId w:val="1"/>
        </w:numPr>
        <w:rPr/>
      </w:pPr>
      <w:bookmarkStart w:id="1111" w:name="__RefHeading___Toc1391721_1067777946"/>
      <w:bookmarkStart w:id="1112" w:name="_Toc410"/>
      <w:bookmarkEnd w:id="1111"/>
      <w:r>
        <w:rPr/>
        <w:t>3</w:t>
      </w:r>
      <w:r>
        <w:rPr>
          <w:rtl w:val="true"/>
        </w:rPr>
        <w:t xml:space="preserve">. </w:t>
      </w:r>
      <w:r>
        <w:rPr>
          <w:rtl w:val="true"/>
        </w:rPr>
        <w:t xml:space="preserve">الانقلاب على الأعقاب بعد رحيل النبي </w:t>
      </w:r>
      <w:r>
        <w:rPr>
          <w:rtl w:val="true"/>
        </w:rPr>
        <w:t xml:space="preserve">- </w:t>
      </w:r>
      <w:r>
        <w:rPr>
          <w:rtl w:val="true"/>
        </w:rPr>
        <w:t xml:space="preserve">صلى الله عليه وآله وسلم </w:t>
      </w:r>
      <w:r>
        <w:rPr>
          <w:rtl w:val="true"/>
        </w:rPr>
        <w:t>-</w:t>
      </w:r>
      <w:bookmarkEnd w:id="1112"/>
    </w:p>
    <w:p>
      <w:pPr>
        <w:pStyle w:val="Heading5"/>
        <w:numPr>
          <w:ilvl w:val="4"/>
          <w:numId w:val="1"/>
        </w:numPr>
        <w:rPr/>
      </w:pPr>
      <w:bookmarkStart w:id="1113" w:name="__RefHeading___Toc1391723_1067777946"/>
      <w:bookmarkStart w:id="1114" w:name="_Toc411"/>
      <w:bookmarkEnd w:id="1113"/>
      <w:r>
        <w:rPr>
          <w:rtl w:val="true"/>
        </w:rPr>
        <w:t>اشارة</w:t>
      </w:r>
      <w:bookmarkEnd w:id="11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البخاري وعن أبي حازم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سهل بن سعد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فَرَطُكُم على الحوض من ورده شرب منه ، ومن شرب منه لم يظمأ بعده أبداً ، ليرد عليّ أقوام أعرفهم ويعرفونني ثمّ يحال بيني وبينهم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فَسَمِعَني النعمان بن أبي عيّاش وأنا أُحدِّثهم هذا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سمعتَ سهلاً؟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أشهد على أبي سعيد الخدري لسمعتُه يزيد فيه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منّي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تدري ما بدّلوا بعدك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سُحقاً سحقاً لمن بدّل بعدي</w:t>
      </w:r>
      <w:r>
        <w:rPr>
          <w:rFonts w:eastAsia="Amiri" w:cs="Amiri" w:ascii="Amiri" w:hAnsi="Amiri"/>
          <w:color w:val="111111"/>
          <w:sz w:val="28"/>
          <w:szCs w:val="28"/>
          <w:rtl w:val="true"/>
          <w:lang w:bidi="ar-SA"/>
        </w:rPr>
        <w:t xml:space="preserve">. </w:t>
      </w:r>
      <w:r>
        <w:rPr>
          <w:rStyle w:val="FootnoteAnchor"/>
          <w:rtl w:val="true"/>
        </w:rPr>
        <w:footnoteReference w:id="76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البخاري عن المغيرة ، قال سمعت أبا وائل ، عن عبد الله رضي الله عنه ،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فَرَطُكم على الحوض ، وليرفعنّ رجال منكم ثمّ ليُختلجُنَّ دوني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أصحابي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تدري ما أحدثوا بعدك</w:t>
      </w:r>
      <w:r>
        <w:rPr>
          <w:rFonts w:eastAsia="Amiri" w:cs="Amiri" w:ascii="Amiri" w:hAnsi="Amiri"/>
          <w:color w:val="111111"/>
          <w:sz w:val="28"/>
          <w:szCs w:val="28"/>
          <w:rtl w:val="true"/>
          <w:lang w:bidi="ar-SA"/>
        </w:rPr>
        <w:t xml:space="preserve">. </w:t>
      </w:r>
      <w:r>
        <w:rPr>
          <w:rStyle w:val="FootnoteAnchor"/>
          <w:rtl w:val="true"/>
        </w:rPr>
        <w:footnoteReference w:id="76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البخاري عن أنس ،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ليردَنَّ عليّ ناس من أصحابي الحوض حتّى إذا عرفتهم ، اختُلِجُوا دوني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تدري ما أحدثوا بعدك</w:t>
      </w:r>
      <w:r>
        <w:rPr>
          <w:rFonts w:eastAsia="Amiri" w:cs="Amiri" w:ascii="Amiri" w:hAnsi="Amiri"/>
          <w:color w:val="111111"/>
          <w:sz w:val="28"/>
          <w:szCs w:val="28"/>
          <w:rtl w:val="true"/>
          <w:lang w:bidi="ar-SA"/>
        </w:rPr>
        <w:t xml:space="preserve">. </w:t>
      </w:r>
      <w:r>
        <w:rPr>
          <w:rStyle w:val="FootnoteAnchor"/>
          <w:rtl w:val="true"/>
        </w:rPr>
        <w:footnoteReference w:id="76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البخاري عن سهل بن سعد قال ، 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فَرَطُكم على الحوض من مرّ عليّ شرب ، ومن شرب لم يظمأ أبداً ، ليردنّ عليّ أقوام أعرفهم ويعرفوني ثمّ يحال بيني وبينهم</w:t>
      </w:r>
      <w:r>
        <w:rPr>
          <w:rFonts w:eastAsia="Amiri" w:cs="Amiri" w:ascii="Amiri" w:hAnsi="Amiri"/>
          <w:color w:val="111111"/>
          <w:sz w:val="28"/>
          <w:szCs w:val="28"/>
          <w:rtl w:val="true"/>
          <w:lang w:bidi="ar-SA"/>
        </w:rPr>
        <w:t xml:space="preserve">. </w:t>
      </w:r>
      <w:r>
        <w:rPr>
          <w:rStyle w:val="FootnoteAnchor"/>
          <w:rtl w:val="true"/>
        </w:rPr>
        <w:footnoteReference w:id="76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البخاري عن أبي هريرة انّه كان يحدث 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عليّ يوم القيامة رهط من أصحابي فيحلّئون عن الحوض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أصحابي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علم لك بما أحدثوا بعدك ، انّهم ارتدّوا على أدبارهم القهقرى</w:t>
      </w:r>
      <w:r>
        <w:rPr>
          <w:rFonts w:eastAsia="Amiri" w:cs="Amiri" w:ascii="Amiri" w:hAnsi="Amiri"/>
          <w:color w:val="111111"/>
          <w:sz w:val="28"/>
          <w:szCs w:val="28"/>
          <w:rtl w:val="true"/>
          <w:lang w:bidi="ar-SA"/>
        </w:rPr>
        <w:t xml:space="preserve">. </w:t>
      </w:r>
      <w:r>
        <w:rPr>
          <w:rStyle w:val="FootnoteAnchor"/>
          <w:rtl w:val="true"/>
        </w:rPr>
        <w:footnoteReference w:id="76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البخاري عن أبي المسيب انّه كان يحدِّث عن أصحاب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عليّ الحوض رجال من أصحابي فيحلّئون عنه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أصحابي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علم لك بما أحدثوا بعدك ، إنّهم ارتدّوا على أدبارهم القهقرى</w:t>
      </w:r>
      <w:r>
        <w:rPr>
          <w:rFonts w:eastAsia="Amiri" w:cs="Amiri" w:ascii="Amiri" w:hAnsi="Amiri"/>
          <w:color w:val="111111"/>
          <w:sz w:val="28"/>
          <w:szCs w:val="28"/>
          <w:rtl w:val="true"/>
          <w:lang w:bidi="ar-SA"/>
        </w:rPr>
        <w:t xml:space="preserve">. </w:t>
      </w:r>
      <w:r>
        <w:rPr>
          <w:rStyle w:val="FootnoteAnchor"/>
          <w:rtl w:val="true"/>
        </w:rPr>
        <w:footnoteReference w:id="77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البخاري عن ابن عباس في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يؤخذ برجال من أصحابي ذات اليمين وذات الشمال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أصحابي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لم يزالوا مرتدّين على أعقابهم منذ فارقتهم ، فأقول كما قال العبد الصالح عيسى ابن مريم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وَكُنْتُ عَلَيْهِمْ شَهِيداً ما دُمْتُ فِيهِمْ فَلَمَّا تَوَفَّيْتَنِي كُنْتَ أَنْتَ الرَّقِيبَ عَلَيْهِمْ وَأَنْتَ عَلى كُلِّ شَيْءٍ شَهِيدٌ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الْعَزِيزُ الْحَكِيمُ</w:t>
      </w:r>
      <w:r>
        <w:rPr>
          <w:rFonts w:eastAsia="Amiri" w:cs="Amiri" w:ascii="Amiri" w:hAnsi="Amiri"/>
          <w:color w:val="111111"/>
          <w:sz w:val="28"/>
          <w:szCs w:val="28"/>
          <w:rtl w:val="true"/>
          <w:lang w:bidi="ar-SA"/>
        </w:rPr>
        <w:t xml:space="preserve">)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البخاري عن العلاء بن المسيب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البراء بن عازب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لك صحبت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وبايعته تحت الشجرة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انّك لا تدري ما أحدثنا بعده</w:t>
      </w:r>
      <w:r>
        <w:rPr>
          <w:rFonts w:eastAsia="Amiri" w:cs="Amiri" w:ascii="Amiri" w:hAnsi="Amiri"/>
          <w:color w:val="111111"/>
          <w:sz w:val="28"/>
          <w:szCs w:val="28"/>
          <w:rtl w:val="true"/>
          <w:lang w:bidi="ar-SA"/>
        </w:rPr>
        <w:t xml:space="preserve">. </w:t>
      </w:r>
      <w:r>
        <w:rPr>
          <w:rStyle w:val="FootnoteAnchor"/>
          <w:rtl w:val="true"/>
        </w:rPr>
        <w:footnoteReference w:id="773"/>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ابن أبي شيبة عن أبي بكرة 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ليردنّ على الحوض رجال ممّن صحبني ورآنى حتّى إذا رفعوا إليّ اختلجوا دوني فلأقولنّ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فليُقالَنّ إنّك لا تدري ما أحدثوا بعدك</w:t>
      </w:r>
      <w:r>
        <w:rPr>
          <w:rFonts w:eastAsia="Amiri" w:cs="Amiri" w:ascii="Amiri" w:hAnsi="Amiri"/>
          <w:color w:val="111111"/>
          <w:sz w:val="28"/>
          <w:szCs w:val="28"/>
          <w:rtl w:val="true"/>
          <w:lang w:bidi="ar-SA"/>
        </w:rPr>
        <w:t xml:space="preserve">. </w:t>
      </w:r>
      <w:r>
        <w:rPr>
          <w:rStyle w:val="FootnoteAnchor"/>
          <w:rtl w:val="true"/>
        </w:rPr>
        <w:footnoteReference w:id="774"/>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مسلم عن أسماء بنت أبي بكر ،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على الحوض حتّى أنظر من يرد عليّ منكم ، وسيؤخذ أُناس دوني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منّي ومن أُمّتي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شعرت ما عملوا بعدك ، والله ما برحوا بعدك يرجعون </w:t>
      </w:r>
    </w:p>
    <w:p>
      <w:pPr>
        <w:pStyle w:val="BookText"/>
        <w:rPr/>
      </w:pPr>
      <w:r>
        <w:rPr>
          <w:rFonts w:ascii="IRNazanin" w:hAnsi="IRNazanin" w:eastAsia="IRNazanin"/>
          <w:color w:val="111111"/>
          <w:sz w:val="28"/>
          <w:sz w:val="28"/>
          <w:szCs w:val="28"/>
          <w:rtl w:val="true"/>
          <w:lang w:bidi="fa-IR"/>
        </w:rPr>
        <w:t>أعقابهم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ابن أبي مليكة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نعوذ بك أن نرجع على أعقابنا وأن نفتن عن ديننا</w:t>
      </w:r>
      <w:r>
        <w:rPr>
          <w:rFonts w:eastAsia="Amiri" w:cs="Amiri" w:ascii="Amiri" w:hAnsi="Amiri"/>
          <w:color w:val="111111"/>
          <w:sz w:val="28"/>
          <w:szCs w:val="28"/>
          <w:rtl w:val="true"/>
          <w:lang w:bidi="ar-SA"/>
        </w:rPr>
        <w:t xml:space="preserve">. </w:t>
      </w:r>
      <w:r>
        <w:rPr>
          <w:rStyle w:val="FootnoteAnchor"/>
          <w:rtl w:val="true"/>
        </w:rPr>
        <w:footnoteReference w:id="775"/>
      </w:r>
    </w:p>
    <w:p>
      <w:pPr>
        <w:pStyle w:val="BookText"/>
        <w:rPr/>
      </w:pPr>
      <w:r>
        <w:rPr>
          <w:rFonts w:ascii="Amiri" w:hAnsi="Amiri" w:eastAsia="Amiri" w:cs="Amiri"/>
          <w:color w:val="111111"/>
          <w:sz w:val="28"/>
          <w:sz w:val="28"/>
          <w:szCs w:val="28"/>
          <w:rtl w:val="true"/>
          <w:lang w:bidi="ar-SA"/>
        </w:rPr>
        <w:t>وتنتهي أسانيد هذه الروايات إلى شخصيات نظراء ، سهل بن سعد ، أبي وائل عن عبد الله ، أنس بن مالك ، أبي هريرة ، ابن المسيب ، واقتصرنا بما رواه البخاري وتركنا ما نقله غيره ، وما ظنّك بحديث يرويه الإمام البخاري وقد نقل شيئاً منه في الفتن ، وقسماً أكثر في باب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بدّ من الكلام في 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الذين أخبر النبي عن ارتدادهم بعد رحيله؟</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المراد من ارتدادهم؟</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فالقرائن القطعية تدلّ على انّ المراد ، بعض أصحابه الذين عاشوا معه وكان يعرفهم وهم يعرفونه واجتمعوا معه في فترة زمنية ، وليس هؤلاء إلاّ لفيف من أصحابه ، والدليل على ذلك ما جاء في متونها من الكلمات التالية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ليردنّ علي أقوام أعرفهم ويعرفونني كما في 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حتّى إذا عرفتهم اختلجوا دوني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أنا فرطكم على الحوض وليرفعن رجال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أصحابي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من علائم هؤلاء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الرسول يعرفهم وهم يعرفونه ، وانّهم من رجال عصر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w:t>
      </w:r>
    </w:p>
    <w:p>
      <w:pPr>
        <w:pStyle w:val="BookText"/>
        <w:rPr/>
      </w:pP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الأجيال المستقبلة ، فهؤلاء أصحابه الذين عاشوا معه في عصر الرسالة ، حتّى استحقوا بأن يصفهم النبي عند الاستغاثة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 أصحابي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أظن من يدرس هذه الروايات الواردة الصحيحين وغيرهما بتجرّد وموضوعية أن يدور في خلده ، انّ المراد من الذين ارتدوا على أدبارهم ، أُمّته الذين أتوا بعده وعاشوا في أحقاب بعيدة عن عصر الرسول ، ولم يكن فيها من وجود الرسول عين ولا أثر ، إذ لو كان هذا هو المراد ، فمتى عاش معهم النبي ، حتّى عرفهم وعرفوه؟ ومتى كانوا معه حتّى صحّ وصفهم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صحبوه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فترة قصيرة أو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وصاروا أصحابه؟</w:t>
      </w:r>
    </w:p>
    <w:p>
      <w:pPr>
        <w:pStyle w:val="BookText"/>
        <w:rPr/>
      </w:pPr>
      <w:r>
        <w:rPr>
          <w:rFonts w:ascii="Amiri" w:hAnsi="Amiri" w:eastAsia="Amiri" w:cs="Amiri"/>
          <w:color w:val="111111"/>
          <w:sz w:val="28"/>
          <w:sz w:val="28"/>
          <w:szCs w:val="28"/>
          <w:rtl w:val="true"/>
          <w:lang w:bidi="ar-SA"/>
        </w:rPr>
        <w:t xml:space="preserve">ومن التجنّي على الحقيقة القول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جميع الأُمّة أصحاب النبي ، كما أنّ جميع من يقلّدون الشافعي مثلاً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هذا التفسير في المقيس عليه ممنوع فكيف المقيس؟ فأصحاب الشافعي هم الذي تربّوا على يديه والتفُّوا حوله وانتفعوا بعلمه ، وأمّا الذين جاءوا بعده ولم يشاهدوه فهم أتباعه ، لا أصحابه ، فلو صح إطلاق الأصحاب عليهم ، فإنّما هو إطلاق مجازي لا 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المقيس فالحال فيه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فالصحابة ، في الروايات والآثار ، هم الذين أقاموا مع رسول الله فترة من الزمن ، أو رأوا رسول الله وأدركوه وأسلموا ، إلى غير ذلك من التعاريف التي ذكرها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Style w:val="FootnoteAnchor"/>
          <w:rtl w:val="true"/>
        </w:rPr>
        <w:footnoteReference w:id="776"/>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هذا المورد إلاّ كسائر الموارد التي وردت فيها كلمة الصحابة ، مثلاً رووا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تسبُّوا 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رووا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bookmarkStart w:id="1115" w:name="pg11047_103062"/>
    </w:p>
    <w:p>
      <w:pPr>
        <w:pStyle w:val="BookText"/>
        <w:rPr/>
      </w:pPr>
      <w:bookmarkEnd w:id="1115"/>
      <w:r>
        <w:rPr>
          <w:rFonts w:ascii="Amiri" w:hAnsi="Amiri" w:eastAsia="Amiri" w:cs="Amiri"/>
          <w:color w:val="111111"/>
          <w:sz w:val="28"/>
          <w:sz w:val="28"/>
          <w:szCs w:val="28"/>
          <w:rtl w:val="true"/>
          <w:lang w:bidi="ar-SA"/>
        </w:rPr>
        <w:t>أصحابي كالنجوم ، إلى غير ذلك من الموارد ، فالمراد من الجميع هو المعنى المصطلح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ألّف غير واحد من الرجاليين كتباً في حياة الصحابة ، كالاستيعاب لابن عبد البرّ ، والإصابة في تمييز الصحابة لابن حجر ، وإلى غير ذلك من الموارد التي أُطلقت فيها كلمة الصحابة وأُريد بها ، من كانوا وعاشوا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المتبادر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إنّك لا تدري ما أحدثوا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لا علم لك بما أحدثوا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ارتدوا على أدبارهم القهقرى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هو انّهم كانوا معك ولكن اقترفوا هذه الجريمة بعد رحيل الرسول ، دون فاصل زماني طويل ، وقد كان المترقب من هؤلاء الذين رأوا شمس الرسالة واستضاءوا بها ، أن يتّبعوا دينه وشريعته ولا يعدلوا عنه قيد شعرة ، ولكنّهم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ارتدوا على أدبارهم القهقرى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حول الأمر الأوّل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الستر عن هؤلاء الذين ارتدوا وبدلوا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الأمر الثاني ، فهل المراد من الارتداد هو الخروج عن الدين ، أو المراد من الارتداد هو الأعم من الرجوع عن العقيدة ، أو السلوك على غير ما أوصى به النبي في غير واحد من الأُمور؟ ، ولعل المراد هو الثاني حيث إنّ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بالثقلين وأهل بيته ، فخالفوا وصية الرسول ، كما أنّهم خالفوا في كثير من الأحكام ، المذكورة في محلّها ، فقدّموا الاجتهاد على النصّ ، والمصلحة المزعومة على أمره ، وبذلك أحدثوا في دينه بدعاً ، ليس لها في الكتاب والسنّة أصل</w:t>
      </w:r>
      <w:r>
        <w:rPr>
          <w:rFonts w:eastAsia="Amiri" w:cs="Amiri" w:ascii="Amiri" w:hAnsi="Amiri"/>
          <w:color w:val="111111"/>
          <w:sz w:val="28"/>
          <w:szCs w:val="28"/>
          <w:rtl w:val="true"/>
          <w:lang w:bidi="ar-SA"/>
        </w:rPr>
        <w:t>.</w:t>
      </w:r>
    </w:p>
    <w:p>
      <w:pPr>
        <w:pStyle w:val="Heading5"/>
        <w:numPr>
          <w:ilvl w:val="4"/>
          <w:numId w:val="1"/>
        </w:numPr>
        <w:rPr/>
      </w:pPr>
      <w:bookmarkStart w:id="1116" w:name="__RefHeading___Toc1391725_1067777946"/>
      <w:bookmarkStart w:id="1117" w:name="_Toc412"/>
      <w:bookmarkEnd w:id="1116"/>
      <w:r>
        <w:rPr>
          <w:rtl w:val="true"/>
        </w:rPr>
        <w:t>موقف النبي ممّن لم تحسن صحبته</w:t>
      </w:r>
      <w:bookmarkEnd w:id="1117"/>
    </w:p>
    <w:p>
      <w:pPr>
        <w:pStyle w:val="Heading6"/>
        <w:numPr>
          <w:ilvl w:val="5"/>
          <w:numId w:val="1"/>
        </w:numPr>
        <w:rPr/>
      </w:pPr>
      <w:bookmarkStart w:id="1118" w:name="__RefHeading___Toc1391727_1067777946"/>
      <w:bookmarkStart w:id="1119" w:name="_Toc413"/>
      <w:bookmarkEnd w:id="1118"/>
      <w:r>
        <w:rPr>
          <w:rtl w:val="true"/>
        </w:rPr>
        <w:t>اشارة</w:t>
      </w:r>
      <w:bookmarkEnd w:id="1119"/>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مرّ من الروايات لا تهدف شخصاً معيّناً بالذكر ، وهناك روايات تخص </w:t>
      </w:r>
      <w:bookmarkStart w:id="1120" w:name="pg11047_103063"/>
    </w:p>
    <w:p>
      <w:pPr>
        <w:pStyle w:val="BookText"/>
        <w:rPr/>
      </w:pPr>
      <w:bookmarkEnd w:id="1120"/>
      <w:r>
        <w:rPr>
          <w:rFonts w:ascii="Amiri" w:hAnsi="Amiri" w:eastAsia="Amiri" w:cs="Amiri"/>
          <w:color w:val="111111"/>
          <w:sz w:val="28"/>
          <w:sz w:val="28"/>
          <w:szCs w:val="28"/>
          <w:rtl w:val="true"/>
          <w:lang w:bidi="ar-SA"/>
        </w:rPr>
        <w:t xml:space="preserve">بعض الصحابة بالذكر من الذين لم تحسن صحبتهم ويخبر عن سوء مصيرهم ويندد بسوء عملهم ، وهي كثيرة ، ونذكر منها النزر اليسير </w:t>
      </w:r>
      <w:r>
        <w:rPr>
          <w:rFonts w:eastAsia="Amiri" w:cs="Amiri" w:ascii="Amiri" w:hAnsi="Amiri"/>
          <w:color w:val="111111"/>
          <w:sz w:val="28"/>
          <w:szCs w:val="28"/>
          <w:rtl w:val="true"/>
          <w:lang w:bidi="ar-SA"/>
        </w:rPr>
        <w:t>:</w:t>
      </w:r>
    </w:p>
    <w:p>
      <w:pPr>
        <w:pStyle w:val="Heading6"/>
        <w:numPr>
          <w:ilvl w:val="5"/>
          <w:numId w:val="1"/>
        </w:numPr>
        <w:rPr/>
      </w:pPr>
      <w:bookmarkStart w:id="1121" w:name="__RefHeading___Toc1391729_1067777946"/>
      <w:bookmarkStart w:id="1122" w:name="_Toc414"/>
      <w:bookmarkEnd w:id="1121"/>
      <w:r>
        <w:rPr/>
        <w:t>1</w:t>
      </w:r>
      <w:r>
        <w:rPr>
          <w:rtl w:val="true"/>
        </w:rPr>
        <w:t xml:space="preserve">. </w:t>
      </w:r>
      <w:r>
        <w:rPr>
          <w:rtl w:val="true"/>
        </w:rPr>
        <w:t>كلّهم مغفور له إلاّ</w:t>
      </w:r>
      <w:bookmarkEnd w:id="1122"/>
    </w:p>
    <w:p>
      <w:pPr>
        <w:pStyle w:val="BookText"/>
        <w:rPr/>
      </w:pPr>
      <w:r>
        <w:rPr>
          <w:rFonts w:ascii="Amiri" w:hAnsi="Amiri" w:eastAsia="Amiri" w:cs="Amiri"/>
          <w:color w:val="111111"/>
          <w:sz w:val="28"/>
          <w:sz w:val="28"/>
          <w:szCs w:val="28"/>
          <w:rtl w:val="true"/>
          <w:lang w:bidi="ar-SA"/>
        </w:rPr>
        <w:t xml:space="preserve">أخرج مسلم عن جابر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يصعد ، الثنيّة ، ثنيّة المُرار فانّه يحطّ عنه ، ما حطّ عن بني إسرائيل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أوّل من صعدها ، خيَلنا خيلَ بني الخزرج ثمّ تتامّ الناس ، 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وكلّهم مغفور له إلاّ صاحب الجمل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فأتيناه فقلنا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 يستغفر لك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لأن أجد ضالّتي أحبّ إليّ من أن يستغفر لي صاحبكم ، وكان رجل ينشد ضالّة له</w:t>
      </w:r>
      <w:r>
        <w:rPr>
          <w:rFonts w:eastAsia="Amiri" w:cs="Amiri" w:ascii="Amiri" w:hAnsi="Amiri"/>
          <w:color w:val="111111"/>
          <w:sz w:val="28"/>
          <w:szCs w:val="28"/>
          <w:rtl w:val="true"/>
          <w:lang w:bidi="ar-SA"/>
        </w:rPr>
        <w:t xml:space="preserve">. </w:t>
      </w:r>
      <w:r>
        <w:rPr>
          <w:rStyle w:val="FootnoteAnchor"/>
          <w:rtl w:val="true"/>
        </w:rPr>
        <w:footnoteReference w:id="777"/>
      </w:r>
    </w:p>
    <w:p>
      <w:pPr>
        <w:pStyle w:val="BookText"/>
        <w:rPr/>
      </w:pPr>
      <w:r>
        <w:rPr>
          <w:rFonts w:ascii="Amiri" w:hAnsi="Amiri" w:eastAsia="Amiri" w:cs="Amiri"/>
          <w:color w:val="111111"/>
          <w:sz w:val="28"/>
          <w:sz w:val="28"/>
          <w:szCs w:val="28"/>
          <w:rtl w:val="true"/>
          <w:lang w:bidi="ar-SA"/>
        </w:rPr>
        <w:t xml:space="preserve">إنّ مسلماً وان ذكره في كتاب صفات المنافقين ، لكنّه لا دليل على أنّه كان منهم ، بل كان من ضعفاء الإيمان ، أو مرضى القلوب ، أو السمّاعين ، إلى غير ذلك من الأصناف المتوفرة في صحابة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ذكر الشراح انّه كان الجدّ بن قيس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مسلم بعد هذا الحديث عن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منّا رجل من بني النجّار قد قرأ البقرة وآل عمران ، وكان يكتُب 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فانطلق هارباً حتّى لحق بأهل الكتاب قال فرفعوه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كان يكتب لمحمد ، فأُعجبوا به </w:t>
      </w:r>
      <w:r>
        <w:rPr>
          <w:rFonts w:eastAsia="Amiri" w:cs="Amiri" w:ascii="Amiri" w:hAnsi="Amiri"/>
          <w:color w:val="111111"/>
          <w:sz w:val="28"/>
          <w:szCs w:val="28"/>
          <w:rtl w:val="true"/>
          <w:lang w:bidi="ar-SA"/>
        </w:rPr>
        <w:t>....</w:t>
      </w:r>
    </w:p>
    <w:p>
      <w:pPr>
        <w:pStyle w:val="Heading6"/>
        <w:numPr>
          <w:ilvl w:val="5"/>
          <w:numId w:val="1"/>
        </w:numPr>
        <w:rPr/>
      </w:pPr>
      <w:bookmarkStart w:id="1123" w:name="__RefHeading___Toc1391731_1067777946"/>
      <w:bookmarkStart w:id="1124" w:name="_Toc415"/>
      <w:bookmarkEnd w:id="1123"/>
      <w:r>
        <w:rPr/>
        <w:t>2</w:t>
      </w:r>
      <w:r>
        <w:rPr>
          <w:rtl w:val="true"/>
        </w:rPr>
        <w:t xml:space="preserve">. </w:t>
      </w:r>
      <w:r>
        <w:rPr>
          <w:rtl w:val="true"/>
        </w:rPr>
        <w:t>اللهم إنّي أبرأ إليك ممّا صنع خالد</w:t>
      </w:r>
      <w:bookmarkEnd w:id="1124"/>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البخاري عن سالم ،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النبي خالد بن الوليد إلى بني </w:t>
      </w:r>
      <w:bookmarkStart w:id="1125" w:name="pg11047_103064"/>
    </w:p>
    <w:p>
      <w:pPr>
        <w:pStyle w:val="BookText"/>
        <w:rPr/>
      </w:pPr>
      <w:bookmarkEnd w:id="1125"/>
      <w:r>
        <w:rPr>
          <w:rFonts w:ascii="Amiri" w:hAnsi="Amiri" w:eastAsia="Amiri" w:cs="Amiri"/>
          <w:color w:val="111111"/>
          <w:sz w:val="28"/>
          <w:sz w:val="28"/>
          <w:szCs w:val="28"/>
          <w:rtl w:val="true"/>
          <w:lang w:bidi="ar-SA"/>
        </w:rPr>
        <w:t xml:space="preserve">جذيمة ، فدعاهم إلى الإسلام فلم يُحسِنُوا أن يقولوا أسلمنا ، فجعلوا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صبأنا صبانا ، فجعل خالد يقتل منهم ويأسر ، ودفع إلى كلّ رجل منّا أسيره ، حتّى إذا كان يوم ، أمر خالد أن يقتل كلّ رجل منّا أسيره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أقتل أسيري ، ولا يَقْتُل رجل من أصحابي أسيره حتّى قدمنا على النبي فذكرناه ، فرفع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أبرأ إليك ممّا صنع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 xml:space="preserve">. </w:t>
      </w:r>
      <w:r>
        <w:rPr>
          <w:rStyle w:val="FootnoteAnchor"/>
          <w:rtl w:val="true"/>
        </w:rPr>
        <w:footnoteReference w:id="778"/>
      </w:r>
    </w:p>
    <w:p>
      <w:pPr>
        <w:pStyle w:val="BookText"/>
        <w:rPr/>
      </w:pPr>
      <w:r>
        <w:rPr>
          <w:rFonts w:ascii="Amiri" w:hAnsi="Amiri" w:eastAsia="Amiri" w:cs="Amiri"/>
          <w:color w:val="111111"/>
          <w:sz w:val="28"/>
          <w:sz w:val="28"/>
          <w:szCs w:val="28"/>
          <w:rtl w:val="true"/>
          <w:lang w:bidi="ar-SA"/>
        </w:rPr>
        <w:t xml:space="preserve">هذا هو سيف الإسلام ، وبطله يقتل الأبرياء واحداً بعد الآخر ، ويتبرأ النبي الأعظم من جريمته ولكنّه يُصبح بعد رحيل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بارّاً وسيفاً مسلولاً سلّه رسول الله ولا يُغمد ، وإن زنى بزوجة مالك بن نويرة وقتله ، فما حال غيره</w:t>
      </w:r>
      <w:r>
        <w:rPr>
          <w:rFonts w:eastAsia="Amiri" w:cs="Amiri" w:ascii="Amiri" w:hAnsi="Amiri"/>
          <w:color w:val="111111"/>
          <w:sz w:val="28"/>
          <w:szCs w:val="28"/>
          <w:rtl w:val="true"/>
          <w:lang w:bidi="ar-SA"/>
        </w:rPr>
        <w:t>!</w:t>
      </w:r>
    </w:p>
    <w:p>
      <w:pPr>
        <w:pStyle w:val="Heading6"/>
        <w:numPr>
          <w:ilvl w:val="5"/>
          <w:numId w:val="1"/>
        </w:numPr>
        <w:rPr/>
      </w:pPr>
      <w:bookmarkStart w:id="1126" w:name="__RefHeading___Toc1391733_1067777946"/>
      <w:bookmarkStart w:id="1127" w:name="_Toc416"/>
      <w:bookmarkEnd w:id="1126"/>
      <w:r>
        <w:rPr/>
        <w:t>3</w:t>
      </w:r>
      <w:r>
        <w:rPr>
          <w:rtl w:val="true"/>
        </w:rPr>
        <w:t xml:space="preserve">. </w:t>
      </w:r>
      <w:r>
        <w:rPr>
          <w:rtl w:val="true"/>
        </w:rPr>
        <w:t>تنبّؤه بمصير ذي الخويصرة</w:t>
      </w:r>
      <w:bookmarkEnd w:id="1127"/>
    </w:p>
    <w:p>
      <w:pPr>
        <w:pStyle w:val="BookText"/>
        <w:rPr/>
      </w:pPr>
      <w:r>
        <w:rPr>
          <w:rFonts w:ascii="Amiri" w:hAnsi="Amiri" w:eastAsia="Amiri" w:cs="Amiri"/>
          <w:color w:val="111111"/>
          <w:sz w:val="28"/>
          <w:sz w:val="28"/>
          <w:szCs w:val="28"/>
          <w:rtl w:val="true"/>
          <w:lang w:bidi="ar-SA"/>
        </w:rPr>
        <w:t xml:space="preserve">أخرج البخاري عن أبي سعيد الخدري رضي الله عنه بينما نحن عند رسول الله وهو يقسم قسماً ، أتاه ذو الخويصرة ، وهو رجلٌ من بني تميم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اعدل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ويلك ، ومن يعدل إذا لم أعدل ، قد خِبتُ وخسرتُ إن لم أكن أعدِلُ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ائذَن لي فيه فأضرِبَ عُنقَهُ؟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دَعْهُ ، فإنّ له أصحاباً يحقِّرُ أحدكم صلاتَه مع صلاتهم ، وصيامَه مع صيامهم ، يقرءون القرآن لا يُجاوز تراقيهم ، يمرقون من الدِّين كما يمرقُ السَّهم من الرّمية</w:t>
      </w:r>
      <w:r>
        <w:rPr>
          <w:rFonts w:eastAsia="Amiri" w:cs="Amiri" w:ascii="Amiri" w:hAnsi="Amiri"/>
          <w:color w:val="111111"/>
          <w:sz w:val="28"/>
          <w:szCs w:val="28"/>
          <w:rtl w:val="true"/>
          <w:lang w:bidi="ar-SA"/>
        </w:rPr>
        <w:t>».</w:t>
      </w:r>
    </w:p>
    <w:p>
      <w:pPr>
        <w:pStyle w:val="Heading6"/>
        <w:numPr>
          <w:ilvl w:val="5"/>
          <w:numId w:val="1"/>
        </w:numPr>
        <w:rPr/>
      </w:pPr>
      <w:bookmarkStart w:id="1128" w:name="__RefHeading___Toc1391735_1067777946"/>
      <w:bookmarkStart w:id="1129" w:name="_Toc417"/>
      <w:bookmarkEnd w:id="1128"/>
      <w:r>
        <w:rPr/>
        <w:t>4</w:t>
      </w:r>
      <w:r>
        <w:rPr>
          <w:rtl w:val="true"/>
        </w:rPr>
        <w:t xml:space="preserve">. </w:t>
      </w:r>
      <w:r>
        <w:rPr>
          <w:rtl w:val="true"/>
        </w:rPr>
        <w:t>انّ فيك شعبة من الكفر</w:t>
      </w:r>
      <w:bookmarkEnd w:id="1129"/>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سبّ أبو هريرة رجلاً بأُمّ له في الجاهلية فاستعدى رسول الله على أبي </w:t>
      </w:r>
      <w:bookmarkStart w:id="1130" w:name="pg11047_103065"/>
    </w:p>
    <w:p>
      <w:pPr>
        <w:pStyle w:val="BookText"/>
        <w:rPr/>
      </w:pPr>
      <w:bookmarkEnd w:id="1130"/>
      <w:r>
        <w:rPr>
          <w:rFonts w:ascii="Amiri" w:hAnsi="Amiri" w:eastAsia="Amiri" w:cs="Amiri"/>
          <w:color w:val="111111"/>
          <w:sz w:val="28"/>
          <w:sz w:val="28"/>
          <w:szCs w:val="28"/>
          <w:rtl w:val="true"/>
          <w:lang w:bidi="ar-SA"/>
        </w:rPr>
        <w:t xml:space="preserve">هريرة ، فقال له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فيك شعبة من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 أبو هريرة أن لا بسب بعده مسلماً</w:t>
      </w:r>
      <w:r>
        <w:rPr>
          <w:rFonts w:eastAsia="Amiri" w:cs="Amiri" w:ascii="Amiri" w:hAnsi="Amiri"/>
          <w:color w:val="111111"/>
          <w:sz w:val="28"/>
          <w:szCs w:val="28"/>
          <w:rtl w:val="true"/>
          <w:lang w:bidi="ar-SA"/>
        </w:rPr>
        <w:t xml:space="preserve">. </w:t>
      </w:r>
      <w:r>
        <w:rPr>
          <w:rStyle w:val="FootnoteAnchor"/>
          <w:rtl w:val="true"/>
        </w:rPr>
        <w:footnoteReference w:id="779"/>
      </w:r>
    </w:p>
    <w:p>
      <w:pPr>
        <w:pStyle w:val="Heading6"/>
        <w:numPr>
          <w:ilvl w:val="5"/>
          <w:numId w:val="1"/>
        </w:numPr>
        <w:rPr/>
      </w:pPr>
      <w:bookmarkStart w:id="1131" w:name="__RefHeading___Toc1391737_1067777946"/>
      <w:bookmarkStart w:id="1132" w:name="_Toc418"/>
      <w:bookmarkEnd w:id="1131"/>
      <w:r>
        <w:rPr/>
        <w:t>5</w:t>
      </w:r>
      <w:r>
        <w:rPr>
          <w:rtl w:val="true"/>
        </w:rPr>
        <w:t xml:space="preserve">. </w:t>
      </w:r>
      <w:r>
        <w:rPr>
          <w:rtl w:val="true"/>
        </w:rPr>
        <w:t>امتناع الرسول من الصلاة على أحد أصحابه</w:t>
      </w:r>
      <w:bookmarkEnd w:id="1132"/>
    </w:p>
    <w:p>
      <w:pPr>
        <w:pStyle w:val="BookText"/>
        <w:rPr/>
      </w:pPr>
      <w:r>
        <w:rPr>
          <w:rFonts w:ascii="Amiri" w:hAnsi="Amiri" w:eastAsia="Amiri" w:cs="Amiri"/>
          <w:color w:val="111111"/>
          <w:sz w:val="28"/>
          <w:sz w:val="28"/>
          <w:szCs w:val="28"/>
          <w:rtl w:val="true"/>
          <w:lang w:bidi="ar-SA"/>
        </w:rPr>
        <w:t xml:space="preserve">أخرج الحاكم في مستدركه عن زيد بن خالد الجهني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من أصحاب رسول الله توفّي يوم حنين أو خيبر ، فامتنع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الصلاة عليه ، لأنّه غلّ في سبيل الله ففتّشوا متاعه فوجدوا خِرزاً من خرز اليهود لا يساوي درهمين</w:t>
      </w:r>
      <w:r>
        <w:rPr>
          <w:rFonts w:eastAsia="Amiri" w:cs="Amiri" w:ascii="Amiri" w:hAnsi="Amiri"/>
          <w:color w:val="111111"/>
          <w:sz w:val="28"/>
          <w:szCs w:val="28"/>
          <w:rtl w:val="true"/>
          <w:lang w:bidi="ar-SA"/>
        </w:rPr>
        <w:t xml:space="preserve">. </w:t>
      </w:r>
      <w:r>
        <w:rPr>
          <w:rStyle w:val="FootnoteAnchor"/>
          <w:rtl w:val="true"/>
        </w:rPr>
        <w:footnoteReference w:id="780"/>
      </w:r>
    </w:p>
    <w:p>
      <w:pPr>
        <w:pStyle w:val="Heading6"/>
        <w:numPr>
          <w:ilvl w:val="5"/>
          <w:numId w:val="1"/>
        </w:numPr>
        <w:rPr/>
      </w:pPr>
      <w:bookmarkStart w:id="1133" w:name="__RefHeading___Toc1391739_1067777946"/>
      <w:bookmarkStart w:id="1134" w:name="_Toc419"/>
      <w:bookmarkEnd w:id="1133"/>
      <w:r>
        <w:rPr/>
        <w:t>6</w:t>
      </w:r>
      <w:r>
        <w:rPr>
          <w:rtl w:val="true"/>
        </w:rPr>
        <w:t xml:space="preserve">. </w:t>
      </w:r>
      <w:r>
        <w:rPr>
          <w:rtl w:val="true"/>
        </w:rPr>
        <w:t xml:space="preserve">تنبّؤ النبي </w:t>
      </w:r>
      <w:r>
        <w:rPr>
          <w:rtl w:val="true"/>
        </w:rPr>
        <w:t xml:space="preserve">- </w:t>
      </w:r>
      <w:r>
        <w:rPr>
          <w:rtl w:val="true"/>
        </w:rPr>
        <w:t xml:space="preserve">صلى الله عليه وآله وسلم </w:t>
      </w:r>
      <w:r>
        <w:rPr>
          <w:rtl w:val="true"/>
        </w:rPr>
        <w:t xml:space="preserve">- </w:t>
      </w:r>
      <w:r>
        <w:rPr>
          <w:rtl w:val="true"/>
        </w:rPr>
        <w:t>بالمصير الأسود لبعض أصحابه</w:t>
      </w:r>
      <w:bookmarkEnd w:id="1134"/>
    </w:p>
    <w:p>
      <w:pPr>
        <w:pStyle w:val="BookText"/>
        <w:rPr/>
      </w:pPr>
      <w:r>
        <w:rPr>
          <w:rFonts w:ascii="Amiri" w:hAnsi="Amiri" w:eastAsia="Amiri" w:cs="Amiri"/>
          <w:color w:val="111111"/>
          <w:sz w:val="28"/>
          <w:sz w:val="28"/>
          <w:szCs w:val="28"/>
          <w:rtl w:val="true"/>
          <w:lang w:bidi="ar-SA"/>
        </w:rPr>
        <w:t xml:space="preserve">أخرج البخاري عن أبي هريرة قال شهدنا خيبر ، 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ممّن معه يدّعي الإسلام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من 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حضر القتال قاتل الرجل أشدّ القتال حتّى كثُرت به الجِراحَة ، فكادَ بعض الناس يرتاب ، فوجد الرّجل ألمَ الجِراحَة ، فأهوى بيده إلى كنانته ، فاستخرج منها أسهماً فنَحَر بها نفسه ، فاشتدّ رجال من المسلمين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صدّق الله حديثك ، انتحَر فلانٌ فقتل نفسه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يا فلانُ ، فأذِّن أنّه لا يدخلُ الجنّة إلاّ مؤمنٌ ، إنّ الله يُؤيِّد الدّين بالرَّجلِ الفاجر</w:t>
      </w:r>
      <w:r>
        <w:rPr>
          <w:rFonts w:eastAsia="Amiri" w:cs="Amiri" w:ascii="Amiri" w:hAnsi="Amiri"/>
          <w:color w:val="111111"/>
          <w:sz w:val="28"/>
          <w:szCs w:val="28"/>
          <w:rtl w:val="true"/>
          <w:lang w:bidi="ar-SA"/>
        </w:rPr>
        <w:t xml:space="preserve">». </w:t>
      </w:r>
      <w:r>
        <w:rPr>
          <w:rStyle w:val="FootnoteAnchor"/>
          <w:rtl w:val="true"/>
        </w:rPr>
        <w:footnoteReference w:id="781"/>
      </w:r>
    </w:p>
    <w:p>
      <w:pPr>
        <w:pStyle w:val="Heading6"/>
        <w:numPr>
          <w:ilvl w:val="5"/>
          <w:numId w:val="1"/>
        </w:numPr>
        <w:rPr/>
      </w:pPr>
      <w:bookmarkStart w:id="1135" w:name="__RefHeading___Toc1391741_1067777946"/>
      <w:bookmarkStart w:id="1136" w:name="_Toc420"/>
      <w:bookmarkEnd w:id="1135"/>
      <w:r>
        <w:rPr/>
        <w:t>7</w:t>
      </w:r>
      <w:r>
        <w:rPr>
          <w:rtl w:val="true"/>
        </w:rPr>
        <w:t xml:space="preserve">. </w:t>
      </w:r>
      <w:r>
        <w:rPr>
          <w:rtl w:val="true"/>
        </w:rPr>
        <w:t>صحابي يخلو بامرأة</w:t>
      </w:r>
      <w:bookmarkEnd w:id="1136"/>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ابن كثير في تفسير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الْحَسَناتِ يُذْهِبْنَ السَّيِّئاتِ</w:t>
      </w:r>
      <w:r>
        <w:rPr>
          <w:rFonts w:eastAsia="Amiri" w:cs="Amiri" w:ascii="Amiri" w:hAnsi="Amiri"/>
          <w:color w:val="111111"/>
          <w:sz w:val="28"/>
          <w:szCs w:val="28"/>
          <w:rtl w:val="true"/>
          <w:lang w:bidi="ar-SA"/>
        </w:rPr>
        <w:t xml:space="preserve">) </w:t>
      </w:r>
      <w:bookmarkStart w:id="1137" w:name="pg11047_103066"/>
    </w:p>
    <w:p>
      <w:pPr>
        <w:pStyle w:val="BookText"/>
        <w:rPr/>
      </w:pPr>
      <w:bookmarkEnd w:id="1137"/>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الإمام أبو جعفر بسنده عن أبي اليسر كعب بن عمرو الأنصاري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أتتني امرأة تبتاع منّي بدرهم تمراً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البيت تمراً أجود من هذا ، فدخلت فأهويت إليها فقبّلتها ، فأتيت عمر فسألته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واستر على نفسك ولا تخبرن أحداً ، فلم أصبر حتّى أتيت أبا بكر فسألته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واستر على نفسك ولا تخبرن أحداً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أصبر حتّى أتيت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فأخبرته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أخلفت رجلاً غازياً في سبيل الله في أهله بمثل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ظننت انّي من أهل النار حتّى تمنيتُ انّي أسلمت ساعتئذ ، فأطرق رسول الله ساعة فنزل جبريل ، فقال أبو اليسر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 فقرأ عليّ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وَأَقِمِ الصَّلاةَ طَرَفَيِ النَّهارِ وَزُلَفاً مِنَ اللَّيْلِ إِنَّ الْحَسَناتِ يُذْهِبْنَ السَّيِّئاتِ ذلِكَ ذِكْرى لِلذَّاكِرِينَ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له خاصة أم للناس عامة؟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للناس عامة</w:t>
      </w:r>
      <w:r>
        <w:rPr>
          <w:rFonts w:eastAsia="Amiri" w:cs="Amiri" w:ascii="Amiri" w:hAnsi="Amiri"/>
          <w:color w:val="111111"/>
          <w:sz w:val="28"/>
          <w:szCs w:val="28"/>
          <w:rtl w:val="true"/>
          <w:lang w:bidi="ar-SA"/>
        </w:rPr>
        <w:t xml:space="preserve">». </w:t>
      </w:r>
      <w:r>
        <w:rPr>
          <w:rStyle w:val="FootnoteAnchor"/>
          <w:rtl w:val="true"/>
        </w:rPr>
        <w:footnoteReference w:id="782"/>
      </w:r>
    </w:p>
    <w:p>
      <w:pPr>
        <w:pStyle w:val="Heading6"/>
        <w:numPr>
          <w:ilvl w:val="5"/>
          <w:numId w:val="1"/>
        </w:numPr>
        <w:rPr/>
      </w:pPr>
      <w:bookmarkStart w:id="1138" w:name="__RefHeading___Toc1391743_1067777946"/>
      <w:bookmarkStart w:id="1139" w:name="_Toc421"/>
      <w:bookmarkEnd w:id="1138"/>
      <w:r>
        <w:rPr/>
        <w:t>8</w:t>
      </w:r>
      <w:r>
        <w:rPr>
          <w:rtl w:val="true"/>
        </w:rPr>
        <w:t xml:space="preserve">. </w:t>
      </w:r>
      <w:r>
        <w:rPr>
          <w:rtl w:val="true"/>
        </w:rPr>
        <w:t>صحابي يجلس بين رجلي امرأة</w:t>
      </w:r>
      <w:bookmarkEnd w:id="1139"/>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عبد الرزاق عن يحيى بن جعدة انّ رجلاً من أصحاب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امرأة وهو جالس مع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فاستأذنه لحاجة ، فأذن له ، فذهب يطلبها فلم يجدها ، فأقبل الرجل يريد أن يبشر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بالمطر ، فوجد المرأة جالسة على غدير فدفع في صدرها وجلس بين رجليها فصار ذكره مثل الهدبة ، فقام نادماً حتّى أتى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فأخبره بما صنع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 ربّك وصلّ أربع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وتلا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وَأَقِمِ الصَّلاةَ طَرَفَيِ النَّهارِ وَزُلَفاً مِنَ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783"/>
      </w:r>
      <w:bookmarkStart w:id="1140" w:name="pg11047_103067"/>
    </w:p>
    <w:p>
      <w:pPr>
        <w:pStyle w:val="Heading6"/>
        <w:numPr>
          <w:ilvl w:val="5"/>
          <w:numId w:val="1"/>
        </w:numPr>
        <w:rPr/>
      </w:pPr>
      <w:bookmarkStart w:id="1141" w:name="__RefHeading___Toc1391745_1067777946"/>
      <w:bookmarkStart w:id="1142" w:name="_Toc422"/>
      <w:bookmarkEnd w:id="1140"/>
      <w:bookmarkEnd w:id="1141"/>
      <w:r>
        <w:rPr/>
        <w:t>9</w:t>
      </w:r>
      <w:r>
        <w:rPr>
          <w:rtl w:val="true"/>
        </w:rPr>
        <w:t xml:space="preserve">. </w:t>
      </w:r>
      <w:r>
        <w:rPr>
          <w:rtl w:val="true"/>
        </w:rPr>
        <w:t>صحابي يُقتص منه</w:t>
      </w:r>
      <w:bookmarkEnd w:id="1142"/>
    </w:p>
    <w:p>
      <w:pPr>
        <w:pStyle w:val="BookText"/>
        <w:rPr/>
      </w:pPr>
      <w:r>
        <w:rPr>
          <w:rFonts w:ascii="Amiri" w:hAnsi="Amiri" w:eastAsia="Amiri" w:cs="Amiri"/>
          <w:color w:val="111111"/>
          <w:sz w:val="28"/>
          <w:sz w:val="28"/>
          <w:szCs w:val="28"/>
          <w:rtl w:val="true"/>
          <w:lang w:bidi="ar-SA"/>
        </w:rPr>
        <w:t xml:space="preserve">وهذا حارث بن سويد بن الصامت شهد بدراً لكنّه قتل المِجذَر بن زياد يوم أُحد لثأر جاهلي فقُتِل بأمر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ابن الأثير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خلاف بين أهل الأثر انّ هذا قتله النبي بالمجذر بن زياد ، لأنّه قتل المجذر يوم أُحد غيلة</w:t>
      </w:r>
      <w:r>
        <w:rPr>
          <w:rFonts w:eastAsia="Amiri" w:cs="Amiri" w:ascii="Amiri" w:hAnsi="Amiri"/>
          <w:color w:val="111111"/>
          <w:sz w:val="28"/>
          <w:szCs w:val="28"/>
          <w:rtl w:val="true"/>
          <w:lang w:bidi="ar-SA"/>
        </w:rPr>
        <w:t xml:space="preserve">. </w:t>
      </w:r>
      <w:r>
        <w:rPr>
          <w:rStyle w:val="FootnoteAnchor"/>
          <w:rtl w:val="true"/>
        </w:rPr>
        <w:footnoteReference w:id="784"/>
      </w:r>
    </w:p>
    <w:p>
      <w:pPr>
        <w:pStyle w:val="Heading6"/>
        <w:numPr>
          <w:ilvl w:val="5"/>
          <w:numId w:val="1"/>
        </w:numPr>
        <w:rPr/>
      </w:pPr>
      <w:bookmarkStart w:id="1143" w:name="__RefHeading___Toc1391747_1067777946"/>
      <w:bookmarkStart w:id="1144" w:name="_Toc423"/>
      <w:bookmarkEnd w:id="1143"/>
      <w:r>
        <w:rPr/>
        <w:t>10</w:t>
      </w:r>
      <w:r>
        <w:rPr>
          <w:rtl w:val="true"/>
        </w:rPr>
        <w:t xml:space="preserve">. </w:t>
      </w:r>
      <w:r>
        <w:rPr>
          <w:rtl w:val="true"/>
        </w:rPr>
        <w:t>دعاء النبي على مُحلم بن جثامة</w:t>
      </w:r>
      <w:bookmarkEnd w:id="1144"/>
    </w:p>
    <w:p>
      <w:pPr>
        <w:pStyle w:val="BookText"/>
        <w:rPr/>
      </w:pPr>
      <w:r>
        <w:rPr>
          <w:rFonts w:ascii="Amiri" w:hAnsi="Amiri" w:eastAsia="Amiri" w:cs="Amiri"/>
          <w:color w:val="111111"/>
          <w:sz w:val="28"/>
          <w:sz w:val="28"/>
          <w:szCs w:val="28"/>
          <w:rtl w:val="true"/>
          <w:lang w:bidi="ar-SA"/>
        </w:rPr>
        <w:t xml:space="preserve">خرج هو ومعه نفر من المسلمين فيهم أبو قتادة حتّى إذا كانوا ببطن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بهم عامر بن الاضبط الأشجعي على بعير له ، وسلم عليهم بتحية الإسلام ، وحمل عليه محلم بن جثامة فقتله لشيء كان بينه وبينه وأخذ بعيره ومتاعه ، فلمّا قدموا على رسول الله وأخبروه الخبر ، فنزل فيهم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ضَرَبْتُمْ فِي سَبِيلِ اللهِ فَتَبَيَّنُوا وَلا تَقُولُوا لِمَنْ أَلْقى إِلَيْكُمُ السَّلامَ لَسْتَ 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785"/>
      </w:r>
    </w:p>
    <w:p>
      <w:pPr>
        <w:pStyle w:val="BookText"/>
        <w:rPr/>
      </w:pPr>
      <w:r>
        <w:rPr>
          <w:rFonts w:ascii="Amiri" w:hAnsi="Amiri" w:eastAsia="Amiri" w:cs="Amiri"/>
          <w:color w:val="111111"/>
          <w:sz w:val="28"/>
          <w:sz w:val="28"/>
          <w:szCs w:val="28"/>
          <w:rtl w:val="true"/>
          <w:lang w:bidi="ar-SA"/>
        </w:rPr>
        <w:t xml:space="preserve">وفي تفسير ابن كثير قال له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غفر الله لك</w:t>
      </w:r>
      <w:r>
        <w:rPr>
          <w:rFonts w:eastAsia="Amiri" w:cs="Amiri" w:ascii="Amiri" w:hAnsi="Amiri"/>
          <w:color w:val="111111"/>
          <w:sz w:val="28"/>
          <w:szCs w:val="28"/>
          <w:rtl w:val="true"/>
          <w:lang w:bidi="ar-SA"/>
        </w:rPr>
        <w:t xml:space="preserve">. </w:t>
      </w:r>
      <w:r>
        <w:rPr>
          <w:rStyle w:val="FootnoteAnchor"/>
          <w:rtl w:val="true"/>
        </w:rPr>
        <w:footnoteReference w:id="786"/>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نماذج من أصحاب النبي الذين اقترفوا المعاصي في حياة النبي وتنبّأ النبي بسوء مصيرهم ، أو ندد بعملهم ، وإلاّ فالمجروحون من أصحابه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وكفى في نقض الموجبة الكلية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الصحابة كلّهم 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القضية الجزئية</w:t>
      </w:r>
      <w:r>
        <w:rPr>
          <w:rFonts w:eastAsia="Amiri" w:cs="Amiri" w:ascii="Amiri" w:hAnsi="Amiri"/>
          <w:color w:val="111111"/>
          <w:sz w:val="28"/>
          <w:szCs w:val="28"/>
          <w:rtl w:val="true"/>
          <w:lang w:bidi="ar-SA"/>
        </w:rPr>
        <w:t xml:space="preserve">. </w:t>
      </w:r>
      <w:bookmarkStart w:id="1145" w:name="pg11047_103068"/>
    </w:p>
    <w:p>
      <w:pPr>
        <w:pStyle w:val="Heading3"/>
        <w:numPr>
          <w:ilvl w:val="2"/>
          <w:numId w:val="1"/>
        </w:numPr>
        <w:rPr/>
      </w:pPr>
      <w:bookmarkStart w:id="1146" w:name="__RefHeading___Toc1391749_1067777946"/>
      <w:bookmarkStart w:id="1147" w:name="_Toc424"/>
      <w:bookmarkEnd w:id="1145"/>
      <w:bookmarkEnd w:id="1146"/>
      <w:r>
        <w:rPr/>
        <w:t>11</w:t>
      </w:r>
      <w:r>
        <w:rPr>
          <w:rtl w:val="true"/>
        </w:rPr>
        <w:t xml:space="preserve">- </w:t>
      </w:r>
      <w:r>
        <w:rPr>
          <w:rtl w:val="true"/>
        </w:rPr>
        <w:t>عدالة الصحابة والتاريخ الصحيح</w:t>
      </w:r>
      <w:bookmarkEnd w:id="1147"/>
    </w:p>
    <w:p>
      <w:pPr>
        <w:pStyle w:val="Heading4"/>
        <w:numPr>
          <w:ilvl w:val="3"/>
          <w:numId w:val="1"/>
        </w:numPr>
        <w:rPr/>
      </w:pPr>
      <w:bookmarkStart w:id="1148" w:name="__RefHeading___Toc1391751_1067777946"/>
      <w:bookmarkStart w:id="1149" w:name="_Toc425"/>
      <w:bookmarkEnd w:id="1148"/>
      <w:r>
        <w:rPr>
          <w:rtl w:val="true"/>
        </w:rPr>
        <w:t>اشارة</w:t>
      </w:r>
      <w:bookmarkEnd w:id="1149"/>
    </w:p>
    <w:p>
      <w:pPr>
        <w:pStyle w:val="BookText"/>
        <w:rPr/>
      </w:pPr>
      <w:r>
        <w:rPr>
          <w:rFonts w:ascii="Amiri" w:hAnsi="Amiri" w:eastAsia="Amiri" w:cs="Amiri"/>
          <w:color w:val="111111"/>
          <w:sz w:val="28"/>
          <w:sz w:val="28"/>
          <w:szCs w:val="28"/>
          <w:rtl w:val="true"/>
          <w:lang w:bidi="ar-SA"/>
        </w:rPr>
        <w:t xml:space="preserve">لقد أوقفك الامعان في آيات الذكر الحكيم والسنّة النبوية على أنّ الصحابة لم يكونوا على وتيرة واحدة ، فكان فيهم الصالح والطالح ، والعادل والفاسق ، ومن حسنتْ صحبتُه ، ومن ساءتْ ، وبذلك انثلمتِ القاعدةُ العامّة المدّعاة في حقّ الصحابة وهي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الصحابة كلّهم 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بُرْهن في المنطق على أنّ نقيض الموجبة الكلية هو السالبة الجزئية ، وما ذكرناه من النماذج ليس إلاّ سوالب جزئية بالنسبة إلى الضابطة الكلية</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فهلمّ معي نسلّط الأضواء على ملامح من حياة الصحابة بعد رحيل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مشرقة من جانب ، إذ حملوا لواء الإسلام بأيديهم ، ونشروه في ربوع الأرض وقاتلوا وقتلوا ، وهذا ممّا لا يُنكر ، ومُظلمة من جانب آخر فانّ بعض من صحب النبي وعاشره اقترف جرائم لا تُغتفر ، سوّد بها صحيفة حياته حتّى عدّ عاراً على الصحابة أنفسِهم</w:t>
      </w:r>
      <w:r>
        <w:rPr>
          <w:rFonts w:eastAsia="Amiri" w:cs="Amiri" w:ascii="Amiri" w:hAnsi="Amiri"/>
          <w:color w:val="111111"/>
          <w:sz w:val="28"/>
          <w:szCs w:val="28"/>
          <w:rtl w:val="true"/>
          <w:lang w:bidi="ar-SA"/>
        </w:rPr>
        <w:t xml:space="preserve">. </w:t>
      </w:r>
      <w:bookmarkStart w:id="1150" w:name="pg11047_103069"/>
    </w:p>
    <w:p>
      <w:pPr>
        <w:pStyle w:val="BookText"/>
        <w:rPr/>
      </w:pPr>
      <w:bookmarkEnd w:id="1150"/>
      <w:r>
        <w:rPr>
          <w:rFonts w:ascii="Amiri" w:hAnsi="Amiri" w:eastAsia="Amiri" w:cs="Amiri"/>
          <w:color w:val="111111"/>
          <w:sz w:val="28"/>
          <w:sz w:val="28"/>
          <w:szCs w:val="28"/>
          <w:rtl w:val="true"/>
          <w:lang w:bidi="ar-SA"/>
        </w:rPr>
        <w:t>وها نحن نذكر في المقام نبذة موجزة عن بعض الصحابة الذين عدلوا عن الطريق المهيع لتكون نموذجاً لما لم نذكر ، فانّ استقصاء ذلك الجانب من حياة الصحابة رهن كتاب مفرد</w:t>
      </w:r>
      <w:r>
        <w:rPr>
          <w:rFonts w:eastAsia="Amiri" w:cs="Amiri" w:ascii="Amiri" w:hAnsi="Amiri"/>
          <w:color w:val="111111"/>
          <w:sz w:val="28"/>
          <w:szCs w:val="28"/>
          <w:rtl w:val="true"/>
          <w:lang w:bidi="ar-SA"/>
        </w:rPr>
        <w:t>.</w:t>
      </w:r>
    </w:p>
    <w:p>
      <w:pPr>
        <w:pStyle w:val="Heading4"/>
        <w:numPr>
          <w:ilvl w:val="3"/>
          <w:numId w:val="1"/>
        </w:numPr>
        <w:rPr/>
      </w:pPr>
      <w:bookmarkStart w:id="1151" w:name="__RefHeading___Toc1391753_1067777946"/>
      <w:bookmarkStart w:id="1152" w:name="_Toc426"/>
      <w:bookmarkEnd w:id="1151"/>
      <w:r>
        <w:rPr/>
        <w:t>1</w:t>
      </w:r>
      <w:r>
        <w:rPr>
          <w:rtl w:val="true"/>
        </w:rPr>
        <w:t xml:space="preserve">. </w:t>
      </w:r>
      <w:r>
        <w:rPr>
          <w:rtl w:val="true"/>
        </w:rPr>
        <w:t>صحابيّ يقتل صحابيّاً ويزني بزوجته</w:t>
      </w:r>
      <w:bookmarkEnd w:id="1152"/>
    </w:p>
    <w:p>
      <w:pPr>
        <w:pStyle w:val="BookText"/>
        <w:rPr/>
      </w:pPr>
      <w:r>
        <w:rPr>
          <w:rFonts w:ascii="Amiri" w:hAnsi="Amiri" w:eastAsia="Amiri" w:cs="Amiri"/>
          <w:color w:val="111111"/>
          <w:sz w:val="28"/>
          <w:sz w:val="28"/>
          <w:szCs w:val="28"/>
          <w:rtl w:val="true"/>
          <w:lang w:bidi="ar-SA"/>
        </w:rPr>
        <w:t xml:space="preserve">إنّ مالك بن نويرة بن حمزة اليربوعي يعرّفه الطبري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نويرة على صدقة بني يربوع وكان قد أسلم هو وأخوه متمم بن نويرة الشاعر</w:t>
      </w:r>
      <w:r>
        <w:rPr>
          <w:rFonts w:eastAsia="Amiri" w:cs="Amiri" w:ascii="Amiri" w:hAnsi="Amiri"/>
          <w:color w:val="111111"/>
          <w:sz w:val="28"/>
          <w:szCs w:val="28"/>
          <w:rtl w:val="true"/>
          <w:lang w:bidi="ar-SA"/>
        </w:rPr>
        <w:t xml:space="preserve">. </w:t>
      </w:r>
      <w:r>
        <w:rPr>
          <w:rStyle w:val="FootnoteAnchor"/>
          <w:rtl w:val="true"/>
        </w:rPr>
        <w:footnoteReference w:id="787"/>
      </w:r>
      <w:r>
        <w:rPr>
          <w:rFonts w:ascii="Amiri" w:hAnsi="Amiri" w:eastAsia="Amiri" w:cs="Amiri"/>
          <w:color w:val="111111"/>
          <w:sz w:val="28"/>
          <w:sz w:val="28"/>
          <w:szCs w:val="28"/>
          <w:rtl w:val="true"/>
          <w:lang w:bidi="ar-SA"/>
        </w:rPr>
        <w:t xml:space="preserve">ولما ارتحل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شاع الارتداد في القبائل ، وبعث أبو بكر خالد بن الوليد ليطفئ هذه الفتنة ، ولكنّ خالداً ، تجاوز الحدّ فقتل الصحابي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نويرة ، ولم يقتصر على قتله فحسب ، بل زنى بزوجته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قدم خالد المدينة بالسبي ومعه سبعة عشر من وفد بني حنيفة ، دخل المسجد وعليه قباء عليه صدأ الحديد ، متقلداً السيف ، وفي عمامته أسهُم ، فمرّ بعمر فلم يكلّمه ودخل على أبي بكر ، فرأى منه كلّ ما يُحب ، وإنّما وجد عليه عمر لقتله مالك بن نويرة وتزوّجه بامرأته</w:t>
      </w:r>
      <w:r>
        <w:rPr>
          <w:rFonts w:eastAsia="Amiri" w:cs="Amiri" w:ascii="Amiri" w:hAnsi="Amiri"/>
          <w:color w:val="111111"/>
          <w:sz w:val="28"/>
          <w:szCs w:val="28"/>
          <w:rtl w:val="true"/>
          <w:lang w:bidi="ar-SA"/>
        </w:rPr>
        <w:t xml:space="preserve">. </w:t>
      </w:r>
      <w:r>
        <w:rPr>
          <w:rStyle w:val="FootnoteAnchor"/>
          <w:rtl w:val="true"/>
        </w:rPr>
        <w:footnoteReference w:id="788"/>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شناعة الأمر بمكان ، بحيث انّ عمر بن الخطاب لمّا ولي الأمر عزله وكتب إلى أبي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قد استعملتك وعزلت خالداً</w:t>
      </w:r>
      <w:r>
        <w:rPr>
          <w:rFonts w:eastAsia="Amiri" w:cs="Amiri" w:ascii="Amiri" w:hAnsi="Amiri"/>
          <w:color w:val="111111"/>
          <w:sz w:val="28"/>
          <w:szCs w:val="28"/>
          <w:rtl w:val="true"/>
          <w:lang w:bidi="ar-SA"/>
        </w:rPr>
        <w:t xml:space="preserve">. </w:t>
      </w:r>
      <w:r>
        <w:rPr>
          <w:rStyle w:val="FootnoteAnchor"/>
          <w:rtl w:val="true"/>
        </w:rPr>
        <w:footnoteReference w:id="789"/>
      </w:r>
      <w:bookmarkStart w:id="1153" w:name="pg11047_103070"/>
    </w:p>
    <w:p>
      <w:pPr>
        <w:pStyle w:val="Heading4"/>
        <w:numPr>
          <w:ilvl w:val="3"/>
          <w:numId w:val="1"/>
        </w:numPr>
        <w:rPr/>
      </w:pPr>
      <w:bookmarkStart w:id="1154" w:name="__RefHeading___Toc1391755_1067777946"/>
      <w:bookmarkStart w:id="1155" w:name="_Toc427"/>
      <w:bookmarkEnd w:id="1153"/>
      <w:bookmarkEnd w:id="1154"/>
      <w:r>
        <w:rPr/>
        <w:t>2</w:t>
      </w:r>
      <w:r>
        <w:rPr>
          <w:rtl w:val="true"/>
        </w:rPr>
        <w:t xml:space="preserve">. </w:t>
      </w:r>
      <w:r>
        <w:rPr>
          <w:rtl w:val="true"/>
        </w:rPr>
        <w:t>سمرة بن جندب يبيع الخمر</w:t>
      </w:r>
      <w:bookmarkEnd w:id="1155"/>
    </w:p>
    <w:p>
      <w:pPr>
        <w:pStyle w:val="BookText"/>
        <w:rPr/>
      </w:pPr>
      <w:r>
        <w:rPr>
          <w:rFonts w:ascii="Amiri" w:hAnsi="Amiri" w:eastAsia="Amiri" w:cs="Amiri"/>
          <w:color w:val="111111"/>
          <w:sz w:val="28"/>
          <w:sz w:val="28"/>
          <w:szCs w:val="28"/>
          <w:rtl w:val="true"/>
          <w:lang w:bidi="ar-SA"/>
        </w:rPr>
        <w:t xml:space="preserve">تولّى سمرة بن جندب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إمارة البصرة في عهد معاوية ، وقد سفك من الدماء الكثير ، ومن شنائع ما اقترفه ، بيعه الخمر في عهد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مسلم في صحيحه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عمر انّ سمرة باع خمراً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الله سمرة ، ألم يعلم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اليهود حرمت عليهم الشحوم فجملوها فباعوها</w:t>
      </w:r>
      <w:r>
        <w:rPr>
          <w:rFonts w:eastAsia="Amiri" w:cs="Amiri" w:ascii="Amiri" w:hAnsi="Amiri"/>
          <w:color w:val="111111"/>
          <w:sz w:val="28"/>
          <w:szCs w:val="28"/>
          <w:rtl w:val="true"/>
          <w:lang w:bidi="ar-SA"/>
        </w:rPr>
        <w:t xml:space="preserve">. </w:t>
      </w:r>
      <w:r>
        <w:rPr>
          <w:rStyle w:val="FootnoteAnchor"/>
          <w:rtl w:val="true"/>
        </w:rPr>
        <w:footnoteReference w:id="790"/>
      </w:r>
    </w:p>
    <w:p>
      <w:pPr>
        <w:pStyle w:val="BookText"/>
        <w:rPr/>
      </w:pPr>
      <w:r>
        <w:rPr>
          <w:rFonts w:ascii="Amiri" w:hAnsi="Amiri" w:eastAsia="Amiri" w:cs="Amiri"/>
          <w:color w:val="111111"/>
          <w:sz w:val="28"/>
          <w:sz w:val="28"/>
          <w:szCs w:val="28"/>
          <w:rtl w:val="true"/>
          <w:lang w:bidi="ar-SA"/>
        </w:rPr>
        <w:t>ولم تقتصر القبائح التي ارتكبها سمرة بن جندب على ذلك ، بل تعداه إلى سفك الدماء والإسراف في قتل النفوس البريئة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الطبري في حوادث سنة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سليم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أنس بن سيرين هل كان سمرة قتل أحداً؟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يحصى من قتله سمرة بن جندب ، استخلفه زياد على البصرة ، وأتى الكوفة فجاء وقد قتل ثمانية آلاف من الناس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تخاف أن تكون قد قتلت أحداً بريئاً؟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قتلت إليهم مثلهم ما خشيت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أيضاً عن أبي سوار العدوي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سمرة بن جندب من قومي في غداة سبعة وأربعين رجلاً قد جمع القرآن</w:t>
      </w:r>
      <w:r>
        <w:rPr>
          <w:rFonts w:eastAsia="Amiri" w:cs="Amiri" w:ascii="Amiri" w:hAnsi="Amiri"/>
          <w:color w:val="111111"/>
          <w:sz w:val="28"/>
          <w:szCs w:val="28"/>
          <w:rtl w:val="true"/>
          <w:lang w:bidi="ar-SA"/>
        </w:rPr>
        <w:t xml:space="preserve">. </w:t>
      </w:r>
      <w:r>
        <w:rPr>
          <w:rStyle w:val="FootnoteAnchor"/>
          <w:rtl w:val="true"/>
        </w:rPr>
        <w:footnoteReference w:id="791"/>
      </w:r>
    </w:p>
    <w:p>
      <w:pPr>
        <w:pStyle w:val="Heading4"/>
        <w:numPr>
          <w:ilvl w:val="3"/>
          <w:numId w:val="1"/>
        </w:numPr>
        <w:rPr/>
      </w:pPr>
      <w:bookmarkStart w:id="1156" w:name="__RefHeading___Toc1391757_1067777946"/>
      <w:bookmarkStart w:id="1157" w:name="_Toc428"/>
      <w:bookmarkEnd w:id="1156"/>
      <w:r>
        <w:rPr/>
        <w:t>3</w:t>
      </w:r>
      <w:r>
        <w:rPr>
          <w:rtl w:val="true"/>
        </w:rPr>
        <w:t xml:space="preserve">. </w:t>
      </w:r>
      <w:r>
        <w:rPr>
          <w:rtl w:val="true"/>
        </w:rPr>
        <w:t>قدامة بن مظعون بدري يشرب الخمر</w:t>
      </w:r>
      <w:bookmarkEnd w:id="1157"/>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قدامة بن مظعون بن حبيب القريشي ، وهو خال عبد الله وحفصة ابني عمر بن الخطاب ، وقد استعمله عمر بن الخطاب على البحرين ، فقدم الجارود سيد عبد </w:t>
      </w:r>
      <w:bookmarkStart w:id="1158" w:name="pg11047_103071"/>
    </w:p>
    <w:p>
      <w:pPr>
        <w:pStyle w:val="BookText"/>
        <w:rPr/>
      </w:pPr>
      <w:bookmarkEnd w:id="1158"/>
      <w:r>
        <w:rPr>
          <w:rFonts w:ascii="Amiri" w:hAnsi="Amiri" w:eastAsia="Amiri" w:cs="Amiri"/>
          <w:color w:val="111111"/>
          <w:sz w:val="28"/>
          <w:sz w:val="28"/>
          <w:szCs w:val="28"/>
          <w:rtl w:val="true"/>
          <w:lang w:bidi="ar-SA"/>
        </w:rPr>
        <w:t xml:space="preserve">القيس على عمر بن الخطاب من البحرين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انّ قدامة شرب المسكر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يشهد معك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هريرة ، فدعي أبو هريرة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تشهد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أره يشرب ، ولكنّي رأيته سكران 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تنطعت في الشهادة ، ثمّ كتب إلى قدامة أن يقدم عليه من البحرين ، فقدم ، فقال الجارود 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على هذا كتاب الله الخ</w:t>
      </w:r>
      <w:r>
        <w:rPr>
          <w:rFonts w:eastAsia="Amiri" w:cs="Amiri" w:ascii="Amiri" w:hAnsi="Amiri"/>
          <w:color w:val="111111"/>
          <w:sz w:val="28"/>
          <w:szCs w:val="28"/>
          <w:rtl w:val="true"/>
          <w:lang w:bidi="ar-SA"/>
        </w:rPr>
        <w:t xml:space="preserve">. </w:t>
      </w:r>
      <w:r>
        <w:rPr>
          <w:rStyle w:val="FootnoteAnchor"/>
          <w:rtl w:val="true"/>
        </w:rPr>
        <w:footnoteReference w:id="792"/>
      </w:r>
    </w:p>
    <w:p>
      <w:pPr>
        <w:pStyle w:val="BookText"/>
        <w:rPr/>
      </w:pPr>
      <w:r>
        <w:rPr>
          <w:rFonts w:ascii="Amiri" w:hAnsi="Amiri" w:eastAsia="Amiri" w:cs="Amiri"/>
          <w:color w:val="111111"/>
          <w:sz w:val="28"/>
          <w:sz w:val="28"/>
          <w:szCs w:val="28"/>
          <w:rtl w:val="true"/>
          <w:lang w:bidi="ar-SA"/>
        </w:rPr>
        <w:t xml:space="preserve">قال عبد الرزاق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أيوب بن أبي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يحدّ في الخمر أحد من أهل بدر إلاّ قدامة بن مظعون</w:t>
      </w:r>
      <w:r>
        <w:rPr>
          <w:rFonts w:eastAsia="Amiri" w:cs="Amiri" w:ascii="Amiri" w:hAnsi="Amiri"/>
          <w:color w:val="111111"/>
          <w:sz w:val="28"/>
          <w:szCs w:val="28"/>
          <w:rtl w:val="true"/>
          <w:lang w:bidi="ar-SA"/>
        </w:rPr>
        <w:t xml:space="preserve">. </w:t>
      </w:r>
      <w:r>
        <w:rPr>
          <w:rStyle w:val="FootnoteAnchor"/>
          <w:rtl w:val="true"/>
        </w:rPr>
        <w:footnoteReference w:id="793"/>
      </w:r>
    </w:p>
    <w:p>
      <w:pPr>
        <w:pStyle w:val="Heading4"/>
        <w:numPr>
          <w:ilvl w:val="3"/>
          <w:numId w:val="1"/>
        </w:numPr>
        <w:rPr/>
      </w:pPr>
      <w:bookmarkStart w:id="1159" w:name="__RefHeading___Toc1391759_1067777946"/>
      <w:bookmarkStart w:id="1160" w:name="_Toc429"/>
      <w:bookmarkEnd w:id="1159"/>
      <w:r>
        <w:rPr/>
        <w:t>4</w:t>
      </w:r>
      <w:r>
        <w:rPr>
          <w:rtl w:val="true"/>
        </w:rPr>
        <w:t xml:space="preserve">. </w:t>
      </w:r>
      <w:r>
        <w:rPr>
          <w:rtl w:val="true"/>
        </w:rPr>
        <w:t>أبو جندل يُحدّ حدّ الخمر</w:t>
      </w:r>
      <w:bookmarkEnd w:id="1160"/>
    </w:p>
    <w:p>
      <w:pPr>
        <w:pStyle w:val="BookText"/>
        <w:rPr/>
      </w:pPr>
      <w:r>
        <w:rPr>
          <w:rFonts w:ascii="Amiri" w:hAnsi="Amiri" w:eastAsia="Amiri" w:cs="Amiri"/>
          <w:color w:val="111111"/>
          <w:sz w:val="28"/>
          <w:sz w:val="28"/>
          <w:szCs w:val="28"/>
          <w:rtl w:val="true"/>
          <w:lang w:bidi="ar-SA"/>
        </w:rPr>
        <w:t>أبو جندل بن سهيل بن عمرو القرشي العامري ، وكان أبوه سهيل كاتب قريش في صلح الحديبية ، وهو ممّن فرّ من مشركي مكة والتحق بالمسلمين في صلح الحديبية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عبد الرزاق عن ابن جريج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أخبرت انّ أبا عبيدة بالشام وجد أبا جندل بن سهيل بن عمرو ، وضرار بن الخطاب وأبا الأزور ، وهم من أصحاب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شربوا الخمر</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جندل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الذين آمنوا وعملوا الصالحات جناح فيما طمعوا إذا ما اتقوا وآمنوا وعملوا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فكتب أبو عبيدة إلى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أبا جندل خصمني بهذه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الذي زيّن لأبي جندل الخطيئة زيّن له الخصومة ، فاحددهم ، فقال أبو الأزور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أتحدّوننا؟ قال أبو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bookmarkStart w:id="1161" w:name="pg11047_103072"/>
    </w:p>
    <w:p>
      <w:pPr>
        <w:pStyle w:val="BookText"/>
        <w:rPr/>
      </w:pPr>
      <w:bookmarkEnd w:id="1161"/>
      <w:r>
        <w:rPr>
          <w:rFonts w:ascii="Amiri" w:hAnsi="Amiri" w:eastAsia="Amiri" w:cs="Amiri"/>
          <w:color w:val="111111"/>
          <w:sz w:val="28"/>
          <w:sz w:val="28"/>
          <w:szCs w:val="28"/>
          <w:rtl w:val="true"/>
          <w:lang w:bidi="ar-SA"/>
        </w:rPr>
        <w:t>فدعونا نلقى العدو غداً فإن قُتلنا فذاك ، وإن رجعنا إليكم فحدُّونا ، فلقى أبو جندل وضرار وأبو الأزور العدوَّ فاستشهد أبو الأزور وحّد الآخران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جندل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بذلك أبو عبيدة إلى عمر ، فكتب عمر إلى أبي جندل وترك أبا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 زين لك الخطيئة حظر عليك التوبة</w:t>
      </w:r>
      <w:r>
        <w:rPr>
          <w:rFonts w:eastAsia="Amiri" w:cs="Amiri" w:ascii="Amiri" w:hAnsi="Amiri"/>
          <w:color w:val="111111"/>
          <w:sz w:val="28"/>
          <w:szCs w:val="28"/>
          <w:rtl w:val="true"/>
          <w:lang w:bidi="ar-SA"/>
        </w:rPr>
        <w:t xml:space="preserve">. </w:t>
      </w:r>
      <w:r>
        <w:rPr>
          <w:rStyle w:val="FootnoteAnchor"/>
          <w:rtl w:val="true"/>
        </w:rPr>
        <w:footnoteReference w:id="794"/>
      </w:r>
    </w:p>
    <w:p>
      <w:pPr>
        <w:pStyle w:val="Heading4"/>
        <w:numPr>
          <w:ilvl w:val="3"/>
          <w:numId w:val="1"/>
        </w:numPr>
        <w:rPr/>
      </w:pPr>
      <w:bookmarkStart w:id="1162" w:name="__RefHeading___Toc1391761_1067777946"/>
      <w:bookmarkStart w:id="1163" w:name="_Toc430"/>
      <w:bookmarkEnd w:id="1162"/>
      <w:r>
        <w:rPr/>
        <w:t>5</w:t>
      </w:r>
      <w:r>
        <w:rPr>
          <w:rtl w:val="true"/>
        </w:rPr>
        <w:t xml:space="preserve">. </w:t>
      </w:r>
      <w:r>
        <w:rPr>
          <w:rtl w:val="true"/>
        </w:rPr>
        <w:t>أبو محجن الثقفي يُحد ثمانِ مرات</w:t>
      </w:r>
      <w:bookmarkEnd w:id="1163"/>
    </w:p>
    <w:p>
      <w:pPr>
        <w:pStyle w:val="BookText"/>
        <w:rPr/>
      </w:pPr>
      <w:r>
        <w:rPr>
          <w:rFonts w:ascii="Amiri" w:hAnsi="Amiri" w:eastAsia="Amiri" w:cs="Amiri"/>
          <w:color w:val="111111"/>
          <w:sz w:val="28"/>
          <w:sz w:val="28"/>
          <w:szCs w:val="28"/>
          <w:rtl w:val="true"/>
          <w:lang w:bidi="ar-SA"/>
        </w:rPr>
        <w:t xml:space="preserve">أبو محجن مالك بن حبيب الثقفي ، سمع من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عنه ، وحدث عنه أبو سعد البقال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أخوف ما أخاف عليكم على أُمّتي من بعدي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إيمان بالنجوم ، وتكذيب بالقدر ، وحيف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الاستيعاب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شاعراً مطبوعاً كريماً إلاّ أنّه منهمكاً في الشراب لا يكاد يُقلع عنه ، ولا يردعه حدّ ولا لوم لائم ، وجلده عمر بن الخطاب في الخمر مراراً ونفاه إلى جزيرة في البحر ، وبعث معه رجلاً فهرب منه ولحق بسعد بن أبي وقاص بالقادسية وهو محارب للفرس ، وكان قد همّ بقتل الرجل الذي بعثه معه عمر ، فأحس الرجل بذلك ، فخرج فارّاً فلحق بعمر فأخبره خبره ، فكتب عمر إلى سعد بن أبي وقاص بحبس ابن محجن ، فحبسه</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عن ابن جريج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انّ عمر بن الخطاب حدّ أبا محجن الثقفي في الخمر سبع مرات ، وقال قبيصة بن ذويب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عمر بن الخطاب أبا محجن الثقفي في الخمر ثماني مرات ، ومن رواية أهل الاخبار انّ ابناً لأبي محجن الثقفي دخل على معاوية ، 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أبوك الذي يقول </w:t>
      </w:r>
      <w:r>
        <w:rPr>
          <w:rFonts w:eastAsia="Amiri" w:cs="Amiri" w:ascii="Amiri" w:hAnsi="Amiri"/>
          <w:color w:val="111111"/>
          <w:sz w:val="28"/>
          <w:szCs w:val="28"/>
          <w:rtl w:val="true"/>
          <w:lang w:bidi="ar-SA"/>
        </w:rPr>
        <w:t xml:space="preserve">: </w:t>
      </w:r>
      <w:bookmarkStart w:id="1164" w:name="pg11047_103073"/>
    </w:p>
    <w:p>
      <w:pPr>
        <w:pStyle w:val="BookText"/>
        <w:rPr/>
      </w:pPr>
      <w:bookmarkEnd w:id="1164"/>
      <w:r>
        <w:rPr>
          <w:rFonts w:ascii="Amiri" w:hAnsi="Amiri" w:eastAsia="Amiri" w:cs="Amiri"/>
          <w:color w:val="111111"/>
          <w:sz w:val="28"/>
          <w:sz w:val="28"/>
          <w:szCs w:val="28"/>
          <w:rtl w:val="true"/>
          <w:lang w:bidi="ar-SA"/>
        </w:rPr>
        <w:t>إذا متُّ فادفنّي إلى جنب كرمة</w:t>
      </w:r>
    </w:p>
    <w:p>
      <w:pPr>
        <w:pStyle w:val="BookText"/>
        <w:rPr/>
      </w:pPr>
      <w:r>
        <w:rPr>
          <w:rFonts w:ascii="Amiri" w:hAnsi="Amiri" w:eastAsia="Amiri" w:cs="Amiri"/>
          <w:color w:val="111111"/>
          <w:sz w:val="28"/>
          <w:sz w:val="28"/>
          <w:szCs w:val="28"/>
          <w:rtl w:val="true"/>
          <w:lang w:bidi="ar-SA"/>
        </w:rPr>
        <w:t>تروّي عظامي بعد موتي عروقها</w:t>
      </w:r>
    </w:p>
    <w:p>
      <w:pPr>
        <w:pStyle w:val="BookText"/>
        <w:rPr/>
      </w:pPr>
      <w:r>
        <w:rPr>
          <w:rFonts w:ascii="Amiri" w:hAnsi="Amiri" w:eastAsia="Amiri" w:cs="Amiri"/>
          <w:color w:val="111111"/>
          <w:sz w:val="28"/>
          <w:sz w:val="28"/>
          <w:szCs w:val="28"/>
          <w:rtl w:val="true"/>
          <w:lang w:bidi="ar-SA"/>
        </w:rPr>
        <w:t>ولا تدفنني بالفلاة فإنّني</w:t>
      </w:r>
    </w:p>
    <w:p>
      <w:pPr>
        <w:pStyle w:val="BookText"/>
        <w:rPr/>
      </w:pPr>
      <w:r>
        <w:rPr>
          <w:rFonts w:ascii="IRNazanin" w:hAnsi="IRNazanin" w:eastAsia="IRNazanin"/>
          <w:color w:val="111111"/>
          <w:sz w:val="28"/>
          <w:sz w:val="28"/>
          <w:szCs w:val="28"/>
          <w:rtl w:val="true"/>
          <w:lang w:bidi="fa-IR"/>
        </w:rPr>
        <w:t>أخاف إذا ما متّ أن لا أذوقها</w:t>
      </w:r>
      <w:r>
        <w:rPr>
          <w:rStyle w:val="FootnoteAnchor"/>
          <w:rtl w:val="true"/>
        </w:rPr>
        <w:footnoteReference w:id="795"/>
      </w:r>
    </w:p>
    <w:p>
      <w:pPr>
        <w:pStyle w:val="BookText"/>
        <w:rPr/>
      </w:pPr>
      <w:r>
        <w:rPr>
          <w:rFonts w:ascii="Amiri" w:hAnsi="Amiri" w:eastAsia="Amiri" w:cs="Amiri"/>
          <w:color w:val="111111"/>
          <w:sz w:val="28"/>
          <w:sz w:val="28"/>
          <w:szCs w:val="28"/>
          <w:rtl w:val="true"/>
          <w:lang w:bidi="ar-SA"/>
        </w:rPr>
        <w:t xml:space="preserve">وقد عقد الحافظ الكبير عبد الرزاق باباً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من حدّ من أصحاب النبي وذكره فيه</w:t>
      </w:r>
      <w:r>
        <w:rPr>
          <w:rFonts w:eastAsia="Amiri" w:cs="Amiri" w:ascii="Amiri" w:hAnsi="Amiri"/>
          <w:color w:val="111111"/>
          <w:sz w:val="28"/>
          <w:szCs w:val="28"/>
          <w:rtl w:val="true"/>
          <w:lang w:bidi="ar-SA"/>
        </w:rPr>
        <w:t>».</w:t>
      </w:r>
    </w:p>
    <w:p>
      <w:pPr>
        <w:pStyle w:val="Heading4"/>
        <w:numPr>
          <w:ilvl w:val="3"/>
          <w:numId w:val="1"/>
        </w:numPr>
        <w:rPr/>
      </w:pPr>
      <w:bookmarkStart w:id="1165" w:name="__RefHeading___Toc1391763_1067777946"/>
      <w:bookmarkStart w:id="1166" w:name="_Toc431"/>
      <w:bookmarkEnd w:id="1165"/>
      <w:r>
        <w:rPr/>
        <w:t>6</w:t>
      </w:r>
      <w:r>
        <w:rPr>
          <w:rtl w:val="true"/>
        </w:rPr>
        <w:t xml:space="preserve">. </w:t>
      </w:r>
      <w:r>
        <w:rPr>
          <w:rtl w:val="true"/>
        </w:rPr>
        <w:t>مسلم بن عقبة يشن الغارة على أهل المدينة</w:t>
      </w:r>
      <w:bookmarkEnd w:id="1166"/>
    </w:p>
    <w:p>
      <w:pPr>
        <w:pStyle w:val="BookText"/>
        <w:rPr/>
      </w:pPr>
      <w:r>
        <w:rPr>
          <w:rFonts w:ascii="Amiri" w:hAnsi="Amiri" w:eastAsia="Amiri" w:cs="Amiri"/>
          <w:color w:val="111111"/>
          <w:sz w:val="28"/>
          <w:sz w:val="28"/>
          <w:szCs w:val="28"/>
          <w:rtl w:val="true"/>
          <w:lang w:bidi="ar-SA"/>
        </w:rPr>
        <w:t xml:space="preserve">مسلم بن عقبة الأشجعي من صحابة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وكفى في حقّه ما ذكره الطبري في حوادث سنة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فرغ مسلم بن عقبة من قتال أهل المدينة وإنهاب جنده أموالهم ثلاثاً ، شخص بمن معه من الجند متوجهاً إلى مكة ، فلما وصل إلى قفا المشلل نزل به الموت ، وذلك في آخر محرم من سنة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796"/>
      </w:r>
    </w:p>
    <w:p>
      <w:pPr>
        <w:pStyle w:val="Heading4"/>
        <w:numPr>
          <w:ilvl w:val="3"/>
          <w:numId w:val="1"/>
        </w:numPr>
        <w:rPr/>
      </w:pPr>
      <w:bookmarkStart w:id="1167" w:name="__RefHeading___Toc1391765_1067777946"/>
      <w:bookmarkStart w:id="1168" w:name="_Toc432"/>
      <w:bookmarkEnd w:id="1167"/>
      <w:r>
        <w:rPr/>
        <w:t>7</w:t>
      </w:r>
      <w:r>
        <w:rPr>
          <w:rtl w:val="true"/>
        </w:rPr>
        <w:t xml:space="preserve">. </w:t>
      </w:r>
      <w:r>
        <w:rPr>
          <w:rtl w:val="true"/>
        </w:rPr>
        <w:t>بسر بن أرطاة يذبح ولدي عبيد الله بن العباس</w:t>
      </w:r>
      <w:bookmarkEnd w:id="1168"/>
    </w:p>
    <w:p>
      <w:pPr>
        <w:pStyle w:val="BookText"/>
        <w:rPr/>
      </w:pPr>
      <w:r>
        <w:rPr>
          <w:rFonts w:ascii="Amiri" w:hAnsi="Amiri" w:eastAsia="Amiri" w:cs="Amiri"/>
          <w:color w:val="111111"/>
          <w:sz w:val="28"/>
          <w:sz w:val="28"/>
          <w:szCs w:val="28"/>
          <w:rtl w:val="true"/>
          <w:lang w:bidi="ar-SA"/>
        </w:rPr>
        <w:t xml:space="preserve">بسر بن أرطاة من أصحاب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فتح مصر واحتفظ بها ، وكان من شيعة معاوية ، وكان معاوية وجّهه إلى اليمن والحجاز في أوّل سنة أربعين وأمره أن ينظر من كان في طاعة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فيوقع بهم ، ففعل ذلك</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ارتكب جرائم كثيرة ذكرها التاريخ ، ولمّا كانت تمس عدالة الصحابة </w:t>
      </w:r>
      <w:bookmarkStart w:id="1169" w:name="pg11047_103074"/>
    </w:p>
    <w:p>
      <w:pPr>
        <w:pStyle w:val="BookText"/>
        <w:rPr/>
      </w:pPr>
      <w:bookmarkEnd w:id="1169"/>
      <w:r>
        <w:rPr>
          <w:rFonts w:ascii="Amiri" w:hAnsi="Amiri" w:eastAsia="Amiri" w:cs="Amiri"/>
          <w:color w:val="111111"/>
          <w:sz w:val="28"/>
          <w:sz w:val="28"/>
          <w:szCs w:val="28"/>
          <w:rtl w:val="true"/>
          <w:lang w:bidi="ar-SA"/>
        </w:rPr>
        <w:t xml:space="preserve">وكرامتهم أعرض ابن حجر عن استعراضها مكتفياً بالقول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أخبار شهيرة في الفتن لا ينبغي التشاغل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جرائمه التي لا تستقال ولا تغتفر ذبحه ولدي عبيد الله بن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معاوية بن أبي سفيان بعد تحكيم الحكمين بسر بن أبي أرطاة ، فساروا من الشام حتّى قدموا المدينة وعامل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المدينة يومئذ أبو أيوب الأنصاري ، ففر منهم أبو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صعد بسر على المنبر ونادى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المدينة والله لو لا ما عهد إليّ معاوية ما تركت بها محتلماً إلاّ قتلته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مضى بسر إلى اليمن وكان عليها عبيد الله بن العباس ، فلمّا بلغه مسيره فرّ إلى الكوفة واستخلف عبد الله بن عبد المدان الحارثي على اليمن ، فأتاه بسر فقتله وقتل ابنه ، ولقي بسر ثَقَل عبيد الله بن عباس وفيه ابنان له ، فذبحهما</w:t>
      </w:r>
      <w:r>
        <w:rPr>
          <w:rFonts w:eastAsia="Amiri" w:cs="Amiri" w:ascii="Amiri" w:hAnsi="Amiri"/>
          <w:color w:val="111111"/>
          <w:sz w:val="28"/>
          <w:szCs w:val="28"/>
          <w:rtl w:val="true"/>
          <w:lang w:bidi="ar-SA"/>
        </w:rPr>
        <w:t xml:space="preserve">. </w:t>
      </w:r>
      <w:r>
        <w:rPr>
          <w:rStyle w:val="FootnoteAnchor"/>
          <w:rtl w:val="true"/>
        </w:rPr>
        <w:footnoteReference w:id="797"/>
      </w:r>
    </w:p>
    <w:p>
      <w:pPr>
        <w:pStyle w:val="Heading4"/>
        <w:numPr>
          <w:ilvl w:val="3"/>
          <w:numId w:val="1"/>
        </w:numPr>
        <w:rPr/>
      </w:pPr>
      <w:bookmarkStart w:id="1170" w:name="__RefHeading___Toc1391767_1067777946"/>
      <w:bookmarkStart w:id="1171" w:name="_Toc433"/>
      <w:bookmarkEnd w:id="1170"/>
      <w:r>
        <w:rPr/>
        <w:t>8</w:t>
      </w:r>
      <w:r>
        <w:rPr>
          <w:rtl w:val="true"/>
        </w:rPr>
        <w:t xml:space="preserve">. </w:t>
      </w:r>
      <w:r>
        <w:rPr>
          <w:rtl w:val="true"/>
        </w:rPr>
        <w:t>أُمّ المؤمنين وتزعّمها لجيش جرار</w:t>
      </w:r>
      <w:bookmarkEnd w:id="1171"/>
    </w:p>
    <w:p>
      <w:pPr>
        <w:pStyle w:val="Heading5"/>
        <w:numPr>
          <w:ilvl w:val="4"/>
          <w:numId w:val="1"/>
        </w:numPr>
        <w:rPr/>
      </w:pPr>
      <w:bookmarkStart w:id="1172" w:name="__RefHeading___Toc1391769_1067777946"/>
      <w:bookmarkStart w:id="1173" w:name="_Toc434"/>
      <w:bookmarkEnd w:id="1172"/>
      <w:r>
        <w:rPr>
          <w:rtl w:val="true"/>
        </w:rPr>
        <w:t>اشارة</w:t>
      </w:r>
      <w:bookmarkEnd w:id="1173"/>
    </w:p>
    <w:p>
      <w:pPr>
        <w:pStyle w:val="BookText"/>
        <w:rPr/>
      </w:pPr>
      <w:r>
        <w:rPr>
          <w:rFonts w:ascii="Amiri" w:hAnsi="Amiri" w:eastAsia="Amiri" w:cs="Amiri"/>
          <w:color w:val="111111"/>
          <w:sz w:val="28"/>
          <w:sz w:val="28"/>
          <w:szCs w:val="28"/>
          <w:rtl w:val="true"/>
          <w:lang w:bidi="ar-SA"/>
        </w:rPr>
        <w:t xml:space="preserve">أمر الله تبارك وتعالى أُمّهات المؤمنين بملازمة بيوتهن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وَقَرْنَ فِي بُيُوتِكُنَّ وَلا تَبَرَّجْنَ تَبَرُّجَ الْجاهِلِيَّةِ الْأُولى وَأَقِمْنَ الصَّلاةَ وَآتِينَ الزَّكاةَ وَأَطِعْنَ اللهَ وَرَسُولَهُ</w:t>
      </w:r>
      <w:r>
        <w:rPr>
          <w:rFonts w:eastAsia="Amiri" w:cs="Amiri" w:ascii="Amiri" w:hAnsi="Amiri"/>
          <w:color w:val="111111"/>
          <w:sz w:val="28"/>
          <w:szCs w:val="28"/>
          <w:rtl w:val="true"/>
          <w:lang w:bidi="ar-SA"/>
        </w:rPr>
        <w:t xml:space="preserve">). </w:t>
      </w:r>
      <w:r>
        <w:rPr>
          <w:rStyle w:val="FootnoteAnchor"/>
          <w:rtl w:val="true"/>
        </w:rPr>
        <w:footnoteReference w:id="798"/>
      </w:r>
    </w:p>
    <w:p>
      <w:pPr>
        <w:pStyle w:val="BookText"/>
        <w:rPr/>
      </w:pPr>
      <w:r>
        <w:rPr>
          <w:rFonts w:ascii="Amiri" w:hAnsi="Amiri" w:eastAsia="Amiri" w:cs="Amiri"/>
          <w:color w:val="111111"/>
          <w:sz w:val="28"/>
          <w:sz w:val="28"/>
          <w:szCs w:val="28"/>
          <w:rtl w:val="true"/>
          <w:lang w:bidi="ar-SA"/>
        </w:rPr>
        <w:t xml:space="preserve">وقد خالفت أُمّ المؤمنين عائشة أمر الكتاب العزيز حينما خرجت مع طلحة والزبير في جيش جرّار لمحاربة الإمام أمير المؤمنين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بايعه جمهور الصحابة من المهاجرين والأنصار</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لها موقف عدائي واضح من الإمام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ولمّا بلغها قتل </w:t>
      </w:r>
      <w:bookmarkStart w:id="1174" w:name="pg11047_103075"/>
    </w:p>
    <w:p>
      <w:pPr>
        <w:pStyle w:val="BookText"/>
        <w:rPr/>
      </w:pPr>
      <w:bookmarkEnd w:id="1174"/>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أنشدت قائلة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فألقت عصاها واستقرّ بها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قرّ عيناً بالإياب المسافر</w:t>
      </w:r>
      <w:r>
        <w:rPr>
          <w:rStyle w:val="FootnoteAnchor"/>
          <w:rtl w:val="true"/>
        </w:rPr>
        <w:footnoteReference w:id="799"/>
      </w:r>
    </w:p>
    <w:p>
      <w:pPr>
        <w:pStyle w:val="BookText"/>
        <w:rPr/>
      </w:pPr>
      <w:r>
        <w:rPr>
          <w:rFonts w:ascii="Amiri" w:hAnsi="Amiri" w:eastAsia="Amiri" w:cs="Amiri"/>
          <w:color w:val="111111"/>
          <w:sz w:val="28"/>
          <w:sz w:val="28"/>
          <w:szCs w:val="28"/>
          <w:rtl w:val="true"/>
          <w:lang w:bidi="ar-SA"/>
        </w:rPr>
        <w:t xml:space="preserve">فهذه الصحابية مع ما لها من منزلة رفيعة بين المسلمين قادت جيشاً كبيراً لمحاربة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ودارت بينهما معركة شرسة ، قُتل فيها من المسلمين ما يربو على عشرة آلاف حسب ما ذكره الطبري</w:t>
      </w:r>
      <w:r>
        <w:rPr>
          <w:rFonts w:eastAsia="Amiri" w:cs="Amiri" w:ascii="Amiri" w:hAnsi="Amiri"/>
          <w:color w:val="111111"/>
          <w:sz w:val="28"/>
          <w:szCs w:val="28"/>
          <w:rtl w:val="true"/>
          <w:lang w:bidi="ar-SA"/>
        </w:rPr>
        <w:t xml:space="preserve">. </w:t>
      </w:r>
      <w:r>
        <w:rPr>
          <w:rStyle w:val="FootnoteAnchor"/>
          <w:rtl w:val="true"/>
        </w:rPr>
        <w:footnoteReference w:id="800"/>
      </w:r>
    </w:p>
    <w:p>
      <w:pPr>
        <w:pStyle w:val="BookText"/>
        <w:rPr/>
      </w:pPr>
      <w:r>
        <w:rPr>
          <w:rFonts w:ascii="Amiri" w:hAnsi="Amiri" w:eastAsia="Amiri" w:cs="Amiri"/>
          <w:color w:val="111111"/>
          <w:sz w:val="28"/>
          <w:sz w:val="28"/>
          <w:szCs w:val="28"/>
          <w:rtl w:val="true"/>
          <w:lang w:bidi="ar-SA"/>
        </w:rPr>
        <w:t xml:space="preserve">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القتلى يفوق هذا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نماذج ممّا يطالعه القارئ في مرآة التاريخ ، ولو حاولنا الاستقصاء لفاق هذا العدد بكثير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سبر التاريخ بروح موضوعية وتجرد ، يجد انّ فئة من الصحابة سوّدت وجه التاريخ بنحو يثير أسف الخلف على هذا السلف</w:t>
      </w:r>
      <w:r>
        <w:rPr>
          <w:rFonts w:eastAsia="Amiri" w:cs="Amiri" w:ascii="Amiri" w:hAnsi="Amiri"/>
          <w:color w:val="111111"/>
          <w:sz w:val="28"/>
          <w:szCs w:val="28"/>
          <w:rtl w:val="true"/>
          <w:lang w:bidi="ar-SA"/>
        </w:rPr>
        <w:t>.</w:t>
      </w:r>
    </w:p>
    <w:p>
      <w:pPr>
        <w:pStyle w:val="Heading5"/>
        <w:numPr>
          <w:ilvl w:val="4"/>
          <w:numId w:val="1"/>
        </w:numPr>
        <w:rPr/>
      </w:pPr>
      <w:bookmarkStart w:id="1175" w:name="__RefHeading___Toc1391771_1067777946"/>
      <w:bookmarkStart w:id="1176" w:name="_Toc435"/>
      <w:bookmarkEnd w:id="1175"/>
      <w:r>
        <w:rPr>
          <w:rtl w:val="true"/>
        </w:rPr>
        <w:t>ادّعاء العدالة لعامة الصحابة تنكّر للطبيعة البشرية</w:t>
      </w:r>
      <w:bookmarkEnd w:id="1176"/>
    </w:p>
    <w:p>
      <w:pPr>
        <w:pStyle w:val="BookText"/>
        <w:rPr/>
      </w:pPr>
      <w:r>
        <w:rPr>
          <w:rFonts w:ascii="Amiri" w:hAnsi="Amiri" w:eastAsia="Amiri" w:cs="Amiri"/>
          <w:color w:val="111111"/>
          <w:sz w:val="28"/>
          <w:sz w:val="28"/>
          <w:szCs w:val="28"/>
          <w:rtl w:val="true"/>
          <w:lang w:bidi="ar-SA"/>
        </w:rPr>
        <w:t>إنّ الصحابة الكرام لهم غرائز جامحة كسائر الناس ، فمن الغريب استثناء هذا الجيل عن سائر الأجيال ، وإضفاء هالة من القداسة عليهم بلا 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للصحبة ، البعد الإعجازي حتّى يقلب فطرتهم رأساً على عقب ، ويحوّلهم إلى أشخاص مثاليّين ، بل هم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ميول وغرائز ، قد ينفلت زمامها ، فتُلقي بهم في وديان الهوى والظلم والعصيان</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ذكرناه هو الذي يدعمه الذكر الحكيم والسنّة النبوية وتاريخ </w:t>
      </w:r>
    </w:p>
    <w:p>
      <w:pPr>
        <w:pStyle w:val="BookText"/>
        <w:rPr/>
      </w:pPr>
      <w:r>
        <w:rPr>
          <w:rFonts w:ascii="Amiri" w:hAnsi="Amiri" w:eastAsia="Amiri" w:cs="Amiri"/>
          <w:color w:val="111111"/>
          <w:sz w:val="28"/>
          <w:sz w:val="28"/>
          <w:szCs w:val="28"/>
          <w:rtl w:val="true"/>
          <w:lang w:bidi="ar-SA"/>
        </w:rPr>
        <w:t>الصحابة ، فمن حاول الإصرار على موقفه من عدالة الصحابة كلّهم ، فقد خالف صريح القرآن الكريم والسنّة الشريفة وما أطبق عليه التاريخ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الرغم من ذلك فإنّ القائلين بعدالة الصحابة استدلّوا بوجوه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ثناء الكتاب على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ثناء السنّة عليهم</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وسنعقد بحثاً في الفصول الآتية نتناول فيه هذه الوجوه نقداً وتمحيصاً</w:t>
      </w:r>
      <w:r>
        <w:rPr>
          <w:rFonts w:eastAsia="Amiri" w:cs="Amiri" w:ascii="Amiri" w:hAnsi="Amiri"/>
          <w:color w:val="111111"/>
          <w:sz w:val="28"/>
          <w:szCs w:val="28"/>
          <w:rtl w:val="true"/>
          <w:lang w:bidi="ar-SA"/>
        </w:rPr>
        <w:t xml:space="preserve">. </w:t>
      </w:r>
      <w:bookmarkStart w:id="1177" w:name="pg11047_103077"/>
    </w:p>
    <w:p>
      <w:pPr>
        <w:pStyle w:val="Heading3"/>
        <w:numPr>
          <w:ilvl w:val="2"/>
          <w:numId w:val="1"/>
        </w:numPr>
        <w:rPr/>
      </w:pPr>
      <w:bookmarkStart w:id="1178" w:name="__RefHeading___Toc1391773_1067777946"/>
      <w:bookmarkStart w:id="1179" w:name="_Toc436"/>
      <w:bookmarkEnd w:id="1177"/>
      <w:bookmarkEnd w:id="1178"/>
      <w:r>
        <w:rPr/>
        <w:t>12</w:t>
      </w:r>
      <w:r>
        <w:rPr>
          <w:rtl w:val="true"/>
        </w:rPr>
        <w:t xml:space="preserve">. </w:t>
      </w:r>
      <w:r>
        <w:rPr>
          <w:rtl w:val="true"/>
        </w:rPr>
        <w:t>أدلّة القائلين بعدالة الصحابة</w:t>
      </w:r>
      <w:bookmarkEnd w:id="1179"/>
    </w:p>
    <w:p>
      <w:pPr>
        <w:pStyle w:val="Heading4"/>
        <w:numPr>
          <w:ilvl w:val="3"/>
          <w:numId w:val="1"/>
        </w:numPr>
        <w:rPr/>
      </w:pPr>
      <w:bookmarkStart w:id="1180" w:name="__RefHeading___Toc1391775_1067777946"/>
      <w:bookmarkStart w:id="1181" w:name="_Toc437"/>
      <w:bookmarkEnd w:id="1180"/>
      <w:r>
        <w:rPr/>
        <w:t>1</w:t>
      </w:r>
      <w:r>
        <w:rPr>
          <w:rtl w:val="true"/>
        </w:rPr>
        <w:t xml:space="preserve">- </w:t>
      </w:r>
      <w:r>
        <w:rPr>
          <w:rtl w:val="true"/>
        </w:rPr>
        <w:t>الإجماع على عدالة الصحابة</w:t>
      </w:r>
      <w:bookmarkEnd w:id="1181"/>
    </w:p>
    <w:p>
      <w:pPr>
        <w:pStyle w:val="Heading5"/>
        <w:numPr>
          <w:ilvl w:val="4"/>
          <w:numId w:val="1"/>
        </w:numPr>
        <w:rPr/>
      </w:pPr>
      <w:bookmarkStart w:id="1182" w:name="__RefHeading___Toc1391777_1067777946"/>
      <w:bookmarkStart w:id="1183" w:name="_Toc438"/>
      <w:bookmarkEnd w:id="1182"/>
      <w:r>
        <w:rPr>
          <w:rtl w:val="true"/>
        </w:rPr>
        <w:t>اشارة</w:t>
      </w:r>
      <w:bookmarkEnd w:id="1183"/>
    </w:p>
    <w:p>
      <w:pPr>
        <w:pStyle w:val="BookText"/>
        <w:rPr/>
      </w:pPr>
      <w:r>
        <w:rPr>
          <w:rFonts w:ascii="Amiri" w:hAnsi="Amiri" w:eastAsia="Amiri" w:cs="Amiri"/>
          <w:color w:val="111111"/>
          <w:sz w:val="28"/>
          <w:sz w:val="28"/>
          <w:szCs w:val="28"/>
          <w:rtl w:val="true"/>
          <w:lang w:bidi="ar-SA"/>
        </w:rPr>
        <w:t xml:space="preserve">استدلّ القائلون بعدالة الصحابة وهم جمهور السنّة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على عدالتهم وقد مرّ آنفاً كلمة إمام الحنابلة وغيره ، يقول ابن حزم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انّا نقطع على غيب قلوبهم انّهم كلّهم مؤمنون صالحون ماتوا كلّهم على الإيمان والهدى والبر ، كلّهم من أهل الجنّة لا يلج أحد منهم النار</w:t>
      </w:r>
      <w:r>
        <w:rPr>
          <w:rFonts w:eastAsia="Amiri" w:cs="Amiri" w:ascii="Amiri" w:hAnsi="Amiri"/>
          <w:color w:val="111111"/>
          <w:sz w:val="28"/>
          <w:szCs w:val="28"/>
          <w:rtl w:val="true"/>
          <w:lang w:bidi="ar-SA"/>
        </w:rPr>
        <w:t xml:space="preserve">. </w:t>
      </w:r>
      <w:r>
        <w:rPr>
          <w:rStyle w:val="FootnoteAnchor"/>
          <w:rtl w:val="true"/>
        </w:rPr>
        <w:footnoteReference w:id="801"/>
      </w:r>
    </w:p>
    <w:p>
      <w:pPr>
        <w:pStyle w:val="BookText"/>
        <w:rPr/>
      </w:pPr>
      <w:r>
        <w:rPr>
          <w:rFonts w:ascii="Amiri" w:hAnsi="Amiri" w:eastAsia="Amiri" w:cs="Amiri"/>
          <w:color w:val="111111"/>
          <w:sz w:val="28"/>
          <w:sz w:val="28"/>
          <w:szCs w:val="28"/>
          <w:rtl w:val="true"/>
          <w:lang w:bidi="ar-SA"/>
        </w:rPr>
        <w:t xml:space="preserve">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كيف يدّعي الإجماع على خلاف ما نطق به الكتاب العزيز والسنّة النبوية والتاريخ الصحيح ، أو ليس هذا الإجماع ، إجماعاً على خلاف الحجج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كيف يدّعي الإجماع مع أنّ في عدالة الصحابة أقوالاً مختلفة نذكر منها 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الخطيب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السنّة قبل التدوين</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للصحبة شرفاً عظيماً يمنح صاحبها ميزة خاصة ، وهي انّ جميع الصحابة </w:t>
      </w:r>
      <w:bookmarkStart w:id="1184" w:name="pg11047_103078"/>
    </w:p>
    <w:p>
      <w:pPr>
        <w:pStyle w:val="BookText"/>
        <w:rPr/>
      </w:pPr>
      <w:bookmarkEnd w:id="1184"/>
      <w:r>
        <w:rPr>
          <w:rFonts w:ascii="Amiri" w:hAnsi="Amiri" w:eastAsia="Amiri" w:cs="Amiri"/>
          <w:color w:val="111111"/>
          <w:sz w:val="28"/>
          <w:sz w:val="28"/>
          <w:szCs w:val="28"/>
          <w:rtl w:val="true"/>
          <w:lang w:bidi="ar-SA"/>
        </w:rPr>
        <w:t>عند من يعتدّ به من أهل السنّة عدول ، سواء من لابس منهم الفتن ومن لم يلابس ، وهو قول الجمهور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حكمهم في العدالة حكم من بعدهم في لزوم البحث عن عدالتهم عند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لم يزالوا عدولاً إلى أن وقع الاختلاف والفتن بينهم ، فبعد ذلك لا بدّ من البحث في عدالتهم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المعتزلة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كلّ من قاتل عليّاً عالماً فهو فاسق مردود الرواية والشهادة ، لخروجهم على الإمام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قال برد رواية الكلّ وشهادتهم ، لأنّ أحد الفريقين فاسق وهو غير معلوم ولا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بقبول رواية كلّ واحد منهم وشهادته إذا انفرد ، لأنّ الأصل فيه العدالة ، وقد شككنا في فسقه ، ولا يقبل ذلك منه مع مخالفه ، لتحقّق فسق أحدهما من غير تعيين</w:t>
      </w:r>
      <w:r>
        <w:rPr>
          <w:rFonts w:eastAsia="Amiri" w:cs="Amiri" w:ascii="Amiri" w:hAnsi="Amiri"/>
          <w:color w:val="111111"/>
          <w:sz w:val="28"/>
          <w:szCs w:val="28"/>
          <w:rtl w:val="true"/>
          <w:lang w:bidi="ar-SA"/>
        </w:rPr>
        <w:t xml:space="preserve">. </w:t>
      </w:r>
      <w:r>
        <w:rPr>
          <w:rStyle w:val="FootnoteAnchor"/>
          <w:rtl w:val="true"/>
        </w:rPr>
        <w:footnoteReference w:id="802"/>
      </w:r>
    </w:p>
    <w:p>
      <w:pPr>
        <w:pStyle w:val="BookText"/>
        <w:rPr/>
      </w:pPr>
      <w:r>
        <w:rPr>
          <w:rFonts w:ascii="Amiri" w:hAnsi="Amiri" w:eastAsia="Amiri" w:cs="Amiri"/>
          <w:color w:val="111111"/>
          <w:sz w:val="28"/>
          <w:sz w:val="28"/>
          <w:szCs w:val="28"/>
          <w:rtl w:val="true"/>
          <w:lang w:bidi="ar-SA"/>
        </w:rPr>
        <w:t>وقد مرّ انّ عمر بن عبد العزيز ، وأحمد بن حنبل وغيرهما قالوا بلزوم الإمساك عمّا شجر بين الصحابة في الخلاف ، وما روي عنهم من اقتراف المعاصي ، ومعنى ذلك انّهم وقفوا على واقع الأمر وأرادوا التغطية على الواقع الملموس ، حفظاً لعقائد المسلمين</w:t>
      </w:r>
      <w:r>
        <w:rPr>
          <w:rFonts w:eastAsia="Amiri" w:cs="Amiri" w:ascii="Amiri" w:hAnsi="Amiri"/>
          <w:color w:val="111111"/>
          <w:sz w:val="28"/>
          <w:szCs w:val="28"/>
          <w:rtl w:val="true"/>
          <w:lang w:bidi="ar-SA"/>
        </w:rPr>
        <w:t>!!</w:t>
      </w:r>
    </w:p>
    <w:p>
      <w:pPr>
        <w:pStyle w:val="Heading5"/>
        <w:numPr>
          <w:ilvl w:val="4"/>
          <w:numId w:val="1"/>
        </w:numPr>
        <w:rPr/>
      </w:pPr>
      <w:bookmarkStart w:id="1185" w:name="__RefHeading___Toc1391779_1067777946"/>
      <w:bookmarkStart w:id="1186" w:name="_Toc439"/>
      <w:bookmarkEnd w:id="1185"/>
      <w:r>
        <w:rPr>
          <w:rtl w:val="true"/>
        </w:rPr>
        <w:t>كلام التفتازاني في حقّ الصحابة</w:t>
      </w:r>
      <w:bookmarkEnd w:id="1186"/>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كلام للشيخ التفتازاني في شرح مقاصده مع أنّه استولت عليه </w:t>
      </w:r>
    </w:p>
    <w:p>
      <w:pPr>
        <w:pStyle w:val="BookText"/>
        <w:rPr/>
      </w:pPr>
      <w:r>
        <w:rPr>
          <w:rFonts w:ascii="Amiri" w:hAnsi="Amiri" w:eastAsia="Amiri" w:cs="Amiri"/>
          <w:color w:val="111111"/>
          <w:sz w:val="28"/>
          <w:sz w:val="28"/>
          <w:szCs w:val="28"/>
          <w:rtl w:val="true"/>
          <w:lang w:bidi="ar-SA"/>
        </w:rPr>
        <w:t xml:space="preserve">العصبية بدعوته إلى ترك الكلام في حقّ البغاة والجائرين من الصحابة ، ولكنّه أصحر بالحقيقة ،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وقع بين الصحابة من المحاربات والمشاجرات على الوجه المسطور في كتب التواريخ والمذكور على ألسنة الثقات يدلّ بظاهره على أنّ بعضهم قد حاد عن طريق الحقّ ، وبلغ حدّ الظلم والفسق وكان الباعث له الحقد والعناد والحسد واللداد ، وطلب الملك والرئاسة ، والميل إلى اللذات والشهوات ، إذ ليس كلّ صحابي معصوماً ولا كلّ من لقي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بالخير موسوماً إلاّ أنّ العلماء لحسن ظنهم بأصحاب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ذكروا لها محامل وتأويلات بها تليق ، وذهبوا إلى أنّهم محفوظون عمّا يوجب التضليل والتفسيق ، صوناً لعقائد المسلمين عن الزيغ والضلالة في حقّ كبار الصحابة لا سيما المهاجرين منهم ، والأنصار ، والمبشرين بالثواب في دار القرار</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جرى بعدهم من الظلم على أهل بيت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الظهور بحيث لا مجال للإخفاء ، ومن الشناعة بحيث لا اشتباه على الآراء ، إذ تكاد تشهد به الجماد والعجماء ، ويبكي له من في الأرض والسماء ، وتنهد منه الجبال وتنشق الصخور ، ويبقى سوء عمله على كرّ الشهور ، ومرّ الدهور فلعنة الله على من باشر أو رضي أو سعى ولعذاب الآخرة أشدّ وأبقى</w:t>
      </w:r>
      <w:r>
        <w:rPr>
          <w:rFonts w:eastAsia="Amiri" w:cs="Amiri" w:ascii="Amiri" w:hAnsi="Amiri"/>
          <w:color w:val="111111"/>
          <w:sz w:val="28"/>
          <w:szCs w:val="28"/>
          <w:rtl w:val="true"/>
          <w:lang w:bidi="ar-SA"/>
        </w:rPr>
        <w:t xml:space="preserve">. </w:t>
      </w:r>
      <w:r>
        <w:rPr>
          <w:rStyle w:val="FootnoteAnchor"/>
          <w:rtl w:val="true"/>
        </w:rPr>
        <w:footnoteReference w:id="803"/>
      </w:r>
      <w:bookmarkStart w:id="1187" w:name="pg11047_103080"/>
    </w:p>
    <w:p>
      <w:pPr>
        <w:pStyle w:val="Heading4"/>
        <w:numPr>
          <w:ilvl w:val="3"/>
          <w:numId w:val="1"/>
        </w:numPr>
        <w:rPr/>
      </w:pPr>
      <w:bookmarkStart w:id="1188" w:name="__RefHeading___Toc1391781_1067777946"/>
      <w:bookmarkStart w:id="1189" w:name="_Toc440"/>
      <w:bookmarkEnd w:id="1187"/>
      <w:bookmarkEnd w:id="1188"/>
      <w:r>
        <w:rPr/>
        <w:t>2</w:t>
      </w:r>
      <w:r>
        <w:rPr>
          <w:rtl w:val="true"/>
        </w:rPr>
        <w:t xml:space="preserve">- </w:t>
      </w:r>
      <w:r>
        <w:rPr>
          <w:rtl w:val="true"/>
        </w:rPr>
        <w:t>ثناء القرآن على الصحابة</w:t>
      </w:r>
      <w:bookmarkEnd w:id="1189"/>
    </w:p>
    <w:p>
      <w:pPr>
        <w:pStyle w:val="Heading5"/>
        <w:numPr>
          <w:ilvl w:val="4"/>
          <w:numId w:val="1"/>
        </w:numPr>
        <w:rPr/>
      </w:pPr>
      <w:bookmarkStart w:id="1190" w:name="__RefHeading___Toc1391783_1067777946"/>
      <w:bookmarkStart w:id="1191" w:name="_Toc441"/>
      <w:bookmarkEnd w:id="1190"/>
      <w:r>
        <w:rPr>
          <w:rtl w:val="true"/>
        </w:rPr>
        <w:t>اشارة</w:t>
      </w:r>
      <w:bookmarkEnd w:id="1191"/>
    </w:p>
    <w:p>
      <w:pPr>
        <w:pStyle w:val="BookText"/>
        <w:rPr/>
      </w:pPr>
      <w:r>
        <w:rPr>
          <w:rFonts w:ascii="Amiri" w:hAnsi="Amiri" w:eastAsia="Amiri" w:cs="Amiri"/>
          <w:color w:val="111111"/>
          <w:sz w:val="28"/>
          <w:sz w:val="28"/>
          <w:szCs w:val="28"/>
          <w:rtl w:val="true"/>
          <w:lang w:bidi="ar-SA"/>
        </w:rPr>
        <w:t xml:space="preserve">استدلّ غير واحد من القائلين بعدالة الصحابة كلّهم ، بآيات ورد فيها الثناء على طوائف منهم ، وليس على كلّ الصحابة ، لكن حب المستدلين للنبي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 ، حال بينهم وبين ما تهدف إليها آيات الثناء ، فزعموا انّها تُثني على الصحابة بأجمعهم وانّه سبحانه شمل الجميع بثنائه وأشاد بفضلهم وفضيلتهم من دون استثناء وإليك هذه الآيات</w:t>
      </w:r>
      <w:r>
        <w:rPr>
          <w:rFonts w:eastAsia="Amiri" w:cs="Amiri" w:ascii="Amiri" w:hAnsi="Amiri"/>
          <w:color w:val="111111"/>
          <w:sz w:val="28"/>
          <w:szCs w:val="28"/>
          <w:rtl w:val="true"/>
          <w:lang w:bidi="ar-SA"/>
        </w:rPr>
        <w:t>.</w:t>
      </w:r>
    </w:p>
    <w:p>
      <w:pPr>
        <w:pStyle w:val="Heading5"/>
        <w:numPr>
          <w:ilvl w:val="4"/>
          <w:numId w:val="1"/>
        </w:numPr>
        <w:rPr/>
      </w:pPr>
      <w:bookmarkStart w:id="1192" w:name="__RefHeading___Toc1391785_1067777946"/>
      <w:bookmarkStart w:id="1193" w:name="_Toc442"/>
      <w:bookmarkEnd w:id="1192"/>
      <w:r>
        <w:rPr>
          <w:rtl w:val="true"/>
        </w:rPr>
        <w:t>الآية الأُولى</w:t>
      </w:r>
      <w:bookmarkEnd w:id="1193"/>
    </w:p>
    <w:p>
      <w:pPr>
        <w:pStyle w:val="Heading6"/>
        <w:numPr>
          <w:ilvl w:val="5"/>
          <w:numId w:val="1"/>
        </w:numPr>
        <w:rPr/>
      </w:pPr>
      <w:bookmarkStart w:id="1194" w:name="__RefHeading___Toc1391787_1067777946"/>
      <w:bookmarkStart w:id="1195" w:name="_Toc443"/>
      <w:bookmarkEnd w:id="1194"/>
      <w:r>
        <w:rPr>
          <w:rtl w:val="true"/>
        </w:rPr>
        <w:t>اشارة</w:t>
      </w:r>
      <w:bookmarkEnd w:id="1195"/>
    </w:p>
    <w:p>
      <w:pPr>
        <w:pStyle w:val="BookText"/>
        <w:rPr/>
      </w:pPr>
      <w:r>
        <w:rPr>
          <w:rFonts w:ascii="Amiri" w:hAnsi="Amiri" w:eastAsia="Amiri" w:cs="Amiri"/>
          <w:color w:val="111111"/>
          <w:sz w:val="28"/>
          <w:sz w:val="28"/>
          <w:szCs w:val="28"/>
          <w:rtl w:val="true"/>
          <w:lang w:bidi="ar-SA"/>
        </w:rPr>
        <w:t xml:space="preserve">يقول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وَالسَّابِقُونَ الْأَوَّلُونَ مِنَ الْمُهاجِرِينَ وَالْأَنْصارِ وَالَّذِينَ اتَّبَعُوهُمْ بِإِحْسانٍ رَضِيَ اللهُ عَنْهُمْ وَرَضُوا عَنْهُ وَأَعَدَّ لَهُمْ جَنَّاتٍ تَجْرِي تَحْتَهَا الْأَنْهارُ خالِدِينَ فِيها أَبَداً ذلِكَ الْفَوْزُ الْعَظِيمُ</w:t>
      </w:r>
      <w:r>
        <w:rPr>
          <w:rFonts w:eastAsia="Amiri" w:cs="Amiri" w:ascii="Amiri" w:hAnsi="Amiri"/>
          <w:color w:val="111111"/>
          <w:sz w:val="28"/>
          <w:szCs w:val="28"/>
          <w:rtl w:val="true"/>
          <w:lang w:bidi="ar-SA"/>
        </w:rPr>
        <w:t xml:space="preserve">). </w:t>
      </w:r>
      <w:r>
        <w:rPr>
          <w:rStyle w:val="FootnoteAnchor"/>
          <w:rtl w:val="true"/>
        </w:rPr>
        <w:footnoteReference w:id="804"/>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أثنى سبحانه في هذه الآية المباركة على طوائف ثلاثة عبّر عن كلّ منها بلفظ خاص</w:t>
      </w:r>
      <w:r>
        <w:rPr>
          <w:rFonts w:eastAsia="Amiri" w:cs="Amiri" w:ascii="Amiri" w:hAnsi="Amiri"/>
          <w:color w:val="111111"/>
          <w:sz w:val="28"/>
          <w:szCs w:val="28"/>
          <w:rtl w:val="true"/>
          <w:lang w:bidi="ar-SA"/>
        </w:rPr>
        <w:t xml:space="preserve">. </w:t>
      </w:r>
      <w:bookmarkStart w:id="1196" w:name="pg11047_103081"/>
    </w:p>
    <w:p>
      <w:pPr>
        <w:pStyle w:val="Heading6"/>
        <w:numPr>
          <w:ilvl w:val="5"/>
          <w:numId w:val="1"/>
        </w:numPr>
        <w:rPr/>
      </w:pPr>
      <w:bookmarkStart w:id="1197" w:name="__RefHeading___Toc1391789_1067777946"/>
      <w:bookmarkStart w:id="1198" w:name="_Toc444"/>
      <w:bookmarkEnd w:id="1196"/>
      <w:bookmarkEnd w:id="1197"/>
      <w:r>
        <w:rPr/>
        <w:t>1</w:t>
      </w:r>
      <w:r>
        <w:rPr>
          <w:rtl w:val="true"/>
        </w:rPr>
        <w:t xml:space="preserve">. </w:t>
      </w:r>
      <w:r>
        <w:rPr>
          <w:rtl w:val="true"/>
        </w:rPr>
        <w:t>السابقون الأوّلون من المهاجرين</w:t>
      </w:r>
      <w:bookmarkEnd w:id="1198"/>
    </w:p>
    <w:p>
      <w:pPr>
        <w:pStyle w:val="BookText"/>
        <w:rPr/>
      </w:pPr>
      <w:r>
        <w:rPr>
          <w:rFonts w:ascii="Amiri" w:hAnsi="Amiri" w:eastAsia="Amiri" w:cs="Amiri"/>
          <w:color w:val="111111"/>
          <w:sz w:val="28"/>
          <w:sz w:val="28"/>
          <w:szCs w:val="28"/>
          <w:rtl w:val="true"/>
          <w:lang w:bidi="ar-SA"/>
        </w:rPr>
        <w:t xml:space="preserve">أثنى سبحانه على السابقين من المهاجرين وحذف متعلّق السبق ، وبما أنّهم من المهاجرين ، يُعلم أنّ متعلّقه هو الهجرة أي الذين هاجروا أيّام هجرة النبي أو بعدها بقليل ، وبما انّ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للتبعيض ، فهو يخرج المتأخرين في الهجرة فلا يعمّ المهاجرين غير السابقين ، وعلى هذا فالآية تنطبق على من آمن بالنبي قبل الهجرة ثمّ هاجر قبل وقعة بدر التي منها ابتدأ ظهور الإسلام على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المهاجرون بعد وقعة أُحد ، فلا يمكن الاستدلال بالآية عليهم لعدم وجود الموضوع أي السبق في الهجرة والنصرة</w:t>
      </w:r>
      <w:r>
        <w:rPr>
          <w:rFonts w:eastAsia="Amiri" w:cs="Amiri" w:ascii="Amiri" w:hAnsi="Amiri"/>
          <w:color w:val="111111"/>
          <w:sz w:val="28"/>
          <w:szCs w:val="28"/>
          <w:rtl w:val="true"/>
          <w:lang w:bidi="ar-SA"/>
        </w:rPr>
        <w:t>.</w:t>
      </w:r>
    </w:p>
    <w:p>
      <w:pPr>
        <w:pStyle w:val="Heading6"/>
        <w:numPr>
          <w:ilvl w:val="5"/>
          <w:numId w:val="1"/>
        </w:numPr>
        <w:rPr/>
      </w:pPr>
      <w:bookmarkStart w:id="1199" w:name="__RefHeading___Toc1391791_1067777946"/>
      <w:bookmarkStart w:id="1200" w:name="_Toc445"/>
      <w:bookmarkEnd w:id="1199"/>
      <w:r>
        <w:rPr/>
        <w:t>2</w:t>
      </w:r>
      <w:r>
        <w:rPr>
          <w:rtl w:val="true"/>
        </w:rPr>
        <w:t xml:space="preserve">. </w:t>
      </w:r>
      <w:r>
        <w:rPr>
          <w:rtl w:val="true"/>
        </w:rPr>
        <w:t>السابقون الأوّلون من الأنصار</w:t>
      </w:r>
      <w:bookmarkEnd w:id="1200"/>
    </w:p>
    <w:p>
      <w:pPr>
        <w:pStyle w:val="Heading6"/>
        <w:numPr>
          <w:ilvl w:val="5"/>
          <w:numId w:val="1"/>
        </w:numPr>
        <w:rPr/>
      </w:pPr>
      <w:bookmarkStart w:id="1201" w:name="__RefHeading___Toc1391793_1067777946"/>
      <w:bookmarkStart w:id="1202" w:name="_Toc446"/>
      <w:bookmarkEnd w:id="1201"/>
      <w:r>
        <w:rPr>
          <w:rtl w:val="true"/>
        </w:rPr>
        <w:t>اشارة</w:t>
      </w:r>
      <w:bookmarkEnd w:id="1202"/>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أثنى سبحانه فيها على السابقين الأوّلين من الأنصار ، وذلك لأنّ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تقدير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السابقون الأوّلون من الأنصار ، ومتعلّق السبق وإن كان محذوفاً ، ولكن كونهم من الأنصار ، قرينة على أنّ المراد ، السبق في النصرة بالإنفاق والإيواء فلا يدخل فيهم مطلق الأنصار ولا أبناؤهم ، وحلفاؤهم ، فالآية تثني على السابقين الأوّلين من الأنصار وهم الذين آمنوا بالنبي وآووه وتهيّئوا لنصرته عند ما هاجر إلى المدينة ، ولا تُثني على عامة الأنصار ، وما ذكرناه هو الظاهر من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تتناول الذين سبقوا في الهجرة والنصرة ، فهو لا يتناول إلاّ قدماء الصحابة ، لأنّ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التبعيض</w:t>
      </w:r>
      <w:r>
        <w:rPr>
          <w:rFonts w:eastAsia="Amiri" w:cs="Amiri" w:ascii="Amiri" w:hAnsi="Amiri"/>
          <w:color w:val="111111"/>
          <w:sz w:val="28"/>
          <w:szCs w:val="28"/>
          <w:rtl w:val="true"/>
          <w:lang w:bidi="ar-SA"/>
        </w:rPr>
        <w:t xml:space="preserve">. </w:t>
      </w:r>
      <w:r>
        <w:rPr>
          <w:rStyle w:val="FootnoteAnchor"/>
          <w:rtl w:val="true"/>
        </w:rPr>
        <w:footnoteReference w:id="805"/>
      </w:r>
      <w:bookmarkStart w:id="1203" w:name="pg11047_103082"/>
    </w:p>
    <w:p>
      <w:pPr>
        <w:pStyle w:val="Heading6"/>
        <w:numPr>
          <w:ilvl w:val="5"/>
          <w:numId w:val="1"/>
        </w:numPr>
        <w:rPr/>
      </w:pPr>
      <w:bookmarkStart w:id="1204" w:name="__RefHeading___Toc1391795_1067777946"/>
      <w:bookmarkStart w:id="1205" w:name="_Toc447"/>
      <w:bookmarkEnd w:id="1203"/>
      <w:bookmarkEnd w:id="1204"/>
      <w:r>
        <w:rPr>
          <w:rtl w:val="true"/>
        </w:rPr>
        <w:t>دفع وهم</w:t>
      </w:r>
      <w:bookmarkEnd w:id="1205"/>
    </w:p>
    <w:p>
      <w:pPr>
        <w:pStyle w:val="BookText"/>
        <w:rPr/>
      </w:pPr>
      <w:r>
        <w:rPr>
          <w:rFonts w:ascii="Amiri" w:hAnsi="Amiri" w:eastAsia="Amiri" w:cs="Amiri"/>
          <w:color w:val="111111"/>
          <w:sz w:val="28"/>
          <w:sz w:val="28"/>
          <w:szCs w:val="28"/>
          <w:rtl w:val="true"/>
          <w:lang w:bidi="ar-SA"/>
        </w:rPr>
        <w:t xml:space="preserve">وربما يتوهم انّ الآية بصدد الثناء على عامة المهاجرين والأنصار ، وهذا هو الظاهر من خطباء القوم ومؤلّفيهم وهو الذي ذكره الرازي قولاً ثانياً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من قال تتناول الآية جميع الصحابة ، لأنّ جملة الصحابة موصوفون بكونهم سابقين أوّلين بالنسبة إلى سائر المسلمين ،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الْمُهاجِرِينَ وَالْأَنْصارِ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للتبعيض ، بل للتبيين ، أي والسابقون الأوّلون الموصوفون بوصف كونهم مهاجرين وأنصاراً ، كما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فَاجْتَنِبُوا الرِّجْسَ مِنَ الْأَوْثانِ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وكثير من الناس ذهبوا إلى هذا القول</w:t>
      </w:r>
      <w:r>
        <w:rPr>
          <w:rFonts w:eastAsia="Amiri" w:cs="Amiri" w:ascii="Amiri" w:hAnsi="Amiri"/>
          <w:color w:val="111111"/>
          <w:sz w:val="28"/>
          <w:szCs w:val="28"/>
          <w:rtl w:val="true"/>
          <w:lang w:bidi="ar-SA"/>
        </w:rPr>
        <w:t xml:space="preserve">. </w:t>
      </w:r>
      <w:r>
        <w:rPr>
          <w:rStyle w:val="FootnoteAnchor"/>
          <w:rtl w:val="true"/>
        </w:rPr>
        <w:footnoteReference w:id="806"/>
      </w:r>
    </w:p>
    <w:p>
      <w:pPr>
        <w:pStyle w:val="BookText"/>
        <w:rPr/>
      </w:pPr>
      <w:r>
        <w:rPr>
          <w:rFonts w:ascii="Amiri" w:hAnsi="Amiri" w:eastAsia="Amiri" w:cs="Amiri"/>
          <w:color w:val="111111"/>
          <w:sz w:val="28"/>
          <w:sz w:val="28"/>
          <w:szCs w:val="28"/>
          <w:rtl w:val="true"/>
          <w:lang w:bidi="ar-SA"/>
        </w:rPr>
        <w:t xml:space="preserve">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المتّبع في تفسير الآية ، هو المتبادر عند أهل اللسان من ظاهر الآية ، فإذا كان الصحابة حسب شهادة بعض الآيات منقسمين إلى قسمين سابق في الهجرة والنصرة ولاحق فيهما ، يكون السبق واللحوق قائمين بنفس الصحابة ، فمنهم سابق ومنهم لاحق لا أنّ كلّهم سابقون ، ومن آمن بعدهم لاحقون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يَسْتَوِي مِنْكُمْ مَنْ أَنْفَقَ مِنْ قَبْلِ الْفَتْحِ وَقاتَلَ أُولئِكَ أَعْظَمُ دَرَجَةً مِنَ الَّذِينَ أَنْفَقُوا مِنْ بَعْدُ وَقاتَلُوا</w:t>
      </w:r>
      <w:r>
        <w:rPr>
          <w:rFonts w:eastAsia="Amiri" w:cs="Amiri" w:ascii="Amiri" w:hAnsi="Amiri"/>
          <w:color w:val="111111"/>
          <w:sz w:val="28"/>
          <w:szCs w:val="28"/>
          <w:rtl w:val="true"/>
          <w:lang w:bidi="ar-SA"/>
        </w:rPr>
        <w:t xml:space="preserve">). </w:t>
      </w:r>
      <w:r>
        <w:rPr>
          <w:rStyle w:val="FootnoteAnchor"/>
          <w:rtl w:val="true"/>
        </w:rPr>
        <w:footnoteReference w:id="807"/>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الآية بصدد الثناء على عامة المهاجرين والأنصار ، بل مطلق الصحابة وإن لم يكونوا منهما ، تلزم لغوية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السَّابِقُونَ الْأَوَّلُونَ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يكفي أن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المهاجرون والأنصار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سبب الرضا والثناء هو هجرتهم ونصرتهم لا سبقهم على سائر الاجيال ، لأنّ سبقهم على سائر المسلمين في الأجيال اللاحقة لم يكن أمراً اختيارياً لهم ، وهذا بخلاف ما لو بان الثناء على </w:t>
      </w:r>
      <w:bookmarkStart w:id="1206" w:name="pg11047_103083"/>
    </w:p>
    <w:p>
      <w:pPr>
        <w:pStyle w:val="BookText"/>
        <w:rPr/>
      </w:pPr>
      <w:bookmarkEnd w:id="1206"/>
      <w:r>
        <w:rPr>
          <w:rFonts w:ascii="Amiri" w:hAnsi="Amiri" w:eastAsia="Amiri" w:cs="Amiri"/>
          <w:color w:val="111111"/>
          <w:sz w:val="28"/>
          <w:sz w:val="28"/>
          <w:szCs w:val="28"/>
          <w:rtl w:val="true"/>
          <w:lang w:bidi="ar-SA"/>
        </w:rPr>
        <w:t>صنف من الصحابة دون صنف ، لأنّ سبق الأوّل في الهجرة والنصرة على سائر الصحابة إنّما كان بملاك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المراد من الآية عامّة الصحابة الذين أدركوا النبي وأسلموا ، يكون المراد من الطائفة الثالثة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اتَّبَعُوهُمْ بِإِحْسانٍ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سائر المسلمين في الأجيال المتلاحقة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اللازم عندئذ 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يتّبعونهم بإحسان ، بصيغة المضارع لا الماضي ، كما أتى به سبحانه في سورة الجمعة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بَعَثَ فِي الْأُمِّيِّينَ رَسُولاً مِنْهُمْ يَتْلُوا عَلَيْهِمْ آياتِهِ وَيُزَكِّيهِمْ وَيُعَلِّمُهُمُ الْكِتابَ وَالْحِكْمَةَ وَإِنْ كانُوا مِنْ قَبْلُ لَفِي ضَلالٍ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وَآخَرِينَ مِنْهُمْ لَمَّا يَلْحَقُوا بِهِمْ وَهُوَ الْعَزِيزُ الْحَكِيمُ</w:t>
      </w:r>
      <w:r>
        <w:rPr>
          <w:rFonts w:eastAsia="Amiri" w:cs="Amiri" w:ascii="Amiri" w:hAnsi="Amiri"/>
          <w:color w:val="111111"/>
          <w:sz w:val="28"/>
          <w:szCs w:val="28"/>
          <w:rtl w:val="true"/>
          <w:lang w:bidi="ar-SA"/>
        </w:rPr>
        <w:t xml:space="preserve">). </w:t>
      </w:r>
      <w:r>
        <w:rPr>
          <w:rStyle w:val="FootnoteAnchor"/>
          <w:rtl w:val="true"/>
        </w:rPr>
        <w:footnoteReference w:id="808"/>
      </w:r>
    </w:p>
    <w:p>
      <w:pPr>
        <w:pStyle w:val="BookText"/>
        <w:rPr/>
      </w:pPr>
      <w:r>
        <w:rPr>
          <w:rFonts w:ascii="Amiri" w:hAnsi="Amiri" w:eastAsia="Amiri" w:cs="Amiri"/>
          <w:color w:val="111111"/>
          <w:sz w:val="28"/>
          <w:sz w:val="28"/>
          <w:szCs w:val="28"/>
          <w:rtl w:val="true"/>
          <w:lang w:bidi="ar-SA"/>
        </w:rPr>
        <w:t xml:space="preserve">فأراد من الآية الأُولى عامة الصحابة ، ومن الآية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وَآخَرِينَ مِنْهُمْ لَمَّا يَلْحَقُوا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يأتي بعد الصحابة إلى يوم القيامة ، قال الله سبحانه بعث النبي إليهم فإنّ شريعته خاتمة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 تفسير الطائفتين ، وإليك بيان الطائفة الثالثة الواردة في الآية</w:t>
      </w:r>
      <w:r>
        <w:rPr>
          <w:rFonts w:eastAsia="Amiri" w:cs="Amiri" w:ascii="Amiri" w:hAnsi="Amiri"/>
          <w:color w:val="111111"/>
          <w:sz w:val="28"/>
          <w:szCs w:val="28"/>
          <w:rtl w:val="true"/>
          <w:lang w:bidi="ar-SA"/>
        </w:rPr>
        <w:t>.</w:t>
      </w:r>
    </w:p>
    <w:p>
      <w:pPr>
        <w:pStyle w:val="Heading6"/>
        <w:numPr>
          <w:ilvl w:val="5"/>
          <w:numId w:val="1"/>
        </w:numPr>
        <w:rPr/>
      </w:pPr>
      <w:bookmarkStart w:id="1207" w:name="__RefHeading___Toc1391797_1067777946"/>
      <w:bookmarkStart w:id="1208" w:name="_Toc448"/>
      <w:bookmarkEnd w:id="1207"/>
      <w:r>
        <w:rPr/>
        <w:t>3</w:t>
      </w:r>
      <w:r>
        <w:rPr>
          <w:rtl w:val="true"/>
        </w:rPr>
        <w:t xml:space="preserve">. </w:t>
      </w:r>
      <w:r>
        <w:rPr>
          <w:rtl w:val="true"/>
        </w:rPr>
        <w:t>والذين اتّبعُوهم بإحسان</w:t>
      </w:r>
      <w:bookmarkEnd w:id="1208"/>
    </w:p>
    <w:p>
      <w:pPr>
        <w:pStyle w:val="BookText"/>
        <w:rPr/>
      </w:pPr>
      <w:r>
        <w:rPr>
          <w:rFonts w:ascii="Amiri" w:hAnsi="Amiri" w:eastAsia="Amiri" w:cs="Amiri"/>
          <w:color w:val="111111"/>
          <w:sz w:val="28"/>
          <w:sz w:val="28"/>
          <w:szCs w:val="28"/>
          <w:rtl w:val="true"/>
          <w:lang w:bidi="ar-SA"/>
        </w:rPr>
        <w:t>ما هو المراد من الموصول؟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المراد من القيد بإحسان؟</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فالمراد هم الذين تحقق اتباعهم في عصر نزول الآية ، لا من يتحقّق في الأجيال الآتية ، وبما انّ مبدأ ظهور السابقين ، هو ظهور الإسلام في الفترة المكية ومنتهاهم هو انتصار الإسلام على مظاهر الشرك في المنطقة ، أعني </w:t>
      </w:r>
      <w:r>
        <w:rPr>
          <w:rFonts w:eastAsia="Amiri" w:cs="Amiri" w:ascii="Amiri" w:hAnsi="Amiri"/>
          <w:color w:val="111111"/>
          <w:sz w:val="28"/>
          <w:szCs w:val="28"/>
          <w:rtl w:val="true"/>
          <w:lang w:bidi="ar-SA"/>
        </w:rPr>
        <w:t xml:space="preserve">: </w:t>
      </w:r>
      <w:bookmarkStart w:id="1209" w:name="pg11047_103084"/>
    </w:p>
    <w:p>
      <w:pPr>
        <w:pStyle w:val="BookText"/>
        <w:rPr/>
      </w:pPr>
      <w:bookmarkEnd w:id="1209"/>
      <w:r>
        <w:rPr>
          <w:rFonts w:ascii="Amiri" w:hAnsi="Amiri" w:eastAsia="Amiri" w:cs="Amiri"/>
          <w:color w:val="111111"/>
          <w:sz w:val="28"/>
          <w:sz w:val="28"/>
          <w:szCs w:val="28"/>
          <w:rtl w:val="true"/>
          <w:lang w:bidi="ar-SA"/>
        </w:rPr>
        <w:t xml:space="preserve">غزوة بدر ، يكون نهاية هؤلاء مبدأ لظهور الطائفة الثالثة وتتحدد نهايتهم ببيعة الرضوان أو فتح مكة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هجرة بعد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 فالآية لا تثني على كلّ من اتبع السابقين بالهجرة والنصرة ولكن تقيّد الاتّباع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يكون الاتّباع مقروناً ومصحوباً بالإحسان في القول والعمل ، فتقييد الرضا بحسن سلوكهم وسيرتهم يخرج من هاجر ونصر ، من دون اتّباع مصحوب بإحسان ، بأن ساءت سيرته ، ولم يحسن سلوكه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سبحانه يعلن رضاه عن هذه الطائفة مثل السابقين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 اللهُ عَنْهُمْ وَرَضُوا عَنْهُ</w:t>
      </w:r>
      <w:r>
        <w:rPr>
          <w:rFonts w:eastAsia="Amiri" w:cs="Amiri" w:ascii="Amiri" w:hAnsi="Amiri"/>
          <w:color w:val="111111"/>
          <w:sz w:val="28"/>
          <w:szCs w:val="28"/>
          <w:rtl w:val="true"/>
          <w:lang w:bidi="ar-SA"/>
        </w:rPr>
        <w:t xml:space="preserve">). </w:t>
      </w:r>
      <w:r>
        <w:rPr>
          <w:rStyle w:val="FootnoteAnchor"/>
          <w:rtl w:val="true"/>
        </w:rPr>
        <w:footnoteReference w:id="809"/>
      </w:r>
    </w:p>
    <w:p>
      <w:pPr>
        <w:pStyle w:val="BookText"/>
        <w:rPr/>
      </w:pPr>
      <w:r>
        <w:rPr>
          <w:rFonts w:ascii="Amiri" w:hAnsi="Amiri" w:eastAsia="Amiri" w:cs="Amiri"/>
          <w:color w:val="111111"/>
          <w:sz w:val="28"/>
          <w:sz w:val="28"/>
          <w:szCs w:val="28"/>
          <w:rtl w:val="true"/>
          <w:lang w:bidi="ar-SA"/>
        </w:rPr>
        <w:t>فلو وجدنا صحابياً آمن وهاجر أو نصر النبي ولكن شككنا في حسن سلوكه وسيرته ، لا تكون الآية دليلاً على رضاه سبحانه</w:t>
      </w:r>
    </w:p>
    <w:p>
      <w:pPr>
        <w:pStyle w:val="BookText"/>
        <w:rPr/>
      </w:pPr>
      <w:r>
        <w:rPr>
          <w:rFonts w:ascii="Amiri" w:hAnsi="Amiri" w:eastAsia="Amiri" w:cs="Amiri"/>
          <w:color w:val="111111"/>
          <w:sz w:val="28"/>
          <w:sz w:val="28"/>
          <w:szCs w:val="28"/>
          <w:rtl w:val="true"/>
          <w:lang w:bidi="ar-SA"/>
        </w:rPr>
        <w:t>عنه ، للشكّ في شمول الآية له فضلاً عمّن ثبت سوء سيرته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هو المتبادر والمفهوم من الآية ، وهي دليل قاطع على أنّه سبحانه رضي عن طوائف ثلاث من الصحابة ، لا عن كلّهم ، والاستدلال به على الموجبة الكلية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عدالة كلّ 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w:t>
      </w:r>
    </w:p>
    <w:p>
      <w:pPr>
        <w:pStyle w:val="Heading5"/>
        <w:numPr>
          <w:ilvl w:val="4"/>
          <w:numId w:val="1"/>
        </w:numPr>
        <w:rPr/>
      </w:pPr>
      <w:bookmarkStart w:id="1210" w:name="__RefHeading___Toc1391799_1067777946"/>
      <w:bookmarkStart w:id="1211" w:name="_Toc449"/>
      <w:bookmarkEnd w:id="1210"/>
      <w:r>
        <w:rPr>
          <w:rtl w:val="true"/>
        </w:rPr>
        <w:t>الآية الثانية</w:t>
      </w:r>
      <w:bookmarkEnd w:id="1211"/>
    </w:p>
    <w:p>
      <w:pPr>
        <w:pStyle w:val="BookText"/>
        <w:rPr/>
      </w:pPr>
      <w:r>
        <w:rPr>
          <w:rFonts w:ascii="Amiri" w:hAnsi="Amiri" w:eastAsia="Amiri" w:cs="Amiri"/>
          <w:color w:val="111111"/>
          <w:sz w:val="28"/>
          <w:sz w:val="28"/>
          <w:szCs w:val="28"/>
          <w:rtl w:val="true"/>
          <w:lang w:bidi="ar-SA"/>
        </w:rPr>
        <w:t>استدلّوا على عدالة الصحابة بآية ثانية ، نظيرة الآية المتقدّمة في تصنيف الصحابة إلى أصناف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الطوائف الثلاث التي أشارت إليها الآية عبارة عن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الفقراء المهاجرين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الذين تبوّءُوا الدار والإيمان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الأنصار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والذين جاءوا من بعدهم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ولكلّ من الأصناف سمات وميزات ، مذكورة فيها ويتميزون بها عن سائر الصحابة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لِلْفُقَراءِ الْمُهاجِرِينَ الَّذِينَ أُخْرِجُوا مِنْ دِيارِهِمْ وَأَمْوالِهِمْ يَبْتَغُونَ فَضْلاً مِنَ اللهِ وَرِضْواناً وَيَنْصُرُونَ اللهَ وَرَسُولَهُ أُولئِكَ هُمُ الصَّادِقُونَ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تَبَوَّؤُا الدَّارَ وَالْإِيمانَ مِنْ قَبْلِهِمْ يُحِبُّونَ مَنْ هاجَرَ إِلَيْهِمْ وَلا يَجِدُونَ فِي صُدُورِهِمْ حاجَةً مِمَّا أُوتُوا وَيُؤْثِرُونَ عَلى أَنْفُسِهِمْ وَلَوْ كانَ بِهِمْ خَصاصَةٌ وَمَنْ يُوقَ شُحَّ نَفْسِهِ فَأُولئِكَ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جاؤُ مِنْ بَعْدِهِمْ يَقُولُونَ رَبَّنَا اغْفِرْ لَنا وَلِإِخْوانِنَا الَّذِينَ سَبَقُونا بِالْإِيمانِ وَلا تَجْعَلْ فِي قُلُوبِنا غِلًّا لِلَّذِينَ آمَنُوا رَبَّنا إِنَّكَ رَؤُفٌ رَحِيمٌ</w:t>
      </w:r>
      <w:r>
        <w:rPr>
          <w:rFonts w:eastAsia="Amiri" w:cs="Amiri" w:ascii="Amiri" w:hAnsi="Amiri"/>
          <w:color w:val="111111"/>
          <w:sz w:val="28"/>
          <w:szCs w:val="28"/>
          <w:rtl w:val="true"/>
          <w:lang w:bidi="ar-SA"/>
        </w:rPr>
        <w:t xml:space="preserve">). </w:t>
      </w:r>
      <w:r>
        <w:rPr>
          <w:rStyle w:val="FootnoteAnchor"/>
          <w:rtl w:val="true"/>
        </w:rPr>
        <w:footnoteReference w:id="810"/>
      </w:r>
    </w:p>
    <w:p>
      <w:pPr>
        <w:pStyle w:val="BookText"/>
        <w:rPr/>
      </w:pPr>
      <w:r>
        <w:rPr>
          <w:rFonts w:ascii="Amiri" w:hAnsi="Amiri" w:eastAsia="Amiri" w:cs="Amiri"/>
          <w:color w:val="111111"/>
          <w:sz w:val="28"/>
          <w:sz w:val="28"/>
          <w:szCs w:val="28"/>
          <w:rtl w:val="true"/>
          <w:lang w:bidi="ar-SA"/>
        </w:rPr>
        <w:t>فهذه الآيات الثلاث نظير ما تقدّم من الآيتين ، لا تُثني على عامّة الصحابة ، بل على فريق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المهاجرون فتثني على من تمتّع منهم بالصفات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أُخْرِجُوا مِنْ دِيارِهِمْ وَأَمْوالِهِمْ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يَبْتَغُونَ فَضْلاً مِنَ اللهِ وَرِضْواناً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يَنْصُرُونَ اللهَ وَرَسُولَهُ</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تمتّع بهذه الصفات الثلاث من المهاجرين فقد أثنى القرآن عليه ، وبما انّ من أبرز صفاتهم ، كونهم مشرّدين من ديارهم وأموالهم ، فيكون المقصود هم الذين هاجروا قبل وقعة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فينطبق على السابقين الأوّلين من المهاجرين في </w:t>
      </w:r>
    </w:p>
    <w:p>
      <w:pPr>
        <w:pStyle w:val="BookText"/>
        <w:rPr/>
      </w:pPr>
      <w:r>
        <w:rPr>
          <w:rFonts w:ascii="Amiri" w:hAnsi="Amiri" w:eastAsia="Amiri" w:cs="Amiri"/>
          <w:color w:val="111111"/>
          <w:sz w:val="28"/>
          <w:sz w:val="28"/>
          <w:szCs w:val="28"/>
          <w:rtl w:val="true"/>
          <w:lang w:bidi="ar-SA"/>
        </w:rPr>
        <w:t>الآية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الأنصار فإنّما تثني على من تمتّع منهم بالصفات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تَبَوَّؤُا الدَّارَ وَالْإِيمانَ 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آمنوا بالله ورسوله ، فخرج بذلك من اتّهم بالنّفاق وكان في الواقع منافقاً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يُحِبُّونَ مَنْ هاجَرَ إِلَيْهِمْ وَلا يَجِدُونَ فِي صُدُورِهِمْ حاجَةً مِمَّا أُوتُوا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وَيُؤْثِرُونَ عَلى أَنْفُسِهِمْ وَلَوْ كانَ بِهِمْ خَصاصَةٌ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انّ من أبرز صفاتهم ، هو إيواء المهاجرين والأنصار وإيثارهم على الأنفس ، فيكون المراد من آمنوا بالنبيّ وآووه وآووا المهاجرين ، فينطبق على من آمن وآوى قبل غزوة بدر لانتفاء الإيواء بعدها خصوصاً بعد إجلاء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قينقاع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غبَّ معركة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خرجوا من قلاعهم وأموالهم وأسلحتهم ، تاركين جميع ذلك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فينطبق على السابقين الأوّلين من الأنصار في الآية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التابعون لهم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جاءوا من بعدهم فإنّما أثنى على من تمتع منهم بالصفات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يَقُولُونَ رَبَّنَا اغْفِرْ لَنا وَلِإِخْوانِنَا الَّذِينَ سَبَقُونا بِالْإِيمانِ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تَجْعَلْ فِي قُلُوبِنا غِلًّا لِلَّذِينَ آمَنُوا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فالعلائم المذكورة للطائفة الثالثة ، كناية عن الاتّباع بإحسان الذي ورد في الآية الأُولى ، فتنطبق على التابعين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انّ الآيات الواردة في سورة الحشر ، تتّحد مضموناً مع ما ورد في سورة التوبة ولا تختلف عنها قيد شعرة</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فالاستدلال بهذه الآيات وما تقدّمها على أنّ القرآن أثنى على الصحابة جميعهم من أوّلهم إلى آخرهم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ربّما جاوز عددهم المائة 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غفلة عن </w:t>
      </w:r>
      <w:bookmarkStart w:id="1212" w:name="pg11047_103087"/>
    </w:p>
    <w:p>
      <w:pPr>
        <w:pStyle w:val="BookText"/>
        <w:rPr/>
      </w:pPr>
      <w:bookmarkEnd w:id="1212"/>
      <w:r>
        <w:rPr>
          <w:rFonts w:ascii="Amiri" w:hAnsi="Amiri" w:eastAsia="Amiri" w:cs="Amiri"/>
          <w:color w:val="111111"/>
          <w:sz w:val="28"/>
          <w:sz w:val="28"/>
          <w:szCs w:val="28"/>
          <w:rtl w:val="true"/>
          <w:lang w:bidi="ar-SA"/>
        </w:rPr>
        <w:t>مفاد الآيات ؛ فأين الدعاء والثناء على لفيف من المهاجرين والأنصار والتابعين لهم المتمتّعين بخصوصيات معيّنة ، من الثناء على الطلقاء والأعراب وأبناء الطلقاء والمتّهمين بالنفاق؟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وأين هذه الآيات من مدح خمسة عشر ألف صحابي سُجّلت أسماؤهم في المعاجم ، أو مائة ألف صحابي صحبوا النبي في مواقف مختلفة ورأوه وعاشروه؟</w:t>
      </w:r>
      <w:r>
        <w:rPr>
          <w:rFonts w:eastAsia="Amiri" w:cs="Amiri" w:ascii="Amiri" w:hAnsi="Amiri"/>
          <w:color w:val="111111"/>
          <w:sz w:val="28"/>
          <w:szCs w:val="28"/>
          <w:rtl w:val="true"/>
          <w:lang w:bidi="ar-SA"/>
        </w:rPr>
        <w:t>!</w:t>
      </w:r>
    </w:p>
    <w:p>
      <w:pPr>
        <w:pStyle w:val="Heading5"/>
        <w:numPr>
          <w:ilvl w:val="4"/>
          <w:numId w:val="1"/>
        </w:numPr>
        <w:rPr/>
      </w:pPr>
      <w:bookmarkStart w:id="1213" w:name="__RefHeading___Toc1391801_1067777946"/>
      <w:bookmarkStart w:id="1214" w:name="_Toc450"/>
      <w:bookmarkEnd w:id="1213"/>
      <w:r>
        <w:rPr>
          <w:rtl w:val="true"/>
        </w:rPr>
        <w:t>الآية الثالثة</w:t>
      </w:r>
      <w:bookmarkEnd w:id="1214"/>
    </w:p>
    <w:p>
      <w:pPr>
        <w:pStyle w:val="BookText"/>
        <w:rPr/>
      </w:pPr>
      <w:r>
        <w:rPr>
          <w:rFonts w:ascii="Amiri" w:hAnsi="Amiri" w:eastAsia="Amiri" w:cs="Amiri"/>
          <w:color w:val="111111"/>
          <w:sz w:val="28"/>
          <w:sz w:val="28"/>
          <w:szCs w:val="28"/>
          <w:rtl w:val="true"/>
          <w:lang w:bidi="ar-SA"/>
        </w:rPr>
        <w:t xml:space="preserve">استدلّوا بآية ثالثة نزلت في مورد بيعة الرضوان وأبدى سبحانه رضاه عن المبايعين ، وقال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رَضِيَ اللهُ عَنِ الْمُؤْمِنِينَ إِذْ يُبايِعُونَكَ تَحْتَ الشَّجَرَةِ فَعَلِمَ ما فِي قُلُوبِهِمْ فَأَنْزَلَ السَّكِينَةَ عَلَيْهِمْ وَأَثابَهُمْ فَتْحاً قَرِيباً</w:t>
      </w:r>
      <w:r>
        <w:rPr>
          <w:rFonts w:eastAsia="Amiri" w:cs="Amiri" w:ascii="Amiri" w:hAnsi="Amiri"/>
          <w:color w:val="111111"/>
          <w:sz w:val="28"/>
          <w:szCs w:val="28"/>
          <w:rtl w:val="true"/>
          <w:lang w:bidi="ar-SA"/>
        </w:rPr>
        <w:t xml:space="preserve">). </w:t>
      </w:r>
      <w:r>
        <w:rPr>
          <w:rStyle w:val="FootnoteAnchor"/>
          <w:rtl w:val="true"/>
        </w:rPr>
        <w:footnoteReference w:id="811"/>
      </w:r>
    </w:p>
    <w:p>
      <w:pPr>
        <w:pStyle w:val="BookText"/>
        <w:rPr/>
      </w:pPr>
      <w:r>
        <w:rPr>
          <w:rFonts w:ascii="Amiri" w:hAnsi="Amiri" w:eastAsia="Amiri" w:cs="Amiri"/>
          <w:color w:val="111111"/>
          <w:sz w:val="28"/>
          <w:sz w:val="28"/>
          <w:szCs w:val="28"/>
          <w:rtl w:val="true"/>
          <w:lang w:bidi="ar-SA"/>
        </w:rPr>
        <w:t>فالآية تثني على مَن صحبوا النبي في الحديبية وبايعوه تحت الشجرة ، وكان ذلك في السنّة السادسة من الهجرة ، وقد رافقه حوالي ألف وأربعمائة أو ألف وستمائة أو ألف وثمانمائة</w:t>
      </w:r>
      <w:r>
        <w:rPr>
          <w:rFonts w:eastAsia="Amiri" w:cs="Amiri" w:ascii="Amiri" w:hAnsi="Amiri"/>
          <w:color w:val="111111"/>
          <w:sz w:val="28"/>
          <w:szCs w:val="28"/>
          <w:rtl w:val="true"/>
          <w:lang w:bidi="ar-SA"/>
        </w:rPr>
        <w:t xml:space="preserve">. </w:t>
      </w:r>
      <w:r>
        <w:rPr>
          <w:rStyle w:val="FootnoteAnchor"/>
          <w:rtl w:val="true"/>
        </w:rPr>
        <w:footnoteReference w:id="812"/>
      </w:r>
    </w:p>
    <w:p>
      <w:pPr>
        <w:pStyle w:val="BookText"/>
        <w:rPr/>
      </w:pPr>
      <w:r>
        <w:rPr>
          <w:rFonts w:ascii="Amiri" w:hAnsi="Amiri" w:eastAsia="Amiri" w:cs="Amiri"/>
          <w:color w:val="111111"/>
          <w:sz w:val="28"/>
          <w:sz w:val="28"/>
          <w:szCs w:val="28"/>
          <w:rtl w:val="true"/>
          <w:lang w:bidi="ar-SA"/>
        </w:rPr>
        <w:t>والثناء على هذا العدد القليل لا يكون دليلاً على الثناء على جميع الصحابة من أوّلهم إلى آخرهم</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الرضا محدّد بزمان البيعة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يُبايِعُونَكَ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يشمل الفترات المتأخرة عنها</w:t>
      </w:r>
      <w:r>
        <w:rPr>
          <w:rFonts w:eastAsia="Amiri" w:cs="Amiri" w:ascii="Amiri" w:hAnsi="Amiri"/>
          <w:color w:val="111111"/>
          <w:sz w:val="28"/>
          <w:szCs w:val="28"/>
          <w:rtl w:val="true"/>
          <w:lang w:bidi="ar-SA"/>
        </w:rPr>
        <w:t xml:space="preserve">. </w:t>
      </w:r>
      <w:bookmarkStart w:id="1215" w:name="pg11047_103088"/>
    </w:p>
    <w:p>
      <w:pPr>
        <w:pStyle w:val="Heading5"/>
        <w:numPr>
          <w:ilvl w:val="4"/>
          <w:numId w:val="1"/>
        </w:numPr>
        <w:rPr/>
      </w:pPr>
      <w:bookmarkStart w:id="1216" w:name="__RefHeading___Toc1391803_1067777946"/>
      <w:bookmarkStart w:id="1217" w:name="_Toc451"/>
      <w:bookmarkEnd w:id="1215"/>
      <w:bookmarkEnd w:id="1216"/>
      <w:r>
        <w:rPr>
          <w:rtl w:val="true"/>
        </w:rPr>
        <w:t>الآية الرابعة</w:t>
      </w:r>
      <w:bookmarkEnd w:id="1217"/>
    </w:p>
    <w:p>
      <w:pPr>
        <w:pStyle w:val="Heading6"/>
        <w:numPr>
          <w:ilvl w:val="5"/>
          <w:numId w:val="1"/>
        </w:numPr>
        <w:rPr/>
      </w:pPr>
      <w:bookmarkStart w:id="1218" w:name="__RefHeading___Toc1391805_1067777946"/>
      <w:bookmarkStart w:id="1219" w:name="_Toc452"/>
      <w:bookmarkEnd w:id="1218"/>
      <w:r>
        <w:rPr>
          <w:rtl w:val="true"/>
        </w:rPr>
        <w:t>اشارة</w:t>
      </w:r>
      <w:bookmarkEnd w:id="1219"/>
    </w:p>
    <w:p>
      <w:pPr>
        <w:pStyle w:val="BookText"/>
        <w:rPr/>
      </w:pPr>
      <w:r>
        <w:rPr>
          <w:rFonts w:ascii="Amiri" w:hAnsi="Amiri" w:eastAsia="Amiri" w:cs="Amiri"/>
          <w:color w:val="111111"/>
          <w:sz w:val="28"/>
          <w:sz w:val="28"/>
          <w:szCs w:val="28"/>
          <w:rtl w:val="true"/>
          <w:lang w:bidi="ar-SA"/>
        </w:rPr>
        <w:t xml:space="preserve">استدلّوا على عدالتهم بآية رابعة تذكر سمات أصحاب النبي وصفاتهم ، يقول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وَالَّذِينَ مَعَهُ أَشِدَّاءُ عَلَى الْكُفَّارِ رُحَماءُ بَيْنَهُمْ تَراهُمْ رُكَّعاً سُجَّداً يَبْتَغُونَ فَضْلاً مِنَ اللهِ وَرِضْواناً سِيماهُمْ فِي وُجُوهِهِمْ مِنْ أَثَرِ السُّجُودِ ذلِكَ مَثَلُهُمْ فِي التَّوْراةِ وَمَثَلُهُمْ فِي الْإِنْجِيلِ كَزَرْعٍ أَخْرَجَ شَطْأَهُ فَآزَرَهُ فَاسْتَغْلَظَ فَاسْتَوى عَلى سُوقِهِ يُعْجِبُ الزُّرَّاعَ لِيَغِيظَ بِهِمُ الْكُفَّارَ وَعَدَ اللهُ الَّذِينَ آمَنُوا وَعَمِلُوا الصَّالِحاتِ مِنْهُمْ مَغْفِرَةً وَأَجْراً عَظِيماً</w:t>
      </w:r>
      <w:r>
        <w:rPr>
          <w:rFonts w:eastAsia="Amiri" w:cs="Amiri" w:ascii="Amiri" w:hAnsi="Amiri"/>
          <w:color w:val="111111"/>
          <w:sz w:val="28"/>
          <w:szCs w:val="28"/>
          <w:rtl w:val="true"/>
          <w:lang w:bidi="ar-SA"/>
        </w:rPr>
        <w:t xml:space="preserve">). </w:t>
      </w:r>
      <w:r>
        <w:rPr>
          <w:rStyle w:val="FootnoteAnchor"/>
          <w:rtl w:val="true"/>
        </w:rPr>
        <w:footnoteReference w:id="813"/>
      </w:r>
    </w:p>
    <w:p>
      <w:pPr>
        <w:pStyle w:val="BookText"/>
        <w:rPr/>
      </w:pPr>
      <w:r>
        <w:rPr>
          <w:rFonts w:ascii="Amiri" w:hAnsi="Amiri" w:eastAsia="Amiri" w:cs="Amiri"/>
          <w:color w:val="111111"/>
          <w:sz w:val="28"/>
          <w:sz w:val="28"/>
          <w:szCs w:val="28"/>
          <w:rtl w:val="true"/>
          <w:lang w:bidi="ar-SA"/>
        </w:rPr>
        <w:t xml:space="preserve">فهذه الآية بظاهرها أوسع دلالة ممّا سبق ، لأنّها تثني على النبي ومن معه ، ولكن مدلول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بأوسع ممّا سبق ، وذلك للقرائن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الصفات التالية لم تكن متوفرة في عامّة الصحابة ، أعني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أَشِدَّاءُ عَلَى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رُحَماءُ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تَراهُمْ رُكَّعاً سُجَّداً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يَبْتَغُونَ فَضْلاً مِنَ اللهِ وَرِضْواناً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سِيماهُمْ فِي وُجُوهِهِمْ مِنْ أَثَرِ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الذين أراقوا دم عثمان وقتلوه في عقر داره كانوا من غير الصحابة؟</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الذين خضّبوا الأرض بدم الصحابة في ميادين القتال كانوا من الأجانب؟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لكم كيف تحكمون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 كانت أعمالهم الإجرامية من مصاديق التراحم فكيف يكون تباغضهم ومشاجراتهم؟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كان في وجوه الأعراب والطلقاء وأبنائهم والذين آمنوا بعد الفتح أثر للسجود؟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ذيل الآية يشهد بأنّ الثناء على قسم منهم ، يقول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وَعَمِلُوا الصَّالِحاتِ مِنْهُمْ مَغْفِرَةً وَأَجْراً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للتبعيض ، وما يقال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بيانية غير صحيح ، لأنّها لا تدخل على الضمير مطلقاً في كلامهم وإنّما تدخل على الاسم الظاهر ، كما في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فَاجْتَنِبُوا الرِّجْسَ مِنَ الْأَوْثانِ</w:t>
      </w:r>
      <w:r>
        <w:rPr>
          <w:rFonts w:eastAsia="Amiri" w:cs="Amiri" w:ascii="Amiri" w:hAnsi="Amiri"/>
          <w:color w:val="111111"/>
          <w:sz w:val="28"/>
          <w:szCs w:val="28"/>
          <w:rtl w:val="true"/>
          <w:lang w:bidi="ar-SA"/>
        </w:rPr>
        <w:t xml:space="preserve">)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5"/>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الآية نزلت قبل فتح مكة وبعد الحديبية ، والمراد من قوله سبحانه في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فَتَحْنا لَكَ فَتْحاً 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الفتح في صلح الحديبية ، وفيه إخبار عن فتح مكة في المستقبل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صَدَقَ اللهُ رَسُولَهُ الرُّؤْيا بِالْحَقِّ لَتَدْخُلُنَّ الْمَسْجِدَ الْحَرامَ إِنْ شاءَ اللهُ آمِنِينَ مُحَلِّقِينَ رُؤُسَكُمْ وَمُقَصِّرِينَ لا تَخافُونَ فَعَلِمَ ما لَمْ تَعْلَمُوا فَجَعَلَ مِنْ دُونِ ذلِكَ فَتْحاً قَرِيباً</w:t>
      </w:r>
      <w:r>
        <w:rPr>
          <w:rFonts w:eastAsia="Amiri" w:cs="Amiri" w:ascii="Amiri" w:hAnsi="Amiri"/>
          <w:color w:val="111111"/>
          <w:sz w:val="28"/>
          <w:szCs w:val="28"/>
          <w:rtl w:val="true"/>
          <w:lang w:bidi="ar-SA"/>
        </w:rPr>
        <w:t xml:space="preserve">). </w:t>
      </w:r>
      <w:r>
        <w:rPr>
          <w:rStyle w:val="FootnoteAnchor"/>
          <w:rtl w:val="true"/>
        </w:rPr>
        <w:footnoteReference w:id="816"/>
      </w:r>
    </w:p>
    <w:p>
      <w:pPr>
        <w:pStyle w:val="BookText"/>
        <w:rPr/>
      </w:pPr>
      <w:r>
        <w:rPr>
          <w:rFonts w:ascii="Amiri" w:hAnsi="Amiri" w:eastAsia="Amiri" w:cs="Amiri"/>
          <w:color w:val="111111"/>
          <w:sz w:val="28"/>
          <w:sz w:val="28"/>
          <w:szCs w:val="28"/>
          <w:rtl w:val="true"/>
          <w:lang w:bidi="ar-SA"/>
        </w:rPr>
        <w:t xml:space="preserve">فالآية تتضمن الإخبار عن فتحين آخرين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عمرة القضاء وأشار إليه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لَتَدْخُلُنَّ الْمَسْجِدَ الْحَرامَ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 مكة وأشار إليه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فَجَعَلَ مِنْ دُونِ ذلِكَ فَتْحاً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كانت الآية ممّا نزلت في السنّة السادسة وحواليها ، فلا تكون أوسع دلالة من الآيات النازلة بعدها في السنّة التاسعة كما نقلناه ، فالثناء المطلق في الآية على مَن كان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ويخصص بما خصصه القرآن في آيات أُخرى كالآيات المتقدّمة</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ضوء ما تقدّم ، نصل إلى النتيجة التالية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اشتهر على الألسن من ثناء القرآن على صحابة الرسول قاطبة وتعديله إياهم ممّا لا أساس له ، وإنّما وقع الثناء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ضمّ بعضها إلى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لفيف منهم وطائفة خاصّة</w:t>
      </w:r>
      <w:r>
        <w:rPr>
          <w:rFonts w:eastAsia="Amiri" w:cs="Amiri" w:ascii="Amiri" w:hAnsi="Amiri"/>
          <w:color w:val="111111"/>
          <w:sz w:val="28"/>
          <w:szCs w:val="28"/>
          <w:rtl w:val="true"/>
          <w:lang w:bidi="ar-SA"/>
        </w:rPr>
        <w:t xml:space="preserve">. </w:t>
      </w:r>
      <w:bookmarkStart w:id="1220" w:name="pg11047_103091"/>
    </w:p>
    <w:p>
      <w:pPr>
        <w:pStyle w:val="Heading6"/>
        <w:numPr>
          <w:ilvl w:val="5"/>
          <w:numId w:val="1"/>
        </w:numPr>
        <w:rPr/>
      </w:pPr>
      <w:bookmarkStart w:id="1221" w:name="__RefHeading___Toc1391807_1067777946"/>
      <w:bookmarkStart w:id="1222" w:name="_Toc453"/>
      <w:bookmarkEnd w:id="1220"/>
      <w:bookmarkEnd w:id="1221"/>
      <w:r>
        <w:rPr>
          <w:rtl w:val="true"/>
        </w:rPr>
        <w:t>إنّما الأعمال بالخواتيم</w:t>
      </w:r>
      <w:bookmarkEnd w:id="1222"/>
    </w:p>
    <w:p>
      <w:pPr>
        <w:pStyle w:val="BookText"/>
        <w:rPr/>
      </w:pPr>
      <w:r>
        <w:rPr>
          <w:rFonts w:ascii="Amiri" w:hAnsi="Amiri" w:eastAsia="Amiri" w:cs="Amiri"/>
          <w:color w:val="111111"/>
          <w:sz w:val="28"/>
          <w:sz w:val="28"/>
          <w:szCs w:val="28"/>
          <w:rtl w:val="true"/>
          <w:lang w:bidi="ar-SA"/>
        </w:rPr>
        <w:t xml:space="preserve">هذا العنوان كلمة قدسية قالها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رواه البخاري عنه ، وذكر في الباب روايتين تدلاّن على أنّ الملاك للنجاة هو خواتيم الأعمال نذكر واحدة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البخاري عن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من أعظم المسلمين غناءً عن المسلمين ، في غزوة غزاها مع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فنظر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أحبّ أن ينظر إلى الرّجل من أهل النار فلينظر إلى هذا ، فاتبعه رجل من القوم وهو على تلك الحال من أشدّ الناس على المشركين حتّى جرح ، فاستعجل الموت ، فجعل ذبابة سيفه بين ثَدييه حتّى خرج من بين كتفيه ، فأقبل الرّجل إلى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مسرعاً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رسول الله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لفلان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أن ينظر إلى رجل من أهل النار فلينظر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أعظمنا غناء عن المسلمين ، فعرفتُ أنّه لا يموت على ذلك ، فلمّا جرح استعجل الموت فقتل نفسه ، فقال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العبد لَيعملُ عَمَل أهل النّار وانّه من أهل الجنّة ، ويعمل عمل أهل الجنّة وإنّه من أهل النار ، وإنّما الأعمال بالخواتيم</w:t>
      </w:r>
      <w:r>
        <w:rPr>
          <w:rFonts w:eastAsia="Amiri" w:cs="Amiri" w:ascii="Amiri" w:hAnsi="Amiri"/>
          <w:color w:val="111111"/>
          <w:sz w:val="28"/>
          <w:szCs w:val="28"/>
          <w:rtl w:val="true"/>
          <w:lang w:bidi="ar-SA"/>
        </w:rPr>
        <w:t xml:space="preserve">». </w:t>
      </w:r>
      <w:r>
        <w:rPr>
          <w:rStyle w:val="FootnoteAnchor"/>
          <w:rtl w:val="true"/>
        </w:rPr>
        <w:footnoteReference w:id="817"/>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 من إنسان حسنتْ حياته في أوائل عمره ، ثمّ تبدلت وساءت سيرته وسلوكه ، وحبطت أعماله الصالحة أتى بها في أوائل عمره أو أواسطه يقول سبحانه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تَرْفَعُوا أَصْواتَكُمْ فَوْقَ صَوْتِ النَّبِيِّ وَلا تَجْهَرُوا لَهُ بِالْقَوْلِ كَجَهْرِ بَعْضِكُمْ لِبَعْضٍ أَنْ تَحْبَطَ أَعْمالُكُمْ</w:t>
      </w:r>
      <w:r>
        <w:rPr>
          <w:rFonts w:eastAsia="Amiri" w:cs="Amiri" w:ascii="Amiri" w:hAnsi="Amiri"/>
          <w:color w:val="111111"/>
          <w:sz w:val="28"/>
          <w:szCs w:val="28"/>
          <w:rtl w:val="true"/>
          <w:lang w:bidi="ar-SA"/>
        </w:rPr>
        <w:t xml:space="preserve">). </w:t>
      </w:r>
      <w:r>
        <w:rPr>
          <w:rStyle w:val="FootnoteAnchor"/>
          <w:rtl w:val="true"/>
        </w:rPr>
        <w:footnoteReference w:id="818"/>
      </w:r>
    </w:p>
    <w:p>
      <w:pPr>
        <w:pStyle w:val="BookText"/>
        <w:rPr/>
      </w:pPr>
      <w:r>
        <w:rPr>
          <w:rFonts w:ascii="Amiri" w:hAnsi="Amiri" w:eastAsia="Amiri" w:cs="Amiri"/>
          <w:color w:val="111111"/>
          <w:sz w:val="28"/>
          <w:sz w:val="28"/>
          <w:szCs w:val="28"/>
          <w:rtl w:val="true"/>
          <w:lang w:bidi="ar-SA"/>
        </w:rPr>
        <w:t xml:space="preserve">والقرآن يحدث عمّن أُوتي آيات الله في مقتبل عمره ، لكنّه ساءت سيرته في الفترة الأخيرة من عمره فصار من الغاوين ،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وَاتْلُ عَلَيْهِمْ نَبَأَ الَّذِي آتَيْناهُ آياتِنا فَانْسَلَخَ مِنْها فَأَتْبَعَهُ الشَّيْطانُ فَكانَ مِنَ الْغاوِينَ</w:t>
      </w:r>
      <w:r>
        <w:rPr>
          <w:rFonts w:eastAsia="Amiri" w:cs="Amiri" w:ascii="Amiri" w:hAnsi="Amiri"/>
          <w:color w:val="111111"/>
          <w:sz w:val="28"/>
          <w:szCs w:val="28"/>
          <w:rtl w:val="true"/>
          <w:lang w:bidi="ar-SA"/>
        </w:rPr>
        <w:t xml:space="preserve">). </w:t>
      </w:r>
      <w:r>
        <w:rPr>
          <w:rStyle w:val="FootnoteAnchor"/>
          <w:rtl w:val="true"/>
        </w:rPr>
        <w:footnoteReference w:id="819"/>
      </w:r>
    </w:p>
    <w:p>
      <w:pPr>
        <w:pStyle w:val="BookText"/>
        <w:rPr/>
      </w:pPr>
      <w:r>
        <w:rPr>
          <w:rFonts w:ascii="Amiri" w:hAnsi="Amiri" w:eastAsia="Amiri" w:cs="Amiri"/>
          <w:color w:val="111111"/>
          <w:sz w:val="28"/>
          <w:sz w:val="28"/>
          <w:szCs w:val="28"/>
          <w:rtl w:val="true"/>
          <w:lang w:bidi="ar-SA"/>
        </w:rPr>
        <w:t>وهذا هو قارون بني إسرائيل كان يقرأ التوراة بصوت حسن ، ولكنّه ساء سلوكه فخسف سبحانه به وبداره وكنزه</w:t>
      </w:r>
      <w:r>
        <w:rPr>
          <w:rFonts w:eastAsia="Amiri" w:cs="Amiri" w:ascii="Amiri" w:hAnsi="Amiri"/>
          <w:color w:val="111111"/>
          <w:sz w:val="28"/>
          <w:szCs w:val="28"/>
          <w:rtl w:val="true"/>
          <w:lang w:bidi="ar-SA"/>
        </w:rPr>
        <w:t xml:space="preserve">. </w:t>
      </w:r>
      <w:r>
        <w:rPr>
          <w:rStyle w:val="FootnoteAnchor"/>
          <w:rtl w:val="true"/>
        </w:rPr>
        <w:footnoteReference w:id="820"/>
      </w:r>
    </w:p>
    <w:p>
      <w:pPr>
        <w:pStyle w:val="BookText"/>
        <w:rPr/>
      </w:pPr>
      <w:r>
        <w:rPr>
          <w:rFonts w:ascii="Amiri" w:hAnsi="Amiri" w:eastAsia="Amiri" w:cs="Amiri"/>
          <w:color w:val="111111"/>
          <w:sz w:val="28"/>
          <w:sz w:val="28"/>
          <w:szCs w:val="28"/>
          <w:rtl w:val="true"/>
          <w:lang w:bidi="ar-SA"/>
        </w:rPr>
        <w:t>وعلى ضوء ذلك فما مرّ من الآيات التي تُثني على فئات من الصحابة لا يحتج بها على صلاحهم إذا ثبت بالأدلّة القطعية انحرافهم عن الطريق المهيع ، واقترافهم المعاصي ومحاربتهم الحق والحقيقة</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لا شكّ فيه وقوع التشاجر بين الصحابة ، كما دارت بينهم معارك دامية ، قُتل على أثرها لفيف من البدريين والأُحديين وغيرهم من المسلمين الأبرياء وعندئذ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العبرة بخواتيم الأعمال ، وثناء القرآن عليهم إنّما كان بحسب ملابساتهم وأحوالهم يوم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من الصلحاء وليس من المستحيل أن ينسلخوا من تلك الأحوال كما انسلخ غيرهم</w:t>
      </w:r>
      <w:r>
        <w:rPr>
          <w:rFonts w:eastAsia="Amiri" w:cs="Amiri" w:ascii="Amiri" w:hAnsi="Amiri"/>
          <w:color w:val="111111"/>
          <w:sz w:val="28"/>
          <w:szCs w:val="28"/>
          <w:rtl w:val="true"/>
          <w:lang w:bidi="ar-SA"/>
        </w:rPr>
        <w:t xml:space="preserve">. </w:t>
      </w:r>
      <w:bookmarkStart w:id="1223" w:name="pg11047_103093"/>
    </w:p>
    <w:p>
      <w:pPr>
        <w:pStyle w:val="Heading4"/>
        <w:numPr>
          <w:ilvl w:val="3"/>
          <w:numId w:val="1"/>
        </w:numPr>
        <w:rPr/>
      </w:pPr>
      <w:bookmarkStart w:id="1224" w:name="__RefHeading___Toc1391809_1067777946"/>
      <w:bookmarkStart w:id="1225" w:name="_Toc454"/>
      <w:bookmarkEnd w:id="1223"/>
      <w:bookmarkEnd w:id="1224"/>
      <w:r>
        <w:rPr/>
        <w:t>3</w:t>
      </w:r>
      <w:r>
        <w:rPr>
          <w:rtl w:val="true"/>
        </w:rPr>
        <w:t xml:space="preserve">- </w:t>
      </w:r>
      <w:r>
        <w:rPr>
          <w:rtl w:val="true"/>
        </w:rPr>
        <w:t xml:space="preserve">ثناء النبي </w:t>
      </w:r>
      <w:r>
        <w:rPr>
          <w:rtl w:val="true"/>
        </w:rPr>
        <w:t xml:space="preserve">- </w:t>
      </w:r>
      <w:r>
        <w:rPr>
          <w:rtl w:val="true"/>
        </w:rPr>
        <w:t xml:space="preserve">صلى الله عليه وآله وسلم </w:t>
      </w:r>
      <w:r>
        <w:rPr>
          <w:rtl w:val="true"/>
        </w:rPr>
        <w:t xml:space="preserve">- </w:t>
      </w:r>
      <w:r>
        <w:rPr>
          <w:rtl w:val="true"/>
        </w:rPr>
        <w:t>على الصحابة</w:t>
      </w:r>
      <w:bookmarkEnd w:id="1225"/>
    </w:p>
    <w:p>
      <w:pPr>
        <w:pStyle w:val="Heading5"/>
        <w:numPr>
          <w:ilvl w:val="4"/>
          <w:numId w:val="1"/>
        </w:numPr>
        <w:rPr/>
      </w:pPr>
      <w:bookmarkStart w:id="1226" w:name="__RefHeading___Toc1391811_1067777946"/>
      <w:bookmarkStart w:id="1227" w:name="_Toc455"/>
      <w:bookmarkEnd w:id="1226"/>
      <w:r>
        <w:rPr>
          <w:rtl w:val="true"/>
        </w:rPr>
        <w:t>اشارة</w:t>
      </w:r>
      <w:bookmarkEnd w:id="1227"/>
    </w:p>
    <w:p>
      <w:pPr>
        <w:pStyle w:val="BookText"/>
        <w:rPr/>
      </w:pPr>
      <w:r>
        <w:rPr>
          <w:rFonts w:ascii="Amiri" w:hAnsi="Amiri" w:eastAsia="Amiri" w:cs="Amiri"/>
          <w:color w:val="111111"/>
          <w:sz w:val="28"/>
          <w:sz w:val="28"/>
          <w:szCs w:val="28"/>
          <w:rtl w:val="true"/>
          <w:lang w:bidi="ar-SA"/>
        </w:rPr>
        <w:t xml:space="preserve">استُدلّ على عدالة الصحابة بثناء النبي عليهم ، ونحن نذكر منه ما هو المهم </w:t>
      </w:r>
      <w:r>
        <w:rPr>
          <w:rFonts w:eastAsia="Amiri" w:cs="Amiri" w:ascii="Amiri" w:hAnsi="Amiri"/>
          <w:color w:val="111111"/>
          <w:sz w:val="28"/>
          <w:szCs w:val="28"/>
          <w:rtl w:val="true"/>
          <w:lang w:bidi="ar-SA"/>
        </w:rPr>
        <w:t>:</w:t>
      </w:r>
    </w:p>
    <w:p>
      <w:pPr>
        <w:pStyle w:val="Heading5"/>
        <w:numPr>
          <w:ilvl w:val="4"/>
          <w:numId w:val="1"/>
        </w:numPr>
        <w:rPr/>
      </w:pPr>
      <w:bookmarkStart w:id="1228" w:name="__RefHeading___Toc1391813_1067777946"/>
      <w:bookmarkStart w:id="1229" w:name="_Toc456"/>
      <w:bookmarkEnd w:id="1228"/>
      <w:r>
        <w:rPr/>
        <w:t>1</w:t>
      </w:r>
      <w:r>
        <w:rPr>
          <w:rtl w:val="true"/>
        </w:rPr>
        <w:t xml:space="preserve">. </w:t>
      </w:r>
      <w:r>
        <w:rPr>
          <w:rtl w:val="true"/>
        </w:rPr>
        <w:t xml:space="preserve">حديث انّ الله اطّلع على أهل بدر </w:t>
      </w:r>
      <w:r>
        <w:rPr>
          <w:rtl w:val="true"/>
        </w:rPr>
        <w:t>...</w:t>
      </w:r>
      <w:bookmarkEnd w:id="1229"/>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البخاري عن علي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وأبا مرثد والزبير ، وكلُّنا فارس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انطلقوا حتّى تأتوا روضة خاخ ، فانّ بها امرأة من المشركين ، معها كتاب من حاطب بن أبي بلتعة إلى المشركين ، فأدركناها تسير على بعير لها حيث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منّا كتاب ، فأنخناها فالتمسنا فلم نر كتاباً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كذب رسول الله ، لتُخرجنّ الكتاب أو لنجرّدنّك ، فلمّا رأت الجدّ أهوت إلى حُجْزتها وهي محتجزة بكساء فأخرجته ، فانطلقنا بها إلى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قد خان الله ورسوله والمؤمنين ، فدعني لاضرب عنقَه ، فقال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حملك على ما صنعت؟ قال حاطب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بي أن لا أكونَ مؤمناً بالله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أن يكون لي </w:t>
      </w:r>
    </w:p>
    <w:p>
      <w:pPr>
        <w:pStyle w:val="BookText"/>
        <w:rPr/>
      </w:pPr>
      <w:r>
        <w:rPr>
          <w:rFonts w:ascii="Amiri" w:hAnsi="Amiri" w:eastAsia="Amiri" w:cs="Amiri"/>
          <w:color w:val="111111"/>
          <w:sz w:val="28"/>
          <w:sz w:val="28"/>
          <w:szCs w:val="28"/>
          <w:rtl w:val="true"/>
          <w:lang w:bidi="ar-SA"/>
        </w:rPr>
        <w:t>عند القوم يد يدفع الله بها عن أهلي ومالي ، وليس أحد من أصحابك إلاّ له هناك من عشيرته من يدفع الله به عن أهله وماله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صدق ، ولا تقولوا له إلاّ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خان الله ورسوله والمؤمنين ، فدعْني فلأضرب عنقه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من أهل بدر؟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الله اطّلع على أهل بدر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اعمَلوا ما شئتم ، فقد وجبت لكم الجنة ، أو قد غفرتُ لكم ، فدمعت عينا عمر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w:t>
      </w:r>
      <w:r>
        <w:rPr>
          <w:rFonts w:eastAsia="Amiri" w:cs="Amiri" w:ascii="Amiri" w:hAnsi="Amiri"/>
          <w:color w:val="111111"/>
          <w:sz w:val="28"/>
          <w:szCs w:val="28"/>
          <w:rtl w:val="true"/>
          <w:lang w:bidi="ar-SA"/>
        </w:rPr>
        <w:t xml:space="preserve">. </w:t>
      </w:r>
      <w:r>
        <w:rPr>
          <w:rStyle w:val="FootnoteAnchor"/>
          <w:rtl w:val="true"/>
        </w:rPr>
        <w:footnoteReference w:id="821"/>
      </w:r>
    </w:p>
    <w:p>
      <w:pPr>
        <w:pStyle w:val="BookText"/>
        <w:rPr/>
      </w:pPr>
      <w:r>
        <w:rPr>
          <w:rFonts w:ascii="Amiri" w:hAnsi="Amiri" w:eastAsia="Amiri" w:cs="Amiri"/>
          <w:color w:val="111111"/>
          <w:sz w:val="28"/>
          <w:sz w:val="28"/>
          <w:szCs w:val="28"/>
          <w:rtl w:val="true"/>
          <w:lang w:bidi="ar-SA"/>
        </w:rPr>
        <w:t xml:space="preserve">هذا الحديث وإن أخرجه البخاري وأسنده إلى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ولكنّنا نجلّ الإمام أمير المؤمنين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رواية هذا الحديث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مضمونه يشهد على كذبه ، إذ كيف يمكن للنبيّ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يُعطي الضوء الأخضر لجماعة من الصحابة يناهز عددهم الثلاثمائة ، ويسمح لهم أن يفعلوا ما يشاءُون ، وإن اقترفوا الكبائر وارتكبوا المعاصي وإن سفكوا الدماء وخضّبوا بها وجه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سبحانه يخاطب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أَشْرَكْتَ لَيَحْبَطَنَّ عَمَلُكَ</w:t>
      </w:r>
      <w:r>
        <w:rPr>
          <w:rFonts w:eastAsia="Amiri" w:cs="Amiri" w:ascii="Amiri" w:hAnsi="Amiri"/>
          <w:color w:val="111111"/>
          <w:sz w:val="28"/>
          <w:szCs w:val="28"/>
          <w:rtl w:val="true"/>
          <w:lang w:bidi="ar-SA"/>
        </w:rPr>
        <w:t xml:space="preserve">). </w:t>
      </w:r>
      <w:r>
        <w:rPr>
          <w:rStyle w:val="FootnoteAnchor"/>
          <w:rtl w:val="true"/>
        </w:rPr>
        <w:footnoteReference w:id="822"/>
      </w:r>
      <w:r>
        <w:rPr>
          <w:rFonts w:ascii="Amiri" w:hAnsi="Amiri" w:eastAsia="Amiri" w:cs="Amiri"/>
          <w:color w:val="111111"/>
          <w:sz w:val="28"/>
          <w:sz w:val="28"/>
          <w:szCs w:val="28"/>
          <w:rtl w:val="true"/>
          <w:lang w:bidi="ar-SA"/>
        </w:rPr>
        <w:t>فهل يُعقل أن يسمح للبدريين أن يفعلوا ما شاءوا وأن يُبشرهم 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آنفاً انّ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 من الحارث بن سويد بن الصامت البدريّ لقتله المجذر بن زياد</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هو حاطب بن أبي بلتعة يُصبح عينَ المشركين بالمدينة ، ولكنّه بالرغم من ذلك يدخل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الجاسوس إذا كان مسلماً ، يتجسّس لصالح الكفّار يقتل ، أو يوجع ويعزّر على اختلاف في المذاهب</w:t>
      </w:r>
      <w:r>
        <w:rPr>
          <w:rFonts w:eastAsia="Amiri" w:cs="Amiri" w:ascii="Amiri" w:hAnsi="Amiri"/>
          <w:color w:val="111111"/>
          <w:sz w:val="28"/>
          <w:szCs w:val="28"/>
          <w:rtl w:val="true"/>
          <w:lang w:bidi="ar-SA"/>
        </w:rPr>
        <w:t xml:space="preserve">. </w:t>
      </w:r>
      <w:r>
        <w:rPr>
          <w:rStyle w:val="FootnoteAnchor"/>
          <w:rtl w:val="true"/>
        </w:rPr>
        <w:footnoteReference w:id="823"/>
      </w:r>
      <w:bookmarkStart w:id="1230" w:name="pg11047_103095"/>
    </w:p>
    <w:p>
      <w:pPr>
        <w:pStyle w:val="Heading5"/>
        <w:numPr>
          <w:ilvl w:val="4"/>
          <w:numId w:val="1"/>
        </w:numPr>
        <w:rPr/>
      </w:pPr>
      <w:bookmarkStart w:id="1231" w:name="__RefHeading___Toc1391815_1067777946"/>
      <w:bookmarkStart w:id="1232" w:name="_Toc457"/>
      <w:bookmarkEnd w:id="1230"/>
      <w:bookmarkEnd w:id="1231"/>
      <w:r>
        <w:rPr/>
        <w:t>2</w:t>
      </w:r>
      <w:r>
        <w:rPr>
          <w:rtl w:val="true"/>
        </w:rPr>
        <w:t xml:space="preserve">. </w:t>
      </w:r>
      <w:r>
        <w:rPr>
          <w:rtl w:val="true"/>
        </w:rPr>
        <w:t xml:space="preserve">حديث </w:t>
      </w:r>
      <w:r>
        <w:rPr>
          <w:rtl w:val="true"/>
        </w:rPr>
        <w:t>«</w:t>
      </w:r>
      <w:r>
        <w:rPr>
          <w:rtl w:val="true"/>
        </w:rPr>
        <w:t>مثل أصحابي كالنجوم</w:t>
      </w:r>
      <w:r>
        <w:rPr>
          <w:rtl w:val="true"/>
        </w:rPr>
        <w:t>»</w:t>
      </w:r>
      <w:bookmarkEnd w:id="1232"/>
    </w:p>
    <w:p>
      <w:pPr>
        <w:pStyle w:val="Heading6"/>
        <w:numPr>
          <w:ilvl w:val="5"/>
          <w:numId w:val="1"/>
        </w:numPr>
        <w:rPr/>
      </w:pPr>
      <w:bookmarkStart w:id="1233" w:name="__RefHeading___Toc1391817_1067777946"/>
      <w:bookmarkStart w:id="1234" w:name="_Toc458"/>
      <w:bookmarkEnd w:id="1233"/>
      <w:r>
        <w:rPr>
          <w:rtl w:val="true"/>
        </w:rPr>
        <w:t>اشارة</w:t>
      </w:r>
      <w:bookmarkEnd w:id="1234"/>
    </w:p>
    <w:p>
      <w:pPr>
        <w:pStyle w:val="BookText"/>
        <w:rPr/>
      </w:pPr>
      <w:r>
        <w:rPr>
          <w:rFonts w:ascii="Amiri" w:hAnsi="Amiri" w:eastAsia="Amiri" w:cs="Amiri"/>
          <w:color w:val="111111"/>
          <w:sz w:val="28"/>
          <w:sz w:val="28"/>
          <w:szCs w:val="28"/>
          <w:rtl w:val="true"/>
          <w:lang w:bidi="ar-SA"/>
        </w:rPr>
        <w:t xml:space="preserve">أخرج ابن حميد عن نافع عن ابن عمر ، 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أصحابي مثل النجوم يهتدى به ، فأيّهم أخذتم بقوله اهتديتم</w:t>
      </w:r>
      <w:r>
        <w:rPr>
          <w:rFonts w:eastAsia="Amiri" w:cs="Amiri" w:ascii="Amiri" w:hAnsi="Amiri"/>
          <w:color w:val="111111"/>
          <w:sz w:val="28"/>
          <w:szCs w:val="28"/>
          <w:rtl w:val="true"/>
          <w:lang w:bidi="ar-SA"/>
        </w:rPr>
        <w:t xml:space="preserve">. </w:t>
      </w:r>
      <w:r>
        <w:rPr>
          <w:rStyle w:val="FootnoteAnchor"/>
          <w:rtl w:val="true"/>
        </w:rPr>
        <w:footnoteReference w:id="824"/>
      </w:r>
    </w:p>
    <w:p>
      <w:pPr>
        <w:pStyle w:val="BookText"/>
        <w:rPr/>
      </w:pPr>
      <w:r>
        <w:rPr>
          <w:rFonts w:ascii="Amiri" w:hAnsi="Amiri" w:eastAsia="Amiri" w:cs="Amiri"/>
          <w:color w:val="111111"/>
          <w:sz w:val="28"/>
          <w:sz w:val="28"/>
          <w:szCs w:val="28"/>
          <w:rtl w:val="true"/>
          <w:lang w:bidi="ar-SA"/>
        </w:rPr>
        <w:t xml:space="preserve">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متن الحديث يكذِّب صدوره ، إذ ليس كلّ نجم هادياً في البرّ والبحر ، بل هناك نجوم خاصة للاهتداء ، ولأجل ذلك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وَعَلاماتٍ وَبِالنَّجْمِ هُمْ يَهْتَدُونَ</w:t>
      </w:r>
      <w:r>
        <w:rPr>
          <w:rFonts w:eastAsia="Amiri" w:cs="Amiri" w:ascii="Amiri" w:hAnsi="Amiri"/>
          <w:color w:val="111111"/>
          <w:sz w:val="28"/>
          <w:szCs w:val="28"/>
          <w:rtl w:val="true"/>
          <w:lang w:bidi="ar-SA"/>
        </w:rPr>
        <w:t xml:space="preserve">). </w:t>
      </w:r>
      <w:r>
        <w:rPr>
          <w:rStyle w:val="FootnoteAnchor"/>
          <w:rtl w:val="true"/>
        </w:rPr>
        <w:footnoteReference w:id="825"/>
      </w:r>
    </w:p>
    <w:p>
      <w:pPr>
        <w:pStyle w:val="BookText"/>
        <w:rPr/>
      </w:pPr>
      <w:r>
        <w:rPr>
          <w:rFonts w:ascii="Amiri" w:hAnsi="Amiri" w:eastAsia="Amiri" w:cs="Amiri"/>
          <w:color w:val="111111"/>
          <w:sz w:val="28"/>
          <w:sz w:val="28"/>
          <w:szCs w:val="28"/>
          <w:rtl w:val="true"/>
          <w:lang w:bidi="ar-SA"/>
        </w:rPr>
        <w:t xml:space="preserve">وأمّا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جَعَلَ لَكُمُ النُّجُومَ لِتَهْتَدُوا بِها فِي ظُلُماتِ الْبَرِّ وَالْبَحْرِ قَدْ فَصَّلْنَا الْآياتِ لِقَوْمٍ يَعْلَمُونَ</w:t>
      </w:r>
      <w:r>
        <w:rPr>
          <w:rFonts w:eastAsia="Amiri" w:cs="Amiri" w:ascii="Amiri" w:hAnsi="Amiri"/>
          <w:color w:val="111111"/>
          <w:sz w:val="28"/>
          <w:szCs w:val="28"/>
          <w:rtl w:val="true"/>
          <w:lang w:bidi="ar-SA"/>
        </w:rPr>
        <w:t xml:space="preserve">) </w:t>
      </w:r>
      <w:r>
        <w:rPr>
          <w:rStyle w:val="FootnoteAnchor"/>
          <w:rtl w:val="true"/>
        </w:rPr>
        <w:footnoteReference w:id="826"/>
      </w:r>
      <w:r>
        <w:rPr>
          <w:rFonts w:ascii="Amiri" w:hAnsi="Amiri" w:eastAsia="Amiri" w:cs="Amiri"/>
          <w:color w:val="111111"/>
          <w:sz w:val="28"/>
          <w:sz w:val="28"/>
          <w:szCs w:val="28"/>
          <w:rtl w:val="true"/>
          <w:lang w:bidi="ar-SA"/>
        </w:rPr>
        <w:t>فاللام في النجوم للعهد أي النجوم المعهودة التي كانت العرب يوم ذاك يهتدون بها في البر والبحر وليست للاستغراق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يتمشّى ذلك الحمل في الحديث بأن يحمل على فئة من الصحابة ، لأنّ الغاية فيها التبسيط والتعميم لكلّ صحابي كما هو صريح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فأيّهم أخذتم بقوله اهتديتم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محيص من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الاستغراق ، والحال انّه ليس كلّ نجم هادياً</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افترضنا الاهتداء بكلّ نجم في السماء ، أفهل يمكن أن يكون كلّ صحابي نجماً لامعاً هادياً للأُمّة؟ فهذا قدامة بن مظعون ، صحابي بدري يعد من السابقين الأوّلين ومن المهاجرين الهجرتين ، قد شرب الخمر وأقام عليه عمر الحدّ ، </w:t>
      </w:r>
    </w:p>
    <w:p>
      <w:pPr>
        <w:pStyle w:val="BookText"/>
        <w:rPr/>
      </w:pPr>
      <w:r>
        <w:rPr>
          <w:rFonts w:ascii="Amiri" w:hAnsi="Amiri" w:eastAsia="Amiri" w:cs="Amiri"/>
          <w:color w:val="111111"/>
          <w:sz w:val="28"/>
          <w:sz w:val="28"/>
          <w:szCs w:val="28"/>
          <w:rtl w:val="true"/>
          <w:lang w:bidi="ar-SA"/>
        </w:rPr>
        <w:t>كما أنّ المشهور انّ عبد الرحمن الأصغر بن عمر بن الخطاب قد شرب الخمر</w:t>
      </w:r>
      <w:r>
        <w:rPr>
          <w:rFonts w:eastAsia="Amiri" w:cs="Amiri" w:ascii="Amiri" w:hAnsi="Amiri"/>
          <w:color w:val="111111"/>
          <w:sz w:val="28"/>
          <w:szCs w:val="28"/>
          <w:rtl w:val="true"/>
          <w:lang w:bidi="ar-SA"/>
        </w:rPr>
        <w:t xml:space="preserve">. </w:t>
      </w:r>
      <w:r>
        <w:rPr>
          <w:rStyle w:val="FootnoteAnchor"/>
          <w:rtl w:val="true"/>
        </w:rPr>
        <w:footnoteReference w:id="827"/>
      </w:r>
    </w:p>
    <w:p>
      <w:pPr>
        <w:pStyle w:val="BookText"/>
        <w:rPr/>
      </w:pPr>
      <w:r>
        <w:rPr>
          <w:rFonts w:ascii="Amiri" w:hAnsi="Amiri" w:eastAsia="Amiri" w:cs="Amiri"/>
          <w:color w:val="111111"/>
          <w:sz w:val="28"/>
          <w:sz w:val="28"/>
          <w:szCs w:val="28"/>
          <w:rtl w:val="true"/>
          <w:lang w:bidi="ar-SA"/>
        </w:rPr>
        <w:t>كما أنّ بعض الصحابة أراق دماءً طاهرة فمن استقصى تاريخ حياة بسر بن أرطاة يجد انّه اقترف جرائم كثيرة ، حتّى أنّه قتل طفلين لعبيد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بين الصحابة من رجال قد احتفل التاريخ بضبط مساويهم ، أفبعد هذه البيّنات يصحّ لأحد أن يتقوّل بأنّهم جميعاً وبلا استثناء كالنجوم يهتدى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أبو جعفر النقيب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الحديث من موضوعات متعصبة الأموية فانّ منهم من ينصرهم بلسانه وبوضعه الأحاديث إذا عجز عن نصرهم بالسيف</w:t>
      </w:r>
      <w:r>
        <w:rPr>
          <w:rFonts w:eastAsia="Amiri" w:cs="Amiri" w:ascii="Amiri" w:hAnsi="Amiri"/>
          <w:color w:val="111111"/>
          <w:sz w:val="28"/>
          <w:szCs w:val="28"/>
          <w:rtl w:val="true"/>
          <w:lang w:bidi="ar-SA"/>
        </w:rPr>
        <w:t xml:space="preserve">. </w:t>
      </w:r>
      <w:r>
        <w:rPr>
          <w:rStyle w:val="FootnoteAnchor"/>
          <w:rtl w:val="true"/>
        </w:rPr>
        <w:footnoteReference w:id="828"/>
      </w:r>
    </w:p>
    <w:p>
      <w:pPr>
        <w:pStyle w:val="BookText"/>
        <w:rPr/>
      </w:pPr>
      <w:r>
        <w:rPr>
          <w:rFonts w:ascii="Amiri" w:hAnsi="Amiri" w:eastAsia="Amiri" w:cs="Amiri"/>
          <w:color w:val="111111"/>
          <w:sz w:val="28"/>
          <w:sz w:val="28"/>
          <w:szCs w:val="28"/>
          <w:rtl w:val="true"/>
          <w:lang w:bidi="ar-SA"/>
        </w:rPr>
        <w:t xml:space="preserve">ولعل القارئ الكريم يتصوّر انّ أبا جعفر النقيب ممن ينفرد في شأن هذه الرواية وليس الأمر كذلك ، بل حكم بوضعها كثير من محقّقي السنّة يقول ابن حزم في رسالة إبطال الرأي والقياس والاستحسان والتعليل والتقليد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حديث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مكذوب موضوع باطل لم يصحّ قط</w:t>
      </w:r>
      <w:r>
        <w:rPr>
          <w:rFonts w:eastAsia="Amiri" w:cs="Amiri" w:ascii="Amiri" w:hAnsi="Amiri"/>
          <w:color w:val="111111"/>
          <w:sz w:val="28"/>
          <w:szCs w:val="28"/>
          <w:rtl w:val="true"/>
          <w:lang w:bidi="ar-SA"/>
        </w:rPr>
        <w:t xml:space="preserve">. </w:t>
      </w:r>
      <w:r>
        <w:rPr>
          <w:rStyle w:val="FootnoteAnchor"/>
          <w:rtl w:val="true"/>
        </w:rPr>
        <w:footnoteReference w:id="829"/>
      </w:r>
    </w:p>
    <w:p>
      <w:pPr>
        <w:pStyle w:val="BookText"/>
        <w:rPr/>
      </w:pPr>
      <w:r>
        <w:rPr>
          <w:rFonts w:ascii="Amiri" w:hAnsi="Amiri" w:eastAsia="Amiri" w:cs="Amiri"/>
          <w:color w:val="111111"/>
          <w:sz w:val="28"/>
          <w:sz w:val="28"/>
          <w:szCs w:val="28"/>
          <w:rtl w:val="true"/>
          <w:lang w:bidi="ar-SA"/>
        </w:rPr>
        <w:t xml:space="preserve">وقال الحافظ الكبير الذهبي في ترجمة جعفر بن عبد الواحد الهاشمي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بلاياه عن وهب بن جرير ، عن أبيه ، عن الأعمش ، عن أبي صالح ، عن أبي هريرة ،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أصحابي كالنجوم من اقتدى بشيء منها اهتدى</w:t>
      </w:r>
      <w:r>
        <w:rPr>
          <w:rFonts w:eastAsia="Amiri" w:cs="Amiri" w:ascii="Amiri" w:hAnsi="Amiri"/>
          <w:color w:val="111111"/>
          <w:sz w:val="28"/>
          <w:szCs w:val="28"/>
          <w:rtl w:val="true"/>
          <w:lang w:bidi="ar-SA"/>
        </w:rPr>
        <w:t xml:space="preserve">. </w:t>
      </w:r>
      <w:r>
        <w:rPr>
          <w:rStyle w:val="FootnoteAnchor"/>
          <w:rtl w:val="true"/>
        </w:rPr>
        <w:footnoteReference w:id="830"/>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أيضاً في ترجمة زيد بن الحواري العَمِّي</w:t>
      </w:r>
      <w:r>
        <w:rPr>
          <w:rFonts w:eastAsia="Amiri" w:cs="Amiri" w:ascii="Amiri" w:hAnsi="Amiri"/>
          <w:color w:val="111111"/>
          <w:sz w:val="28"/>
          <w:szCs w:val="28"/>
          <w:rtl w:val="true"/>
          <w:lang w:bidi="ar-SA"/>
        </w:rPr>
        <w:t xml:space="preserve">. </w:t>
      </w:r>
      <w:bookmarkStart w:id="1235" w:name="pg11047_103097"/>
    </w:p>
    <w:p>
      <w:pPr>
        <w:pStyle w:val="BookText"/>
        <w:rPr/>
      </w:pPr>
      <w:bookmarkEnd w:id="1235"/>
      <w:r>
        <w:rPr>
          <w:rFonts w:ascii="Amiri" w:hAnsi="Amiri" w:eastAsia="Amiri" w:cs="Amiri"/>
          <w:color w:val="111111"/>
          <w:sz w:val="28"/>
          <w:sz w:val="28"/>
          <w:szCs w:val="28"/>
          <w:rtl w:val="true"/>
          <w:lang w:bidi="ar-SA"/>
        </w:rPr>
        <w:t xml:space="preserve">روى نعيم بن حماد ، حدّثنا عبد الرحيم بن زيد العَمِّي ، عن أبيه ، عن سعيد بن المسيب ، عن عمر مرفوعاً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ربي بين ما اختلف فيه أصحابي من بعدي ، فأوحى الله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أصحابك عندنا بمنزلة النجوم بعضهم أضوأ من بعض ، فمن أخذ بشيء ممّا هم عليه من اختلافهم فهو عندي على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باطل ، وعبد الرحيم تركوه ، ونعيم صاحب مناكير</w:t>
      </w:r>
      <w:r>
        <w:rPr>
          <w:rFonts w:eastAsia="Amiri" w:cs="Amiri" w:ascii="Amiri" w:hAnsi="Amiri"/>
          <w:color w:val="111111"/>
          <w:sz w:val="28"/>
          <w:szCs w:val="28"/>
          <w:rtl w:val="true"/>
          <w:lang w:bidi="ar-SA"/>
        </w:rPr>
        <w:t xml:space="preserve">. </w:t>
      </w:r>
      <w:r>
        <w:rPr>
          <w:rStyle w:val="FootnoteAnchor"/>
          <w:rtl w:val="true"/>
        </w:rPr>
        <w:footnoteReference w:id="831"/>
      </w:r>
      <w:r>
        <w:rPr>
          <w:rFonts w:ascii="Amiri" w:hAnsi="Amiri" w:eastAsia="Amiri" w:cs="Amiri"/>
          <w:color w:val="111111"/>
          <w:sz w:val="28"/>
          <w:sz w:val="28"/>
          <w:szCs w:val="28"/>
          <w:rtl w:val="true"/>
          <w:lang w:bidi="ar-SA"/>
        </w:rPr>
        <w:t>إلى غير ذلك من الكلمات حول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الحديث قد روي بصور مختلفة </w:t>
      </w:r>
      <w:r>
        <w:rPr>
          <w:rFonts w:eastAsia="Amiri" w:cs="Amiri" w:ascii="Amiri" w:hAnsi="Amiri"/>
          <w:color w:val="111111"/>
          <w:sz w:val="28"/>
          <w:szCs w:val="28"/>
          <w:rtl w:val="true"/>
          <w:lang w:bidi="ar-SA"/>
        </w:rPr>
        <w:t>:</w:t>
      </w:r>
    </w:p>
    <w:p>
      <w:pPr>
        <w:pStyle w:val="Heading6"/>
        <w:numPr>
          <w:ilvl w:val="5"/>
          <w:numId w:val="1"/>
        </w:numPr>
        <w:rPr/>
      </w:pPr>
      <w:bookmarkStart w:id="1236" w:name="__RefHeading___Toc1391819_1067777946"/>
      <w:bookmarkStart w:id="1237" w:name="_Toc459"/>
      <w:bookmarkEnd w:id="1236"/>
      <w:r>
        <w:rPr>
          <w:rtl w:val="true"/>
        </w:rPr>
        <w:t>أ</w:t>
      </w:r>
      <w:r>
        <w:rPr>
          <w:rtl w:val="true"/>
        </w:rPr>
        <w:t xml:space="preserve">. </w:t>
      </w:r>
      <w:r>
        <w:rPr>
          <w:rtl w:val="true"/>
        </w:rPr>
        <w:t>أصحابي كالنجوم بأيّهم اقتديتم اهتديتم</w:t>
      </w:r>
      <w:bookmarkEnd w:id="1237"/>
    </w:p>
    <w:p>
      <w:pPr>
        <w:pStyle w:val="BookText"/>
        <w:rPr/>
      </w:pPr>
      <w:r>
        <w:rPr>
          <w:rFonts w:ascii="Amiri" w:hAnsi="Amiri" w:eastAsia="Amiri" w:cs="Amiri"/>
          <w:color w:val="111111"/>
          <w:sz w:val="28"/>
          <w:sz w:val="28"/>
          <w:szCs w:val="28"/>
          <w:rtl w:val="true"/>
          <w:lang w:bidi="ar-SA"/>
        </w:rPr>
        <w:t xml:space="preserve">رواه ابن عبد البر في جامع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حزم في الأحكام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طريقة سلام بن سليم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الحارث بن غصين ، عن الأعمش ، عن أبي سفيان ، عن جابر مرفوعاً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عبد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إسناد لا تقوم به حجّة ، لأنّ الحارث بن غصين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رواية ساقطة ، أبو سفيان ضعيف ، والحارث بن غصين هذا هو أبو وهب الثقفي ، وسلام بن سليمان يروى الأحاديث الموضوعة ، وهذا منها بلا شك</w:t>
      </w:r>
      <w:r>
        <w:rPr>
          <w:rFonts w:eastAsia="Amiri" w:cs="Amiri" w:ascii="Amiri" w:hAnsi="Amiri"/>
          <w:color w:val="111111"/>
          <w:sz w:val="28"/>
          <w:szCs w:val="28"/>
          <w:rtl w:val="true"/>
          <w:lang w:bidi="ar-SA"/>
        </w:rPr>
        <w:t xml:space="preserve">». </w:t>
      </w:r>
      <w:r>
        <w:rPr>
          <w:rStyle w:val="FootnoteAnchor"/>
          <w:rtl w:val="true"/>
        </w:rPr>
        <w:footnoteReference w:id="832"/>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أُوتيتم من كتاب الله فالعمل به ، لا عذر لأحدكم في تركه ، فإن لم يكن في كتاب الله ، فسنّة منّي ماضية ، فإن لم يكن سنة منّي ماضية ، فما قال أصحابي ، إنّ أصحابي بمنزلة النجوم في السماء فأيّها أخذتم به اهتديتم ، واختلاف </w:t>
      </w:r>
    </w:p>
    <w:p>
      <w:pPr>
        <w:pStyle w:val="BookText"/>
        <w:rPr/>
      </w:pPr>
      <w:r>
        <w:rPr>
          <w:rFonts w:ascii="Amiri" w:hAnsi="Amiri" w:eastAsia="Amiri" w:cs="Amiri"/>
          <w:color w:val="111111"/>
          <w:sz w:val="28"/>
          <w:sz w:val="28"/>
          <w:szCs w:val="28"/>
          <w:rtl w:val="true"/>
          <w:lang w:bidi="ar-SA"/>
        </w:rPr>
        <w:t>أصحابي لكم 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الخطيب في الكفاية في علم الدراية ،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أبو العباس الأصم وابن عساكر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سليمان بن أبي كريمة ، عن جويبر ، عن الضحاك عن ابن عباس مرفوعاً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اسناد ضعيف جداً ، سليمان بن أبي كريمة ، قال ابن أبي حاتم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ضعيف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وجويبر هو ابن سعيد الأزدي متروك ، كما قال الدارقطني والنسائي وغيرهما ، والضحاك هو ابن مزاحم الهلالي لم يلق ابن عباس</w:t>
      </w:r>
      <w:r>
        <w:rPr>
          <w:rFonts w:eastAsia="Amiri" w:cs="Amiri" w:ascii="Amiri" w:hAnsi="Amiri"/>
          <w:color w:val="111111"/>
          <w:sz w:val="28"/>
          <w:szCs w:val="28"/>
          <w:rtl w:val="true"/>
          <w:lang w:bidi="ar-SA"/>
        </w:rPr>
        <w:t xml:space="preserve">. </w:t>
      </w:r>
      <w:r>
        <w:rPr>
          <w:rStyle w:val="FootnoteAnchor"/>
          <w:rtl w:val="true"/>
        </w:rPr>
        <w:footnoteReference w:id="833"/>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ربّي فيما اختلف فيه أصحابي من بعدي فأوحى الله إليّ ، 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أصحابك عندي بمنزلة النجوم بعضها أضوأ من بعض ، فمن أخذ بشيء ممّا هم عليه فهو عندي على 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ابن بطّة في الإبانة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والخطيب أيضاً ، نظام الملك في الأمالي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والديلمي في مسنده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والضياء في المنتقى من مسموعاته بمرو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ابن عساكر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نعيم بن حمّاد ، حدّثنا عبد الرحيم بن زيد العمّي ، عن أبيه ، عن سعيد بن المسيب ، عن عمر بن الخطاب مرفوعاً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السند موضوع ، نعيم بن حماد ضعيف ، قال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يخطئ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الرحيم بن زيد العَمّي كذاب فهو آفته</w:t>
      </w:r>
      <w:r>
        <w:rPr>
          <w:rFonts w:eastAsia="Amiri" w:cs="Amiri" w:ascii="Amiri" w:hAnsi="Amiri"/>
          <w:color w:val="111111"/>
          <w:sz w:val="28"/>
          <w:szCs w:val="28"/>
          <w:rtl w:val="true"/>
          <w:lang w:bidi="ar-SA"/>
        </w:rPr>
        <w:t xml:space="preserve">. </w:t>
      </w:r>
      <w:r>
        <w:rPr>
          <w:rStyle w:val="FootnoteAnchor"/>
          <w:rtl w:val="true"/>
        </w:rPr>
        <w:footnoteReference w:id="834"/>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قليل من كثير ممّا ذكره الشيخ الألباني المعاصر في كتابه ، ومن أراد </w:t>
      </w:r>
      <w:bookmarkStart w:id="1238" w:name="pg11047_103099"/>
    </w:p>
    <w:p>
      <w:pPr>
        <w:pStyle w:val="BookText"/>
        <w:rPr/>
      </w:pPr>
      <w:bookmarkEnd w:id="1238"/>
      <w:r>
        <w:rPr>
          <w:rFonts w:ascii="Amiri" w:hAnsi="Amiri" w:eastAsia="Amiri" w:cs="Amiri"/>
          <w:color w:val="111111"/>
          <w:sz w:val="28"/>
          <w:sz w:val="28"/>
          <w:szCs w:val="28"/>
          <w:rtl w:val="true"/>
          <w:lang w:bidi="ar-SA"/>
        </w:rPr>
        <w:t>التفصيل فليرجع إلى نفس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أضاف في آخر تحقيقه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صحّ هذا الخبر يكون المراد إنّ ما قالوه برأيهم يجب العمل به ، وهذا دليل آخر على أنّ الحديث موضوع ، وليس من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كيف يسوغ لنا أن نتصوّر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يبرّر لنا أن نقتدي بكل رجل من الصحابة مع أنّ فيهم العالم والمتوسط في العلم ، ومن هو دون ذلك وكان فيهم مثلاً من يرى أنّ البرد لا يفطر الصائم بأكله</w:t>
      </w:r>
      <w:r>
        <w:rPr>
          <w:rFonts w:eastAsia="Amiri" w:cs="Amiri" w:ascii="Amiri" w:hAnsi="Amiri"/>
          <w:color w:val="111111"/>
          <w:sz w:val="28"/>
          <w:szCs w:val="28"/>
          <w:rtl w:val="true"/>
          <w:lang w:bidi="ar-SA"/>
        </w:rPr>
        <w:t xml:space="preserve">. </w:t>
      </w:r>
      <w:r>
        <w:rPr>
          <w:rStyle w:val="FootnoteAnchor"/>
          <w:rtl w:val="true"/>
        </w:rPr>
        <w:footnoteReference w:id="835"/>
      </w:r>
    </w:p>
    <w:p>
      <w:pPr>
        <w:pStyle w:val="Heading5"/>
        <w:numPr>
          <w:ilvl w:val="4"/>
          <w:numId w:val="1"/>
        </w:numPr>
        <w:rPr/>
      </w:pPr>
      <w:bookmarkStart w:id="1239" w:name="__RefHeading___Toc1391821_1067777946"/>
      <w:bookmarkStart w:id="1240" w:name="_Toc460"/>
      <w:bookmarkEnd w:id="1239"/>
      <w:r>
        <w:rPr/>
        <w:t>3</w:t>
      </w:r>
      <w:r>
        <w:rPr>
          <w:rtl w:val="true"/>
        </w:rPr>
        <w:t xml:space="preserve">. </w:t>
      </w:r>
      <w:r>
        <w:rPr>
          <w:rtl w:val="true"/>
        </w:rPr>
        <w:t>خير القرون قرني</w:t>
      </w:r>
      <w:bookmarkEnd w:id="1240"/>
    </w:p>
    <w:p>
      <w:pPr>
        <w:pStyle w:val="BookText"/>
        <w:rPr/>
      </w:pPr>
      <w:r>
        <w:rPr>
          <w:rFonts w:ascii="Amiri" w:hAnsi="Amiri" w:eastAsia="Amiri" w:cs="Amiri"/>
          <w:color w:val="111111"/>
          <w:sz w:val="28"/>
          <w:sz w:val="28"/>
          <w:szCs w:val="28"/>
          <w:rtl w:val="true"/>
          <w:lang w:bidi="ar-SA"/>
        </w:rPr>
        <w:t xml:space="preserve">أخرج البخاري في كتاب فضائل أصحاب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عمران بن حصين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خير أُمّتي قرني ، ثمّ الذين يلونهم ، ثمّ الذين يلونهم ، قال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أدري أذكر بعد قرنه قرنين أو ثلاثاً ، ثمّ إنّ بعدكم قوماً يشهدون ولا يستشهدون ، ويخونون ولا يؤتمنون ، وينذرون ولا يفون ، ويظهر فيهم السمن</w:t>
      </w:r>
      <w:r>
        <w:rPr>
          <w:rFonts w:eastAsia="Amiri" w:cs="Amiri" w:ascii="Amiri" w:hAnsi="Amiri"/>
          <w:color w:val="111111"/>
          <w:sz w:val="28"/>
          <w:szCs w:val="28"/>
          <w:rtl w:val="true"/>
          <w:lang w:bidi="ar-SA"/>
        </w:rPr>
        <w:t xml:space="preserve">. </w:t>
      </w:r>
      <w:r>
        <w:rPr>
          <w:rStyle w:val="FootnoteAnchor"/>
          <w:rtl w:val="true"/>
        </w:rPr>
        <w:footnoteReference w:id="836"/>
      </w:r>
    </w:p>
    <w:p>
      <w:pPr>
        <w:pStyle w:val="BookText"/>
        <w:rPr/>
      </w:pPr>
      <w:r>
        <w:rPr>
          <w:rFonts w:ascii="Amiri" w:hAnsi="Amiri" w:eastAsia="Amiri" w:cs="Amiri"/>
          <w:color w:val="111111"/>
          <w:sz w:val="28"/>
          <w:sz w:val="28"/>
          <w:szCs w:val="28"/>
          <w:rtl w:val="true"/>
          <w:lang w:bidi="ar-SA"/>
        </w:rPr>
        <w:t>وأخرجه مسلم في صحيحه عن عمران بن حصين</w:t>
      </w:r>
      <w:r>
        <w:rPr>
          <w:rFonts w:eastAsia="Amiri" w:cs="Amiri" w:ascii="Amiri" w:hAnsi="Amiri"/>
          <w:color w:val="111111"/>
          <w:sz w:val="28"/>
          <w:szCs w:val="28"/>
          <w:rtl w:val="true"/>
          <w:lang w:bidi="ar-SA"/>
        </w:rPr>
        <w:t xml:space="preserve">. </w:t>
      </w:r>
      <w:r>
        <w:rPr>
          <w:rStyle w:val="FootnoteAnchor"/>
          <w:rtl w:val="true"/>
        </w:rPr>
        <w:footnoteReference w:id="837"/>
      </w:r>
    </w:p>
    <w:p>
      <w:pPr>
        <w:pStyle w:val="BookText"/>
        <w:rPr/>
      </w:pPr>
      <w:r>
        <w:rPr>
          <w:rFonts w:ascii="Amiri" w:hAnsi="Amiri" w:eastAsia="Amiri" w:cs="Amiri"/>
          <w:color w:val="111111"/>
          <w:sz w:val="28"/>
          <w:sz w:val="28"/>
          <w:szCs w:val="28"/>
          <w:rtl w:val="true"/>
          <w:lang w:bidi="ar-SA"/>
        </w:rPr>
        <w:t>وأخرجه أحمد في مسنده عن بريدة الأسلمي</w:t>
      </w:r>
      <w:r>
        <w:rPr>
          <w:rFonts w:eastAsia="Amiri" w:cs="Amiri" w:ascii="Amiri" w:hAnsi="Amiri"/>
          <w:color w:val="111111"/>
          <w:sz w:val="28"/>
          <w:szCs w:val="28"/>
          <w:rtl w:val="true"/>
          <w:lang w:bidi="ar-SA"/>
        </w:rPr>
        <w:t xml:space="preserve">. </w:t>
      </w:r>
      <w:r>
        <w:rPr>
          <w:rStyle w:val="FootnoteAnchor"/>
          <w:rtl w:val="true"/>
        </w:rPr>
        <w:footnoteReference w:id="838"/>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الحديث مهما صح سنده ونقله أصحاب الصحاح والمسانيد والسنن ، يكذبه التاريخ الصحيح الذي سجّل أحوال أهل القرون التي أُطلق عليهم هذا الاسم ، وذلك بالبيان التالي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القرن في اللغة عبارة عن الفترة من الزمان وإطلاقه على مائة سنة ، إطلاق حادث لا تحمل عليه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ضوء ذلك فالقرن الذي بعث فيه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القرون من الأزمنة باعتبار نفس النبي فقط ، فكان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نوراً انبعث في الظلمة حيث تقوضت به دعائم الشرك والوثنية ، وأُشيدت دعائم التوحيد والحنفية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يرجع إلى نفس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غيره فالظاهر من الرواية انّها تصنِّف الناس حسب التفضيل بالنحو 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الذي بعثتُ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التابعون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الذين يلونهم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تابعو التابعين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الذين يلونهم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 من قرب زمنه من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أفضل ممّن بعد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تفيده الرواية ، وللأسف الشديد أنّ الواقع الملموس يثبت خلاف ذلك لا سيّما من تصفّح التاريخ والحديث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هو الإمام البخاري يروي في حقّ الصحابة ما مرّ من ارتدادهم ، كما مرّ في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يلونهم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يهدف إلى التابعين وفيهم الأمويون ، فهل يمكن أن نعدَّ عصر الأمويين خير القرون وقد لوّنوا وجه الأرض بدماء الأبرياء ، وقتلوا سبط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كربلاء عطشاناً وذبحوا أولاده وأصحابه ، وهتكوا حرمة الكعبة</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هو الحجاج صنيعة أيديهم اقترف من الجرائم البشعة ما يندى لها جبين الإنسانية ، ولا أُطيل الكلام في ذلك والتاريخ خير شاهد على كذب هذه الرواية ووضعها من قبل سماسرة الحديث لتطهير الجهاز الحاكم الأموي ممّا </w:t>
      </w:r>
    </w:p>
    <w:p>
      <w:pPr>
        <w:pStyle w:val="BookText"/>
        <w:rPr/>
      </w:pPr>
      <w:r>
        <w:rPr>
          <w:rFonts w:ascii="Amiri" w:hAnsi="Amiri" w:eastAsia="Amiri" w:cs="Amiri"/>
          <w:color w:val="111111"/>
          <w:sz w:val="28"/>
          <w:sz w:val="28"/>
          <w:szCs w:val="28"/>
          <w:rtl w:val="true"/>
          <w:lang w:bidi="ar-SA"/>
        </w:rPr>
        <w:t>ارتكبه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ويكفي في ذلك ما علّقه أبو المعالي الجويني على هذا الحديث ، قائلاً </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يدلّ على بطلانه أنّ القرن الذي جاء بعده بخمسين سنة ، شرّ قرون الدنيا وهو أحد القرون التي ذكرها في النصّ ، وكان ذلك القرن هو القرن الذي قُتل فيه الحسين ، وأُوقع بالمدينة ، وحوصرت مكة ، ونقضت الكعبة ، وشربت خلفاؤه والقائمون مقامه المنتصبون في منصب النبوة ، الخمورَ وارتكبوا الفجور ، كما جرى ليزيد بن معاوية ولزيد بن عاتكة وللوليد بن يزيد ، وأُريقت الدماء الحرام ، وقتل المسلمون وسبي الحريم ، واستعبد أبناء المهاجرين والأنصار ونُقش على أيديهم كما ينقش على أيدي الروم ، وذلك في خلافة عبد الملك ، وإمرة الحجاج ، وإذا تأمّلت كتب التواريخ وجدت الخمسين الثانية ، شراً كلها ، لا خير فيها ولا في رؤسائها وأمرائها ، والناس برؤسائهم وأُمرائهم أشبه ، والقرن خمسون سنة فكيف يصحّ هذا الخبر؟ </w:t>
      </w:r>
      <w:r>
        <w:rPr>
          <w:rStyle w:val="FootnoteAnchor"/>
          <w:rtl w:val="true"/>
        </w:rPr>
        <w:footnoteReference w:id="839"/>
      </w:r>
      <w:bookmarkStart w:id="1241" w:name="pg11047_103102"/>
    </w:p>
    <w:p>
      <w:pPr>
        <w:pStyle w:val="Heading3"/>
        <w:numPr>
          <w:ilvl w:val="2"/>
          <w:numId w:val="1"/>
        </w:numPr>
        <w:rPr/>
      </w:pPr>
      <w:bookmarkStart w:id="1242" w:name="__RefHeading___Toc1391823_1067777946"/>
      <w:bookmarkStart w:id="1243" w:name="_Toc461"/>
      <w:bookmarkEnd w:id="1241"/>
      <w:bookmarkEnd w:id="1242"/>
      <w:r>
        <w:rPr/>
        <w:t>13</w:t>
      </w:r>
      <w:r>
        <w:rPr>
          <w:rtl w:val="true"/>
        </w:rPr>
        <w:t xml:space="preserve">- </w:t>
      </w:r>
      <w:r>
        <w:rPr>
          <w:rtl w:val="true"/>
        </w:rPr>
        <w:t>موعظة شافية</w:t>
      </w:r>
      <w:bookmarkEnd w:id="1243"/>
    </w:p>
    <w:p>
      <w:pPr>
        <w:pStyle w:val="Heading4"/>
        <w:numPr>
          <w:ilvl w:val="3"/>
          <w:numId w:val="1"/>
        </w:numPr>
        <w:rPr/>
      </w:pPr>
      <w:bookmarkStart w:id="1244" w:name="__RefHeading___Toc1391825_1067777946"/>
      <w:bookmarkStart w:id="1245" w:name="_Toc462"/>
      <w:bookmarkEnd w:id="1244"/>
      <w:r>
        <w:rPr>
          <w:rtl w:val="true"/>
        </w:rPr>
        <w:t>اشارة</w:t>
      </w:r>
      <w:bookmarkEnd w:id="1245"/>
    </w:p>
    <w:p>
      <w:pPr>
        <w:pStyle w:val="BookText"/>
        <w:rPr/>
      </w:pPr>
      <w:r>
        <w:rPr>
          <w:rFonts w:ascii="Amiri" w:hAnsi="Amiri" w:eastAsia="Amiri" w:cs="Amiri"/>
          <w:color w:val="111111"/>
          <w:sz w:val="28"/>
          <w:sz w:val="28"/>
          <w:szCs w:val="28"/>
          <w:rtl w:val="true"/>
          <w:lang w:bidi="ar-SA"/>
        </w:rPr>
        <w:t xml:space="preserve">أُريد أن أذكر في خاتمة المطاف كلمة فيها صلاح الإسلام والمسلمين ، وهي موعظة شافية لكلّ من ألقى السمع وهو شهيد ، وهي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كان السبُّ هو النيل من كرامة الشخص بكلمات مبتذلة ولسان بذيء ، لغاية التشفّي وهدم كرامة المسبوب ، فالمسلمون بعامة طوائفهم إلاّ النواصب منزّهون عن تلك الوصمة ، وقد ملئت أسماعهم بقول الرسول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وسباب المسلم فسق ، وقتاله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الرائج بين المحقّقين فليس من مقولة السبّ إنّما هو دراسة أحوال الصحابة من زاوية الحديث والتاريخ ، وهذا ليس سبّاً ، بل نقداً لحياة الشخص ، وأين هو من السبِّ؟</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الشيخ عبد الله الهروي الشافعي المعروف بالحبشي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سب الصحابة القول إنّ مقاتلي علي منهم بغاة ، لأنّ هذا ممّا صرّح به الحديث بالنسبة لبعضهم وهم أهل صفين ، وقد روى البيهقي في كتابه الاعتقاد باسناده المتصل إلى محمد بن إسحاق وهو ابن خزيمة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من نازع أمير المؤمنين علي بن أبي طالب في إمارته فهو 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عهدتُ مشايخنا ، وبه قال ابن إدريس يعني </w:t>
      </w:r>
    </w:p>
    <w:p>
      <w:pPr>
        <w:pStyle w:val="BookText"/>
        <w:rPr/>
      </w:pPr>
      <w:r>
        <w:rPr>
          <w:rFonts w:ascii="Amiri" w:hAnsi="Amiri" w:eastAsia="Amiri" w:cs="Amiri"/>
          <w:color w:val="111111"/>
          <w:sz w:val="28"/>
          <w:sz w:val="28"/>
          <w:szCs w:val="28"/>
          <w:rtl w:val="true"/>
          <w:lang w:bidi="ar-SA"/>
        </w:rPr>
        <w:t>الشافعي ، فلا يُعدُّ ذكر ما جاء في حديث البخاري سبّاً للصحابة إلاّ من بعد عن التحقيق العلمي فليتفطن لذلك</w:t>
      </w:r>
      <w:r>
        <w:rPr>
          <w:rFonts w:eastAsia="Amiri" w:cs="Amiri" w:ascii="Amiri" w:hAnsi="Amiri"/>
          <w:color w:val="111111"/>
          <w:sz w:val="28"/>
          <w:szCs w:val="28"/>
          <w:rtl w:val="true"/>
          <w:lang w:bidi="ar-SA"/>
        </w:rPr>
        <w:t xml:space="preserve">. </w:t>
      </w:r>
      <w:r>
        <w:rPr>
          <w:rStyle w:val="FootnoteAnchor"/>
          <w:rtl w:val="true"/>
        </w:rPr>
        <w:footnoteReference w:id="840"/>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الحسن البصري </w:t>
      </w:r>
      <w:r>
        <w:rPr>
          <w:rStyle w:val="FootnoteAnchor"/>
          <w:rtl w:val="true"/>
        </w:rPr>
        <w:footnoteReference w:id="841"/>
      </w:r>
      <w:r>
        <w:rPr>
          <w:rFonts w:ascii="Amiri" w:hAnsi="Amiri" w:eastAsia="Amiri" w:cs="Amiri"/>
          <w:color w:val="111111"/>
          <w:sz w:val="28"/>
          <w:sz w:val="28"/>
          <w:szCs w:val="28"/>
          <w:rtl w:val="true"/>
          <w:lang w:bidi="ar-SA"/>
        </w:rPr>
        <w:t xml:space="preserve">الذي قيل فيه انّه سيد التابعين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كنّا نقول إنّ سيد التابعين أُويس القرني أخذاً بحديث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عمرو بن العاص وهو يردّد 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إذا جاء بلا إله إلاّ الله وقد قتل أهلَ لا إله إلاّ الله</w:t>
      </w:r>
      <w:r>
        <w:rPr>
          <w:rFonts w:eastAsia="Amiri" w:cs="Amiri" w:ascii="Amiri" w:hAnsi="Amiri"/>
          <w:color w:val="111111"/>
          <w:sz w:val="28"/>
          <w:szCs w:val="28"/>
          <w:rtl w:val="true"/>
          <w:lang w:bidi="ar-SA"/>
        </w:rPr>
        <w:t xml:space="preserve">. </w:t>
      </w:r>
      <w:r>
        <w:rPr>
          <w:rStyle w:val="FootnoteAnchor"/>
          <w:rtl w:val="true"/>
        </w:rPr>
        <w:footnoteReference w:id="84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النقد لا يعدّ سبّاً إذا كان لغرض شرعي صحيح ، بل يكون بنّاءً ، ويشهد لذلك حديث مسلم وأبي داود انّ رجلاً خطب عند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في خطبته من يطع الله ورسوله فقد رشد ، ومن يعصهما فقد غوى ، فقال له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الخطيب أنت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وقد كان البحث حول محاربي عليّ في الجمل وصفين والنهروان قائماً على قدم وساق ، وقد كثر الكلام حول من نكث البيعة وحارب علياً في صفين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أبو منصور البغدادي يقول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بين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نصّه </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بإمامة علي في وقته ، وقالوا بتصويب علي في حروبه بالبصرة وبصفين وبالنهروان ، وقالوا بأنّ طلحة والزبير تابا ورجعا عن قتال علي ، لكن الزبير قتله عمرو بن جرموز بوادي السباع بعد منصرفه من الحرب ، وطلحة لما همّ بالانصراف رماه مروان بن الحكم وكان مع أصحاب الجمل بسهم فقتله ، </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عائشة قصدت الإصلاح بين الفريقين ، فغلبها بنو ضبّة والأزد على رأيها ، وقاتلوا علياً دون إذنها حتّى كان من الأمر ما كان</w:t>
      </w:r>
      <w:r>
        <w:rPr>
          <w:rFonts w:eastAsia="Amiri" w:cs="Amiri" w:ascii="Amiri" w:hAnsi="Amiri"/>
          <w:color w:val="111111"/>
          <w:sz w:val="28"/>
          <w:szCs w:val="28"/>
          <w:rtl w:val="true"/>
          <w:lang w:bidi="ar-SA"/>
        </w:rPr>
        <w:t xml:space="preserve">. </w:t>
      </w:r>
      <w:r>
        <w:rPr>
          <w:rStyle w:val="FootnoteAnchor"/>
          <w:rtl w:val="true"/>
        </w:rPr>
        <w:footnoteReference w:id="843"/>
      </w:r>
    </w:p>
    <w:p>
      <w:pPr>
        <w:pStyle w:val="BookText"/>
        <w:rPr/>
      </w:pPr>
      <w:r>
        <w:rPr>
          <w:rFonts w:ascii="Amiri" w:hAnsi="Amiri" w:eastAsia="Amiri" w:cs="Amiri"/>
          <w:color w:val="111111"/>
          <w:sz w:val="28"/>
          <w:sz w:val="28"/>
          <w:szCs w:val="28"/>
          <w:rtl w:val="true"/>
          <w:lang w:bidi="ar-SA"/>
        </w:rPr>
        <w:t xml:space="preserve">وقال في كتاب أُصول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أصحابنا على أنّ علياً رضي الله عنه كان مصيباً في قتال أصحاب الجمل وفي قتال أصحاب معاوية بصفين ، وقالوا في الذين قاتلوه 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كانوا على الخطأ ، وقالوا في عائشة وفي طلحة والزبير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أخطئوا ولم يفسقوا ، لأنّ عائشة قصدت الإصلاح بين الفريقين فغلبها بنو ضبة وبنو الأزد على رأيها ، فقاتلوا علياً فهم الذين فسقوا دونها ، وأمّا الزبير فانّه لما كلمه عليّ يوم الجمل عرف أنّه على الحقّ فترك قتاله وهرب من المعركة راجعاً إلى مكة ، فأدركه عمرو بن جرموز بوادي السباع فقتله وحمل رأسه إلى علي فبشره علي بالنار ، وأمّا طلحة فانّه لمّا رأى القتال بين الفريقين همّ بالرجوع إلى مكة ، فرماه مروان بن الحكم بسهم فقتله ، فهؤلاء الثلاثة بريئون من الفسق والباقون من أتباعهم الذين قاتلوا علياً فسقة ، وأمّا أصحاب معاوية فانّهم بغوا ، وسمّاهم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بغاة في قوله لعمار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يكفروا بهذا البغي</w:t>
      </w:r>
      <w:r>
        <w:rPr>
          <w:rFonts w:eastAsia="Amiri" w:cs="Amiri" w:ascii="Amiri" w:hAnsi="Amiri"/>
          <w:color w:val="111111"/>
          <w:sz w:val="28"/>
          <w:szCs w:val="28"/>
          <w:rtl w:val="true"/>
          <w:lang w:bidi="ar-SA"/>
        </w:rPr>
        <w:t xml:space="preserve">. </w:t>
      </w:r>
      <w:r>
        <w:rPr>
          <w:rStyle w:val="FootnoteAnchor"/>
          <w:rtl w:val="true"/>
        </w:rPr>
        <w:footnoteReference w:id="844"/>
      </w:r>
    </w:p>
    <w:p>
      <w:pPr>
        <w:pStyle w:val="BookText"/>
        <w:rPr/>
      </w:pPr>
      <w:r>
        <w:rPr>
          <w:rFonts w:ascii="Amiri" w:hAnsi="Amiri" w:eastAsia="Amiri" w:cs="Amiri"/>
          <w:color w:val="111111"/>
          <w:sz w:val="28"/>
          <w:sz w:val="28"/>
          <w:szCs w:val="28"/>
          <w:rtl w:val="true"/>
          <w:lang w:bidi="ar-SA"/>
        </w:rPr>
        <w:t>نحن وإن لم نكن نوافق بعض ما جاء في بنود هذا النص ، وإنّما نستشهد به على أنّ دراسة أحوال الصحابة إذا كانت دراسة نزيهة لا تعدّ من السب بشيء</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الحافظ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اعلام النبلاء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ريب انّ عائشة ندمت ندامة كلية على مسيرها إلى البصرة وحضورها يوم الجمل ، وما ظنّت انّ الأمر يبلغ ما بلغ ، فعن عمارة بن عمير عمّن سمع عائشة إذا قرأت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وَقَرْنَ فِي بُيُوتِكُنَ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بكت حتّى تبل خمارها</w:t>
      </w:r>
      <w:r>
        <w:rPr>
          <w:rFonts w:eastAsia="Amiri" w:cs="Amiri" w:ascii="Amiri" w:hAnsi="Amiri"/>
          <w:color w:val="111111"/>
          <w:sz w:val="28"/>
          <w:szCs w:val="28"/>
          <w:rtl w:val="true"/>
          <w:lang w:bidi="ar-SA"/>
        </w:rPr>
        <w:t xml:space="preserve">. </w:t>
      </w:r>
      <w:r>
        <w:rPr>
          <w:rStyle w:val="FootnoteAnchor"/>
          <w:rtl w:val="true"/>
        </w:rPr>
        <w:footnoteReference w:id="845"/>
      </w:r>
    </w:p>
    <w:p>
      <w:pPr>
        <w:pStyle w:val="BookText"/>
        <w:rPr/>
      </w:pPr>
      <w:r>
        <w:rPr>
          <w:rFonts w:ascii="Amiri" w:hAnsi="Amiri" w:eastAsia="Amiri" w:cs="Amiri"/>
          <w:color w:val="111111"/>
          <w:sz w:val="28"/>
          <w:sz w:val="28"/>
          <w:szCs w:val="28"/>
          <w:rtl w:val="true"/>
          <w:lang w:bidi="ar-SA"/>
        </w:rPr>
        <w:t xml:space="preserve">وذكر مثل ذلك القرطبي وأبو حيان في تفسيره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عائشة إذا قرأت هذه الآية يعني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نِساءَ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 حتّى تبلّ خمارها ، تتذكر خروجها أيام الجمل تطلب بدم عثمان</w:t>
      </w:r>
      <w:r>
        <w:rPr>
          <w:rFonts w:eastAsia="Amiri" w:cs="Amiri" w:ascii="Amiri" w:hAnsi="Amiri"/>
          <w:color w:val="111111"/>
          <w:sz w:val="28"/>
          <w:szCs w:val="28"/>
          <w:rtl w:val="true"/>
          <w:lang w:bidi="ar-SA"/>
        </w:rPr>
        <w:t xml:space="preserve">. </w:t>
      </w:r>
      <w:r>
        <w:rPr>
          <w:rStyle w:val="FootnoteAnchor"/>
          <w:rtl w:val="true"/>
        </w:rPr>
        <w:footnoteReference w:id="846"/>
      </w:r>
    </w:p>
    <w:p>
      <w:pPr>
        <w:pStyle w:val="BookText"/>
        <w:rPr/>
      </w:pPr>
      <w:r>
        <w:rPr>
          <w:rFonts w:ascii="Amiri" w:hAnsi="Amiri" w:eastAsia="Amiri" w:cs="Amiri"/>
          <w:color w:val="111111"/>
          <w:sz w:val="28"/>
          <w:sz w:val="28"/>
          <w:szCs w:val="28"/>
          <w:rtl w:val="true"/>
          <w:lang w:bidi="ar-SA"/>
        </w:rPr>
        <w:t xml:space="preserve">وفي كتاب دلائل النبوة للبيهقي ما نصه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أُمّ سلمة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بعض نسائه أُمّهات المؤمنين ، فضحكت عائشة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انظري يا حميراء ، أن لا تكوني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التفت إلى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ولِّيت من أمرها شيئاً فارفق بها</w:t>
      </w:r>
      <w:r>
        <w:rPr>
          <w:rFonts w:eastAsia="Amiri" w:cs="Amiri" w:ascii="Amiri" w:hAnsi="Amiri"/>
          <w:color w:val="111111"/>
          <w:sz w:val="28"/>
          <w:szCs w:val="28"/>
          <w:rtl w:val="true"/>
          <w:lang w:bidi="ar-SA"/>
        </w:rPr>
        <w:t xml:space="preserve">. </w:t>
      </w:r>
      <w:r>
        <w:rPr>
          <w:rStyle w:val="FootnoteAnchor"/>
          <w:rtl w:val="true"/>
        </w:rPr>
        <w:footnoteReference w:id="847"/>
      </w:r>
    </w:p>
    <w:p>
      <w:pPr>
        <w:pStyle w:val="BookText"/>
        <w:rPr/>
      </w:pPr>
      <w:r>
        <w:rPr>
          <w:rFonts w:ascii="Amiri" w:hAnsi="Amiri" w:eastAsia="Amiri" w:cs="Amiri"/>
          <w:color w:val="111111"/>
          <w:sz w:val="28"/>
          <w:sz w:val="28"/>
          <w:szCs w:val="28"/>
          <w:rtl w:val="true"/>
          <w:lang w:bidi="ar-SA"/>
        </w:rPr>
        <w:t>ونحن أيضاً لا نوافق بعض ما جاء في هذه الكلمات ، لكن الاستشهاد بها مثل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تضافر انّ الحافظ النسائي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دخلت دمشق وجدت أهلها منحرفين عن علي بن أبي طالب ، ولمّا علموا انّي عملتُ خصائص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طلبوا أن أعمل خصائص معاوية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أخرج له ، أخرج له لا أشبع الله بطنه</w:t>
      </w:r>
      <w:r>
        <w:rPr>
          <w:rFonts w:eastAsia="Amiri" w:cs="Amiri" w:ascii="Amiri" w:hAnsi="Amiri"/>
          <w:color w:val="111111"/>
          <w:sz w:val="28"/>
          <w:szCs w:val="28"/>
          <w:rtl w:val="true"/>
          <w:lang w:bidi="ar-SA"/>
        </w:rPr>
        <w:t xml:space="preserve">. </w:t>
      </w:r>
      <w:r>
        <w:rPr>
          <w:rStyle w:val="FootnoteAnchor"/>
          <w:rtl w:val="true"/>
        </w:rPr>
        <w:footnoteReference w:id="848"/>
      </w:r>
    </w:p>
    <w:p>
      <w:pPr>
        <w:pStyle w:val="BookText"/>
        <w:rPr/>
      </w:pPr>
      <w:r>
        <w:rPr>
          <w:rFonts w:ascii="Amiri" w:hAnsi="Amiri" w:eastAsia="Amiri" w:cs="Amiri"/>
          <w:color w:val="111111"/>
          <w:sz w:val="28"/>
          <w:sz w:val="28"/>
          <w:szCs w:val="28"/>
          <w:rtl w:val="true"/>
          <w:lang w:bidi="ar-SA"/>
        </w:rPr>
        <w:t>فصاروا يضربونه في خصيته فحمل من دمشق إلى الرملة فتوفي بها</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هو علي أفضل الصحابة وأوّل من آمن بالنبي ينقد صاحبي رسول الله كما ذكره الحافظ ابن حجر في المطالب العالية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صاحبي علي رضي الله عنه </w:t>
      </w:r>
    </w:p>
    <w:p>
      <w:pPr>
        <w:pStyle w:val="BookText"/>
        <w:rPr/>
      </w:pPr>
      <w:r>
        <w:rPr>
          <w:rFonts w:ascii="Amiri" w:hAnsi="Amiri" w:eastAsia="Amiri" w:cs="Amiri"/>
          <w:color w:val="111111"/>
          <w:sz w:val="28"/>
          <w:sz w:val="28"/>
          <w:szCs w:val="28"/>
          <w:rtl w:val="true"/>
          <w:lang w:bidi="ar-SA"/>
        </w:rPr>
        <w:t xml:space="preserve">عبد الله بن الكواء وابن عباد سألاه عن طلحة والزبير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فأخبرنا عن ملك هذين الرجلين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يعنيان طلحة والزبير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صاحباك في الهجرة وصاحباك في بيعة الرضوان وصاحباك في المشورة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بايعاني بالمدينة وخالفاني بالبصرة ، وعزاه لإسحاق بن راهويه ، قال الحافظ البوصيري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إسحاق بسند صحيح</w:t>
      </w:r>
      <w:r>
        <w:rPr>
          <w:rFonts w:eastAsia="Amiri" w:cs="Amiri" w:ascii="Amiri" w:hAnsi="Amiri"/>
          <w:color w:val="111111"/>
          <w:sz w:val="28"/>
          <w:szCs w:val="28"/>
          <w:rtl w:val="true"/>
          <w:lang w:bidi="ar-SA"/>
        </w:rPr>
        <w:t xml:space="preserve">. </w:t>
      </w:r>
      <w:r>
        <w:rPr>
          <w:rStyle w:val="FootnoteAnchor"/>
          <w:rtl w:val="true"/>
        </w:rPr>
        <w:footnoteReference w:id="849"/>
      </w:r>
    </w:p>
    <w:p>
      <w:pPr>
        <w:pStyle w:val="BookText"/>
        <w:rPr/>
      </w:pPr>
      <w:r>
        <w:rPr>
          <w:rFonts w:ascii="Amiri" w:hAnsi="Amiri" w:eastAsia="Amiri" w:cs="Amiri"/>
          <w:color w:val="111111"/>
          <w:sz w:val="28"/>
          <w:sz w:val="28"/>
          <w:szCs w:val="28"/>
          <w:rtl w:val="true"/>
          <w:lang w:bidi="ar-SA"/>
        </w:rPr>
        <w:t>ونحن لا نطيل الكلام بذكر نظائرها في غير من قاتل علياً ، فقد جرت السيرة على عدم الإمساك عمّا شجر بين الصحابة وما صدر عنهم ، وإن صدر الأمر بالإمساك عن عمر بن عبد العزيز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الحافظ الذهبي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اعلام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اتّهم المغيرة بن شعبة بالزنا وهو أمير الكوفة في عصر الخليفة عمر بن الخطاب وشهد عليه شهود أربعة ، منهم أبو بكرة ونافع وشبل فشهدوا على أنّهم رأوه يولجه ويخرجه ويلج ولج المِروَد في المكحلة ، فلمّا حاول رابع الشهود وهو زياد بن أبيه ، حاول الخليفة أن يدرأ عنه الحد للشبهة ، فخاطبه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لأرى رجلاً لم يخز الله على لسانه رجلاً من المهاجرين ، فقال له الخليفة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أرأيتَه يُدخله كالميل في المكحلة؟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ولكنّي رأيت مجلساً قبيحاً وسمعت نفساً عالياً ورأيته تبطنها</w:t>
      </w:r>
      <w:r>
        <w:rPr>
          <w:rFonts w:eastAsia="Amiri" w:cs="Amiri" w:ascii="Amiri" w:hAnsi="Amiri"/>
          <w:color w:val="111111"/>
          <w:sz w:val="28"/>
          <w:szCs w:val="28"/>
          <w:rtl w:val="true"/>
          <w:lang w:bidi="ar-SA"/>
        </w:rPr>
        <w:t xml:space="preserve">. </w:t>
      </w:r>
      <w:r>
        <w:rPr>
          <w:rStyle w:val="FootnoteAnchor"/>
          <w:rtl w:val="true"/>
        </w:rPr>
        <w:footnoteReference w:id="850"/>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كانت الصحابة عدولاً ، لما استمع الخليفة إلى الشهادات ، ولرفضها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دراسة سيرة الصحابي ، سبّاً له ، لعزّر الخليفة الشهود بالسبّ ، دون أن يسأل واحداً واحداً منهم عن صحّة الواقعة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شكّ انّ الآيات قد أثنت على جمع من الصحابة وقد أوضحنا مقاصدها ، ومع ذلك كلّه فالثناء ثناء جمعي لا يتعلّق بآحادهم ، نظير الثناء على قوم بني إسرائيل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إِسْرائِيلَ اذْكُرُوا نِعْمَتِيَ الَّتِي أَنْعَمْتُ عَلَيْكُمْ وَأَنِّي فَضَّلْتُكُمْ عَلَى الْعالَمِينَ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آتَيْنا بَنِي إِسْرائِيلَ الْكِتابَ وَالْحُكْمَ وَالنُّبُوَّةَ وَرَزَقْناهُمْ مِنَ الطَّيِّباتِ وَفَضَّلْناهُمْ عَلَى الْعالَمِينَ</w:t>
      </w:r>
      <w:r>
        <w:rPr>
          <w:rFonts w:eastAsia="Amiri" w:cs="Amiri" w:ascii="Amiri" w:hAnsi="Amiri"/>
          <w:color w:val="111111"/>
          <w:sz w:val="28"/>
          <w:szCs w:val="28"/>
          <w:rtl w:val="true"/>
          <w:lang w:bidi="ar-SA"/>
        </w:rPr>
        <w:t xml:space="preserve">). </w:t>
      </w:r>
      <w:r>
        <w:rPr>
          <w:rStyle w:val="FootnoteAnchor"/>
          <w:rtl w:val="true"/>
        </w:rPr>
        <w:footnoteReference w:id="851"/>
      </w:r>
    </w:p>
    <w:p>
      <w:pPr>
        <w:pStyle w:val="BookText"/>
        <w:rPr/>
      </w:pPr>
      <w:r>
        <w:rPr>
          <w:rFonts w:ascii="Amiri" w:hAnsi="Amiri" w:eastAsia="Amiri" w:cs="Amiri"/>
          <w:color w:val="111111"/>
          <w:sz w:val="28"/>
          <w:sz w:val="28"/>
          <w:szCs w:val="28"/>
          <w:rtl w:val="true"/>
          <w:lang w:bidi="ar-SA"/>
        </w:rPr>
        <w:t xml:space="preserve">وقد أدرك بعض المحقّقين من أهل السنّة انّ وصف الصحابة بالعدالة كلّهم يخالف ما روي في حقّهم ، ولذلك عاد إلى تفسير هذا الكلام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الصحابة كلّهم 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كلاً منهم سالم من الكبيرة ، فانّه بعيد من الصواب ، لأنّ منهم من سمع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ترجعوا بعدي كفّاراً يضرب بعضكم رقاب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قاتل مع معاوية فكان قاتل عمار بن ياسر ، ثمّ كان يتبجّح بذلك ويقول لمّا يأتي إلى أبواب بني أُمية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 عمار بالباب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فهل يحكم لهذا بانّه عدل بمعنى انّه سالم من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معنى قول أُولئك المحدِّثين انّهم لا يتّهمون بالكذب على الرسول فيما يروونه من الأحاديث عنه ، أليس قتل عمار من أفسق الفسق؟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خالف قول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سمعه منه وهذا الغادر هو أبو الغادية الجهني</w:t>
      </w:r>
      <w:r>
        <w:rPr>
          <w:rFonts w:eastAsia="Amiri" w:cs="Amiri" w:ascii="Amiri" w:hAnsi="Amiri"/>
          <w:color w:val="111111"/>
          <w:sz w:val="28"/>
          <w:szCs w:val="28"/>
          <w:rtl w:val="true"/>
          <w:lang w:bidi="ar-SA"/>
        </w:rPr>
        <w:t xml:space="preserve">. </w:t>
      </w:r>
      <w:r>
        <w:rPr>
          <w:rStyle w:val="FootnoteAnchor"/>
          <w:rtl w:val="true"/>
        </w:rPr>
        <w:footnoteReference w:id="852"/>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الحافظ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شرح الحديث الذي فيه قصة حاطب بن أبي بلتعة 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الحديث من الفوائد غير ما تقدّم انّ المؤمن </w:t>
      </w:r>
    </w:p>
    <w:p>
      <w:pPr>
        <w:pStyle w:val="BookText"/>
        <w:rPr/>
      </w:pPr>
      <w:r>
        <w:rPr>
          <w:rFonts w:ascii="Amiri" w:hAnsi="Amiri" w:eastAsia="Amiri" w:cs="Amiri"/>
          <w:color w:val="111111"/>
          <w:sz w:val="28"/>
          <w:sz w:val="28"/>
          <w:szCs w:val="28"/>
          <w:rtl w:val="true"/>
          <w:lang w:bidi="ar-SA"/>
        </w:rPr>
        <w:t>ولو بلغ بالصلاح أن يقطع له بالجنة ، لا يعصم من الوقوع في الذنب</w:t>
      </w:r>
      <w:r>
        <w:rPr>
          <w:rFonts w:eastAsia="Amiri" w:cs="Amiri" w:ascii="Amiri" w:hAnsi="Amiri"/>
          <w:color w:val="111111"/>
          <w:sz w:val="28"/>
          <w:szCs w:val="28"/>
          <w:rtl w:val="true"/>
          <w:lang w:bidi="ar-SA"/>
        </w:rPr>
        <w:t xml:space="preserve">. </w:t>
      </w:r>
      <w:r>
        <w:rPr>
          <w:rStyle w:val="FootnoteAnchor"/>
          <w:rtl w:val="true"/>
        </w:rPr>
        <w:footnoteReference w:id="85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الاعتقاد المُسْبق بعدالة الصحابة آل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كثير من الأحيان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بمحقّقي أهل السنّة إلى عدم التدبّر العميق في التاريخ ونقده ، ممّا أدّى إلى وقوعهم في مأزق كبير حفاظاً على ذلك المعتقد ، وهو إسدال الستار على كثير من حقائق التاريخ التي حدثت بعد رحيل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ودامت حوالي قرن واحد ، فتراهم يؤولون ما صدر عن الصحابة من التكفير والتفسيق والنهب والقتل بالاتّكاء على النظرية القائلة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كانوا مجتهدين مخطئين ، ومثابين في الوقت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 من كثر خطأه زاد ثوابه وأجره ، وهذا من غرائب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أوَما آن للمحقّقين من أهل السنّة أن يخوضوا عباب التاريخ نقداً وتمحيصاً ، ويرفعوا ربقة التقليد للسلف والجري وراءهم ، لكي يفهموا التاريخ على ما هو عليه ويرفعوا اليد عن الاعتقاد بعدالة كلّ صحابي بلا 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الدعاية الأموية لغاية ترسيخ ملكهم وإبعاد الناس عن 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حاكت حول الصحابة حالة قدسية وهمية على نحو لم ترخص فيه لأحد الخروج عن هذا الإطار والتدبّر فيما شجر بين الصحابة من مشاجرات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الدعاية الأموية نشرت بين الناس أكاذيب وتهماً حول الشيعة للمساس بهم ، من سبّ الصحابة وبغضهم وتفسيقهم وكفرهم ،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شهيدي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بلا مرية ، وفرية يتحمل أوزارها آل أُمية وآل مروان</w:t>
      </w:r>
      <w:r>
        <w:rPr>
          <w:rFonts w:eastAsia="Amiri" w:cs="Amiri" w:ascii="Amiri" w:hAnsi="Amiri"/>
          <w:color w:val="111111"/>
          <w:sz w:val="28"/>
          <w:szCs w:val="28"/>
          <w:rtl w:val="true"/>
          <w:lang w:bidi="ar-SA"/>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فكيف يمكن للشيعة أن تبغض الصحابة مع أنّ رواد التشيع كانوا منهم وقد حفل التاريخ بأسمائهم وتشيعهم؟</w:t>
      </w:r>
      <w:r>
        <w:rPr>
          <w:rFonts w:eastAsia="Amiri" w:cs="Amiri" w:ascii="Amiri" w:hAnsi="Amiri"/>
          <w:color w:val="111111"/>
          <w:sz w:val="28"/>
          <w:szCs w:val="28"/>
          <w:rtl w:val="true"/>
          <w:lang w:bidi="ar-SA"/>
        </w:rPr>
        <w:t xml:space="preserve">! </w:t>
      </w:r>
      <w:bookmarkStart w:id="1246" w:name="pg11047_103109"/>
    </w:p>
    <w:p>
      <w:pPr>
        <w:pStyle w:val="BookText"/>
        <w:rPr/>
      </w:pPr>
      <w:bookmarkEnd w:id="1246"/>
      <w:r>
        <w:rPr>
          <w:rFonts w:ascii="Amiri" w:hAnsi="Amiri" w:eastAsia="Amiri" w:cs="Amiri"/>
          <w:color w:val="111111"/>
          <w:sz w:val="28"/>
          <w:sz w:val="28"/>
          <w:szCs w:val="28"/>
          <w:rtl w:val="true"/>
          <w:lang w:bidi="ar-SA"/>
        </w:rPr>
        <w:t xml:space="preserve">وليس عند الشيعة في هذا المجال إلاّ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عدالة الصحابة بأجمعهم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فإنّهم لا يعتقدون بعدالة الكلّ ،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مثلهم بين المسلمين كمثل التابعين ، وهذا أمر يوافقه الكتاب العزيز والسنّة النبوية والتاريخ الصحيح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يدلّ على إكبار الشيعة لصحابة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وتبجيلهم لهم ، انّ الكتب الرجالية للشيعة لم تزل إلى يومنا هذا تحتفل بذكر أسماء الصحابة كلّ حسب وسع المؤلّفين وطاقتهم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رجال البرقي من الأُصول الرجالية ، وقد أدرج في رجاله أسماء صحابة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صحابة سائر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الشيخ الطوسي في كتابه المعروف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أدرج في كتاب في باب من روى عن النبي أسماء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شخصاً من الصحابة ، كما أنّه أدرج من الصحابيات أسماء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 فاشتمل الكتاب على ترجمة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شخصاً</w:t>
      </w:r>
      <w:r>
        <w:rPr>
          <w:rFonts w:eastAsia="Amiri" w:cs="Amiri" w:ascii="Amiri" w:hAnsi="Amiri"/>
          <w:color w:val="111111"/>
          <w:sz w:val="28"/>
          <w:szCs w:val="28"/>
          <w:rtl w:val="true"/>
          <w:lang w:bidi="ar-SA"/>
        </w:rPr>
        <w:t xml:space="preserve">. </w:t>
      </w:r>
      <w:r>
        <w:rPr>
          <w:rStyle w:val="FootnoteAnchor"/>
          <w:rtl w:val="true"/>
        </w:rPr>
        <w:footnoteReference w:id="854"/>
      </w:r>
    </w:p>
    <w:p>
      <w:pPr>
        <w:pStyle w:val="BookText"/>
        <w:rPr/>
      </w:pPr>
      <w:r>
        <w:rPr>
          <w:rFonts w:ascii="Amiri" w:hAnsi="Amiri" w:eastAsia="Amiri" w:cs="Amiri"/>
          <w:color w:val="111111"/>
          <w:sz w:val="28"/>
          <w:sz w:val="28"/>
          <w:szCs w:val="28"/>
          <w:rtl w:val="true"/>
          <w:lang w:bidi="ar-SA"/>
        </w:rPr>
        <w:t xml:space="preserve">وقد تبعه غير واحد من أصحاب المعاجم فذكروا أسماء جمع غفير من الصحابة الذين لهم رواية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ممّا يدلّ على أنّ للصحابة مقاماً ومكرمة لدى الشيعة ، إلاّ ما قامت البيّنة على إعراضهم عن الطريق المهيع</w:t>
      </w:r>
      <w:r>
        <w:rPr>
          <w:rFonts w:eastAsia="Amiri" w:cs="Amiri" w:ascii="Amiri" w:hAnsi="Amiri"/>
          <w:color w:val="111111"/>
          <w:sz w:val="28"/>
          <w:szCs w:val="28"/>
          <w:rtl w:val="true"/>
          <w:lang w:bidi="ar-SA"/>
        </w:rPr>
        <w:t>.</w:t>
      </w:r>
    </w:p>
    <w:p>
      <w:pPr>
        <w:pStyle w:val="Heading4"/>
        <w:numPr>
          <w:ilvl w:val="3"/>
          <w:numId w:val="1"/>
        </w:numPr>
        <w:rPr/>
      </w:pPr>
      <w:bookmarkStart w:id="1247" w:name="__RefHeading___Toc1391827_1067777946"/>
      <w:bookmarkStart w:id="1248" w:name="_Toc463"/>
      <w:bookmarkEnd w:id="1247"/>
      <w:r>
        <w:rPr/>
        <w:t>6</w:t>
      </w:r>
      <w:r>
        <w:rPr>
          <w:rtl w:val="true"/>
        </w:rPr>
        <w:t xml:space="preserve">. </w:t>
      </w:r>
      <w:r>
        <w:rPr>
          <w:rtl w:val="true"/>
        </w:rPr>
        <w:t>روّاد التشيّع من الصحابة</w:t>
      </w:r>
      <w:bookmarkEnd w:id="1248"/>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التشيع ليس إلاّ نفس الإسلام الذي اتّفق عليه الفريقان ، ويختلف عن سائر الفرق في مسألة التنصيص على الخلافة ، فالشيعة الأوائل هم الذين اتّبعوا قول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مع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w:t>
      </w:r>
    </w:p>
    <w:p>
      <w:pPr>
        <w:pStyle w:val="BookText"/>
        <w:rPr/>
      </w:pPr>
      <w:r>
        <w:rPr>
          <w:rFonts w:ascii="Amiri" w:hAnsi="Amiri" w:eastAsia="Amiri" w:cs="Amiri"/>
          <w:color w:val="111111"/>
          <w:sz w:val="28"/>
          <w:sz w:val="28"/>
          <w:szCs w:val="28"/>
          <w:rtl w:val="true"/>
          <w:lang w:bidi="ar-SA"/>
        </w:rPr>
        <w:t>رحيله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فها نحن نضع أمام القارئ الكريم قائمة بأسماء ثلّة من الصحابة الذين شهدت أعمالهم على أوصافهم ، وأفعالهم على نيّاتهم ، وأثنى أصحاب الرجال والتراجم عليهم أو على الأقل سكت عنهم التاريخ ، ولنكتف بذكر القليل منهم عن الكثير ، وهم </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جندب بن جنادة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ذر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عمار بن ياسر ، سلمان الفارسي ، المقداد بن عمرو بن ثعلبة الكندي ، حذيفة بن اليمان صاحب سرّ النبيّ ، خزيمة بن ثابت الأنصاري ذو الشهادتين ، الخباب بن الأرت التميمي ، سعد بن مالك أبو سعيد الخدري ، أبو الهيثم بن التيهان الأنصاري ، قيس بن سعد بن عبادة الأنصاري ، أنس بن الحرث بن منبه أحد شهداء كربلاء ، أبو أيوب الأنصاري خالد بن زيد الذي استضاف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دخوله المدينة ، جابر بن عبد الله الأنصاري أحد أصحاب بيعة العقبة ، هاشم بن عتبة بن أبي وقاص المرقال فاتح جلولاء ، مالك بن الحارث الأشتر النخعي ، مالك بن نويرة ردف الملوك الذي قتله خالد بن الوليد ، البراء بن عازب الأنصاري ، أُبيّ بن كعب سيد القرّاء ، عبادة بن الصامت الأنصاري ، عبد الله بن مسعود صاحب وضوء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سادات القرّاء ، أبو الأسود الدؤلي ظالم بن عمير واضع أُسس النحو بأمر الإمام عليّ ، خالد بن سعيد بن أبي عامر بن أُمية بن عبد شمس خامس من أسلم ، أُسيد بن ثعلبة الأنصاري من أهل بدر ، الأسود بن عيسى بن وهب من أهل بدر ، بشير بن مسعود الأنصاري من أهل بدر ومن القتلى بواقعة الحرة بالمدينة ، ثابت أبو فضالة الأنصاري من أهل بدر ، الحارث بن النعمان بن أُمية الأنصاري من أهل بدر ، رافع بن خديج </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الأنصاري ممّن شهد أُحداً ولم يبلغ وأجازه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كعب بن عمير بن عبادة الأنصاري من أهل بدر ، سماك بن خرشة أبو دجانة الأنصاري من أهل بدر ، سهيل بن عمرو الأنصاري من أهل بدر ، عتيك بن التيهان من أهل بدر ، ثابت بن عبيد الأنصاري من أهل بدر ، ثابت بن حطيم بن عدي الأنصاري من أهل بدر ، سهل بن حنيف الأنصاري من أهل بدر ، أبو مسعود عقبة بن عمرو من أهل بدر ، أبو رافع مولى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شهد مشاهده كلّها مع مشاهد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بايع البيعتين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العقبة والرضوان وهاجر الهجرتين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للحبشة مع جعفر وللمدينة مع المسلمين ، أبو بردة بن دينار الأنصاري من أهل بدر ، أبو عمر الأنصاري من أهل بدر ، أبو قتادة الحارث بن ربعي الأنصاري من أهل بدر ، عقبة بن عمر بن ثعلبة الأنصاري من أهل بدر ، قرظة بن كعب الأنصاري ، بشير بن عبد المنذر الأنصاري أحد النقباء ببيعة العقبة ، يزيد بن نويرة بن الحارث الأنصاري ممّن شهد له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بالجنة ، ثابت بن عبد الله الأنصاري ، جبلة بن ثعلبة الأنصاري ، جبلة بن عمير بن أوس الأنصاري ، حبيب بن بديل بن ورقاء الخزاعي ، زيد بن أرقم الأنصاري شهد مع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بضعة عشر وقعة ، أعين بن ضبيعة بن ناجية التميمي ، يزيد الأسلمي من أهل بيعة الرضوان ، تميم بن خزام ، جندب بن زهير الأزدي ، جعدة بن هبيرة المخزومي ، جارية بن قدامة التميمي السعدي ، جبير بن الحباب الأنصاري ، حبيب بن مظاهر الأسدي ، حكيم بن جبلة العبدي ، خالد بن أبي دجانة الأنصاري ، خالد بن الوليد الأنصاري ، زيد بن صوحان العبدي ، الحجاج بن عمرو بن غزية الأنصاري ، زيد بن شرحبيل الأنصاري ، زيد بن جبلة التميمي ، بديل بن ورقاء الخزاعي ، أبو عثمان الأنصاري ، مسعود بن مالك </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الأسدي ، ثعلبة أبو عمرة الأنصاري ، أبو الطفيل عامر بن واثلة الليثي ، عبد الله بن حزام الأنصاري شهيد أُحد ، سعد بن منصور الثقفي ، سعد بن الحارث بن الصمد الأنصاري ، الحارث بن عمر الأنصاري ، سليمان بن صرد الخزاعي ، شرحبيل بن مرّة الهمداني ، شبيب بن رت النميري ، سهل بن عمر صاحب المربد ، سهيل بن عمر أخو سهل المار ذكره ، عبد الرحمن الخزاعي ، عبد الله بن خراش ، عبد الله بن سهيل الأنصاري ، عبيد الله بن العازر ، عدي بن حاتم الطائي ، عروة بن مالك الأسلمي ، عقبة بن عامر السلمي ، عمر بن هلال الأنصاري ، عمر بن أنس بن عون الأنصاري من أهل بدر ، هند بن أبي هالة الأسدي ، وهب بن عبد الله بن مسلم بن جنادة ، هاني بن عروة المذحجي ، هبيرة بن النعمان الجعفي ، يزيد بن قيس بن عبد الله ، يزيد بن حوثرة الأنصاري ، يعلى بن عمير النهدي ، أنس بن مدرك الخثعمي ، عمرو العبدي الليثي ، عميرة الليثي ، عليم بن سلمة الفهمي ، عمير بن حارث السلمي ، علباء بن الهيثم بن جرير وأبوه الهيثم من قواد الحملة في قتال الفرس بواقعة ذي قار ، عون بن عبد الله الأزدي ، علاء بن عمر الأنصاري ، نهشل بن ضمرة الحنظلي ، المهاجر بن خالد المخزومي ، مخنف بن سليم الأزدي ، محمد بن عمير التميمي ، حازم بن أبي حازم البجلي ، عبيد بن التيهان الأنصاري وهو أوّل المبايعين للنبي ليلة العقبة ، أبو فضالة الأنصاري ، أويس القرني الأنصاري ، زياد بن النضر الحارثي ، عوض بن علاط السلمي ، معاذ بن عفراء الأنصاري ، علاء بن عروة الأزدي ، الحارث بن حسان الذهلي صاحب راية بكر بن وائل ، بجير بن دلجة ، يزيد بن حجية التميمي ، عامر بن قيس الطائي ، رافع الغطفاني الأشجعي ، وأبان بن سعيد بن العاص بن أُمية بن عبد شمس من أُمراء السرايا أيّام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خلّص أصحاب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وأمثالهم من </w:t>
      </w:r>
    </w:p>
    <w:p>
      <w:pPr>
        <w:pStyle w:val="BookText"/>
        <w:rPr/>
      </w:pPr>
      <w:r>
        <w:rPr>
          <w:rFonts w:ascii="Amiri" w:hAnsi="Amiri" w:eastAsia="Amiri" w:cs="Amiri"/>
          <w:color w:val="111111"/>
          <w:sz w:val="28"/>
          <w:sz w:val="28"/>
          <w:szCs w:val="28"/>
          <w:rtl w:val="true"/>
          <w:lang w:bidi="ar-SA"/>
        </w:rPr>
        <w:t>الصحابة الكرام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فهؤلاء هم طليعة الصحابة وسنام العرب من المهاجرين والأنصار ، قد استضاءوا بنور النبوّة والوحي واستقامت أُمورهم وكانوا على الصراط المستقيم في حياتهم ، وكم لهم من نظائر في صحابة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أعرضنا عن ذكرهم مخافة الإطناب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باستمرار يدعون للصحابة ويترضّون عليهم ، ومن المعلوم 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يدعون للصالحين وما أكثر الصالحين فيهم يقول الإمام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خطبه مادحاً أصحاب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لقد رأيت أصحاب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أرى أحداً منكم يشبههم ، لقد كانوا يصبحون شُعثاً غبراً ، وقد باتوا سجّداً وقياماً ، يراوحون بين جباههم وخدودهم ، ويقفون على مثل الجمر من ذكر معادهم ، كأنّ بين أعينهم رُكَبَ المعزى من طول سجودهم ، إذا ذُكر الله هملت أعينهم حتّى تَبُلَّ جيوبهم ، ومادوا كما يميد الشجر يوم الريح العاصف ، خوفاً من العقاب ورجاءً للثواب</w:t>
      </w:r>
      <w:r>
        <w:rPr>
          <w:rFonts w:eastAsia="Amiri" w:cs="Amiri" w:ascii="Amiri" w:hAnsi="Amiri"/>
          <w:color w:val="111111"/>
          <w:sz w:val="28"/>
          <w:szCs w:val="28"/>
          <w:rtl w:val="true"/>
          <w:lang w:bidi="ar-SA"/>
        </w:rPr>
        <w:t xml:space="preserve">». </w:t>
      </w:r>
      <w:r>
        <w:rPr>
          <w:rStyle w:val="FootnoteAnchor"/>
          <w:rtl w:val="true"/>
        </w:rPr>
        <w:footnoteReference w:id="855"/>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أيضاً مادحاً أصحاب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أين القوم الذين دُعوا إلى الإسلام فقبلوه ، وقرءوا القرآن فأحكموه ، وهيجُوا إلى القتال فولهوا وله اللقاح إلى أولادها ، وسلبوا السيوف أغمادها ، وأخذوا بأطراف الأرض زحفاً زحفاً ، وَصَفّاً صفّاً ، بعضٌ هلك ، وبعض نجا ، لا يُبَشّرون بالأحياء ، ولا يُعَزَّونَ عن الموتى ، مُرْهُ العيون من البكاء ، خمصُ البطون من الصيام ، ذُبَّل الشفاه من الدعاء ، صُفرُ الألوان من السَّهَر ، على وجوههم غبرة الخاشعين ، أُولئك إخواني الذاهبون ، فحقّ </w:t>
      </w:r>
    </w:p>
    <w:p>
      <w:pPr>
        <w:pStyle w:val="BookText"/>
        <w:rPr/>
      </w:pPr>
      <w:r>
        <w:rPr>
          <w:rFonts w:ascii="Amiri" w:hAnsi="Amiri" w:eastAsia="Amiri" w:cs="Amiri"/>
          <w:color w:val="111111"/>
          <w:sz w:val="28"/>
          <w:sz w:val="28"/>
          <w:szCs w:val="28"/>
          <w:rtl w:val="true"/>
          <w:lang w:bidi="ar-SA"/>
        </w:rPr>
        <w:t>لنا أن نظمأ إليهم ، ونعضَّ الأيدي على فراقهم</w:t>
      </w:r>
      <w:r>
        <w:rPr>
          <w:rFonts w:eastAsia="Amiri" w:cs="Amiri" w:ascii="Amiri" w:hAnsi="Amiri"/>
          <w:color w:val="111111"/>
          <w:sz w:val="28"/>
          <w:szCs w:val="28"/>
          <w:rtl w:val="true"/>
          <w:lang w:bidi="ar-SA"/>
        </w:rPr>
        <w:t xml:space="preserve">». </w:t>
      </w:r>
      <w:r>
        <w:rPr>
          <w:rStyle w:val="FootnoteAnchor"/>
          <w:rtl w:val="true"/>
        </w:rPr>
        <w:footnoteReference w:id="856"/>
      </w:r>
    </w:p>
    <w:p>
      <w:pPr>
        <w:pStyle w:val="BookText"/>
        <w:rPr/>
      </w:pPr>
      <w:r>
        <w:rPr>
          <w:rFonts w:ascii="Amiri" w:hAnsi="Amiri" w:eastAsia="Amiri" w:cs="Amiri"/>
          <w:color w:val="111111"/>
          <w:sz w:val="28"/>
          <w:sz w:val="28"/>
          <w:szCs w:val="28"/>
          <w:rtl w:val="true"/>
          <w:lang w:bidi="ar-SA"/>
        </w:rPr>
        <w:t xml:space="preserve">وللأئمّة المعصومين كلمات أُخرى حول الصحابة غير ما ذكرناه ، منقولة في كتب الشيعة ، وهذا هو الإمام زين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دعائه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وأصحاب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الذين أحسنوا الصحبة والذين أبلوا البلاء الحسن في نصره ، وكاتفوه وأسرعوا إلى وفادته ، وسابقوا إلى دعوته </w:t>
      </w:r>
      <w:r>
        <w:rPr>
          <w:rFonts w:eastAsia="Amiri" w:cs="Amiri" w:ascii="Amiri" w:hAnsi="Amiri"/>
          <w:color w:val="111111"/>
          <w:sz w:val="28"/>
          <w:szCs w:val="28"/>
          <w:rtl w:val="true"/>
          <w:lang w:bidi="ar-SA"/>
        </w:rPr>
        <w:t xml:space="preserve">...». </w:t>
      </w:r>
      <w:r>
        <w:rPr>
          <w:rStyle w:val="FootnoteAnchor"/>
          <w:rtl w:val="true"/>
        </w:rPr>
        <w:footnoteReference w:id="857"/>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ونختم الفصل بذكر حوار دار بين الحسن البصري وعالم من علماء الزيدية ، وبما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الحقيقة بنت البحث</w:t>
      </w:r>
      <w:r>
        <w:rPr>
          <w:rFonts w:eastAsia="Amiri" w:cs="Amiri" w:ascii="Amiri" w:hAnsi="Amiri"/>
          <w:color w:val="111111"/>
          <w:sz w:val="28"/>
          <w:szCs w:val="28"/>
          <w:rtl w:val="true"/>
          <w:lang w:bidi="ar-SA"/>
        </w:rPr>
        <w:t xml:space="preserve">» </w:t>
      </w:r>
      <w:r>
        <w:rPr>
          <w:rStyle w:val="FootnoteAnchor"/>
          <w:rtl w:val="true"/>
        </w:rPr>
        <w:footnoteReference w:id="858"/>
      </w:r>
      <w:r>
        <w:rPr>
          <w:rFonts w:ascii="Amiri" w:hAnsi="Amiri" w:eastAsia="Amiri" w:cs="Amiri"/>
          <w:color w:val="111111"/>
          <w:sz w:val="28"/>
          <w:sz w:val="28"/>
          <w:szCs w:val="28"/>
          <w:rtl w:val="true"/>
          <w:lang w:bidi="ar-SA"/>
        </w:rPr>
        <w:t>يكون لنشر هذا الحوار أهمية لا تخفى على القارئ الكريم</w:t>
      </w:r>
      <w:r>
        <w:rPr>
          <w:rFonts w:eastAsia="Amiri" w:cs="Amiri" w:ascii="Amiri" w:hAnsi="Amiri"/>
          <w:color w:val="111111"/>
          <w:sz w:val="28"/>
          <w:szCs w:val="28"/>
          <w:rtl w:val="true"/>
          <w:lang w:bidi="ar-SA"/>
        </w:rPr>
        <w:t xml:space="preserve">. </w:t>
      </w:r>
      <w:bookmarkStart w:id="1249" w:name="pg11047_103115"/>
    </w:p>
    <w:p>
      <w:pPr>
        <w:pStyle w:val="Heading4"/>
        <w:numPr>
          <w:ilvl w:val="3"/>
          <w:numId w:val="1"/>
        </w:numPr>
        <w:rPr/>
      </w:pPr>
      <w:bookmarkStart w:id="1250" w:name="__RefHeading___Toc1391829_1067777946"/>
      <w:bookmarkStart w:id="1251" w:name="_Toc464"/>
      <w:bookmarkEnd w:id="1249"/>
      <w:bookmarkEnd w:id="1250"/>
      <w:r>
        <w:rPr>
          <w:rtl w:val="true"/>
        </w:rPr>
        <w:t>خاتمة المطاف</w:t>
      </w:r>
      <w:bookmarkEnd w:id="1251"/>
    </w:p>
    <w:p>
      <w:pPr>
        <w:pStyle w:val="Heading3"/>
        <w:numPr>
          <w:ilvl w:val="2"/>
          <w:numId w:val="1"/>
        </w:numPr>
        <w:rPr/>
      </w:pPr>
      <w:bookmarkStart w:id="1252" w:name="__RefHeading___Toc1391831_1067777946"/>
      <w:bookmarkStart w:id="1253" w:name="_Toc465"/>
      <w:bookmarkEnd w:id="1252"/>
      <w:r>
        <w:rPr/>
        <w:t>14</w:t>
      </w:r>
      <w:r>
        <w:rPr>
          <w:rtl w:val="true"/>
        </w:rPr>
        <w:t xml:space="preserve">- </w:t>
      </w:r>
      <w:r>
        <w:rPr>
          <w:rtl w:val="true"/>
        </w:rPr>
        <w:t>مناظرة بين الحسن البصري وعالم زيدي</w:t>
      </w:r>
      <w:bookmarkEnd w:id="1253"/>
    </w:p>
    <w:p>
      <w:pPr>
        <w:pStyle w:val="Heading4"/>
        <w:numPr>
          <w:ilvl w:val="3"/>
          <w:numId w:val="1"/>
        </w:numPr>
        <w:rPr/>
      </w:pPr>
      <w:bookmarkStart w:id="1254" w:name="__RefHeading___Toc1391833_1067777946"/>
      <w:bookmarkStart w:id="1255" w:name="_Toc466"/>
      <w:bookmarkEnd w:id="1254"/>
      <w:r>
        <w:rPr>
          <w:rtl w:val="true"/>
        </w:rPr>
        <w:t>اشارة</w:t>
      </w:r>
      <w:bookmarkEnd w:id="1255"/>
    </w:p>
    <w:p>
      <w:pPr>
        <w:pStyle w:val="BookText"/>
        <w:rPr/>
      </w:pPr>
      <w:r>
        <w:rPr>
          <w:rFonts w:ascii="Amiri" w:hAnsi="Amiri" w:eastAsia="Amiri" w:cs="Amiri"/>
          <w:color w:val="111111"/>
          <w:sz w:val="28"/>
          <w:sz w:val="28"/>
          <w:szCs w:val="28"/>
          <w:rtl w:val="true"/>
          <w:lang w:bidi="ar-SA"/>
        </w:rPr>
        <w:t xml:space="preserve">الحسن البصري أحد التابعين ، وقد توفّي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 وكانت له حلقات تدريس ووعظ في البصرة ، وهو ممّن كان يتبنّى عدالة الصحابة ونزاهتهم عن كلّ رين وشين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كانت تلك العقيدة بعيدة عن الكتاب والسنّة ومخالفةً لما جاء من الآيات الكريمة والأحاديث الشريطة ، دعا أحد علماء الزيدية إلى نقد كلامه ، وقد نقل تلك المناظرة السيد المدنيّ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سنذكر نصّ كلام البصري والزيدي ونترك القضاء إلى القارئ الكريم</w:t>
      </w:r>
      <w:r>
        <w:rPr>
          <w:rFonts w:eastAsia="Amiri" w:cs="Amiri" w:ascii="Amiri" w:hAnsi="Amiri"/>
          <w:color w:val="111111"/>
          <w:sz w:val="28"/>
          <w:szCs w:val="28"/>
          <w:rtl w:val="true"/>
          <w:lang w:bidi="ar-SA"/>
        </w:rPr>
        <w:t>.</w:t>
      </w:r>
    </w:p>
    <w:p>
      <w:pPr>
        <w:pStyle w:val="Heading4"/>
        <w:numPr>
          <w:ilvl w:val="3"/>
          <w:numId w:val="1"/>
        </w:numPr>
        <w:rPr/>
      </w:pPr>
      <w:bookmarkStart w:id="1256" w:name="__RefHeading___Toc1391835_1067777946"/>
      <w:bookmarkStart w:id="1257" w:name="_Toc467"/>
      <w:bookmarkEnd w:id="1256"/>
      <w:r>
        <w:rPr>
          <w:rtl w:val="true"/>
        </w:rPr>
        <w:t xml:space="preserve">نظرية الحسن البصري في صحابة الرسول </w:t>
      </w:r>
      <w:r>
        <w:rPr>
          <w:rtl w:val="true"/>
        </w:rPr>
        <w:t xml:space="preserve">- </w:t>
      </w:r>
      <w:r>
        <w:rPr>
          <w:rtl w:val="true"/>
        </w:rPr>
        <w:t xml:space="preserve">صلى الله عليه وآله وسلم </w:t>
      </w:r>
      <w:r>
        <w:rPr>
          <w:rtl w:val="true"/>
        </w:rPr>
        <w:t>-</w:t>
      </w:r>
      <w:bookmarkEnd w:id="1257"/>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ذكرت عنده حرب الجمل وصفين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تلك دماء طهر الله منها أسيافنا ، فلا نلطخ فيها ألسنتنا ، ثمّ إنّ تلك الأحوال قد غابت عنّا ، وبعُدت </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أخبارها على حقائقها فلا يليق بنا أن نخوض فيها ، ولو كان واحد من هؤلاء قد أخطأ لوجب أن يحفظ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 فمن المروءة أن يحفظ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عائشة زوجته ، وفي الزبير ابن عمته ، وفي طلحة الّذي وقاه بيده ، ثمّ ما الّذي ألزمنا وأوجب علينا أن نلعن أحداً من المسلمين أو نبرأ منه ، وأي ثواب في اللعنة والبراءة ، إنّ الله تعالى لا يقول يوم القيامة للمكلّف لِمَ لَمْ تَلعن؟ بل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لعنت؟ ولو انّ إنساناً عاش عمره كلّه لم يلعن إبليس لم يكن عاصياً ولا آثماً ، ولو جعل الإنسان عوض اللعنة استغفر الله كان خيراً له ؛ ثمّ كيف يجوز للعامة أن تدخل نفسها في أُمور الخاصة؟ وأُولئك قوم كانوا أُمراء هذه الأُمّة وقادتها ، ونحن اليوم في طبقة سافلة جدّاً عنهم ، فكيف يحسن بنا التعرض لذكرهم؟ أليس بقبيح من الرعية أن تخوض في دقائق أُمور الملك وأحواله ، وشئونه التي ترى بينه وبين أهله وبني عمه ونسائه ومراديه؟ وقد كان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صهراً لمعاوية ، وأُخته أُمّ حبيبة تحته ، فالأدب أن تحفظ أُمّ حبيبة وهي أُمّ المؤمنين في أخيها ، وكيف يجوز أن يلعن من جعل بينه وبين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مودة ، أليس المفسّرون كلّهم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نزلت في أبي سفيان وهي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عَسَى اللهُ أَنْ يَجْعَلَ بَيْنَكُمْ وَبَيْنَ الَّذِينَ عادَيْتُمْ مِنْهُمْ مَوَدَّةً</w:t>
      </w:r>
      <w:r>
        <w:rPr>
          <w:rFonts w:eastAsia="Amiri" w:cs="Amiri" w:ascii="Amiri" w:hAnsi="Amiri"/>
          <w:color w:val="111111"/>
          <w:sz w:val="28"/>
          <w:szCs w:val="28"/>
          <w:rtl w:val="true"/>
          <w:lang w:bidi="ar-SA"/>
        </w:rPr>
        <w:t xml:space="preserve">) </w:t>
      </w:r>
      <w:r>
        <w:rPr>
          <w:rStyle w:val="FootnoteAnchor"/>
          <w:rtl w:val="true"/>
        </w:rPr>
        <w:footnoteReference w:id="859"/>
      </w:r>
      <w:r>
        <w:rPr>
          <w:rFonts w:ascii="Amiri" w:hAnsi="Amiri" w:eastAsia="Amiri" w:cs="Amiri"/>
          <w:color w:val="111111"/>
          <w:sz w:val="28"/>
          <w:sz w:val="28"/>
          <w:szCs w:val="28"/>
          <w:rtl w:val="true"/>
          <w:lang w:bidi="ar-SA"/>
        </w:rPr>
        <w:t xml:space="preserve">، وكان ذلك مصاهرة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سفيان وتزوجه ابنته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جميع ما تنقله الشيعة من الاختلاف بينهم والمشاجرة لم يثبت ، ولم يكن القوم إلاّ كبني أُمّ واحدة ، ولم يتكدر باطن أحد منهم على صاحبه قط ، ولا وقع بينهم اختلاف ولا 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البصري</w:t>
      </w:r>
      <w:r>
        <w:rPr>
          <w:rFonts w:eastAsia="Amiri" w:cs="Amiri" w:ascii="Amiri" w:hAnsi="Amiri"/>
          <w:color w:val="111111"/>
          <w:sz w:val="28"/>
          <w:szCs w:val="28"/>
          <w:rtl w:val="true"/>
          <w:lang w:bidi="ar-SA"/>
        </w:rPr>
        <w:t xml:space="preserve">. </w:t>
      </w:r>
      <w:bookmarkStart w:id="1258" w:name="pg11047_103117"/>
    </w:p>
    <w:p>
      <w:pPr>
        <w:pStyle w:val="Heading4"/>
        <w:numPr>
          <w:ilvl w:val="3"/>
          <w:numId w:val="1"/>
        </w:numPr>
        <w:rPr/>
      </w:pPr>
      <w:bookmarkStart w:id="1259" w:name="__RefHeading___Toc1391837_1067777946"/>
      <w:bookmarkStart w:id="1260" w:name="_Toc468"/>
      <w:bookmarkEnd w:id="1258"/>
      <w:bookmarkEnd w:id="1259"/>
      <w:r>
        <w:rPr>
          <w:rtl w:val="true"/>
        </w:rPr>
        <w:t>نقد العالم الزيدي رأي الحسن</w:t>
      </w:r>
      <w:bookmarkEnd w:id="1260"/>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نصّه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لا انّ الله تعالى أوجب معاداة أعدائه ، كما أوجب موالاة أوليائه ، وضيّق على المسلمين تركها ، إذ دلّ العقل عليها ، وأوضح الخبر عنها ، يقول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تَجِدُ قَوْماً يُؤْمِنُونَ بِاللهِ وَالْيَوْمِ الْآخِرِ يُوادُّونَ مَنْ حَادَّ اللهَ وَرَسُولَهُ وَلَوْ كانُوا آباءَهُمْ أَوْ أَبْناءَهُمْ أَوْ إِخْوانَهُمْ أَوْ عَشِيرَتَهُمْ</w:t>
      </w:r>
      <w:r>
        <w:rPr>
          <w:rFonts w:eastAsia="Amiri" w:cs="Amiri" w:ascii="Amiri" w:hAnsi="Amiri"/>
          <w:color w:val="111111"/>
          <w:sz w:val="28"/>
          <w:szCs w:val="28"/>
          <w:rtl w:val="true"/>
          <w:lang w:bidi="ar-SA"/>
        </w:rPr>
        <w:t xml:space="preserve">) </w:t>
      </w:r>
      <w:r>
        <w:rPr>
          <w:rStyle w:val="FootnoteAnchor"/>
          <w:rtl w:val="true"/>
        </w:rPr>
        <w:footnoteReference w:id="860"/>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تَتَوَلَّوْا قَوْماً غَضِبَ اللهُ عَلَيْهِمْ</w:t>
      </w:r>
      <w:r>
        <w:rPr>
          <w:rFonts w:eastAsia="Amiri" w:cs="Amiri" w:ascii="Amiri" w:hAnsi="Amiri"/>
          <w:color w:val="111111"/>
          <w:sz w:val="28"/>
          <w:szCs w:val="28"/>
          <w:rtl w:val="true"/>
          <w:lang w:bidi="ar-SA"/>
        </w:rPr>
        <w:t xml:space="preserve">) </w:t>
      </w:r>
      <w:r>
        <w:rPr>
          <w:rStyle w:val="FootnoteAnchor"/>
          <w:rtl w:val="true"/>
        </w:rPr>
        <w:footnoteReference w:id="861"/>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كانُوا يُؤْمِنُونَ بِاللهِ وَالنَّبِيِّ وَما أُنْزِلَ إِلَيْهِ مَا اتَّخَذُوهُمْ أَوْلِياءَ</w:t>
      </w:r>
      <w:r>
        <w:rPr>
          <w:rFonts w:eastAsia="Amiri" w:cs="Amiri" w:ascii="Amiri" w:hAnsi="Amiri"/>
          <w:color w:val="111111"/>
          <w:sz w:val="28"/>
          <w:szCs w:val="28"/>
          <w:rtl w:val="true"/>
          <w:lang w:bidi="ar-SA"/>
        </w:rPr>
        <w:t xml:space="preserve">). </w:t>
      </w:r>
      <w:r>
        <w:rPr>
          <w:rStyle w:val="FootnoteAnchor"/>
          <w:rtl w:val="true"/>
        </w:rPr>
        <w:footnoteReference w:id="862"/>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ولإجماع المسلمين على أنّ الله تعالى فرض عداوة أعدائه ، وولاية أوليائه وانّ البغض في الله واجب ، والحبّ في الله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تعرضنا لمعاداة أحد من الناس في الدين ، ولا البراءة منه ، ولكانت عداوتنا للقوم تكلّفاً ، ولو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يعذرنا 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غاب أمرهم عنّا فلم يكن لخوضنا في أمر قد غاب عنّا معنى ، لاعتمدنا على هذا العذر وواليناهم ولكنا نخاف أن يقول سبحانه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أمرهم قد غاب عن أبصاركم فلم يغب عن قلوبكم وأسماعكم ، قد أتتكم به الأخبار الصحيحة التي بمثلها ألزمتم أنفسكم الإقرار بالنبي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وموالاة من صدقه ، ومعاداة من عصاه وجحده ، وأمرتم بتدبّر القرآن ، وما جاء به الرسول ، فهلا حذرتم من أن تكونوا من أهل هذه الآية القائلين غداً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إِنَّا أَطَعْنا سادَتَنا وَكُبَراءَنا</w:t>
      </w:r>
      <w:r>
        <w:rPr>
          <w:rFonts w:eastAsia="Amiri" w:cs="Amiri" w:ascii="Amiri" w:hAnsi="Amiri"/>
          <w:color w:val="111111"/>
          <w:sz w:val="28"/>
          <w:szCs w:val="28"/>
          <w:rtl w:val="true"/>
          <w:lang w:bidi="ar-SA"/>
        </w:rPr>
        <w:t xml:space="preserve">). </w:t>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 xml:space="preserve">فأمّا لفظة اللعن فقد أمر الله بها وأوجبها ألا ترى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يَلْعَنُهُمُ اللهُ وَيَلْعَنُهُمُ اللاَّعِنُونَ</w:t>
      </w:r>
      <w:r>
        <w:rPr>
          <w:rFonts w:eastAsia="Amiri" w:cs="Amiri" w:ascii="Amiri" w:hAnsi="Amiri"/>
          <w:color w:val="111111"/>
          <w:sz w:val="28"/>
          <w:szCs w:val="28"/>
          <w:rtl w:val="true"/>
          <w:lang w:bidi="ar-SA"/>
        </w:rPr>
        <w:t xml:space="preserve">) </w:t>
      </w:r>
      <w:r>
        <w:rPr>
          <w:rStyle w:val="FootnoteAnchor"/>
          <w:rtl w:val="true"/>
        </w:rPr>
        <w:footnoteReference w:id="864"/>
      </w:r>
      <w:r>
        <w:rPr>
          <w:rFonts w:ascii="Amiri" w:hAnsi="Amiri" w:eastAsia="Amiri" w:cs="Amiri"/>
          <w:color w:val="111111"/>
          <w:sz w:val="28"/>
          <w:sz w:val="28"/>
          <w:szCs w:val="28"/>
          <w:rtl w:val="true"/>
          <w:lang w:bidi="ar-SA"/>
        </w:rPr>
        <w:t xml:space="preserve">فهو إخبار معناه الأمر ،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وَالْمُطَلَّقاتُ يَتَرَبَّصْنَ بِأَنْفُسِهِنَّ ثَلاثَةَ قُرُوءٍ</w:t>
      </w:r>
      <w:r>
        <w:rPr>
          <w:rFonts w:eastAsia="Amiri" w:cs="Amiri" w:ascii="Amiri" w:hAnsi="Amiri"/>
          <w:color w:val="111111"/>
          <w:sz w:val="28"/>
          <w:szCs w:val="28"/>
          <w:rtl w:val="true"/>
          <w:lang w:bidi="ar-SA"/>
        </w:rPr>
        <w:t xml:space="preserve">) </w:t>
      </w:r>
      <w:r>
        <w:rPr>
          <w:rStyle w:val="FootnoteAnchor"/>
          <w:rtl w:val="true"/>
        </w:rPr>
        <w:footnoteReference w:id="865"/>
      </w:r>
      <w:r>
        <w:rPr>
          <w:rFonts w:ascii="Amiri" w:hAnsi="Amiri" w:eastAsia="Amiri" w:cs="Amiri"/>
          <w:color w:val="111111"/>
          <w:sz w:val="28"/>
          <w:sz w:val="28"/>
          <w:szCs w:val="28"/>
          <w:rtl w:val="true"/>
          <w:lang w:bidi="ar-SA"/>
        </w:rPr>
        <w:t xml:space="preserve">، وقد لعن الله تعالى الغاصبين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الَّذِينَ كَفَرُوا مِنْ بَنِي إِسْرائِيلَ عَلى لِسانِ داوُدَ</w:t>
      </w:r>
      <w:r>
        <w:rPr>
          <w:rFonts w:eastAsia="Amiri" w:cs="Amiri" w:ascii="Amiri" w:hAnsi="Amiri"/>
          <w:color w:val="111111"/>
          <w:sz w:val="28"/>
          <w:szCs w:val="28"/>
          <w:rtl w:val="true"/>
          <w:lang w:bidi="ar-SA"/>
        </w:rPr>
        <w:t xml:space="preserve">) </w:t>
      </w:r>
      <w:r>
        <w:rPr>
          <w:rStyle w:val="FootnoteAnchor"/>
          <w:rtl w:val="true"/>
        </w:rPr>
        <w:footnoteReference w:id="866"/>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يُؤْذُونَ اللهَ وَرَسُولَهُ لَعَنَهُمُ اللهُ فِي الدُّنْيا وَالْآخِرَةِ وَأَعَدَّ لَهُمْ عَذاباً مُهِيناً</w:t>
      </w:r>
      <w:r>
        <w:rPr>
          <w:rFonts w:eastAsia="Amiri" w:cs="Amiri" w:ascii="Amiri" w:hAnsi="Amiri"/>
          <w:color w:val="111111"/>
          <w:sz w:val="28"/>
          <w:szCs w:val="28"/>
          <w:rtl w:val="true"/>
          <w:lang w:bidi="ar-SA"/>
        </w:rPr>
        <w:t xml:space="preserve">) </w:t>
      </w:r>
      <w:r>
        <w:rPr>
          <w:rStyle w:val="FootnoteAnchor"/>
          <w:rtl w:val="true"/>
        </w:rPr>
        <w:footnoteReference w:id="867"/>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مَلْعُونِينَ أَيْنَما ثُقِفُوا أُخِذُوا وَقُتِّلُوا تَقْتِيلاً</w:t>
      </w:r>
      <w:r>
        <w:rPr>
          <w:rFonts w:eastAsia="Amiri" w:cs="Amiri" w:ascii="Amiri" w:hAnsi="Amiri"/>
          <w:color w:val="111111"/>
          <w:sz w:val="28"/>
          <w:szCs w:val="28"/>
          <w:rtl w:val="true"/>
          <w:lang w:bidi="ar-SA"/>
        </w:rPr>
        <w:t xml:space="preserve">). </w:t>
      </w:r>
      <w:r>
        <w:rPr>
          <w:rStyle w:val="FootnoteAnchor"/>
          <w:rtl w:val="true"/>
        </w:rPr>
        <w:footnoteReference w:id="868"/>
      </w:r>
      <w:r>
        <w:rPr>
          <w:rFonts w:ascii="Amiri" w:hAnsi="Amiri" w:eastAsia="Amiri" w:cs="Amiri"/>
          <w:color w:val="111111"/>
          <w:sz w:val="28"/>
          <w:sz w:val="28"/>
          <w:szCs w:val="28"/>
          <w:rtl w:val="true"/>
          <w:lang w:bidi="ar-SA"/>
        </w:rPr>
        <w:t xml:space="preserve">وقال الله لإبليس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عَلَيْكَ لَعْنَتِي إِلى يَوْمِ الدِّينِ</w:t>
      </w:r>
      <w:r>
        <w:rPr>
          <w:rFonts w:eastAsia="Amiri" w:cs="Amiri" w:ascii="Amiri" w:hAnsi="Amiri"/>
          <w:color w:val="111111"/>
          <w:sz w:val="28"/>
          <w:szCs w:val="28"/>
          <w:rtl w:val="true"/>
          <w:lang w:bidi="ar-SA"/>
        </w:rPr>
        <w:t xml:space="preserve">) </w:t>
      </w:r>
      <w:r>
        <w:rPr>
          <w:rStyle w:val="FootnoteAnchor"/>
          <w:rtl w:val="true"/>
        </w:rPr>
        <w:footnoteReference w:id="869"/>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لَعَنَ الْكافِرِينَ وَأَعَدَّ لَهُمْ سَعِيراً</w:t>
      </w:r>
      <w:r>
        <w:rPr>
          <w:rFonts w:eastAsia="Amiri" w:cs="Amiri" w:ascii="Amiri" w:hAnsi="Amiri"/>
          <w:color w:val="111111"/>
          <w:sz w:val="28"/>
          <w:szCs w:val="28"/>
          <w:rtl w:val="true"/>
          <w:lang w:bidi="ar-SA"/>
        </w:rPr>
        <w:t xml:space="preserve">). </w:t>
      </w:r>
      <w:r>
        <w:rPr>
          <w:rStyle w:val="FootnoteAnchor"/>
          <w:rtl w:val="true"/>
        </w:rPr>
        <w:footnoteReference w:id="870"/>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قول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ثواب في اللعن؟ وانّ الله تعالى لا يقول للمكلف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لَمْ تلعن؟ بل قد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لعنت؟ وانّه لو جعل مكان لعن الله فلاناً اللهمّ اغفر لي لكان خيراً له ، ولو انّ إنساناً عاش عمره كله ولم يلعن إبليس لم يؤاخذ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فكلام جاهل لا يدري ما يقول ، اللعن طاعة لله ، ويستحقّ عليها الثواب إذا فعلت على وجهها ، وهو أن يلعن مستحق اللعنة لله وفي الله ، لا في المعصية والهوى ، لأنّ الشرع قد ورد بها في نفي الولد ، ونطق بها القرآن ، وهو أن يقول الزوج في الخامسة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لعنة الله عليه إن كان من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يكن الله تعالى يريد أن يتلفظ عباده بهذه اللفظة ، لما جعلها من معالم الشرع ولما كررها في كثير من كتابه العزيز</w:t>
      </w:r>
      <w:r>
        <w:rPr>
          <w:rFonts w:eastAsia="Amiri" w:cs="Amiri" w:ascii="Amiri" w:hAnsi="Amiri"/>
          <w:color w:val="111111"/>
          <w:sz w:val="28"/>
          <w:szCs w:val="28"/>
          <w:rtl w:val="true"/>
          <w:lang w:bidi="ar-SA"/>
        </w:rPr>
        <w:t xml:space="preserve">. </w:t>
      </w:r>
      <w:bookmarkStart w:id="1261" w:name="pg11047_103119"/>
    </w:p>
    <w:p>
      <w:pPr>
        <w:pStyle w:val="Heading4"/>
        <w:numPr>
          <w:ilvl w:val="3"/>
          <w:numId w:val="1"/>
        </w:numPr>
        <w:rPr/>
      </w:pPr>
      <w:bookmarkStart w:id="1262" w:name="__RefHeading___Toc1391839_1067777946"/>
      <w:bookmarkStart w:id="1263" w:name="_Toc469"/>
      <w:bookmarkEnd w:id="1261"/>
      <w:bookmarkEnd w:id="1262"/>
      <w:r>
        <w:rPr>
          <w:rtl w:val="true"/>
        </w:rPr>
        <w:t>لعن بعضهم بعضاً</w:t>
      </w:r>
      <w:bookmarkEnd w:id="1263"/>
    </w:p>
    <w:p>
      <w:pPr>
        <w:pStyle w:val="BookText"/>
        <w:rPr/>
      </w:pPr>
      <w:r>
        <w:rPr>
          <w:rFonts w:ascii="Amiri" w:hAnsi="Amiri" w:eastAsia="Amiri" w:cs="Amiri"/>
          <w:color w:val="111111"/>
          <w:sz w:val="28"/>
          <w:sz w:val="28"/>
          <w:szCs w:val="28"/>
          <w:rtl w:val="true"/>
          <w:lang w:bidi="ar-SA"/>
        </w:rPr>
        <w:t xml:space="preserve">ودعم كلامه بكثير من الحجج القاطعة ، وأضاف بعد ذلك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كان كثير من الصحابة يلعن عثمان وهو خليفة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عائشة كانت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نعثلاً</w:t>
      </w:r>
      <w:r>
        <w:rPr>
          <w:rFonts w:eastAsia="Amiri" w:cs="Amiri" w:ascii="Amiri" w:hAnsi="Amiri"/>
          <w:color w:val="111111"/>
          <w:sz w:val="28"/>
          <w:szCs w:val="28"/>
          <w:rtl w:val="true"/>
          <w:lang w:bidi="ar-SA"/>
        </w:rPr>
        <w:t xml:space="preserve">». </w:t>
      </w:r>
      <w:r>
        <w:rPr>
          <w:rStyle w:val="FootnoteAnchor"/>
          <w:rtl w:val="true"/>
        </w:rPr>
        <w:footnoteReference w:id="871"/>
      </w:r>
      <w:r>
        <w:rPr>
          <w:rFonts w:ascii="Amiri" w:hAnsi="Amiri" w:eastAsia="Amiri" w:cs="Amiri"/>
          <w:color w:val="111111"/>
          <w:sz w:val="28"/>
          <w:sz w:val="28"/>
          <w:szCs w:val="28"/>
          <w:rtl w:val="true"/>
          <w:lang w:bidi="ar-SA"/>
        </w:rPr>
        <w:t xml:space="preserve">لعن الله نعثلة ، 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مسعود ، وقد لعن معاوية علي بن أبي طالب ، وابنيه حسناً وحسيناً وهم أحياء يرزقون في العراق ، وهو يلعنهم في الشام على المنابر ، ويقنت عليهم في الصلوات ، وقد لعن أبو بكر وعمر سعد بن عبادة وهو حي ، وبرئا منه ، وأخرجاه من المدينة إلى الشام ، ولعن عمر خالد بن الوليد لماّ قتل مالك بن نويرة ، وما زال اللعن ماشياً في المسلمين إذا عرفوا من الإنسان معصية تقتضي اللعن والبراءة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حفظ شخص معتبراً من أجل أبيه لوجب أن يحفظ الصحابة في أولادهم فلا يلعنوا ، فيجب أن لا يلعن عمر بن سعد قاتل الحسين من أجل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يلعن يزيد من أجل أبيه معاوية ، ويزيد هو صاحب واقعة الحرة ، وقاتل الحسين ، وأن يحفظ عمر بن الخطاب في عبيد الله ابنه قاتل الهرمزان ، والمحارب علياً في صفين</w:t>
      </w:r>
      <w:r>
        <w:rPr>
          <w:rFonts w:eastAsia="Amiri" w:cs="Amiri" w:ascii="Amiri" w:hAnsi="Amiri"/>
          <w:color w:val="111111"/>
          <w:sz w:val="28"/>
          <w:szCs w:val="28"/>
          <w:rtl w:val="true"/>
          <w:lang w:bidi="ar-SA"/>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 الإمساك عن عداوة من عادى الله من أصحاب محمّد رسول الله من حفظ رسول الله في أصحابه ، ورعاية عهده وعقده لم نعادهم ولو ضربت رقابنا بالسيوف ، ولكن محبة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لأصحابه ليست كمحبة الجهال الذين يضع أحدهم حجته لصاحبه مع المعصية ، وإنّما أوجب رسول الله محبة أصحابه لطاعة </w:t>
      </w:r>
      <w:bookmarkStart w:id="1264" w:name="pg11047_103120"/>
    </w:p>
    <w:p>
      <w:pPr>
        <w:pStyle w:val="BookText"/>
        <w:rPr/>
      </w:pPr>
      <w:bookmarkEnd w:id="1264"/>
      <w:r>
        <w:rPr>
          <w:rFonts w:ascii="Amiri" w:hAnsi="Amiri" w:eastAsia="Amiri" w:cs="Amiri"/>
          <w:color w:val="111111"/>
          <w:sz w:val="28"/>
          <w:sz w:val="28"/>
          <w:szCs w:val="28"/>
          <w:rtl w:val="true"/>
          <w:lang w:bidi="ar-SA"/>
        </w:rPr>
        <w:t>الله فإذا عصوا الله وتركوا ما أوجب محبتهم ، فليس عند رسول الله محاباة في ترك لزوم ما كان عليه في محبتهم</w:t>
      </w:r>
      <w:r>
        <w:rPr>
          <w:rFonts w:eastAsia="Amiri" w:cs="Amiri" w:ascii="Amiri" w:hAnsi="Amiri"/>
          <w:color w:val="111111"/>
          <w:sz w:val="28"/>
          <w:szCs w:val="28"/>
          <w:rtl w:val="true"/>
          <w:lang w:bidi="ar-SA"/>
        </w:rPr>
        <w:t>.</w:t>
      </w:r>
    </w:p>
    <w:p>
      <w:pPr>
        <w:pStyle w:val="Heading4"/>
        <w:numPr>
          <w:ilvl w:val="3"/>
          <w:numId w:val="1"/>
        </w:numPr>
        <w:rPr/>
      </w:pPr>
      <w:bookmarkStart w:id="1265" w:name="__RefHeading___Toc1391841_1067777946"/>
      <w:bookmarkStart w:id="1266" w:name="_Toc470"/>
      <w:bookmarkEnd w:id="1265"/>
      <w:r>
        <w:rPr>
          <w:rtl w:val="true"/>
        </w:rPr>
        <w:t>سيرة رسول الله في الأعداء والأولياء</w:t>
      </w:r>
      <w:bookmarkEnd w:id="1266"/>
    </w:p>
    <w:p>
      <w:pPr>
        <w:pStyle w:val="BookText"/>
        <w:rPr/>
      </w:pPr>
      <w:r>
        <w:rPr>
          <w:rFonts w:ascii="Amiri" w:hAnsi="Amiri" w:eastAsia="Amiri" w:cs="Amiri"/>
          <w:color w:val="111111"/>
          <w:sz w:val="28"/>
          <w:sz w:val="28"/>
          <w:szCs w:val="28"/>
          <w:rtl w:val="true"/>
          <w:lang w:bidi="ar-SA"/>
        </w:rPr>
        <w:t xml:space="preserve">لقد كان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 أن يعادي أعداء الله ولو كانوا عترته كما يحب أن يوالي أولياء الله ولو كانوا أبعد الخلق نسباً منه ، والشاهد على ذلك إجماع الأُمّة على أنّ الله تعالى أوجب عداوة من ارتد بعد الإسلام ، وعداوة من نافق وإن كان من أصحاب رسول الله ، وانّ رسول الله هو الذي أمر بذلك ودعا إليه ، فقد أوجب قطع يد السارق ، وضرب القاذف ، وجلد البكر إذا زنت ، وإن كان من المهاجرين والأنصار</w:t>
      </w:r>
      <w:r>
        <w:rPr>
          <w:rFonts w:eastAsia="Amiri" w:cs="Amiri" w:ascii="Amiri" w:hAnsi="Amiri"/>
          <w:color w:val="111111"/>
          <w:sz w:val="28"/>
          <w:szCs w:val="28"/>
          <w:rtl w:val="true"/>
          <w:lang w:bidi="ar-SA"/>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ترى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سرقت فاطمة لقطعت يدها وهي ابنته الجارية مجرى نفسه لم يحابها في دين الله ولا راقبها في حدود الله ، وجلد أصحاب الإفك وفيهم سطح بن اثاثة وكان من أهل بدر ، فلو كان محل أصحاب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يعادون إذا عصوا الله ولا يذكرون بالقبيح لأجل اسم الصحبة لكان كذلك صاحب موسى المسطور ثناؤه في القرآن لمّا اتّبع هواه فانسلخ عمّا أُوتي من الآيات ،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وَاتْلُ عَلَيْهِمْ نَبَأَ الَّذِي آتَيْناهُ آياتِنا فَانْسَلَخَ مِنْها فَأَتْبَعَهُ الشَّيْطانُ فَكانَ مِنَ الْغاوِينَ</w:t>
      </w:r>
      <w:r>
        <w:rPr>
          <w:rFonts w:eastAsia="Amiri" w:cs="Amiri" w:ascii="Amiri" w:hAnsi="Amiri"/>
          <w:color w:val="111111"/>
          <w:sz w:val="28"/>
          <w:szCs w:val="28"/>
          <w:rtl w:val="true"/>
          <w:lang w:bidi="ar-SA"/>
        </w:rPr>
        <w:t xml:space="preserve">) </w:t>
      </w:r>
      <w:r>
        <w:rPr>
          <w:rStyle w:val="FootnoteAnchor"/>
          <w:rtl w:val="true"/>
        </w:rPr>
        <w:footnoteReference w:id="872"/>
      </w:r>
      <w:r>
        <w:rPr>
          <w:rFonts w:ascii="Amiri" w:hAnsi="Amiri" w:eastAsia="Amiri" w:cs="Amiri"/>
          <w:color w:val="111111"/>
          <w:sz w:val="28"/>
          <w:sz w:val="28"/>
          <w:szCs w:val="28"/>
          <w:rtl w:val="true"/>
          <w:lang w:bidi="ar-SA"/>
        </w:rPr>
        <w:t xml:space="preserve">، ولكان ينبغي محل عبدة العجل من أصحاب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المحل ، لأنّ هؤلاء كلهم قد صحبوا موسى رسولاً جليلاً من رسل الله تعالى ، ولو كانت الصحابة تعرف هذه المنزلة لالتزمت به مع أنّ الأمر على خلاف ذلك ، فهذا علي وعمار وأبو الهيثم بن التيهان ، وخزيمة بن ثابت ، وجميع من كان مع علي </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المهاجرين والأنصار لم يروا ذلك ، فلم يتغافلوا عن طلحة والزبير حتّى فعلوا بهما وبمن معهما ما يفعل بالشراة في عصرنا ، وهذا طلحة والزبير وعائشة ومن كان معهم وفي جانبهم لم يروا أن يمسكوا عن علي حتّى قصدوا له وحاربوه ، وهذا معاوية وعمرو لم يريا علياً بالعين التي يرى بها العامي صديقه أو جاره ولم يقصرا دون ضرب وجهه بالسيف ، ولعنه ولعن أولاده ، وكلّ من كان حياً من أهله ، وقتل أصحابه ، وقد لعنهما هو أيضاً في الصلاة المفروضة ولعن معهما أبا الأعور السلمي وأبا موسى الأشعري ، وكلاهما من الصحابة ، وهذا سعد بن أبي وقاص ومحمد بن سلمة وأُسامة بن زيد وسعد بن عمرو بن نفيل وعبد الله بن عمر وحسان بن ثابت وأنس بن مالك لم يروا أن يقلدوا علياً في حرب طلحة ، ولا طلحة في حرب علي ، وطلحة والزبير بإجماع المسلمين أفضل من هؤلاء المعدودين ، لأنّهم زعموا أنّهم قد خافوا أن يكون علي قد غلط وزل في حربهما ، وخافا أن يكونا قد زلا وغلطا في حرب علي ، وهذا عثمان قد نفى أبا ذر إلى الربذة كما يفعل بأهل الخنا والريب ، وهذا عمار وابن مسعود تلقيا عثمان بما تلقياه به لما ظهر لهما بزعمهما منه ما وعظاه لأجله ، ثمّ فعل عثمان ما تناهى إليكم ، ثمّ فعل القوم بعثمان ما قد علمتم وعلم الناس كلهم ، وهذا عمر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قصة الزبير بن العوام لما استأذنه في الغزو إنّي ممسك بباب هذا الشعب أن يتفرق أصحاب محمد في الناس فيضلوهم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أنكر الناس على عمر هذا القول ، ولا أنكروا على عثمان دوس بطن عمار ، ولا كسر ضلع أبي مسعود ، ولا على عمار وابن مسعود ما تلقيا به عثمان كإنكار العامة اليوم الخوض في حديث الصحابة ، ولا اعتقدت الصحابة في أنفسها ما تعتقده العامة فيها ، اللهمّ إلاّ أن يزعموا أنّهم أعرف بحق القوم منهم ، وهذا علي والعباس ما زالا على كلمة واحدة يكذبان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معاشر الأنبياء لا نورث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w:t>
      </w:r>
      <w:bookmarkStart w:id="1267" w:name="pg11047_103122"/>
    </w:p>
    <w:p>
      <w:pPr>
        <w:pStyle w:val="BookText"/>
        <w:rPr/>
      </w:pPr>
      <w:bookmarkEnd w:id="1267"/>
      <w:r>
        <w:rPr>
          <w:rFonts w:ascii="Amiri" w:hAnsi="Amiri" w:eastAsia="Amiri" w:cs="Amiri"/>
          <w:color w:val="111111"/>
          <w:sz w:val="28"/>
          <w:sz w:val="28"/>
          <w:szCs w:val="28"/>
          <w:rtl w:val="true"/>
          <w:lang w:bidi="ar-SA"/>
        </w:rPr>
        <w:t xml:space="preserve">مختلقة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هذا الحكم غيرنا ويكتمه عنا ونحن الورثة ، ونحن أولى الناس بأن يؤدى هذا الحكم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عمر بن الخطاب يشهد لأهل الشورى أنّهم النفر الذين توفّي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عنهم راض ، ثمّ يأمر بضرب أعناقهم إن أخّروا فصل حال الإمامة بعد أن ثلبهم ، وقال في حقهم ما لو سمعه اليوم من قائل لوضعت ثوبه في عنقه سحبا إلى السلطان ، ثمّ شهدت عليه بالرفض واستحلت دمه ، فإن كان الطعن على بعض الصحابة رفضاً فعمر بن الخطاب أرفض الناس ، وإمام الروافض كلّهم ، وقد شاع واشتهر قول عمر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بيعة أبي بكر فلتة وقى الله المسلمين شرّها فمن عاد لمثلها فاقتلوه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طعن في العقد وقدح في البيعة الأصلية ، ثمّ ما نقل عنه في ذكر أبي بكر في خلواته قوله عن عبد الرحمن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دويبة سوء ، وهو خير من أبيه ، ثمّ عمر القائل في سعد بن عبادة رئيس الأنصار وسيدها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سعداً قتل الله سعداً اقتلوه فانّه منافق ، وقد شتم أبا هريرة وطعن في روايته ، وشتم خالد بن الوليد ، وطعن في دينه ، وحكم بفسقه ، وبوجوب قتله ، وخون عمرو بن العاص ، ومعاوية بن أبي سفيان ، ونسبهما إلى سرقة مال الفيء واقتطاعه ، وكان سريعاً إلى المساءة ، كثير الجبة والشتم والسب لكلّ أحد ، وقلّ أن يكون في الصحابة من سلم من معرة لسانه ويده ولذلك أبغضوه ، وملوا أيامه مع كثرة الفتوح فيها ، فهلا احترم عمر الصحابة كما تحترمهم العامة ، إمّا أن يكون عمر مخطئاً ، وإمّا أن تكون العامة على خطأ</w:t>
      </w:r>
      <w:r>
        <w:rPr>
          <w:rFonts w:eastAsia="Amiri" w:cs="Amiri" w:ascii="Amiri" w:hAnsi="Amiri"/>
          <w:color w:val="111111"/>
          <w:sz w:val="28"/>
          <w:szCs w:val="28"/>
          <w:rtl w:val="true"/>
          <w:lang w:bidi="ar-SA"/>
        </w:rPr>
        <w:t>.</w:t>
      </w:r>
    </w:p>
    <w:p>
      <w:pPr>
        <w:pStyle w:val="Heading4"/>
        <w:numPr>
          <w:ilvl w:val="3"/>
          <w:numId w:val="1"/>
        </w:numPr>
        <w:rPr/>
      </w:pPr>
      <w:bookmarkStart w:id="1268" w:name="__RefHeading___Toc1391843_1067777946"/>
      <w:bookmarkStart w:id="1269" w:name="_Toc471"/>
      <w:bookmarkEnd w:id="1268"/>
      <w:r>
        <w:rPr>
          <w:rtl w:val="true"/>
        </w:rPr>
        <w:t>الصحابة كسائر الناس</w:t>
      </w:r>
      <w:bookmarkEnd w:id="1269"/>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غرضنا الذي يجري بكلامنا أن نوضح أنّ الصحابة قوم من الناس لهم ما </w:t>
      </w:r>
    </w:p>
    <w:p>
      <w:pPr>
        <w:pStyle w:val="BookText"/>
        <w:rPr/>
      </w:pPr>
      <w:r>
        <w:rPr>
          <w:rFonts w:ascii="Amiri" w:hAnsi="Amiri" w:eastAsia="Amiri" w:cs="Amiri"/>
          <w:color w:val="111111"/>
          <w:sz w:val="28"/>
          <w:sz w:val="28"/>
          <w:szCs w:val="28"/>
          <w:rtl w:val="true"/>
          <w:lang w:bidi="ar-SA"/>
        </w:rPr>
        <w:t xml:space="preserve">للناس ، وعليهم ما عليهم ، من أساء منهم ذممناه ، ومن أحسن منهم حمدناه وليس لهم على غيرهم من المسلمين كثير فضل إلاّ بمشاهدة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ومعاصرته لا غير ، بل ربما كانت ذنوبهم أفحش من ذنوب غيرهم ، لأنّهم شاهدوا الاعلام والمعجزات ، وقد قرب اعتقادهم من الضرورة ، ونحن لم نشاهد ذلك فكانت عقائدنا محض النظر والفكر ، وهي معرضة للشكوك والشبه ، فمعاصينا أخف لأنّنا أعذر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نعود إلى ما كنّا فيه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عائشة أُمّ المؤمنين خرجت بقميص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قميص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يبل وعثمان قد أبلى 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اقتلوا نعثلاً قتل الله نعثلاً ، ثمّ لم ترض بذلك حتى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عثمان جيفة على الصراط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الناس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روت بذلك خبراً ، ومن الناس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موقوف عليها ، وبدون هذا لو قاله إنسان اليوم يكون عند العامة زنديقاً ، ثمّ قد حصر عثمان ، حصره أعيان الصحابة فما كان أحد ينكر ذلك ولا يعظمه ، ولا يسعى في إزالته ، وإنّما أنكر على المحاصرين رجل كما علمتم من وجوه أصحاب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أشرافهم ، ثمّ أقرب إليه من أبي بكر وعمر ، وهو مع ذلك إمام المسلمين ، والمختار منهم للخلافة وهو الإمام علي</w:t>
      </w:r>
      <w:r>
        <w:rPr>
          <w:rFonts w:eastAsia="Amiri" w:cs="Amiri" w:ascii="Amiri" w:hAnsi="Amiri"/>
          <w:color w:val="111111"/>
          <w:sz w:val="28"/>
          <w:szCs w:val="28"/>
          <w:rtl w:val="true"/>
          <w:lang w:bidi="ar-SA"/>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 القوم قد أصابوا فإذن ليست الصحابة في الموضع الذي وضعتهم به العامة ، وإن كان ما أصابوا فهذا هو الذي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الخطأ جائز على آحاد الصحابة كما يجوز على آحادنا ، ولسنا نقدح في الإجماع ولسنا ندعي إجماعاً حقيقياً على قتل عثمان ، وإنّما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كثيراً من المسلمين فعلوا ذلك ، والخصم يسلم أنّ ذلك كان خطأ ومعصية ، فقد سلم أنّ الصحابي يجوز أن يخطئ ويعصي وهو المطلوب</w:t>
      </w:r>
      <w:r>
        <w:rPr>
          <w:rFonts w:eastAsia="Amiri" w:cs="Amiri" w:ascii="Amiri" w:hAnsi="Amiri"/>
          <w:color w:val="111111"/>
          <w:sz w:val="28"/>
          <w:szCs w:val="28"/>
          <w:rtl w:val="true"/>
          <w:lang w:bidi="ar-SA"/>
        </w:rPr>
        <w:t xml:space="preserve">. </w:t>
      </w:r>
      <w:bookmarkStart w:id="1270" w:name="pg11047_103124"/>
    </w:p>
    <w:p>
      <w:pPr>
        <w:pStyle w:val="Heading4"/>
        <w:numPr>
          <w:ilvl w:val="3"/>
          <w:numId w:val="1"/>
        </w:numPr>
        <w:rPr/>
      </w:pPr>
      <w:bookmarkStart w:id="1271" w:name="__RefHeading___Toc1391845_1067777946"/>
      <w:bookmarkStart w:id="1272" w:name="_Toc472"/>
      <w:bookmarkEnd w:id="1270"/>
      <w:bookmarkEnd w:id="1271"/>
      <w:r>
        <w:rPr>
          <w:rtl w:val="true"/>
        </w:rPr>
        <w:t>من أُنكِرَ عليهم من الصحابة</w:t>
      </w:r>
      <w:bookmarkEnd w:id="1272"/>
    </w:p>
    <w:p>
      <w:pPr>
        <w:pStyle w:val="BookText"/>
        <w:rPr/>
      </w:pPr>
      <w:r>
        <w:rPr>
          <w:rFonts w:ascii="Amiri" w:hAnsi="Amiri" w:eastAsia="Amiri" w:cs="Amiri"/>
          <w:color w:val="111111"/>
          <w:sz w:val="28"/>
          <w:sz w:val="28"/>
          <w:szCs w:val="28"/>
          <w:rtl w:val="true"/>
          <w:lang w:bidi="ar-SA"/>
        </w:rPr>
        <w:t xml:space="preserve">وهذا المغيرة بن شعبة ، وهو من الصحابة ادّعي عليه الزنا وشهد عليه قوم بذلك ، فلم ينكر ذلك عمر ، ولا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محال وباطل ، لأنّ هذا صحابي من صحابة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عليه الزنا ، وهلا أنكر عمر على الشهود ،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هلا تغافلتم عنه ، فإنّ الله قد أوجب الإمساك عن مساوئ أصحاب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وأوجب الستر عليهم ، وهلا تركتموه 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دعوا إليّ 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رأينا عمر إلاّ قد أنصت لسماع الدعوى ، وإقامة الشهادة وأقبل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مغيرة ذهب ربعك ، ذهب نصفك ، يا مغيرة ذهب ثلاثة أرباعك حتّى اضطرب الرابع فجلد الثلاثة ، وهلا قال المغيرة 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تسمع قول هؤلاء ، وليسوا من الصحابة ، وأنا من الصحابة ورسول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أصحابي كالنجوم بأيّهم اقتديتم اهتديتم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رأيناه قال ذلك ، بلى استسلم لحكم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وهاهنا من هو أمثل من المغيرة وأفضل قدامة بن مضعون لما شرب الخمر في أيّام عمر فأقام عليه الحدّ ، وهو رجل من علية الصحابة ومن أهل بدر المشهود لهم بالجنة ، فلم يرد عمر الشهادة ، ولا درأ عنه الحدّ لعلمه أنّه بدري ، ولا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عن ذكر مساوئ أصحابه</w:t>
      </w:r>
      <w:r>
        <w:rPr>
          <w:rFonts w:eastAsia="Amiri" w:cs="Amiri" w:ascii="Amiri" w:hAnsi="Amiri"/>
          <w:color w:val="111111"/>
          <w:sz w:val="28"/>
          <w:szCs w:val="28"/>
          <w:rtl w:val="true"/>
          <w:lang w:bidi="ar-SA"/>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ضرب عمر أيضاً ابنه الحدّ فمات ، وكان ممّن عاصر رسول الله ، ولم تمنعه معاصرته له من إقامة الحدّ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حدثني أحد بحديث عن رسول الله إلاّ استحلفته عليه ، أليس هذا اتهاماً لهم بالكذب وما استثنى أحداً من المسلمين إلاّ 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ورد في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صرح غير مرّة بتكذيب أبي هريرة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أحد أكذب من هذا الدوسي على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أبو بكر في </w:t>
      </w:r>
      <w:bookmarkStart w:id="1273" w:name="pg11047_103125"/>
    </w:p>
    <w:p>
      <w:pPr>
        <w:pStyle w:val="BookText"/>
        <w:rPr/>
      </w:pPr>
      <w:bookmarkEnd w:id="1273"/>
      <w:r>
        <w:rPr>
          <w:rFonts w:ascii="Amiri" w:hAnsi="Amiri" w:eastAsia="Amiri" w:cs="Amiri"/>
          <w:color w:val="111111"/>
          <w:sz w:val="28"/>
          <w:sz w:val="28"/>
          <w:szCs w:val="28"/>
          <w:rtl w:val="true"/>
          <w:lang w:bidi="ar-SA"/>
        </w:rPr>
        <w:t xml:space="preserve">مرضه الذي توفي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وددت أنّي لم أكشف بيت فاطمة ولو كان أغلق على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فندم والندم لا يكون إلاّ عن ذنب ، ثمّ ينبغي للعاقل أن يفكر في تأخر علي عن بيعة أبي بكر ستة أشهر إلى أن ماتت فاطمة سلام الله عليها ، فإن كان مصيباً فأبو بكر على الخطأ في انتصابه للخلافة ، وإن كان مصيباً فعلي على الخطأ في تأخره عن البيعة وحضور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بكر في مرضه للصحابة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استخلفت عليكم خيركم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فكلكم ورم أنفه ، يريد أن يكون الأمر له ، لما رأيتم الدنيا قد جاءت ، أما والله لتتخذن ستائر الديباج ونضائد الحرير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هذا طعناً في الصحابة وتصريحاً بنسبتهم إلى الحسد لعمر لمّا نص عليه بالعهد؟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 طلحة لمّا ذكر عمر للأمر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لربك إذا سألك عن عباده وقد وليت عليهم فظاً غليظاً ، 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اجلسوني أبالله تخوفني إذا سألني قلت وليت عليهم خير أهلي ، ثم شتمه ، فهل قول طلحة إلاّ طعن في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قول أبي بكر إلاّ طعن في 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وسيتعرض العالم الزيدي إلى تأييد ما ذهب إليه بكثير من الأحداث التاريخية التي عرضت لطعن بعض الصحابة لبعضهم الأمر الذي يدلّ بوضوح على ضحالة ما قيل من عدالة الصحابة أجمعين اكتعين ، وأضاف الزيدي قائلاً </w:t>
      </w:r>
      <w:r>
        <w:rPr>
          <w:rFonts w:eastAsia="Amiri" w:cs="Amiri" w:ascii="Amiri" w:hAnsi="Amiri"/>
          <w:color w:val="111111"/>
          <w:sz w:val="28"/>
          <w:szCs w:val="28"/>
          <w:rtl w:val="true"/>
          <w:lang w:bidi="ar-SA"/>
        </w:rPr>
        <w:t>:</w:t>
      </w:r>
    </w:p>
    <w:p>
      <w:pPr>
        <w:pStyle w:val="Heading4"/>
        <w:numPr>
          <w:ilvl w:val="3"/>
          <w:numId w:val="1"/>
        </w:numPr>
        <w:rPr/>
      </w:pPr>
      <w:bookmarkStart w:id="1274" w:name="__RefHeading___Toc1391847_1067777946"/>
      <w:bookmarkStart w:id="1275" w:name="_Toc473"/>
      <w:bookmarkEnd w:id="1274"/>
      <w:r>
        <w:rPr>
          <w:rtl w:val="true"/>
        </w:rPr>
        <w:t>حديث أصحابي كالنجوم وضعه الأمويّون</w:t>
      </w:r>
      <w:bookmarkEnd w:id="1275"/>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وكيف يصحّ أن يقول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أصحابي كالنجوم بأيّهم اقتديتم اهتديتم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شبهة انّ هذا يوجب أنّ أهل الشام وصفين على هدى ، وأن يكون أهل العراق أيضاً على هدى ، وأن يكون قاتل عمار بن ياسر مهتدياً ، وقد صحّ </w:t>
      </w:r>
    </w:p>
    <w:p>
      <w:pPr>
        <w:pStyle w:val="BookText"/>
        <w:rPr/>
      </w:pPr>
      <w:r>
        <w:rPr>
          <w:rFonts w:ascii="Amiri" w:hAnsi="Amiri" w:eastAsia="Amiri" w:cs="Amiri"/>
          <w:color w:val="111111"/>
          <w:sz w:val="28"/>
          <w:sz w:val="28"/>
          <w:szCs w:val="28"/>
          <w:rtl w:val="true"/>
          <w:lang w:bidi="ar-SA"/>
        </w:rPr>
        <w:t xml:space="preserve">الخبر الصحيح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تقتلك الفئة الباغية ، وقال الله في القرآن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فَقاتِلُوا الَّتِي تَبْغِي حَتَّى تَفِيءَ إِلى أَمْرِ اللهِ</w:t>
      </w:r>
      <w:r>
        <w:rPr>
          <w:rFonts w:eastAsia="Amiri" w:cs="Amiri" w:ascii="Amiri" w:hAnsi="Amiri"/>
          <w:color w:val="111111"/>
          <w:sz w:val="28"/>
          <w:szCs w:val="28"/>
          <w:rtl w:val="true"/>
          <w:lang w:bidi="ar-SA"/>
        </w:rPr>
        <w:t xml:space="preserve">) </w:t>
      </w:r>
      <w:r>
        <w:rPr>
          <w:rStyle w:val="FootnoteAnchor"/>
          <w:rtl w:val="true"/>
        </w:rPr>
        <w:footnoteReference w:id="873"/>
      </w:r>
      <w:r>
        <w:rPr>
          <w:rFonts w:ascii="Amiri" w:hAnsi="Amiri" w:eastAsia="Amiri" w:cs="Amiri"/>
          <w:color w:val="111111"/>
          <w:sz w:val="28"/>
          <w:sz w:val="28"/>
          <w:szCs w:val="28"/>
          <w:rtl w:val="true"/>
          <w:lang w:bidi="ar-SA"/>
        </w:rPr>
        <w:t>ومن يفارق أمر الله تعالى لا يكون مهتدياً ، وكان يجب أن يكون بسر بن أرطاة الذي ذبح ولدي عبيد الله بن العباس الصغيرين مهتدياً لأنّ بسراً من الصحابة ، وكان يجب أن يكون عمرو بن العاص ومعاوية اللذين كانا يلعنان عليّاً في أدبار الصلاة وولديه مهتديين ، وقد شذ بعض الصحابة فشرب الخمر وزنا كابن محجن الثقفي ، فمن اقتدى به يكون مهتدياً ولا شبهة انّ هذا الحديث موضوع من موضوعات العصابة الأموية التي نصرت الأمويين بوضعها للأحاديث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الزيدي بعض الأحاديث الموضوعة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ما ورد في القرآن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رَضِيَ اللهُ عَنِ الْمُؤْمِنِينَ</w:t>
      </w:r>
      <w:r>
        <w:rPr>
          <w:rFonts w:eastAsia="Amiri" w:cs="Amiri" w:ascii="Amiri" w:hAnsi="Amiri"/>
          <w:color w:val="111111"/>
          <w:sz w:val="28"/>
          <w:szCs w:val="28"/>
          <w:rtl w:val="true"/>
          <w:lang w:bidi="ar-SA"/>
        </w:rPr>
        <w:t xml:space="preserve">) </w:t>
      </w:r>
      <w:r>
        <w:rPr>
          <w:rStyle w:val="FootnoteAnchor"/>
          <w:rtl w:val="true"/>
        </w:rPr>
        <w:footnoteReference w:id="874"/>
      </w: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رَسُولُ اللهِ وَالَّذِينَ مَعَهُ </w:t>
      </w:r>
      <w:r>
        <w:rPr>
          <w:rFonts w:eastAsia="Amiri" w:cs="Amiri" w:ascii="Amiri" w:hAnsi="Amiri"/>
          <w:color w:val="111111"/>
          <w:sz w:val="28"/>
          <w:szCs w:val="28"/>
          <w:rtl w:val="true"/>
          <w:lang w:bidi="ar-SA"/>
        </w:rPr>
        <w:t xml:space="preserve">...) </w:t>
      </w:r>
      <w:r>
        <w:rPr>
          <w:rStyle w:val="FootnoteAnchor"/>
          <w:rtl w:val="true"/>
        </w:rPr>
        <w:footnoteReference w:id="875"/>
      </w:r>
      <w:r>
        <w:rPr>
          <w:rFonts w:ascii="Amiri" w:hAnsi="Amiri" w:eastAsia="Amiri" w:cs="Amiri"/>
          <w:color w:val="111111"/>
          <w:sz w:val="28"/>
          <w:sz w:val="28"/>
          <w:szCs w:val="28"/>
          <w:rtl w:val="true"/>
          <w:lang w:bidi="ar-SA"/>
        </w:rPr>
        <w:t xml:space="preserve">، وقول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الله اطّلع على أهل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 كان الخبر صحيحاً فانّه مشروط بسلامة العاقبة ، ولا يجوز أن يخبر الحكيم مكلفاً غير معصوم بأن لا عقاب له فليفعل ما شاء</w:t>
      </w:r>
      <w:r>
        <w:rPr>
          <w:rFonts w:eastAsia="Amiri" w:cs="Amiri" w:ascii="Amiri" w:hAnsi="Amiri"/>
          <w:color w:val="111111"/>
          <w:sz w:val="28"/>
          <w:szCs w:val="28"/>
          <w:rtl w:val="true"/>
          <w:lang w:bidi="ar-SA"/>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أنصف وتأمّل أحوال الصحابة وجدهم مثلنا يجوز عليهم ما يجوز علينا ، ولا فرق بيننا وبينهم إلاّ الصحبة لا غير فإنّ لها منزلة وشرفاً ولكن لا إلى حد يمتنع على كلّ من رأى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وصحبه يوماً أو شهراً أو أكثر من ذلك أن لا يخطئ ويزل ، وأضاف الزيدي قائلاً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الذي يجترئ على القول بأنّ أصحاب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تجوز البراءة من أحدهم وإن أساء وعصى بعد قول الله تعالى لنبيه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أَشْرَكْتَ لَيَحْبَطَنَّ عَمَلُكَ</w:t>
      </w:r>
      <w:r>
        <w:rPr>
          <w:rFonts w:eastAsia="Amiri" w:cs="Amiri" w:ascii="Amiri" w:hAnsi="Amiri"/>
          <w:color w:val="111111"/>
          <w:sz w:val="28"/>
          <w:szCs w:val="28"/>
          <w:rtl w:val="true"/>
          <w:lang w:bidi="ar-SA"/>
        </w:rPr>
        <w:t xml:space="preserve">) </w:t>
      </w:r>
      <w:r>
        <w:rPr>
          <w:rStyle w:val="FootnoteAnchor"/>
          <w:rtl w:val="true"/>
        </w:rPr>
        <w:footnoteReference w:id="876"/>
      </w:r>
      <w:r>
        <w:rPr>
          <w:rFonts w:ascii="Amiri" w:hAnsi="Amiri" w:eastAsia="Amiri" w:cs="Amiri"/>
          <w:color w:val="111111"/>
          <w:sz w:val="28"/>
          <w:sz w:val="28"/>
          <w:szCs w:val="28"/>
          <w:rtl w:val="true"/>
          <w:lang w:bidi="ar-SA"/>
        </w:rPr>
        <w:t xml:space="preserve">، وبعد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إِنِّي أَخافُ إِنْ عَصَيْتُ رَبِّي عَذابَ يَوْمٍ عَظِيمٍ</w:t>
      </w:r>
      <w:r>
        <w:rPr>
          <w:rFonts w:eastAsia="Amiri" w:cs="Amiri" w:ascii="Amiri" w:hAnsi="Amiri"/>
          <w:color w:val="111111"/>
          <w:sz w:val="28"/>
          <w:szCs w:val="28"/>
          <w:rtl w:val="true"/>
          <w:lang w:bidi="ar-SA"/>
        </w:rPr>
        <w:t xml:space="preserve">) </w:t>
      </w:r>
      <w:r>
        <w:rPr>
          <w:rStyle w:val="FootnoteAnchor"/>
          <w:rtl w:val="true"/>
        </w:rPr>
        <w:footnoteReference w:id="877"/>
      </w:r>
      <w:r>
        <w:rPr>
          <w:rFonts w:ascii="Amiri" w:hAnsi="Amiri" w:eastAsia="Amiri" w:cs="Amiri"/>
          <w:color w:val="111111"/>
          <w:sz w:val="28"/>
          <w:sz w:val="28"/>
          <w:szCs w:val="28"/>
          <w:rtl w:val="true"/>
          <w:lang w:bidi="ar-SA"/>
        </w:rPr>
        <w:t xml:space="preserve">، وبعد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فَاحْكُمْ بَيْنَ النَّاسِ بِالْحَقِّ وَلا تَتَّبِعِ الْهَوى فَيُضِلَّكَ عَنْ سَبِيلِ اللهِ إِنَّ الَّذِينَ يَضِلُّونَ عَنْ سَبِيلِ اللهِ لَهُمْ عَذابٌ شَدِيدٌ</w:t>
      </w:r>
      <w:r>
        <w:rPr>
          <w:rFonts w:eastAsia="Amiri" w:cs="Amiri" w:ascii="Amiri" w:hAnsi="Amiri"/>
          <w:color w:val="111111"/>
          <w:sz w:val="28"/>
          <w:szCs w:val="28"/>
          <w:rtl w:val="true"/>
          <w:lang w:bidi="ar-SA"/>
        </w:rPr>
        <w:t xml:space="preserve">)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9"/>
      </w:r>
    </w:p>
    <w:p>
      <w:pPr>
        <w:pStyle w:val="BookText"/>
        <w:rPr/>
      </w:pPr>
      <w:r>
        <w:rPr>
          <w:rFonts w:ascii="Amiri" w:hAnsi="Amiri" w:eastAsia="Amiri" w:cs="Amiri"/>
          <w:color w:val="111111"/>
          <w:sz w:val="28"/>
          <w:sz w:val="28"/>
          <w:szCs w:val="28"/>
          <w:rtl w:val="true"/>
          <w:lang w:bidi="ar-SA"/>
        </w:rPr>
        <w:t xml:space="preserve">حصيلة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الصحابة كبقية المسلمين يصيبون ويخطئون ، وفيهم العدول والمجروحون ، وأنّ الحكم بعدالتهم أجمعين حكم لا تساعد عليه الأدلة العلمية ، والوثائق التاريخية</w:t>
      </w:r>
      <w:r>
        <w:rPr>
          <w:rFonts w:eastAsia="Amiri" w:cs="Amiri" w:ascii="Amiri" w:hAnsi="Amiri"/>
          <w:color w:val="111111"/>
          <w:sz w:val="28"/>
          <w:szCs w:val="28"/>
          <w:rtl w:val="true"/>
          <w:lang w:bidi="ar-SA"/>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الذي بنعمته تتمّ الصالحات </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76" w:name="pg11047_103129"/>
      <w:bookmarkStart w:id="1277" w:name="pg11047_103129"/>
      <w:bookmarkEnd w:id="1277"/>
    </w:p>
    <w:p>
      <w:pPr>
        <w:pStyle w:val="Heading2"/>
        <w:numPr>
          <w:ilvl w:val="1"/>
          <w:numId w:val="1"/>
        </w:numPr>
        <w:rPr/>
      </w:pPr>
      <w:bookmarkStart w:id="1278" w:name="pg11047_103129"/>
      <w:bookmarkStart w:id="1279" w:name="__RefHeading___Toc1391849_1067777946"/>
      <w:bookmarkStart w:id="1280" w:name="_Toc474"/>
      <w:bookmarkEnd w:id="1278"/>
      <w:bookmarkEnd w:id="1279"/>
      <w:r>
        <w:rPr>
          <w:rtl w:val="true"/>
        </w:rPr>
        <w:t>فهرس محتويات الكتاب</w:t>
      </w:r>
      <w:bookmarkEnd w:id="1280"/>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ascii="Amiri" w:hAnsi="Amiri" w:eastAsia="Amiri" w:cs="Amiri"/>
          <w:color w:val="111111"/>
          <w:sz w:val="28"/>
          <w:sz w:val="28"/>
          <w:szCs w:val="28"/>
          <w:rtl w:val="true"/>
          <w:lang w:bidi="ar-SA"/>
        </w:rPr>
        <w:t>التحسين والتقبيح العقليان</w:t>
      </w:r>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دور القاعدة في العلوم الإنسانية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 xml:space="preserve">ملاكات التحسين والتقبيح العقليين، وفيه وجوه </w:t>
      </w:r>
      <w:r>
        <w:rPr>
          <w:rFonts w:eastAsia="Amiri" w:cs="Amiri" w:ascii="Amiri" w:hAnsi="Amiri"/>
          <w:color w:val="111111"/>
          <w:sz w:val="28"/>
          <w:szCs w:val="28"/>
          <w:lang w:bidi="ar-SA"/>
        </w:rPr>
        <w:t>13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التحسين والتقبيح الذاتيان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التحسين والتقبيح في إطار المصالح والمفاسد العقلائية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موافقة العادات والتقاليد والأعراف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 xml:space="preserve">تقسيم الحكمة إلى نظرية وعملية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تبييين الحكمة النظرية والحكمة العملية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تفسير العقل النظري والعقل العملي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 xml:space="preserve">تقسيم القضايا إلى ضرورية وغير ضرورية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تقسيم الحكمة النظرية إلى ضرورية وغير ضرورية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تقسيم الحكمة العملية أيضاً إلى القسمين بملاك 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 xml:space="preserve">أدلّة المثبتين للتحسين والتقبيح العقليين </w:t>
      </w:r>
      <w:r>
        <w:rPr>
          <w:rFonts w:eastAsia="Amiri" w:cs="Amiri" w:ascii="Amiri" w:hAnsi="Amiri"/>
          <w:color w:val="111111"/>
          <w:sz w:val="28"/>
          <w:szCs w:val="28"/>
          <w:lang w:bidi="ar-SA"/>
        </w:rPr>
        <w:t>18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قضاء العقل بذلك بداهة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لم يثبتا عقلاً، لما ثبتا شرعاً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إنكارهما يلازم امتناع إثبات الشرائع السماوية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والقبح في الذكر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Amiri" w:hAnsi="Amiri" w:eastAsia="Amiri" w:cs="Amiri"/>
          <w:color w:val="111111"/>
          <w:sz w:val="28"/>
          <w:sz w:val="28"/>
          <w:szCs w:val="28"/>
          <w:rtl w:val="true"/>
          <w:lang w:bidi="ar-SA"/>
        </w:rPr>
        <w:t xml:space="preserve">دراسة أدلّة المنكرين لهما </w:t>
      </w:r>
      <w:r>
        <w:rPr>
          <w:rFonts w:eastAsia="Amiri" w:cs="Amiri" w:ascii="Amiri" w:hAnsi="Amiri"/>
          <w:color w:val="111111"/>
          <w:sz w:val="28"/>
          <w:szCs w:val="28"/>
          <w:lang w:bidi="ar-SA"/>
        </w:rPr>
        <w:t>25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كانا بديهيّين لما اختلف فيهما اثنان، ونقده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الكذب النافع ليس بقبيح، ونقده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التحسين والتقبيح العقليان فرض تكليف على اللّه، ونقده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ما هو الدافع لانكار التحسين والتقبيح العقليين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جواز التكليف بمالا يطاق، ونقده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Amiri" w:hAnsi="Amiri" w:eastAsia="Amiri" w:cs="Amiri"/>
          <w:color w:val="111111"/>
          <w:sz w:val="28"/>
          <w:sz w:val="28"/>
          <w:szCs w:val="28"/>
          <w:rtl w:val="true"/>
          <w:lang w:bidi="ar-SA"/>
        </w:rPr>
        <w:t>النتائج المترتبة على</w:t>
      </w:r>
    </w:p>
    <w:p>
      <w:pPr>
        <w:pStyle w:val="BookText"/>
        <w:rPr/>
      </w:pPr>
      <w:r>
        <w:rPr>
          <w:rFonts w:ascii="Amiri" w:hAnsi="Amiri" w:eastAsia="Amiri" w:cs="Amiri"/>
          <w:color w:val="111111"/>
          <w:sz w:val="28"/>
          <w:sz w:val="28"/>
          <w:szCs w:val="28"/>
          <w:rtl w:val="true"/>
          <w:lang w:bidi="ar-SA"/>
        </w:rPr>
        <w:t xml:space="preserve">التحسين والتقبيح العقليين </w:t>
      </w:r>
      <w:r>
        <w:rPr>
          <w:rFonts w:eastAsia="Amiri" w:cs="Amiri" w:ascii="Amiri" w:hAnsi="Amiri"/>
          <w:color w:val="111111"/>
          <w:sz w:val="28"/>
          <w:szCs w:val="28"/>
          <w:lang w:bidi="ar-SA"/>
        </w:rPr>
        <w:t>34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وجوب معرفة اللّه عقلاً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 وصفه سبحانه بالعدل والحكمة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اللطف على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لزوم بعثة 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حسن التكليف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لزوم تزويد الأنبياء بالبيّنات والمعاجز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لزوم النظر في برهان مدعي النبوة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تأثير القاعدة في العلم بصدق دعوى 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الخاتمية واستمرار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عادل لا يجور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ثبات الأخلاق والقِيَم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هو الملاك للثابت في القيم والمتغير 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الثاني</w:t>
      </w:r>
    </w:p>
    <w:p>
      <w:pPr>
        <w:pStyle w:val="BookText"/>
        <w:rPr/>
      </w:pPr>
      <w:r>
        <w:rPr>
          <w:rFonts w:ascii="Amiri" w:hAnsi="Amiri" w:eastAsia="Amiri" w:cs="Amiri"/>
          <w:color w:val="111111"/>
          <w:sz w:val="28"/>
          <w:sz w:val="28"/>
          <w:szCs w:val="28"/>
          <w:rtl w:val="true"/>
          <w:lang w:bidi="ar-SA"/>
        </w:rPr>
        <w:t xml:space="preserve">الإنسان بين الجبر والتفويض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 xml:space="preserve">الجبر على مسرح التاريخ الإسلامي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سيادة فكرة الجبر على المشركين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سيادة الفكرة على الخلفاء بعد رحيل الرسول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استغلال الأمويين للقدر السالب للاختيار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التقدير المساوي للجبر، عقيدة مستوردة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حديث الفراغ من الأمر، بدعة يهودية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 xml:space="preserve">أحاديث لا تفارق الجبر قيد شعرة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سبق الكتاب على مشيئة 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الشقاء والسعادة مكتوبان منذ انعقاد نطفته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 xml:space="preserve">مضاعفات القول بالجبر </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انتفاء الغرض من بعثة 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انتفاء فائدة المناهج التربوية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تكذيب الكتاب العزيز فكرةَ الجبر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الجبري في ساحة الحياة، مُدْعِم للاختيار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الجبر، واجهة لنيل المزيد من الحرية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 xml:space="preserve">شبهات وحلول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الشبهة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مثلّث الشخصية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تأثير العوامل المكوّنة للشخصية، في حدّ الاقتضاء لا العلة التامة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الشبهة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أفعال الإنسان في إطار القضاء والقدر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القول بتعلّق التقدير بفعل الإنسان يؤكد الاختيار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المعنى الأوّل للقضاء والقدر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 الكونية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المعنى الثاني للقضاء والقدر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اللّه الأزلي سبحانه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كلمة للشيخ الغزالي حول استنتاج الجبر من العلم الأزلي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الشبهة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 والضلالة بيد اللّه سبحانه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أقسام الهداية والضلالة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الهداية التكوينية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الهداية التشريعية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الهداية الخاصة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Amiri" w:hAnsi="Amiri" w:eastAsia="Amiri" w:cs="Amiri"/>
          <w:color w:val="111111"/>
          <w:sz w:val="28"/>
          <w:sz w:val="28"/>
          <w:szCs w:val="28"/>
          <w:rtl w:val="true"/>
          <w:lang w:bidi="ar-SA"/>
        </w:rPr>
        <w:t xml:space="preserve">هل الإيمان بالقدر ركن من أركان الإيمان؟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الإيمان بالقدر من الأُصول والمعارف القرآنية وليس بركن من الإيمان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أركان الإيمان هي التوحيد والنبوة والمعاد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Amiri" w:hAnsi="Amiri" w:eastAsia="Amiri" w:cs="Amiri"/>
          <w:color w:val="111111"/>
          <w:sz w:val="28"/>
          <w:sz w:val="28"/>
          <w:szCs w:val="28"/>
          <w:rtl w:val="true"/>
          <w:lang w:bidi="ar-SA"/>
        </w:rPr>
        <w:t xml:space="preserve">التفويض ومضاعفاته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القول بالتفويض ردّ فعل للقول بالجبر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اتّهام معبد الجهمي وغيلان الدمشقي بنفي القضاء والقدر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القول بالتفويض يلازم الشرك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الإنسان في دوّامة التجدد، حدوثاً وبقاءً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تمثيل لبيان موقف الوجود الإمكاني بالنسبة إلى اللّه سبحانه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Amiri" w:hAnsi="Amiri" w:eastAsia="Amiri" w:cs="Amiri"/>
          <w:color w:val="111111"/>
          <w:sz w:val="28"/>
          <w:sz w:val="28"/>
          <w:szCs w:val="28"/>
          <w:rtl w:val="true"/>
          <w:lang w:bidi="ar-SA"/>
        </w:rPr>
        <w:t xml:space="preserve">الأمر بين الأمرين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تبيين الأمر بين الأمرين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نسبة الفعل إلى اللّه بالتسبيب وإلى العبد بالمباشرة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تمثيل لبيان الأمر بين الأمرين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بين الأمرين في الكتاب العزيز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بين الأمرين في الروايات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الفصل الثالث</w:t>
      </w:r>
    </w:p>
    <w:p>
      <w:pPr>
        <w:pStyle w:val="BookText"/>
        <w:rPr/>
      </w:pPr>
      <w:r>
        <w:rPr>
          <w:rFonts w:ascii="Amiri" w:hAnsi="Amiri" w:eastAsia="Amiri" w:cs="Amiri"/>
          <w:color w:val="111111"/>
          <w:sz w:val="28"/>
          <w:sz w:val="28"/>
          <w:szCs w:val="28"/>
          <w:rtl w:val="true"/>
          <w:lang w:bidi="ar-SA"/>
        </w:rPr>
        <w:t xml:space="preserve">في نظرية الكسب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نظرية انّ اللّه خالق والعبد كاسب في الميزان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 xml:space="preserve">التوحيد في الخالقية عند أهل الحديث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نقل كلمات أعلام الأشاعرة حول التوحيد في الخالقية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اللّه سبحانه هو الخالق لكلّ ظاهرة في صحيفة الوجود بالمباشرة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 xml:space="preserve">التوحيد في الخالقية عند الإمامية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حصر الخالقية المستقلة في اللّه سبحانه، لا الخالقية التبعية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الأسباب والعلل، جنود اللّه سبحانه في الكون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 xml:space="preserve">مضاعفات حصر الخالقية في اللّه على ضوء التفسير الأشعري </w:t>
      </w:r>
      <w:r>
        <w:rPr>
          <w:rFonts w:eastAsia="Amiri" w:cs="Amiri" w:ascii="Amiri" w:hAnsi="Amiri"/>
          <w:color w:val="111111"/>
          <w:sz w:val="28"/>
          <w:szCs w:val="28"/>
          <w:lang w:bidi="ar-SA"/>
        </w:rPr>
        <w:t>115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تصريح القرآن بتأثير العلل الطبيعية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انتفاء الغاية من إيجاد القدرة في 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فاعل مسؤول عن فعله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 xml:space="preserve">نظرية الكسب بين التفسير والتكامل والإبطال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المرحلة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التبيين والتفسير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نقد نظرية الكسب على ضوء تفسير الغزالي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نقد نظرية الكسب على ضوء تفسير التفتازاني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التطوير والتكامل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نظرية الكسب، أحد الألغاز الثلاثة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أبوبكر الباقلاني وتطوير النظرية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كمال الدين بن همام وتطوير النظرية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ابن الخطيب وتطوير النظرية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المرحلة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الإنكار والإبطال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إمام الحرمين الجويني والاعتراف بتأثير قدرة العبد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اعتراف ابن تيمية بالعلل الطبيعية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الشعراني وثبوت تأثير قدرة العبد بالكشف لا بالبرهان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دعم الشيخ محمد عبده لموقف إمام الحرمين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الزرقاني والجمع بين دليلي القولين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شلتوت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فاعل بإرادته وقدرته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القضاء والقدر لا يستلزمان الجبر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Amiri" w:hAnsi="Amiri" w:eastAsia="Amiri" w:cs="Amiri"/>
          <w:color w:val="111111"/>
          <w:sz w:val="28"/>
          <w:sz w:val="28"/>
          <w:szCs w:val="28"/>
          <w:rtl w:val="true"/>
          <w:lang w:bidi="ar-SA"/>
        </w:rPr>
        <w:t>خاتمة المطاف</w:t>
      </w:r>
    </w:p>
    <w:p>
      <w:pPr>
        <w:pStyle w:val="BookText"/>
        <w:rPr/>
      </w:pPr>
      <w:r>
        <w:rPr>
          <w:rFonts w:ascii="Amiri" w:hAnsi="Amiri" w:eastAsia="Amiri" w:cs="Amiri"/>
          <w:color w:val="111111"/>
          <w:sz w:val="28"/>
          <w:sz w:val="28"/>
          <w:szCs w:val="28"/>
          <w:rtl w:val="true"/>
          <w:lang w:bidi="ar-SA"/>
        </w:rPr>
        <w:t>فيها أُمور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نسبة فعل العبد إلى اللّه فوق التسبيب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تمثيل رائع لصدر المتألهين في بيان كيفية النسبة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تطور العلم في ظل القول بنظام العلل والمعاليل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مالبرانس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نظرية الأشعري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التفسير الخاطئ في قسم من الأُصول والمعارف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الاختلاف في عنوان المسألة في الكتب الكلامية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التعريف بالفرق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الجهمية والنجارية والضرارية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الفصل الرابع</w:t>
      </w:r>
    </w:p>
    <w:p>
      <w:pPr>
        <w:pStyle w:val="BookText"/>
        <w:rPr/>
      </w:pPr>
      <w:r>
        <w:rPr>
          <w:rFonts w:ascii="Amiri" w:hAnsi="Amiri" w:eastAsia="Amiri" w:cs="Amiri"/>
          <w:color w:val="111111"/>
          <w:sz w:val="28"/>
          <w:sz w:val="28"/>
          <w:szCs w:val="28"/>
          <w:rtl w:val="true"/>
          <w:lang w:bidi="ar-SA"/>
        </w:rPr>
        <w:t>الإرادة الإلهية التكوينية والتشريعية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تقسيم صفاته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حقيقة الإرادة الإنسانية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نظرية المعتزلة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نظرية الأشاعرة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النظرية المعروفة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الشوق النفساني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والعزم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الإرادة الإلهية من صفات الذات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الإرادة هو العلم بالأصلح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إرادته سبحانه هو ابتهاجه بذاته</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الإرادة الإلهية من صفات الفعل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الإرادة صفة منتزعة من حضور العلّة التامّة للفعل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الإرادة إعمال القدرة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الإرادة الإلهية في روايات 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إرادته غير علمه وقدرته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قدرته لكلّ ظاهرة كونية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الإرادة من صفات الفعل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تحليل الروايات الماضية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نقد وتحليل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هو المختار في الإرادة الإلهية؟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الإرادة التكوينيةوالتشريعية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نظرية المحقّق الخراساني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نظرية المحقّق الإصفهاني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نظرية العلاّمة الطباطبائي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الفصل الخامس</w:t>
      </w:r>
    </w:p>
    <w:p>
      <w:pPr>
        <w:pStyle w:val="BookText"/>
        <w:rPr/>
      </w:pPr>
      <w:r>
        <w:rPr>
          <w:rFonts w:ascii="Amiri" w:hAnsi="Amiri" w:eastAsia="Amiri" w:cs="Amiri"/>
          <w:color w:val="111111"/>
          <w:sz w:val="28"/>
          <w:sz w:val="28"/>
          <w:szCs w:val="28"/>
          <w:rtl w:val="true"/>
          <w:lang w:bidi="ar-SA"/>
        </w:rPr>
        <w:t>رؤية اللّه سبحانه</w:t>
      </w:r>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الرؤية فكرة يهودية مستوردة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الرؤية في العهد القديم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الرؤية في منطق العلم والعقل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المحاولة اليائسة في تجويز الرؤية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الرؤية بلا كيف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الأحكام باختلاف الظروف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المبالاة بإثبات الجهة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موقف الذكر الحكيم من أمر الرؤية إجمالاً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الرؤية في الذكر الحكيم تفصيلاً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الآية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قدرة الأبصار على إدراكه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الرؤية إحاطة علمية باللّه سبحانه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الآية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السؤال بنفي الرؤية مؤبّداً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الرؤية في كلمات 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شبهات القائلين بالرؤية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وتفسيره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رؤيته تعالى في الأحاديث النبوية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الفصل السادس</w:t>
      </w:r>
    </w:p>
    <w:p>
      <w:pPr>
        <w:pStyle w:val="BookText"/>
        <w:rPr/>
      </w:pPr>
      <w:r>
        <w:rPr>
          <w:rFonts w:ascii="Amiri" w:hAnsi="Amiri" w:eastAsia="Amiri" w:cs="Amiri"/>
          <w:color w:val="111111"/>
          <w:sz w:val="28"/>
          <w:sz w:val="28"/>
          <w:szCs w:val="28"/>
          <w:rtl w:val="true"/>
          <w:lang w:bidi="ar-SA"/>
        </w:rPr>
        <w:t>عصمة الأنبياء في القرآن الكريم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العصمة في اللغة والاصطلاح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مبدأ ظهور فكرة العصمة بين المسلمين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تعريف العصمة وحقيقتها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الدرجة القصوى من التقوى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العصمة نتيجة العلم القطعي بعواقب المعاصي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الاستشعار بعظمة الرب وكماله وجماله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العصمة موهبة إلهية أو أمر اكتسابي؟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إفاضة العصمة بعد توفر أرضية صالحة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كلام للسيد الشريف المرتضى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العصمة وسلبالاختيار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مراحل العصمة وأدلّتها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المرحلة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العصمة في تبليغ الرسالة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عصمة الأنبياء عن المعصية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العقل وعصمة الأنبياء عن المعصية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سؤالوجواب</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القرآن وعصمة الأنبياء عن المعصية والاستدلال بآيات أربع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المرحلة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عصمة النبي عن الخطأ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منطق العقل في عصمة النبي عن الخطأ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منطق القرآن في عصمة النبي عن الخطأ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حجة المخالفين لعصمة 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الاستدلال بقوله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إذا استيأس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الاستدلال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 من قبلك من رسول ولا 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ما معنى أمنية الرسول أو 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ما معنى القاء الشيطان في أمنية الرسل؟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ما معنى نسخه سبحانه ما يلقيه الشيطان؟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ما معنى إحكامه سبحانه آياته؟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هي النتيجة من هذا الصراع؟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التفسير الباطل للآية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IRNazanin" w:hAnsi="IRNazanin" w:eastAsia="IRNazanin"/>
          <w:color w:val="111111"/>
          <w:sz w:val="28"/>
          <w:sz w:val="28"/>
          <w:szCs w:val="28"/>
          <w:rtl w:val="true"/>
          <w:lang w:bidi="fa-IR"/>
        </w:rPr>
        <w:t>الفصل السابع</w:t>
      </w:r>
    </w:p>
    <w:p>
      <w:pPr>
        <w:pStyle w:val="BookText"/>
        <w:rPr/>
      </w:pPr>
      <w:r>
        <w:rPr>
          <w:rFonts w:ascii="Amiri" w:hAnsi="Amiri" w:eastAsia="Amiri" w:cs="Amiri"/>
          <w:color w:val="111111"/>
          <w:sz w:val="28"/>
          <w:sz w:val="28"/>
          <w:szCs w:val="28"/>
          <w:rtl w:val="true"/>
          <w:lang w:bidi="ar-SA"/>
        </w:rPr>
        <w:t>المتكلّم والصفات الخبرية</w:t>
      </w:r>
    </w:p>
    <w:p>
      <w:pPr>
        <w:pStyle w:val="BookText"/>
        <w:rPr/>
      </w:pPr>
      <w:r>
        <w:rPr>
          <w:rFonts w:ascii="Amiri" w:hAnsi="Amiri" w:eastAsia="Amiri" w:cs="Amiri"/>
          <w:color w:val="111111"/>
          <w:sz w:val="28"/>
          <w:sz w:val="28"/>
          <w:szCs w:val="28"/>
          <w:rtl w:val="true"/>
          <w:lang w:bidi="ar-SA"/>
        </w:rPr>
        <w:t>التكلّم من صفاته سبحانه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معنى كونه متكلّماً في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نظرية المعتزلة في تكلّمه سبحانه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نظرية الحكماء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نظرية الأشاعرة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تفسير الكلام النفسي للشيخ الأشعري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أدلة الأشاعرة على الكلام النفسي ونقده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في حدوث كلامه سبحانه أو قدمه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مبدأ فكرة قدم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واجب أهل الحديث السكوت أمام هذه المسائل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طرح المسألة في ظروف عصيبة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تحليل مسألة القول بقدم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موقف أهل البيت في هذه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الصفات الخبرية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الصفات الخبرية ومبتدعة السلفية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الصفات الخبرية ومعطِّلة السلفية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إثبات الأشعري بين التشبيه والتعقيد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الصفات الخبرية بين التعطيل والتأويل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الظاهر الإفرادي غير الظاهر الجُملي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نماذج من الصفات الخبرية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خلقتُ بيديّ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تفسير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الإلماع إلى سائر الصفات الخبرية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كلمة شيخ الأزهر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 البشري حول الصفات الخبرية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IRNazanin" w:hAnsi="IRNazanin" w:eastAsia="IRNazanin"/>
          <w:color w:val="111111"/>
          <w:sz w:val="28"/>
          <w:sz w:val="28"/>
          <w:szCs w:val="28"/>
          <w:rtl w:val="true"/>
          <w:lang w:bidi="fa-IR"/>
        </w:rPr>
        <w:t>اقتراح</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الفصل الثامن</w:t>
      </w:r>
    </w:p>
    <w:p>
      <w:pPr>
        <w:pStyle w:val="BookText"/>
        <w:rPr/>
      </w:pPr>
      <w:r>
        <w:rPr>
          <w:rFonts w:ascii="Amiri" w:hAnsi="Amiri" w:eastAsia="Amiri" w:cs="Amiri"/>
          <w:color w:val="111111"/>
          <w:sz w:val="28"/>
          <w:sz w:val="28"/>
          <w:szCs w:val="28"/>
          <w:rtl w:val="true"/>
          <w:lang w:bidi="ar-SA"/>
        </w:rPr>
        <w:t>البداء في الكتاب والسنّة</w:t>
      </w:r>
    </w:p>
    <w:p>
      <w:pPr>
        <w:pStyle w:val="BookText"/>
        <w:rPr/>
      </w:pPr>
      <w:r>
        <w:rPr>
          <w:rFonts w:ascii="Amiri" w:hAnsi="Amiri" w:eastAsia="Amiri" w:cs="Amiri"/>
          <w:color w:val="111111"/>
          <w:sz w:val="28"/>
          <w:sz w:val="28"/>
          <w:szCs w:val="28"/>
          <w:rtl w:val="true"/>
          <w:lang w:bidi="ar-SA"/>
        </w:rPr>
        <w:t>البداء في 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البداء في حديث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تغيير المصير بالأعمال الصالحة والطالحة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تغيير المصير بالأعمال في الروايات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سنّة اللّه الحكيمة في عباده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أثر الدعاء في تغيير المصير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أثر الصدقة في تغيير المصير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البداء في الكتاب العزيز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كلمات المفسّرين حول البداء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النزاع في البداء لفظي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نصوص علماء الإمامية في البداء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كلام الإمام شرف الدين في البداء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كلام المصلح الكبير كاشف الغطاء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فذلكة البحث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التفسير الخاطئ للبداء عند مشايخ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البلخي وتفسير البداء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أبوالحسن الأشعري وتفسير البداء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فخر الدين الرازي وتفسير البداء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أبو زهرة وهفوته في تفسير البداء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القاعدة العقلية لا تُخصَّص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وزان التقديرين، وزان الأجلين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أحد أعلام السنّة يُصحر بالحقيقة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الأثر التربوي للإيمان بالبداء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الحوادث التي بدا للّه تبارك وتعالى فيها وجاء ذكرها في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حادثة رفع العذاب عن قوم 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حادثة الإعراض عن ذبح إسماعيل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حادثة إكمال الميقات لموسى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حوادث بدا للّه تعالى فيها في الأحاديث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IRNazanin" w:hAnsi="IRNazanin" w:eastAsia="IRNazanin"/>
          <w:color w:val="111111"/>
          <w:sz w:val="28"/>
          <w:sz w:val="28"/>
          <w:szCs w:val="28"/>
          <w:rtl w:val="true"/>
          <w:lang w:bidi="fa-IR"/>
        </w:rPr>
        <w:t>شبهات وحلول</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استحالة إطلاق البداء على اللّه سبحانه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استلزام البداء في مقام الإثبات، الكذب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استلزام البداء التشكيك في مطلق ما أخبر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السنن الكونية لا تخضع للبداء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التنبّؤ بالنبوة والإمامة لا يخضع للبداء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البداء ومسألة جفّ القلم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IRNazanin" w:hAnsi="IRNazanin" w:eastAsia="IRNazanin"/>
          <w:color w:val="111111"/>
          <w:sz w:val="28"/>
          <w:sz w:val="28"/>
          <w:szCs w:val="28"/>
          <w:rtl w:val="true"/>
          <w:lang w:bidi="fa-IR"/>
        </w:rPr>
        <w:t>الفصل التاسع</w:t>
      </w:r>
    </w:p>
    <w:p>
      <w:pPr>
        <w:pStyle w:val="BookText"/>
        <w:rPr/>
      </w:pPr>
      <w:r>
        <w:rPr>
          <w:rFonts w:ascii="Amiri" w:hAnsi="Amiri" w:eastAsia="Amiri" w:cs="Amiri"/>
          <w:color w:val="111111"/>
          <w:sz w:val="28"/>
          <w:sz w:val="28"/>
          <w:szCs w:val="28"/>
          <w:rtl w:val="true"/>
          <w:lang w:bidi="ar-SA"/>
        </w:rPr>
        <w:t>نظام الحكم في الإسلام بعد رحلة الرسول</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الحكومة حاجة ملحّة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نظام الإمامة والخلافة في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ملامح الحكومة الإسلامية في الكتاب والسنّة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مسؤولية الحاكم في النصوص الشرعية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أنظمة الحكم في المجتمعات البشرية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التنصيص الإلهي على الحاكم باسمه وشخصه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المصالح العالية تقتضي التنصيص على الاسم، وفيه أمران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الأُمّة الإسلامية والخطر الثلاثي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النظام القبلي يمنع من الاتفاق على قائد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الفراغات الهائلة لا تُسدّ إلاّ بالتنصيص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دراسة الاحتمال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هو مرتكز الصحابة في صيغة الحكومة؟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الشورى أساس الحكم والخلافة؟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نقد كون الشورى مبدأ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الدينية وتنصيب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آية الولاية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المنزلة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دلالة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القرائن الست تبين مفاد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الغدير في الكتاب الكريم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آية البلاغ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آية إكمال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لماذا أعرض الصحابة عن مدلول حديث 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الأمر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النبوية والأئمّة الاثنا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p>
    <w:p>
      <w:pPr>
        <w:pStyle w:val="BookText"/>
        <w:rPr/>
      </w:pPr>
      <w:r>
        <w:rPr>
          <w:rFonts w:ascii="IRNazanin" w:hAnsi="IRNazanin" w:eastAsia="IRNazanin"/>
          <w:color w:val="111111"/>
          <w:sz w:val="28"/>
          <w:sz w:val="28"/>
          <w:szCs w:val="28"/>
          <w:rtl w:val="true"/>
          <w:lang w:bidi="fa-IR"/>
        </w:rPr>
        <w:t>الفصل العاشر</w:t>
      </w:r>
    </w:p>
    <w:p>
      <w:pPr>
        <w:pStyle w:val="BookText"/>
        <w:rPr/>
      </w:pPr>
      <w:r>
        <w:rPr>
          <w:rFonts w:ascii="Amiri" w:hAnsi="Amiri" w:eastAsia="Amiri" w:cs="Amiri"/>
          <w:color w:val="111111"/>
          <w:sz w:val="28"/>
          <w:sz w:val="28"/>
          <w:szCs w:val="28"/>
          <w:rtl w:val="true"/>
          <w:lang w:bidi="ar-SA"/>
        </w:rPr>
        <w:t>عدالة الصحابة بين العاطفة والبرهان</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اتجاهان حول الصحبة والصحابة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هو الصحابي؟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الصحبة وملاكات الاختلاف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الصحبة ونفي البعد الإعجازي 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الصحابة أبصر بحالهم من غيرهم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هي الغاية من نقد آراء الصحابة وأفعالهم؟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الصحابة الكرام فوق 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p>
    <w:p>
      <w:pPr>
        <w:pStyle w:val="BookText"/>
        <w:rPr/>
      </w:pPr>
      <w:r>
        <w:rPr>
          <w:rFonts w:ascii="Amiri" w:hAnsi="Amiri" w:eastAsia="Amiri" w:cs="Amiri"/>
          <w:color w:val="111111"/>
          <w:sz w:val="28"/>
          <w:sz w:val="28"/>
          <w:szCs w:val="28"/>
          <w:rtl w:val="true"/>
          <w:lang w:bidi="ar-SA"/>
        </w:rPr>
        <w:t>بعض الأكاذيب الشنيعة في حقّ 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p>
    <w:p>
      <w:pPr>
        <w:pStyle w:val="BookText"/>
        <w:rPr/>
      </w:pPr>
      <w:r>
        <w:rPr>
          <w:rFonts w:ascii="Amiri" w:hAnsi="Amiri" w:eastAsia="Amiri" w:cs="Amiri"/>
          <w:color w:val="111111"/>
          <w:sz w:val="28"/>
          <w:sz w:val="28"/>
          <w:szCs w:val="28"/>
          <w:rtl w:val="true"/>
          <w:lang w:bidi="ar-SA"/>
        </w:rPr>
        <w:t>أُكذوبة الغرانيق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p>
    <w:p>
      <w:pPr>
        <w:pStyle w:val="BookText"/>
        <w:rPr/>
      </w:pPr>
      <w:r>
        <w:rPr>
          <w:rFonts w:ascii="Amiri" w:hAnsi="Amiri" w:eastAsia="Amiri" w:cs="Amiri"/>
          <w:color w:val="111111"/>
          <w:sz w:val="28"/>
          <w:sz w:val="28"/>
          <w:szCs w:val="28"/>
          <w:rtl w:val="true"/>
          <w:lang w:bidi="ar-SA"/>
        </w:rPr>
        <w:t xml:space="preserve">اتّهام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بقتل زوج أوريا وتزوّجها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مظاهر الغلو في الصحابة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وسنّة الصحابة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العزوف عن نقد الصحابة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السنّة قاضية على القرآن دون العكس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بحجّية رواياتهم بلا استثناء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بعدالتهم جميعاً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عدالة الصحابة وخلافة الخلفاء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الاعتقاد بخلافة الخلفاء ليس من صميم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p>
    <w:p>
      <w:pPr>
        <w:pStyle w:val="BookText"/>
        <w:rPr/>
      </w:pPr>
      <w:r>
        <w:rPr>
          <w:rFonts w:ascii="Amiri" w:hAnsi="Amiri" w:eastAsia="Amiri" w:cs="Amiri"/>
          <w:color w:val="111111"/>
          <w:sz w:val="28"/>
          <w:sz w:val="28"/>
          <w:szCs w:val="28"/>
          <w:rtl w:val="true"/>
          <w:lang w:bidi="ar-SA"/>
        </w:rPr>
        <w:t>الاعتقاد بعدالة الصحابة ليس من صميم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القرآن الكريم وعدالة الصحابة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تنبّؤ القرآن بارتداد لفيف من الصحابة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ترك الرسول قائماً وهو يخطب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الخيانة بالنكاح 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خيانة بعض البدريين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فاسق يغرُّ النبي وأصحابه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تنازعهم في الغنائم إلى حد التخاصم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استحقاقهم مسَّ عذاب 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الفرار من الزحف</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نسبة الغرور إلى اللّه ورسوله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المنافقون المندسّون بين الصحابة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السنّة النبوية وعدالة الصحابة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زعيم الفئة الباغية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عصيان أمر النبي صلَّى اللّه عليه وآله وسلَّم بإحضار القلم الدواة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الانقلاب على الأعقاب بعد رحيل النبي صلَّى اللّه عليه وآله وسلَّم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w:t>
      </w:r>
    </w:p>
    <w:p>
      <w:pPr>
        <w:pStyle w:val="BookText"/>
        <w:rPr/>
      </w:pPr>
      <w:r>
        <w:rPr>
          <w:rFonts w:ascii="Amiri" w:hAnsi="Amiri" w:eastAsia="Amiri" w:cs="Amiri"/>
          <w:color w:val="111111"/>
          <w:sz w:val="28"/>
          <w:sz w:val="28"/>
          <w:szCs w:val="28"/>
          <w:rtl w:val="true"/>
          <w:lang w:bidi="ar-SA"/>
        </w:rPr>
        <w:t xml:space="preserve">موقف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لم تحسن صحبته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كلّهم مغفور له إلاّ صاحب الجمل الأحمر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انّي أبرأ إليك مما صنع خالد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تنبّؤه بمصير ذي الخويصرة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فيك يا أبا هريرة شعبة من الكفر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امتناع الرسول من الصلاة على أحد أصحابه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تنبّؤ النبي صلَّى اللّه عليه وآله وسلَّم بالمصير الأسود لبعض أصحابه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صحابي يخلو بامرأة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صحابي يجلس بين رجلي امرأة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صحابي يُقتص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دعاء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محلم بن جثامة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عدالة الصحابة والتاريخ الصحيح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w:t>
      </w:r>
    </w:p>
    <w:p>
      <w:pPr>
        <w:pStyle w:val="BookText"/>
        <w:rPr/>
      </w:pPr>
      <w:r>
        <w:rPr>
          <w:rFonts w:ascii="Amiri" w:hAnsi="Amiri" w:eastAsia="Amiri" w:cs="Amiri"/>
          <w:color w:val="111111"/>
          <w:sz w:val="28"/>
          <w:sz w:val="28"/>
          <w:szCs w:val="28"/>
          <w:rtl w:val="true"/>
          <w:lang w:bidi="ar-SA"/>
        </w:rPr>
        <w:t>نماذج من حياة الصحابة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صحابي يقتل صحابياً ويزني بزوجته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سمرة بن جندب يبيع خمراً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قدامة بن مظعون بدريّ يشرب الخمر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جندل يُحد حدّ الخمر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محجن الثقفي يحدّ ثمان مرّات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مسلم بن عقبة يشن الغارة على أهل المدينة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بسر بن أرطأة يذبح ولدي عبيد اللّه بن العباس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المؤمنين وتزعّمها لجيش جرّار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568</w:t>
      </w:r>
    </w:p>
    <w:p>
      <w:pPr>
        <w:pStyle w:val="BookText"/>
        <w:rPr/>
      </w:pPr>
      <w:r>
        <w:rPr>
          <w:rFonts w:ascii="Amiri" w:hAnsi="Amiri" w:eastAsia="Amiri" w:cs="Amiri"/>
          <w:color w:val="111111"/>
          <w:sz w:val="28"/>
          <w:sz w:val="28"/>
          <w:szCs w:val="28"/>
          <w:rtl w:val="true"/>
          <w:lang w:bidi="ar-SA"/>
        </w:rPr>
        <w:t>ادّعاء العدالة لعامة الصحابة تنكر للطبيعة البشرية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أدلّة القائلين بعدالة الصحابة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عدالة الصحابة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كلام التفتازاني في حقّ الصحابة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ثناء القرآن على الصحابة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574</w:t>
      </w:r>
    </w:p>
    <w:p>
      <w:pPr>
        <w:pStyle w:val="BookText"/>
        <w:rPr/>
      </w:pPr>
      <w:r>
        <w:rPr>
          <w:rFonts w:ascii="Amiri" w:hAnsi="Amiri" w:eastAsia="Amiri" w:cs="Amiri"/>
          <w:color w:val="111111"/>
          <w:sz w:val="28"/>
          <w:sz w:val="28"/>
          <w:szCs w:val="28"/>
          <w:rtl w:val="true"/>
          <w:lang w:bidi="ar-SA"/>
        </w:rPr>
        <w:t>الآية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السابقون الأوّلون من المهاجرين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السابقون الأوّلون من الأنصار</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والّذين اتّبعوهم بإحسان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577</w:t>
      </w:r>
    </w:p>
    <w:p>
      <w:pPr>
        <w:pStyle w:val="BookText"/>
        <w:rPr/>
      </w:pP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578</w:t>
      </w:r>
    </w:p>
    <w:p>
      <w:pPr>
        <w:pStyle w:val="BookText"/>
        <w:rPr/>
      </w:pPr>
      <w:r>
        <w:rPr>
          <w:rFonts w:ascii="Amiri" w:hAnsi="Amiri" w:eastAsia="Amiri" w:cs="Amiri"/>
          <w:color w:val="111111"/>
          <w:sz w:val="28"/>
          <w:sz w:val="28"/>
          <w:szCs w:val="28"/>
          <w:rtl w:val="true"/>
          <w:lang w:bidi="ar-SA"/>
        </w:rPr>
        <w:t>الآية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581</w:t>
      </w:r>
    </w:p>
    <w:p>
      <w:pPr>
        <w:pStyle w:val="BookText"/>
        <w:rPr/>
      </w:pPr>
      <w:r>
        <w:rPr>
          <w:rFonts w:ascii="Amiri" w:hAnsi="Amiri" w:eastAsia="Amiri" w:cs="Amiri"/>
          <w:color w:val="111111"/>
          <w:sz w:val="28"/>
          <w:sz w:val="28"/>
          <w:szCs w:val="28"/>
          <w:rtl w:val="true"/>
          <w:lang w:bidi="ar-SA"/>
        </w:rPr>
        <w:t>الآية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582</w:t>
      </w:r>
    </w:p>
    <w:p>
      <w:pPr>
        <w:pStyle w:val="BookText"/>
        <w:rPr/>
      </w:pPr>
      <w:r>
        <w:rPr>
          <w:rFonts w:ascii="Amiri" w:hAnsi="Amiri" w:eastAsia="Amiri" w:cs="Amiri"/>
          <w:color w:val="111111"/>
          <w:sz w:val="28"/>
          <w:sz w:val="28"/>
          <w:szCs w:val="28"/>
          <w:rtl w:val="true"/>
          <w:lang w:bidi="ar-SA"/>
        </w:rPr>
        <w:t>إنّما الأعمال بالخواتيم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585</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ثناء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الصحابة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اطّلع على أهل بدر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أصحابي كالنجوم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خير القرون قرني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موعظة شافية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ضرورة دراسة أحوال الصحابة للتأكّد من صحّة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النقد لا يعد سبّاً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الثناء جمعي لا يتعلّق بآحادهم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الاعتقاد المسبق بعدالة الصحابة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إكبار الشيعة لصحابة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روّاد التشيع من الصحابة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دعاء 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للصحابة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خاتمة المطاف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مناظرة بين الحسن البصريّ وعالم زيدي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609</w:t>
      </w:r>
    </w:p>
    <w:p>
      <w:pPr>
        <w:pStyle w:val="BookText"/>
        <w:rPr/>
      </w:pPr>
      <w:r>
        <w:rPr>
          <w:rFonts w:ascii="Amiri" w:hAnsi="Amiri" w:eastAsia="Amiri" w:cs="Amiri"/>
          <w:color w:val="111111"/>
          <w:sz w:val="28"/>
          <w:sz w:val="28"/>
          <w:szCs w:val="28"/>
          <w:rtl w:val="true"/>
          <w:lang w:bidi="ar-SA"/>
        </w:rPr>
        <w:t>نظرية الحسن البصري في صحابة الرسول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609</w:t>
      </w:r>
    </w:p>
    <w:p>
      <w:pPr>
        <w:pStyle w:val="BookText"/>
        <w:rPr/>
      </w:pPr>
      <w:r>
        <w:rPr>
          <w:rFonts w:ascii="Amiri" w:hAnsi="Amiri" w:eastAsia="Amiri" w:cs="Amiri"/>
          <w:color w:val="111111"/>
          <w:sz w:val="28"/>
          <w:sz w:val="28"/>
          <w:szCs w:val="28"/>
          <w:rtl w:val="true"/>
          <w:lang w:bidi="ar-SA"/>
        </w:rPr>
        <w:t>نقد العالم الزيدي رأي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611</w:t>
      </w:r>
    </w:p>
    <w:p>
      <w:pPr>
        <w:pStyle w:val="BookText"/>
        <w:rPr/>
      </w:pPr>
      <w:r>
        <w:rPr>
          <w:rFonts w:ascii="Amiri" w:hAnsi="Amiri" w:eastAsia="Amiri" w:cs="Amiri"/>
          <w:color w:val="111111"/>
          <w:sz w:val="28"/>
          <w:sz w:val="28"/>
          <w:szCs w:val="28"/>
          <w:rtl w:val="true"/>
          <w:lang w:bidi="ar-SA"/>
        </w:rPr>
        <w:t xml:space="preserve">سيرة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الأعداء والأولياء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614</w:t>
      </w:r>
    </w:p>
    <w:p>
      <w:pPr>
        <w:pStyle w:val="BookText"/>
        <w:rPr/>
      </w:pPr>
      <w:r>
        <w:rPr>
          <w:rFonts w:ascii="Amiri" w:hAnsi="Amiri" w:eastAsia="Amiri" w:cs="Amiri"/>
          <w:color w:val="111111"/>
          <w:sz w:val="28"/>
          <w:sz w:val="28"/>
          <w:szCs w:val="28"/>
          <w:rtl w:val="true"/>
          <w:lang w:bidi="ar-SA"/>
        </w:rPr>
        <w:t>الصحابة كسائر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616</w:t>
      </w:r>
    </w:p>
    <w:p>
      <w:pPr>
        <w:pStyle w:val="BookText"/>
        <w:rPr/>
      </w:pPr>
      <w:r>
        <w:rPr>
          <w:rFonts w:ascii="Amiri" w:hAnsi="Amiri" w:eastAsia="Amiri" w:cs="Amiri"/>
          <w:color w:val="111111"/>
          <w:sz w:val="28"/>
          <w:sz w:val="28"/>
          <w:szCs w:val="28"/>
          <w:rtl w:val="true"/>
          <w:lang w:bidi="ar-SA"/>
        </w:rPr>
        <w:t>من أُنكر عليهم من الصحابة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618</w:t>
      </w:r>
    </w:p>
    <w:p>
      <w:pPr>
        <w:pStyle w:val="BookText"/>
        <w:rPr/>
      </w:pPr>
      <w:r>
        <w:rPr>
          <w:rFonts w:ascii="Amiri" w:hAnsi="Amiri" w:eastAsia="Amiri" w:cs="Amiri"/>
          <w:color w:val="111111"/>
          <w:sz w:val="28"/>
          <w:sz w:val="28"/>
          <w:szCs w:val="28"/>
          <w:rtl w:val="true"/>
          <w:lang w:bidi="ar-SA"/>
        </w:rPr>
        <w:t>حديث أصحابي كالنجوم وضعه الأمويون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619</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 محتويات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5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5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استنبول ؛ التبصير في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منظومة السبزواري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النجاة لابن سينا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مصر ، وص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في شرح تجريد الاعتقاد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مع تعاليقنا</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وكشف الصدق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ابن القيم ، مدارج السالكين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ابن القيم ، مفتاح دار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للجويني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موقف المتكلّمين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التبصير في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اسطنبول</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العقائد النسفية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في شرح الفرائد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دار الفكر ؛ نقد المحصل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طهران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 الأثر في الجبر والقدر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وكشف الصدق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خرجت الوضعية فانّها لا تسعد بها الإنسان ، العيان يكفيك عن البيان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للسيوطي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قسم الرسائل برقم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لابن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بيروت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 المسمّى بالكشف والبيان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واللفظ للثاني</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وبهذا المضمون روايات أُخرى لاحظ 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صحيح مسلم للنووي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القدر</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القدر</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سورة التحريم ،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ومعنى هذه الجملة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انّي لم أقم بعمل اختياري ، ولأجل ذلك احتسب عنائي عند الله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181180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النبوية بين أهل الفقه وأهل الحديث للشيخ الغزالي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الملاكات كما تشير إليها الآيات التالية عبارة عن الإنابة ، والجهاد والاهتداء في أمر الهداية ومقابلاتها في أمر الضلالة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ترجمة ضافية له في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الزيدية في موكب التاريخ</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مؤلّف الإيمان بالقدر</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الإيمان بالقدر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الخطط المقريزية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للشهرستاني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استخدمنا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السبب البعيد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لأجل تقريب المطلب ، وإلاّ فالواقع فوق ذلك</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أجود التقريرات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المشيئة والإرادة ،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سيوافيك انّه من الأُصول المسلّمة عند الجميع سوى المعتزلة وإنّما الاختلاف بين الإمامية والأشاعرة في تفسير ذلك الأصل</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فهرست ابن النديم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الإبانة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الإسلاميين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إتحاف السادة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الإمامية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نقل عند العدلية ، لأنّ هذا التفسير يختصّ بهم وأمّا المعتزلة الذين يُعدّون من العدلية فقد أنكروا هذا الأصل ، لأجل صيانة عدله سبحانه زاعمين أنّ القول بهذا الأصل يضاد أصل العدل ، غافلين عن أنّ المضاد هو التفسير الأشعري ، لا الإمامي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فصّلنا الكلام في ذلك في محاضراتنا المنتشرة باسم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الإلهيات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نريد من التفسير الموضوعي هو جمع الآيات الواردة في أي موضوع من الموضوعات واستنطاق بعض الآيات ببعض والخروج بنتيجة واحدة ، هي حصيلة عامة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ألّفنا موسوعة قرآنية على هذا الغرار وأسميناها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مفاهيم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انتشرت في عشرة أجزاء</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في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المعتزلة ، أنكرت هذا الأصل من رأس ، لغاية حفظ عدله وتنزيهه من الظلم والعمل السيّئ ، وزعمت انّ وجود الإنسان مخلوق لله وفعله مخلوق لنفس الإنسان فقط ، فأخرجت أفعال العباد عن سلطان الله تبارك وتعالى ، ونعم ما قال الإمام الكاظم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مساكين القدرية أرادوا أن يصفوا الله بعدله ، فأخرجوه عن سلطانه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وسيوافيك في خاتمة المطاف ما يفيدك في المقام</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معرفة الإمام ،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ص </w:t>
      </w:r>
      <w:r>
        <w:rPr>
          <w:rFonts w:eastAsia="IRNazanin" w:cs="IRNazanin"/>
          <w:b w:val="false"/>
          <w:bCs w:val="false"/>
          <w:i w:val="false"/>
          <w:iCs w:val="false"/>
          <w:color w:val="333333"/>
          <w:sz w:val="20"/>
          <w:szCs w:val="20"/>
        </w:rPr>
        <w:t>111110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الأُصول الخمسة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الإسلاميين واختلاف المصلين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 الفصل الثالث من الإلهيات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صيدا</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في الاعتقاد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العقائد النسفية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يفوتنّك انّ هذه المراحل الثلاث لم تتكون حسب التسلسل الزمني بل تكوّنت عبر قرون لا تأبى أن تكون بعضها في عرض الآخر</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القضاء والقدر لعبد الكريم الخطيب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الأُصول الخمسة للقاضي عبد الجبار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حكايات الشيخ المفيد برواية الشريف المرتضى لاحظ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السنة الرابعة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9897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 في القاهرة مع شرح كمال الدين الشريف</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العقائد الطحاوية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نقلاً عن المسايرة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القضاء والقدر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كتاب الفلسفة والأخلاق ، للسان الدين ابن الخطيب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يخفى ما في كلامه من أنّ الكسب فعل يخلقه الله في العبد ، إذ على هذا لم يبق أي دور للعبد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المنظومة للسبزواري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قوله فيها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9998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اليواقيت والجواهر في بيان عقائد الأكابر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 استخدم لفظ الكسب ليكون واجهة لبيان مقصده بتعبير مقبول عند أهل السنّة وإلاّ فما ذكره لا صلة له بالكسب المصطلح ، إلاّ أن يريد الكسب القرآني ، أعني قوله سبحانه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لَها ما كَسَبَتْ وَعَلَيْها مَا اكْتَسَبَتْ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بتلخيص</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العرفان في علوم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والشعر جزء من قصيدة البوصيري في مدح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الكريم ، للشيخ شلتوت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ضحى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المواقف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طبعة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عن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أعلمكم بنفسه أعلمكم بربه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المرتضى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معرفة الإمام ،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القضاء والقدر للكاتب المصري عبد الكريم الخطيب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الإلهيات في أربعة أجزاء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الأوّل والثاني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مفاهيم القرآن في عشرة أجزاء ، الجزء الأوّل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 الجزء الأوّل والثالث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الشيعة الإمامية في تاريخهم وعقائدهم</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شرح المواقف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الملل والنحل للشهرستاني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الإسلاميين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الملل والنحل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الموقف الرابع ، الفصل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أيضاً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الإرادة من صفات الفعل</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التعليقة</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الإرادة ، نشر المكتبة الإسلامية ؛ وتوحيد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صفات الذات والأفعال ،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نشر جماعة المدرسين</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قسم التعليقة</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قسم التعليقة</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العدل والمعاد ، الحديث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التكوير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الإلهيات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نفي الجبر والتفويض ،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العدل والمعاد ، الحديث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الإرادة من صفات الفعل ،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الإرادة من صفات الفعل ،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 للمولى محمد صالح المازندراني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الإلهيات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ليست الإرادة التشريعية هي الإرادة المتعلّقة بالبعث ، إذ على هذا لا تبقى مقابلة بين الإرادتين حيث تتعلّقان بفعل الآمر</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الطبعة المحقّقة</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الكفاية ، للعلاّمة الطباطبائي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الطبري في التفسير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عباد بن يعقوب الأسدي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ابن فضيل عن ليث عن مجاهد في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عسى الخ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يجلسه معه على عرشه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مقدمة اختلاف الفقهاء للطبري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ابن خلدون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 قسم سورة 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بيروت</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لابن نعيم الاصفهاني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الدارمي في السنن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الإسلاميين رسالة الأشعري في عقيدة أهل الحديث ، الفقرة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رؤية الله تعالى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نشر معهد البحوث العلمية في مكة المكرمة</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الإلهيات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بقدم القرآن غير القول بقدم علمه سبحانه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يختلط عليك الأمر</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الإخلاص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مقاييس اللغة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نفس المادة</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110109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الخطبة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الخطبة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الخطبة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الخطبتين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جاء في الرؤية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والسائل كان من الخوارج</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والسائل أحد أحبار اليهود</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التجريد للقوشجي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الغاشية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الغاشية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الصراط جسر جهنم</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معرفة طريق الرؤية</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معرفة طريق الرؤية</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حول الرؤية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وهي رسالة قيّمة في تلك المسألة وقد مشينا على ضوئها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 الله مؤلفها رحمة واسعة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6908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الخطبة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عقيدة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الطالبين إلى نهج المسترشدين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طبعة عبده</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دون ذكر مصدره كما نقله في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المحقّقين</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عقائد الصدوق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المرتضى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مصر ، تحقيق محمد أبو الفضل إبراهيم</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قصة موسى في دفعه القبطي المعتدي على إسرائيلي في سورة القصص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ذلك يقول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 بِما أَنْعَمْتَ عَلَيَّ فَلَنْ أَكُونَ ظَهِيراً لِلْمُجْرِمِينَ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المرتضى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تحقيق محمد أبو الفضل إبراهيم</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المرتضى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التعابير الثلاثة في شرح حقيقة العصمة</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أخذ الوحي وحفظه وبلاغه</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الفاتحة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مفاهيم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23097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دار المعرفة ، بيروت</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المقاييس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الغاشية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الحكم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الهدى إلى دين 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ونقله السيوطي في الدر المنثور في تفسير الآية</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الهدى إلى دين 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تنزيه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الهدى إلى دين 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أُلّف في بيان سيرة النبي الأكرم من ولادته إلى وفاته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طبع في جزءين</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الأُصول للقاضي عبد الجبار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المواقف للسيد الشريف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عبده</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 المطبوع في ضمن دلائل الصدق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ابن النديم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الفن الثالث من المقالة الخامسة</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 باب القرآن ما هو ،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للصدوق ، باب القرآن ،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سير أعلام النبلاء للذهبي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بحوث في الملل والنحل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مفاهيم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المقدمة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علاقة الإثبات والتفويض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علاقة الإثبات والتفويض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علاقة الإثبات والتفويض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علاقة الإثبات والتفويض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علاقة الإثبات والتفويض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الكتاب مشحون بهذا النوع من الأقوال</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المرتضى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المناهج التفسيرية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تولّى مشيخة الأزهر مرّة بعد أُخرى ، توفّي عام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طبعة عبده</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الأنبياء ، باب حديث أبرص وأعمى وأقرع في بني إسرائيل</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8483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انّ الدعاء يردّ البلاء والقضاء ،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انّ الدعاء يرد البلاء ،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البيان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114112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البيان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114112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6564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ما نقله في المقام من المأثورات كلّها تحكي عن تغيير التقدير بالأعمال والأفعال</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التأويل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المراغي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عقائد الإمامية ، المطبوع في ذيل شرح الباب الحادي 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القول في البداء والمشيئة</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 مسألة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المسألة الرازيّة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نقل العلاّمة المجلسي خلاصة نظرية السيد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ومرآة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 ما ذكره السيد المرتضى</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كتاب الغيبة للشيخ الطوسي ،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طبعة النجف</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أجوبة مسائل جار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الدين والإسلام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169168</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تركنا ذكر كثير من النصوص في هذا المجال لخوف الاطالة</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دار الأندلس ، بيروت</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النجف عام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مقالات الإسلاميين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صحيح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للحاكم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وغيرها كثير</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المحصّل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ترى فيها نصّه</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البداء ،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111103</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القدر ، الحديث </w:t>
      </w:r>
      <w:r>
        <w:rPr>
          <w:rFonts w:eastAsia="IRNazanin" w:cs="IRNazanin"/>
          <w:b w:val="false"/>
          <w:bCs w:val="false"/>
          <w:i w:val="false"/>
          <w:iCs w:val="false"/>
          <w:color w:val="333333"/>
          <w:sz w:val="20"/>
          <w:szCs w:val="20"/>
        </w:rPr>
        <w:t>6596</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6607</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شبهات وردود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لاحظ 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التكوين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المحكم والمتشابه ، للسيد المرتضى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الخطبة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معالم الحكومة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الأموال للحافظ أبي عبيد سلاّم بن القاسم المتوفى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طبعة عبده</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الأموال ،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مصر</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التقليس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استقبال الولاة عند قدومهم بضرب الدّف والغناء وأصناف اللهو ، راجع المنجد في اللغة</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فتوح البلدان ،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الرسالة رقم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مفاهيم القرآن ، الجزء الثاني تجد فيه بغيتك</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جماعة ببطء</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يدفعوننا من أصلنا</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الخطبة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سورة 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6157</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يكفي في ذلك ملاحظة غزوة الحديبية ، وكيف تغلّب بقيادته الحكيمة على الاختلاف الناجم ، من عقد الصلح مع المشركين وما نجم في غزوة بني المصطلق من تمزيق وحدة الكلمة ، أو ما ورد في حجّة الوداع ، حيث أمر من لم يَسُق هدياً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بالإحلال ، ونجم الخلاف من بعض أصحابه ، فحسمه بفصله القاطع</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حياة محمد ، لمحمّد حسين هيكل ، الطبعة الثالثة عشرة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5049</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النجاة ،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ابن سعد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رجم الحبلى من الزنا إذا أحصنت</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الطبري في تفسيره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والجصاص في أحكام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والسيوطي في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وأنشأ حسّان بن ثابت في ذلك أبياته المعروفة ، وهي </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دار الكتاب العربي ، بيروت</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الإشكال للرازي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نقله من أصحاب الصحاح ، البخاري في غزوة تبوك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ومسلم في فضائل علي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ماجة في فضائل أصحاب النبي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والإمام أحمد في غير مورد من مسنده ، لاحظ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وغيرهم من الأثبات الحفاظ</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3229</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جاءت مصادر الخطبة في ثنايا الكتاب ، بما لا يسعنا ذكرها في المقام</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ولكنّه رمى الحديث بعدم التواتر فلم يأخذ به في المقام حيث إنّ مسألة الإمامة ليست من الفروع عند الإماميّة</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نقولهم في كتاب الغدير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موزَّعين حسب قرونهم</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فضائل الصحابة</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سورة المائدة ، 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النزول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الحديث </w:t>
      </w:r>
      <w:r>
        <w:rPr>
          <w:rFonts w:eastAsia="IRNazanin" w:cs="IRNazanin"/>
          <w:b w:val="false"/>
          <w:bCs w:val="false"/>
          <w:i w:val="false"/>
          <w:iCs w:val="false"/>
          <w:color w:val="333333"/>
          <w:sz w:val="20"/>
          <w:szCs w:val="20"/>
        </w:rPr>
        <w:t>4145</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غير مورد لاحظ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كتابة العلم ،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النسخة المطبوعة سنة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والإمام أحمد في مسنده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الملل والنحل للشهرستاني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الشروط ؛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صلح الحديبية ؛ والطبقات الكبرى لابن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كتاب النص والاجتهاد للسيد الإمام شرف الدين</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استنبول ، عام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أبي طالب ، وابناه الحسن والحسين سيدا شباب أهل الجنّة ، وعلي بن الحسين السجاد ، ومحمّد بن علي الباقر ، وجعفر بن محمّد الصادق ، وموسى بن جعفر الكاظم ، وعلي بن موسى الرضا ، ومحمّد بن علي التقي ، وعلي بن محمّد النقي ، والحسن بن علي العسكري ، وحجّة العصر المهدي المنتظر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وسلامه عليهم أجمعين </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الحجّة ؛ كفاية الأثر ، لعلي بن محمد بن الحسن الخزاز القمي من علماء القرن الرابع ؛ إثبات الهداة للشيخ الحرّ العاملي ، وهو أجمع كتاب في هذا الموضوع</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طبع مصر</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الصحبة والصحابة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التفسير ، رقم الحديث </w:t>
      </w:r>
      <w:r>
        <w:rPr>
          <w:rFonts w:eastAsia="IRNazanin" w:cs="IRNazanin"/>
          <w:b w:val="false"/>
          <w:bCs w:val="false"/>
          <w:i w:val="false"/>
          <w:iCs w:val="false"/>
          <w:color w:val="333333"/>
          <w:sz w:val="20"/>
          <w:szCs w:val="20"/>
        </w:rPr>
        <w:t>4750</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يضرب</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ولاحظ تفسير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نفس الآية ،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وغيرهما</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سيّد المرسلين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سورة ص ؛ تفسير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وغيرهما</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الكلمات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للزمخشري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الدكتور محمد عجاج الخطيب ، أُستاذ الحديث وعلومه في كلية الشريعة بدمشق</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تدوين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دار الفكر</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الفحول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الإسلامي منابعه وأدواره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السنة لأحمد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الإبانة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دار النفائس ، ومقالات الإسلاميين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والردّ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1794</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لابن حنبل ، رقم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الحوض في ورود الناس عليه ، رقم الحديث </w:t>
      </w:r>
      <w:r>
        <w:rPr>
          <w:rFonts w:eastAsia="IRNazanin" w:cs="IRNazanin"/>
          <w:b w:val="false"/>
          <w:bCs w:val="false"/>
          <w:i w:val="false"/>
          <w:iCs w:val="false"/>
          <w:color w:val="333333"/>
          <w:sz w:val="20"/>
          <w:szCs w:val="20"/>
        </w:rPr>
        <w:t>7972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المتقدم قومه إلى الماء ، ويستوي فيه الواحد والجمع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فرط وقوم فرط</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الإسلاميين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إثم من كذب على النبيّ ، الحديث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قسم المقدمة ، برقم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 كتاب النفقات ، رقم الحديث </w:t>
      </w:r>
      <w:r>
        <w:rPr>
          <w:rFonts w:eastAsia="IRNazanin" w:cs="IRNazanin"/>
          <w:b w:val="false"/>
          <w:bCs w:val="false"/>
          <w:i w:val="false"/>
          <w:iCs w:val="false"/>
          <w:color w:val="333333"/>
          <w:sz w:val="20"/>
          <w:szCs w:val="20"/>
        </w:rPr>
        <w:t>5355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وعقيدة أهل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الرواة الثقات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العقيدة الطحاوية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الإبانة في أُصول الديانة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إبانة قول أهل الحقّ والسنّة</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العقيدة الطحاوية ، للشيخ عبد الغني الميداني الحنفي الدمشقي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الفرق بين الفرق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للبغدادي وغيره</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في الاعتقاد ،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في علم الكلام ،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للمسعودي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الحنابلة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الجمعة ، باب الساعة التي في يوم الجمعة ؛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الجمعة ، باب في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وَإِذا رَأَوْا تِجارَةً </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التفسير ، وغيرهما ، والآية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الآية ، إلى غير ذلك من المصادر</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كالسّماعين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خالطوا العمل الصالح بغيره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المسلمون غير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المؤلفة قلوبهم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6580</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6583</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3053</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3168</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ولاحظ أيضاً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ورقم </w:t>
      </w:r>
      <w:r>
        <w:rPr>
          <w:rFonts w:eastAsia="IRNazanin" w:cs="IRNazanin"/>
          <w:b w:val="false"/>
          <w:bCs w:val="false"/>
          <w:i w:val="false"/>
          <w:iCs w:val="false"/>
          <w:color w:val="333333"/>
          <w:sz w:val="20"/>
          <w:szCs w:val="20"/>
        </w:rPr>
        <w:t>7366</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7050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7051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6576</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6582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6585</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6582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6585</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6582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6585</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6586</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أحاديث الأنبياء ، برقم </w:t>
      </w:r>
      <w:r>
        <w:rPr>
          <w:rFonts w:eastAsia="IRNazanin" w:cs="IRNazanin"/>
          <w:b w:val="false"/>
          <w:bCs w:val="false"/>
          <w:i w:val="false"/>
          <w:iCs w:val="false"/>
          <w:color w:val="333333"/>
          <w:sz w:val="20"/>
          <w:szCs w:val="20"/>
        </w:rPr>
        <w:t>3447</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المغازي برقم </w:t>
      </w:r>
      <w:r>
        <w:rPr>
          <w:rFonts w:eastAsia="IRNazanin" w:cs="IRNazanin"/>
          <w:b w:val="false"/>
          <w:bCs w:val="false"/>
          <w:i w:val="false"/>
          <w:iCs w:val="false"/>
          <w:color w:val="333333"/>
          <w:sz w:val="20"/>
          <w:szCs w:val="20"/>
        </w:rPr>
        <w:t>4170</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الفضائل برقم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صحيح مسلم للنووي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صفات المنافقين وأحكامهم</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 كتاب المغازي ، باب بعث النبي خالد بن الوليد ، الحديث </w:t>
      </w:r>
      <w:r>
        <w:rPr>
          <w:rFonts w:eastAsia="IRNazanin" w:cs="IRNazanin"/>
          <w:b w:val="false"/>
          <w:bCs w:val="false"/>
          <w:i w:val="false"/>
          <w:iCs w:val="false"/>
          <w:color w:val="333333"/>
          <w:sz w:val="20"/>
          <w:szCs w:val="20"/>
        </w:rPr>
        <w:t>4339</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الأدب ، باب في من يُعيّر بالنسب أو غيره</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الجهاد ؛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4203</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هود</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إعلام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خالد برقم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مالك بن نويرة</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تحريم الخمر والميتة</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قدامة</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بن عبد الرزاق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17075</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مصنف عبد الرزاق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17077</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وسير اعلام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حياته وعصره لأبي زهرة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قبل التدوين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كتاب الأربعين لمحمد طاهر القمي الشيرازي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وربما يستشهد على دخول من البيانية على الضمير بقوله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تَزَيَّلُوا لَعَذَّبْنَا الَّذِينَ كَفَرُوا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والاستدلال مبني على عود الضمير في تزيلوا إلى المؤمنين ، والضمير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الذين كفروا ، ولكنّه غير صحيح ، بل الضميران جميعاً يرجعان إلى مجموع المؤمنين والكافرين من أهل مكة فتكون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تبعيضية لا بيانية</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القدر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القدر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والحديث الوارد في السنن غيره في صحيح البخاري</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3983</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الفقهية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الجامع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مسند عبد بن حُميْد</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3003</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الأحاديث الضعيفة والموضوعة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الأحاديث الضعيفة والموضوعة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الأحاديث الضعيفة والموضوعة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الأحاديث الضعيفة والموضوعة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وحديث البرد أخرجه الطحاوي في مشكل الآثار ، لاحظ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حديث غريب يضاد القرآن والسنة وإجماع المسلمين</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3650</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فضل الصحابة ثمّ الذين يلونهم</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والرسالة مبسوطة جديرة بالمطالعة</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السنية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اتحاف السادة المتقين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السنية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بين الفرق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بيان الأُصول التي اجتمع عليها أهل السنّة</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في صحيحه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السير والصلة والآداب ، باب من لعنه النبي أو سبّه أو دعا عليه</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المطالب العالية ، باب قتال أهل البغي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السنية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 باب من روى عن النبي من الصحابة ،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محمد عبده ؛ 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محمد عبده ؛ 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الرابع</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سائر</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الرفيعة للسيد علي المدني ، صاحب سلافة العصر في أعيان أهل العصر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عام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image" Target="media/image2.jpeg"/><Relationship Id="rId652" Type="http://schemas.openxmlformats.org/officeDocument/2006/relationships/image" Target="media/image2.jpeg"/><Relationship Id="rId653" Type="http://schemas.openxmlformats.org/officeDocument/2006/relationships/footer" Target="footer646.xml"/><Relationship Id="rId654" Type="http://schemas.openxmlformats.org/officeDocument/2006/relationships/footnotes" Target="footnotes.xml"/><Relationship Id="rId655" Type="http://schemas.openxmlformats.org/officeDocument/2006/relationships/numbering" Target="numbering.xml"/><Relationship Id="rId656" Type="http://schemas.openxmlformats.org/officeDocument/2006/relationships/fontTable" Target="fontTable.xml"/><Relationship Id="rId657" Type="http://schemas.openxmlformats.org/officeDocument/2006/relationships/settings" Target="settings.xml"/><Relationship Id="rId65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661</Pages>
  <Words>58354</Words>
  <Characters>235379</Characters>
  <CharactersWithSpaces>291606</CharactersWithSpaces>
  <Paragraphs>2365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2026-08-21T00:29:44Z</dcterms:created>
  <dc:creator>ghaemiyeh.com</dc:creator>
  <dc:description/>
  <dc:language>en-US</dc:language>
  <cp:lastModifiedBy/>
  <dcterms:modified xsi:type="dcterms:W3CDTF">2026-08-21T04:00:03Z</dcterms:modified>
  <cp:revision>1</cp:revision>
  <dc:subject/>
  <dc:title>الانصاف فی مسائل دام فیها الخلاف جلد 3</dc:title>
</cp:coreProperties>
</file>

<file path=docProps/custom.xml><?xml version="1.0" encoding="utf-8"?>
<Properties xmlns="http://schemas.openxmlformats.org/officeDocument/2006/custom-properties" xmlns:vt="http://schemas.openxmlformats.org/officeDocument/2006/docPropsVTypes"/>
</file>