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اجزاء الاغسال عن الوضوء طبقا لنظریات المرجع الدینی سماحه آیه العظمی الشیخ یوسف الصانعی دام ظله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59356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9959358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959360_2870459653">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9959362_2870459653">
            <w:r>
              <w:rPr>
                <w:webHidden/>
                <w:rStyle w:val="IndexLink"/>
                <w:rtl w:val="true"/>
              </w:rPr>
              <w:t>المقدّمة</w:t>
            </w:r>
            <w:r>
              <w:rPr>
                <w:rStyle w:val="IndexLink"/>
                <w:rtl w:val="true"/>
              </w:rPr>
              <w:t>:</w:t>
              <w:tab/>
            </w:r>
            <w:r>
              <w:rPr>
                <w:rStyle w:val="IndexLink"/>
              </w:rPr>
              <w:t>11</w:t>
            </w:r>
          </w:hyperlink>
        </w:p>
        <w:p>
          <w:pPr>
            <w:pStyle w:val="Contents2"/>
            <w:tabs>
              <w:tab w:val="clear" w:pos="8743"/>
              <w:tab w:val="right" w:pos="9026" w:leader="dot"/>
            </w:tabs>
            <w:rPr/>
          </w:pPr>
          <w:hyperlink w:anchor="__RefHeading___Toc9959364_2870459653">
            <w:r>
              <w:rPr>
                <w:webHidden/>
                <w:rStyle w:val="IndexLink"/>
                <w:rtl w:val="true"/>
              </w:rPr>
              <w:t>تقرير موضع البحث</w:t>
            </w:r>
            <w:r>
              <w:rPr>
                <w:rStyle w:val="IndexLink"/>
                <w:rtl w:val="true"/>
              </w:rPr>
              <w:tab/>
            </w:r>
            <w:r>
              <w:rPr>
                <w:rStyle w:val="IndexLink"/>
              </w:rPr>
              <w:t>16</w:t>
            </w:r>
          </w:hyperlink>
        </w:p>
        <w:p>
          <w:pPr>
            <w:pStyle w:val="Contents2"/>
            <w:tabs>
              <w:tab w:val="clear" w:pos="8743"/>
              <w:tab w:val="right" w:pos="9026" w:leader="dot"/>
            </w:tabs>
            <w:rPr/>
          </w:pPr>
          <w:hyperlink w:anchor="__RefHeading___Toc9959366_2870459653">
            <w:r>
              <w:rPr>
                <w:webHidden/>
                <w:rStyle w:val="IndexLink"/>
                <w:rtl w:val="true"/>
              </w:rPr>
              <w:t>أدلّة إجزاء غُسل الجنابة عن الوضوء</w:t>
            </w:r>
            <w:r>
              <w:rPr>
                <w:rStyle w:val="IndexLink"/>
                <w:rtl w:val="true"/>
              </w:rPr>
              <w:tab/>
            </w:r>
            <w:r>
              <w:rPr>
                <w:rStyle w:val="IndexLink"/>
              </w:rPr>
              <w:t>18</w:t>
            </w:r>
          </w:hyperlink>
        </w:p>
        <w:p>
          <w:pPr>
            <w:pStyle w:val="Contents3"/>
            <w:tabs>
              <w:tab w:val="clear" w:pos="8459"/>
              <w:tab w:val="right" w:pos="9026" w:leader="dot"/>
            </w:tabs>
            <w:rPr/>
          </w:pPr>
          <w:hyperlink w:anchor="__RefHeading___Toc9959368_2870459653">
            <w:r>
              <w:rPr>
                <w:webHidden/>
                <w:rStyle w:val="IndexLink"/>
              </w:rPr>
              <w:t>1</w:t>
            </w:r>
            <w:r>
              <w:rPr>
                <w:rStyle w:val="IndexLink"/>
                <w:rtl w:val="true"/>
              </w:rPr>
              <w:t xml:space="preserve"> - </w:t>
            </w:r>
            <w:r>
              <w:rPr>
                <w:rStyle w:val="IndexLink"/>
                <w:rtl w:val="true"/>
              </w:rPr>
              <w:t>إجماع الفقهاء</w:t>
            </w:r>
            <w:r>
              <w:rPr>
                <w:rStyle w:val="IndexLink"/>
                <w:rtl w:val="true"/>
              </w:rPr>
              <w:tab/>
            </w:r>
            <w:r>
              <w:rPr>
                <w:rStyle w:val="IndexLink"/>
              </w:rPr>
              <w:t>18</w:t>
            </w:r>
          </w:hyperlink>
        </w:p>
        <w:p>
          <w:pPr>
            <w:pStyle w:val="Contents3"/>
            <w:tabs>
              <w:tab w:val="clear" w:pos="8459"/>
              <w:tab w:val="right" w:pos="9026" w:leader="dot"/>
            </w:tabs>
            <w:rPr/>
          </w:pPr>
          <w:hyperlink w:anchor="__RefHeading___Toc9959370_2870459653">
            <w:r>
              <w:rPr>
                <w:webHidden/>
                <w:rStyle w:val="IndexLink"/>
              </w:rPr>
              <w:t>2</w:t>
            </w:r>
            <w:r>
              <w:rPr>
                <w:rStyle w:val="IndexLink"/>
                <w:rtl w:val="true"/>
              </w:rPr>
              <w:t xml:space="preserve"> - </w:t>
            </w:r>
            <w:r>
              <w:rPr>
                <w:rStyle w:val="IndexLink"/>
                <w:rtl w:val="true"/>
              </w:rPr>
              <w:t>روايات المعصومين</w:t>
            </w:r>
            <w:r>
              <w:rPr>
                <w:rStyle w:val="IndexLink"/>
                <w:rtl w:val="true"/>
              </w:rPr>
              <w:t>:</w:t>
              <w:tab/>
            </w:r>
            <w:r>
              <w:rPr>
                <w:rStyle w:val="IndexLink"/>
              </w:rPr>
              <w:t>19</w:t>
            </w:r>
          </w:hyperlink>
        </w:p>
        <w:p>
          <w:pPr>
            <w:pStyle w:val="Contents2"/>
            <w:tabs>
              <w:tab w:val="clear" w:pos="8743"/>
              <w:tab w:val="right" w:pos="9026" w:leader="dot"/>
            </w:tabs>
            <w:rPr/>
          </w:pPr>
          <w:hyperlink w:anchor="__RefHeading___Toc9959372_2870459653">
            <w:r>
              <w:rPr>
                <w:webHidden/>
                <w:rStyle w:val="IndexLink"/>
                <w:rtl w:val="true"/>
              </w:rPr>
              <w:t>القسم الأوّل</w:t>
            </w:r>
            <w:r>
              <w:rPr>
                <w:rStyle w:val="IndexLink"/>
                <w:rtl w:val="true"/>
              </w:rPr>
              <w:t xml:space="preserve">: </w:t>
            </w:r>
            <w:r>
              <w:rPr>
                <w:rStyle w:val="IndexLink"/>
                <w:rtl w:val="true"/>
              </w:rPr>
              <w:t>آراء وأدلّة القائلين بعدم إجزاء سائر الأغسال عن الوضوء</w:t>
            </w:r>
            <w:r>
              <w:rPr>
                <w:rStyle w:val="IndexLink"/>
                <w:rtl w:val="true"/>
              </w:rPr>
              <w:tab/>
            </w:r>
            <w:r>
              <w:rPr>
                <w:rStyle w:val="IndexLink"/>
              </w:rPr>
              <w:t>22</w:t>
            </w:r>
          </w:hyperlink>
        </w:p>
        <w:p>
          <w:pPr>
            <w:pStyle w:val="Contents3"/>
            <w:tabs>
              <w:tab w:val="clear" w:pos="8459"/>
              <w:tab w:val="right" w:pos="9026" w:leader="dot"/>
            </w:tabs>
            <w:rPr/>
          </w:pPr>
          <w:hyperlink w:anchor="__RefHeading___Toc9959374_2870459653">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9959376_2870459653">
            <w:r>
              <w:rPr>
                <w:webHidden/>
                <w:rStyle w:val="IndexLink"/>
                <w:rtl w:val="true"/>
              </w:rPr>
              <w:t>الفصل الأوّل</w:t>
            </w:r>
            <w:r>
              <w:rPr>
                <w:rStyle w:val="IndexLink"/>
                <w:rtl w:val="true"/>
              </w:rPr>
              <w:t xml:space="preserve">: </w:t>
            </w:r>
            <w:r>
              <w:rPr>
                <w:rStyle w:val="IndexLink"/>
                <w:rtl w:val="true"/>
              </w:rPr>
              <w:t>آراء الفقهاء</w:t>
            </w:r>
            <w:r>
              <w:rPr>
                <w:rStyle w:val="IndexLink"/>
                <w:rtl w:val="true"/>
              </w:rPr>
              <w:tab/>
            </w:r>
            <w:r>
              <w:rPr>
                <w:rStyle w:val="IndexLink"/>
              </w:rPr>
              <w:t>24</w:t>
            </w:r>
          </w:hyperlink>
        </w:p>
        <w:p>
          <w:pPr>
            <w:pStyle w:val="Contents3"/>
            <w:tabs>
              <w:tab w:val="clear" w:pos="8459"/>
              <w:tab w:val="right" w:pos="9026" w:leader="dot"/>
            </w:tabs>
            <w:rPr/>
          </w:pPr>
          <w:hyperlink w:anchor="__RefHeading___Toc9959378_2870459653">
            <w:r>
              <w:rPr>
                <w:webHidden/>
                <w:rStyle w:val="IndexLink"/>
                <w:rtl w:val="true"/>
              </w:rPr>
              <w:t>الفصل الثاني</w:t>
            </w:r>
            <w:r>
              <w:rPr>
                <w:rStyle w:val="IndexLink"/>
                <w:rtl w:val="true"/>
              </w:rPr>
              <w:t xml:space="preserve">: </w:t>
            </w:r>
            <w:r>
              <w:rPr>
                <w:rStyle w:val="IndexLink"/>
                <w:rtl w:val="true"/>
              </w:rPr>
              <w:t>مناقشة أدلّة القائلين بعدم الإجزاء</w:t>
            </w:r>
            <w:r>
              <w:rPr>
                <w:rStyle w:val="IndexLink"/>
                <w:rtl w:val="true"/>
              </w:rPr>
              <w:tab/>
            </w:r>
            <w:r>
              <w:rPr>
                <w:rStyle w:val="IndexLink"/>
              </w:rPr>
              <w:t>27</w:t>
            </w:r>
          </w:hyperlink>
        </w:p>
        <w:p>
          <w:pPr>
            <w:pStyle w:val="Contents4"/>
            <w:tabs>
              <w:tab w:val="clear" w:pos="8176"/>
              <w:tab w:val="right" w:pos="9026" w:leader="dot"/>
            </w:tabs>
            <w:rPr/>
          </w:pPr>
          <w:hyperlink w:anchor="__RefHeading___Toc9959380_2870459653">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9959382_2870459653">
            <w:r>
              <w:rPr>
                <w:webHidden/>
                <w:rStyle w:val="IndexLink"/>
                <w:rtl w:val="true"/>
              </w:rPr>
              <w:t>أ</w:t>
            </w:r>
            <w:r>
              <w:rPr>
                <w:rStyle w:val="IndexLink"/>
                <w:rtl w:val="true"/>
              </w:rPr>
              <w:t xml:space="preserve">) </w:t>
            </w:r>
            <w:r>
              <w:rPr>
                <w:rStyle w:val="IndexLink"/>
                <w:rtl w:val="true"/>
              </w:rPr>
              <w:t>الآية وكيفيّ</w:t>
            </w:r>
            <w:r>
              <w:rPr>
                <w:rStyle w:val="IndexLink"/>
                <w:rtl w:val="true"/>
              </w:rPr>
              <w:t>-</w:t>
            </w:r>
            <w:r>
              <w:rPr>
                <w:rStyle w:val="IndexLink"/>
                <w:rtl w:val="true"/>
              </w:rPr>
              <w:t>ة الاستدلال بها</w:t>
            </w:r>
            <w:r>
              <w:rPr>
                <w:rStyle w:val="IndexLink"/>
                <w:rtl w:val="true"/>
              </w:rPr>
              <w:tab/>
            </w:r>
            <w:r>
              <w:rPr>
                <w:rStyle w:val="IndexLink"/>
              </w:rPr>
              <w:t>27</w:t>
            </w:r>
          </w:hyperlink>
        </w:p>
        <w:p>
          <w:pPr>
            <w:pStyle w:val="Contents5"/>
            <w:tabs>
              <w:tab w:val="clear" w:pos="7892"/>
              <w:tab w:val="right" w:pos="9026" w:leader="dot"/>
            </w:tabs>
            <w:rPr/>
          </w:pPr>
          <w:hyperlink w:anchor="__RefHeading___Toc9959384_2870459653">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9959386_2870459653">
            <w:r>
              <w:rPr>
                <w:webHidden/>
                <w:rStyle w:val="IndexLink"/>
                <w:rtl w:val="true"/>
              </w:rPr>
              <w:t>ردّ الاستدلال بالآية</w:t>
            </w:r>
            <w:r>
              <w:rPr>
                <w:rStyle w:val="IndexLink"/>
                <w:rtl w:val="true"/>
              </w:rPr>
              <w:tab/>
            </w:r>
            <w:r>
              <w:rPr>
                <w:rStyle w:val="IndexLink"/>
              </w:rPr>
              <w:t>28</w:t>
            </w:r>
          </w:hyperlink>
        </w:p>
        <w:p>
          <w:pPr>
            <w:pStyle w:val="Contents4"/>
            <w:tabs>
              <w:tab w:val="clear" w:pos="8176"/>
              <w:tab w:val="right" w:pos="9026" w:leader="dot"/>
            </w:tabs>
            <w:rPr/>
          </w:pPr>
          <w:hyperlink w:anchor="__RefHeading___Toc9959388_2870459653">
            <w:r>
              <w:rPr>
                <w:webHidden/>
                <w:rStyle w:val="IndexLink"/>
                <w:rtl w:val="true"/>
              </w:rPr>
              <w:t>ب</w:t>
            </w:r>
            <w:r>
              <w:rPr>
                <w:rStyle w:val="IndexLink"/>
                <w:rtl w:val="true"/>
              </w:rPr>
              <w:t xml:space="preserve">) </w:t>
            </w:r>
            <w:r>
              <w:rPr>
                <w:rStyle w:val="IndexLink"/>
                <w:rtl w:val="true"/>
              </w:rPr>
              <w:t>الروايات</w:t>
            </w:r>
            <w:r>
              <w:rPr>
                <w:rStyle w:val="IndexLink"/>
                <w:rtl w:val="true"/>
              </w:rPr>
              <w:tab/>
            </w:r>
            <w:r>
              <w:rPr>
                <w:rStyle w:val="IndexLink"/>
              </w:rPr>
              <w:t>32</w:t>
            </w:r>
          </w:hyperlink>
        </w:p>
        <w:p>
          <w:pPr>
            <w:pStyle w:val="Contents5"/>
            <w:tabs>
              <w:tab w:val="clear" w:pos="7892"/>
              <w:tab w:val="right" w:pos="9026" w:leader="dot"/>
            </w:tabs>
            <w:rPr/>
          </w:pPr>
          <w:hyperlink w:anchor="__RefHeading___Toc9959390_2870459653">
            <w:r>
              <w:rPr>
                <w:webHidden/>
                <w:rStyle w:val="IndexLink"/>
              </w:rPr>
              <w:t>1</w:t>
            </w:r>
            <w:r>
              <w:rPr>
                <w:rStyle w:val="IndexLink"/>
                <w:rtl w:val="true"/>
              </w:rPr>
              <w:t xml:space="preserve"> - </w:t>
            </w:r>
            <w:r>
              <w:rPr>
                <w:rStyle w:val="IndexLink"/>
                <w:rtl w:val="true"/>
              </w:rPr>
              <w:t>مُرسلة ابن أبي عمير</w:t>
            </w:r>
            <w:r>
              <w:rPr>
                <w:rStyle w:val="IndexLink"/>
                <w:rtl w:val="true"/>
              </w:rPr>
              <w:t>:</w:t>
              <w:tab/>
            </w:r>
            <w:r>
              <w:rPr>
                <w:rStyle w:val="IndexLink"/>
              </w:rPr>
              <w:t>32</w:t>
            </w:r>
          </w:hyperlink>
        </w:p>
        <w:p>
          <w:pPr>
            <w:pStyle w:val="Contents5"/>
            <w:tabs>
              <w:tab w:val="clear" w:pos="7892"/>
              <w:tab w:val="right" w:pos="9026" w:leader="dot"/>
            </w:tabs>
            <w:rPr/>
          </w:pPr>
          <w:hyperlink w:anchor="__RefHeading___Toc9959392_2870459653">
            <w:r>
              <w:rPr>
                <w:webHidden/>
                <w:rStyle w:val="IndexLink"/>
              </w:rPr>
              <w:t>2</w:t>
            </w:r>
            <w:r>
              <w:rPr>
                <w:rStyle w:val="IndexLink"/>
                <w:rtl w:val="true"/>
              </w:rPr>
              <w:t xml:space="preserve"> - </w:t>
            </w:r>
            <w:r>
              <w:rPr>
                <w:rStyle w:val="IndexLink"/>
                <w:rtl w:val="true"/>
              </w:rPr>
              <w:t>حسنة حمّاد بن عثمان</w:t>
            </w:r>
            <w:r>
              <w:rPr>
                <w:rStyle w:val="IndexLink"/>
                <w:rtl w:val="true"/>
              </w:rPr>
              <w:t>:</w:t>
              <w:tab/>
            </w:r>
            <w:r>
              <w:rPr>
                <w:rStyle w:val="IndexLink"/>
              </w:rPr>
              <w:t>34</w:t>
            </w:r>
          </w:hyperlink>
        </w:p>
        <w:p>
          <w:pPr>
            <w:pStyle w:val="Contents5"/>
            <w:tabs>
              <w:tab w:val="clear" w:pos="7892"/>
              <w:tab w:val="right" w:pos="9026" w:leader="dot"/>
            </w:tabs>
            <w:rPr/>
          </w:pPr>
          <w:hyperlink w:anchor="__RefHeading___Toc9959394_2870459653">
            <w:r>
              <w:rPr>
                <w:webHidden/>
                <w:rStyle w:val="IndexLink"/>
              </w:rPr>
              <w:t>3</w:t>
            </w:r>
            <w:r>
              <w:rPr>
                <w:rStyle w:val="IndexLink"/>
                <w:rtl w:val="true"/>
              </w:rPr>
              <w:t xml:space="preserve"> - </w:t>
            </w:r>
            <w:r>
              <w:rPr>
                <w:rStyle w:val="IndexLink"/>
                <w:rtl w:val="true"/>
              </w:rPr>
              <w:t>رواية عليّ بن يقطين</w:t>
            </w:r>
            <w:r>
              <w:rPr>
                <w:rStyle w:val="IndexLink"/>
                <w:rtl w:val="true"/>
              </w:rPr>
              <w:t>:</w:t>
              <w:tab/>
            </w:r>
            <w:r>
              <w:rPr>
                <w:rStyle w:val="IndexLink"/>
              </w:rPr>
              <w:t>37</w:t>
            </w:r>
          </w:hyperlink>
        </w:p>
        <w:p>
          <w:pPr>
            <w:pStyle w:val="Contents4"/>
            <w:tabs>
              <w:tab w:val="clear" w:pos="8176"/>
              <w:tab w:val="right" w:pos="9026" w:leader="dot"/>
            </w:tabs>
            <w:rPr/>
          </w:pPr>
          <w:hyperlink w:anchor="__RefHeading___Toc9959396_2870459653">
            <w:r>
              <w:rPr>
                <w:webHidden/>
                <w:rStyle w:val="IndexLink"/>
                <w:rtl w:val="true"/>
              </w:rPr>
              <w:t>ج</w:t>
            </w:r>
            <w:r>
              <w:rPr>
                <w:rStyle w:val="IndexLink"/>
                <w:rtl w:val="true"/>
              </w:rPr>
              <w:t xml:space="preserve">) </w:t>
            </w:r>
            <w:r>
              <w:rPr>
                <w:rStyle w:val="IndexLink"/>
                <w:rtl w:val="true"/>
              </w:rPr>
              <w:t>عموم الأخبارالدالّة على وجوب الوضوء في كلّ حدث</w:t>
            </w:r>
            <w:r>
              <w:rPr>
                <w:rStyle w:val="IndexLink"/>
                <w:rtl w:val="true"/>
              </w:rPr>
              <w:tab/>
            </w:r>
            <w:r>
              <w:rPr>
                <w:rStyle w:val="IndexLink"/>
              </w:rPr>
              <w:t>41</w:t>
            </w:r>
          </w:hyperlink>
        </w:p>
        <w:p>
          <w:pPr>
            <w:pStyle w:val="Contents4"/>
            <w:tabs>
              <w:tab w:val="clear" w:pos="8176"/>
              <w:tab w:val="right" w:pos="9026" w:leader="dot"/>
            </w:tabs>
            <w:rPr/>
          </w:pPr>
          <w:hyperlink w:anchor="__RefHeading___Toc9959398_2870459653">
            <w:r>
              <w:rPr>
                <w:webHidden/>
                <w:rStyle w:val="IndexLink"/>
                <w:rtl w:val="true"/>
              </w:rPr>
              <w:t>د</w:t>
            </w:r>
            <w:r>
              <w:rPr>
                <w:rStyle w:val="IndexLink"/>
                <w:rtl w:val="true"/>
              </w:rPr>
              <w:t xml:space="preserve">) </w:t>
            </w:r>
            <w:r>
              <w:rPr>
                <w:rStyle w:val="IndexLink"/>
                <w:rtl w:val="true"/>
              </w:rPr>
              <w:t>أصل الاستصحاب</w:t>
            </w:r>
            <w:r>
              <w:rPr>
                <w:rStyle w:val="IndexLink"/>
                <w:rtl w:val="true"/>
              </w:rPr>
              <w:tab/>
            </w:r>
            <w:r>
              <w:rPr>
                <w:rStyle w:val="IndexLink"/>
              </w:rPr>
              <w:t>41</w:t>
            </w:r>
          </w:hyperlink>
        </w:p>
        <w:p>
          <w:pPr>
            <w:pStyle w:val="Contents4"/>
            <w:tabs>
              <w:tab w:val="clear" w:pos="8176"/>
              <w:tab w:val="right" w:pos="9026" w:leader="dot"/>
            </w:tabs>
            <w:rPr/>
          </w:pPr>
          <w:hyperlink w:anchor="__RefHeading___Toc9959400_2870459653">
            <w:r>
              <w:rPr>
                <w:webHidden/>
                <w:rStyle w:val="IndexLink"/>
                <w:rtl w:val="true"/>
              </w:rPr>
              <w:t>ه</w:t>
            </w:r>
            <w:r>
              <w:rPr>
                <w:rStyle w:val="IndexLink"/>
                <w:rtl w:val="true"/>
              </w:rPr>
              <w:t xml:space="preserve">) </w:t>
            </w:r>
            <w:r>
              <w:rPr>
                <w:rStyle w:val="IndexLink"/>
                <w:rtl w:val="true"/>
              </w:rPr>
              <w:t>الشهرة</w:t>
            </w:r>
            <w:r>
              <w:rPr>
                <w:rStyle w:val="IndexLink"/>
                <w:rtl w:val="true"/>
              </w:rPr>
              <w:tab/>
            </w:r>
            <w:r>
              <w:rPr>
                <w:rStyle w:val="IndexLink"/>
              </w:rPr>
              <w:t>43</w:t>
            </w:r>
          </w:hyperlink>
        </w:p>
        <w:p>
          <w:pPr>
            <w:pStyle w:val="Contents4"/>
            <w:tabs>
              <w:tab w:val="clear" w:pos="8176"/>
              <w:tab w:val="right" w:pos="9026" w:leader="dot"/>
            </w:tabs>
            <w:rPr/>
          </w:pPr>
          <w:hyperlink w:anchor="__RefHeading___Toc9959402_2870459653">
            <w:r>
              <w:rPr>
                <w:webHidden/>
                <w:rStyle w:val="IndexLink"/>
                <w:rtl w:val="true"/>
              </w:rPr>
              <w:t>و</w:t>
            </w:r>
            <w:r>
              <w:rPr>
                <w:rStyle w:val="IndexLink"/>
                <w:rtl w:val="true"/>
              </w:rPr>
              <w:t xml:space="preserve">) </w:t>
            </w:r>
            <w:r>
              <w:rPr>
                <w:rStyle w:val="IndexLink"/>
                <w:rtl w:val="true"/>
              </w:rPr>
              <w:t>الدليل العقلي</w:t>
            </w:r>
            <w:r>
              <w:rPr>
                <w:rStyle w:val="IndexLink"/>
                <w:rtl w:val="true"/>
              </w:rPr>
              <w:tab/>
            </w:r>
            <w:r>
              <w:rPr>
                <w:rStyle w:val="IndexLink"/>
              </w:rPr>
              <w:t>45</w:t>
            </w:r>
          </w:hyperlink>
        </w:p>
        <w:p>
          <w:pPr>
            <w:pStyle w:val="Contents2"/>
            <w:tabs>
              <w:tab w:val="clear" w:pos="8743"/>
              <w:tab w:val="right" w:pos="9026" w:leader="dot"/>
            </w:tabs>
            <w:rPr/>
          </w:pPr>
          <w:hyperlink w:anchor="__RefHeading___Toc9959404_2870459653">
            <w:r>
              <w:rPr>
                <w:webHidden/>
                <w:rStyle w:val="IndexLink"/>
                <w:rtl w:val="true"/>
              </w:rPr>
              <w:t>القسم الثاني</w:t>
            </w:r>
            <w:r>
              <w:rPr>
                <w:rStyle w:val="IndexLink"/>
                <w:rtl w:val="true"/>
              </w:rPr>
              <w:t xml:space="preserve">: </w:t>
            </w:r>
            <w:r>
              <w:rPr>
                <w:rStyle w:val="IndexLink"/>
                <w:rtl w:val="true"/>
              </w:rPr>
              <w:t>أدلّة القائلين بإجزاء الأغسال عن الوضوء</w:t>
            </w:r>
            <w:r>
              <w:rPr>
                <w:rStyle w:val="IndexLink"/>
                <w:rtl w:val="true"/>
              </w:rPr>
              <w:tab/>
            </w:r>
            <w:r>
              <w:rPr>
                <w:rStyle w:val="IndexLink"/>
              </w:rPr>
              <w:t>48</w:t>
            </w:r>
          </w:hyperlink>
        </w:p>
        <w:p>
          <w:pPr>
            <w:pStyle w:val="Contents3"/>
            <w:tabs>
              <w:tab w:val="clear" w:pos="8459"/>
              <w:tab w:val="right" w:pos="9026" w:leader="dot"/>
            </w:tabs>
            <w:rPr/>
          </w:pPr>
          <w:hyperlink w:anchor="__RefHeading___Toc9959406_2870459653">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9959408_2870459653">
            <w:r>
              <w:rPr>
                <w:webHidden/>
                <w:rStyle w:val="IndexLink"/>
                <w:rtl w:val="true"/>
              </w:rPr>
              <w:t>الفصل الأوّل</w:t>
            </w:r>
            <w:r>
              <w:rPr>
                <w:rStyle w:val="IndexLink"/>
                <w:rtl w:val="true"/>
              </w:rPr>
              <w:t xml:space="preserve">: </w:t>
            </w:r>
            <w:r>
              <w:rPr>
                <w:rStyle w:val="IndexLink"/>
                <w:rtl w:val="true"/>
              </w:rPr>
              <w:t>آراء الفقهاء</w:t>
            </w:r>
            <w:r>
              <w:rPr>
                <w:rStyle w:val="IndexLink"/>
                <w:rtl w:val="true"/>
              </w:rPr>
              <w:tab/>
            </w:r>
            <w:r>
              <w:rPr>
                <w:rStyle w:val="IndexLink"/>
              </w:rPr>
              <w:t>50</w:t>
            </w:r>
          </w:hyperlink>
        </w:p>
        <w:p>
          <w:pPr>
            <w:pStyle w:val="Contents3"/>
            <w:tabs>
              <w:tab w:val="clear" w:pos="8459"/>
              <w:tab w:val="right" w:pos="9026" w:leader="dot"/>
            </w:tabs>
            <w:rPr/>
          </w:pPr>
          <w:hyperlink w:anchor="__RefHeading___Toc9959410_2870459653">
            <w:r>
              <w:rPr>
                <w:webHidden/>
                <w:rStyle w:val="IndexLink"/>
                <w:rtl w:val="true"/>
              </w:rPr>
              <w:t>الفصل الثاني</w:t>
            </w:r>
            <w:r>
              <w:rPr>
                <w:rStyle w:val="IndexLink"/>
                <w:rtl w:val="true"/>
              </w:rPr>
              <w:t xml:space="preserve">: </w:t>
            </w:r>
            <w:r>
              <w:rPr>
                <w:rStyle w:val="IndexLink"/>
                <w:rtl w:val="true"/>
              </w:rPr>
              <w:t>أدلّة القائلين بالإجزاء</w:t>
            </w:r>
            <w:r>
              <w:rPr>
                <w:rStyle w:val="IndexLink"/>
                <w:rtl w:val="true"/>
              </w:rPr>
              <w:tab/>
            </w:r>
            <w:r>
              <w:rPr>
                <w:rStyle w:val="IndexLink"/>
              </w:rPr>
              <w:t>52</w:t>
            </w:r>
          </w:hyperlink>
        </w:p>
        <w:p>
          <w:pPr>
            <w:pStyle w:val="Contents4"/>
            <w:tabs>
              <w:tab w:val="clear" w:pos="8176"/>
              <w:tab w:val="right" w:pos="9026" w:leader="dot"/>
            </w:tabs>
            <w:rPr/>
          </w:pPr>
          <w:hyperlink w:anchor="__RefHeading___Toc9959412_2870459653">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9959414_2870459653">
            <w:r>
              <w:rPr>
                <w:webHidden/>
                <w:rStyle w:val="IndexLink"/>
                <w:rtl w:val="true"/>
              </w:rPr>
              <w:t>أ</w:t>
            </w:r>
            <w:r>
              <w:rPr>
                <w:rStyle w:val="IndexLink"/>
                <w:rtl w:val="true"/>
              </w:rPr>
              <w:t xml:space="preserve">) </w:t>
            </w:r>
            <w:r>
              <w:rPr>
                <w:rStyle w:val="IndexLink"/>
                <w:rtl w:val="true"/>
              </w:rPr>
              <w:t>الروايات</w:t>
            </w:r>
            <w:r>
              <w:rPr>
                <w:rStyle w:val="IndexLink"/>
                <w:rtl w:val="true"/>
              </w:rPr>
              <w:tab/>
            </w:r>
            <w:r>
              <w:rPr>
                <w:rStyle w:val="IndexLink"/>
              </w:rPr>
              <w:t>52</w:t>
            </w:r>
          </w:hyperlink>
        </w:p>
        <w:p>
          <w:pPr>
            <w:pStyle w:val="Contents5"/>
            <w:tabs>
              <w:tab w:val="clear" w:pos="7892"/>
              <w:tab w:val="right" w:pos="9026" w:leader="dot"/>
            </w:tabs>
            <w:rPr/>
          </w:pPr>
          <w:hyperlink w:anchor="__RefHeading___Toc9959416_2870459653">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9959418_2870459653">
            <w:r>
              <w:rPr>
                <w:webHidden/>
                <w:rStyle w:val="IndexLink"/>
              </w:rPr>
              <w:t>1</w:t>
            </w:r>
            <w:r>
              <w:rPr>
                <w:rStyle w:val="IndexLink"/>
                <w:rtl w:val="true"/>
              </w:rPr>
              <w:t xml:space="preserve"> - </w:t>
            </w:r>
            <w:r>
              <w:rPr>
                <w:rStyle w:val="IndexLink"/>
                <w:rtl w:val="true"/>
              </w:rPr>
              <w:t>الأخبار المنفردة</w:t>
            </w:r>
            <w:r>
              <w:rPr>
                <w:rStyle w:val="IndexLink"/>
                <w:rtl w:val="true"/>
              </w:rPr>
              <w:t>:</w:t>
              <w:tab/>
            </w:r>
            <w:r>
              <w:rPr>
                <w:rStyle w:val="IndexLink"/>
              </w:rPr>
              <w:t>53</w:t>
            </w:r>
          </w:hyperlink>
        </w:p>
        <w:p>
          <w:pPr>
            <w:pStyle w:val="Contents5"/>
            <w:tabs>
              <w:tab w:val="clear" w:pos="7892"/>
              <w:tab w:val="right" w:pos="9026" w:leader="dot"/>
            </w:tabs>
            <w:rPr/>
          </w:pPr>
          <w:hyperlink w:anchor="__RefHeading___Toc9959420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صحيحة محمّد بن مسلم</w:t>
            </w:r>
            <w:r>
              <w:rPr>
                <w:rStyle w:val="IndexLink"/>
                <w:rtl w:val="true"/>
              </w:rPr>
              <w:t>:</w:t>
              <w:tab/>
            </w:r>
            <w:r>
              <w:rPr>
                <w:rStyle w:val="IndexLink"/>
              </w:rPr>
              <w:t>53</w:t>
            </w:r>
          </w:hyperlink>
        </w:p>
        <w:p>
          <w:pPr>
            <w:pStyle w:val="Contents5"/>
            <w:tabs>
              <w:tab w:val="clear" w:pos="7892"/>
              <w:tab w:val="right" w:pos="9026" w:leader="dot"/>
            </w:tabs>
            <w:rPr/>
          </w:pPr>
          <w:hyperlink w:anchor="__RefHeading___Toc9959422_2870459653">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صحيحة حكم بن حكيم</w:t>
            </w:r>
            <w:r>
              <w:rPr>
                <w:rStyle w:val="IndexLink"/>
                <w:rtl w:val="true"/>
              </w:rPr>
              <w:t>:</w:t>
              <w:tab/>
            </w:r>
            <w:r>
              <w:rPr>
                <w:rStyle w:val="IndexLink"/>
              </w:rPr>
              <w:t>59</w:t>
            </w:r>
          </w:hyperlink>
        </w:p>
        <w:p>
          <w:pPr>
            <w:pStyle w:val="Contents5"/>
            <w:tabs>
              <w:tab w:val="clear" w:pos="7892"/>
              <w:tab w:val="right" w:pos="9026" w:leader="dot"/>
            </w:tabs>
            <w:rPr/>
          </w:pPr>
          <w:hyperlink w:anchor="__RefHeading___Toc9959424_2870459653">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مرسلة حمّاد بن عثمان</w:t>
            </w:r>
            <w:r>
              <w:rPr>
                <w:rStyle w:val="IndexLink"/>
                <w:rtl w:val="true"/>
              </w:rPr>
              <w:t>:</w:t>
              <w:tab/>
            </w:r>
            <w:r>
              <w:rPr>
                <w:rStyle w:val="IndexLink"/>
              </w:rPr>
              <w:t>60</w:t>
            </w:r>
          </w:hyperlink>
        </w:p>
        <w:p>
          <w:pPr>
            <w:pStyle w:val="Contents5"/>
            <w:tabs>
              <w:tab w:val="clear" w:pos="7892"/>
              <w:tab w:val="right" w:pos="9026" w:leader="dot"/>
            </w:tabs>
            <w:rPr/>
          </w:pPr>
          <w:hyperlink w:anchor="__RefHeading___Toc9959426_2870459653">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مكاتبة الهمداني</w:t>
            </w:r>
            <w:r>
              <w:rPr>
                <w:rStyle w:val="IndexLink"/>
                <w:rtl w:val="true"/>
              </w:rPr>
              <w:t>:</w:t>
              <w:tab/>
            </w:r>
            <w:r>
              <w:rPr>
                <w:rStyle w:val="IndexLink"/>
              </w:rPr>
              <w:t>61</w:t>
            </w:r>
          </w:hyperlink>
        </w:p>
        <w:p>
          <w:pPr>
            <w:pStyle w:val="Contents5"/>
            <w:tabs>
              <w:tab w:val="clear" w:pos="7892"/>
              <w:tab w:val="right" w:pos="9026" w:leader="dot"/>
            </w:tabs>
            <w:rPr/>
          </w:pPr>
          <w:hyperlink w:anchor="__RefHeading___Toc9959428_2870459653">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موثّقة عمّار الساباطي</w:t>
            </w:r>
            <w:r>
              <w:rPr>
                <w:rStyle w:val="IndexLink"/>
                <w:rtl w:val="true"/>
              </w:rPr>
              <w:t>:</w:t>
              <w:tab/>
            </w:r>
            <w:r>
              <w:rPr>
                <w:rStyle w:val="IndexLink"/>
              </w:rPr>
              <w:t>63</w:t>
            </w:r>
          </w:hyperlink>
        </w:p>
        <w:p>
          <w:pPr>
            <w:pStyle w:val="Contents5"/>
            <w:tabs>
              <w:tab w:val="clear" w:pos="7892"/>
              <w:tab w:val="right" w:pos="9026" w:leader="dot"/>
            </w:tabs>
            <w:rPr/>
          </w:pPr>
          <w:hyperlink w:anchor="__RefHeading___Toc9959430_2870459653">
            <w:r>
              <w:rPr>
                <w:webHidden/>
                <w:rStyle w:val="IndexLink"/>
              </w:rPr>
              <w:t>6</w:t>
            </w:r>
            <w:r>
              <w:rPr>
                <w:rStyle w:val="IndexLink"/>
                <w:rtl w:val="true"/>
              </w:rPr>
              <w:t xml:space="preserve"> - </w:t>
            </w:r>
            <w:r>
              <w:rPr>
                <w:rStyle w:val="IndexLink"/>
              </w:rPr>
              <w:t>1</w:t>
            </w:r>
            <w:r>
              <w:rPr>
                <w:rStyle w:val="IndexLink"/>
                <w:rtl w:val="true"/>
              </w:rPr>
              <w:t xml:space="preserve">) </w:t>
            </w:r>
            <w:r>
              <w:rPr>
                <w:rStyle w:val="IndexLink"/>
                <w:rtl w:val="true"/>
              </w:rPr>
              <w:t>مرسلة الكليني</w:t>
            </w:r>
            <w:r>
              <w:rPr>
                <w:rStyle w:val="IndexLink"/>
                <w:rtl w:val="true"/>
              </w:rPr>
              <w:t>:</w:t>
              <w:tab/>
            </w:r>
            <w:r>
              <w:rPr>
                <w:rStyle w:val="IndexLink"/>
              </w:rPr>
              <w:t>66</w:t>
            </w:r>
          </w:hyperlink>
        </w:p>
        <w:p>
          <w:pPr>
            <w:pStyle w:val="Contents5"/>
            <w:tabs>
              <w:tab w:val="clear" w:pos="7892"/>
              <w:tab w:val="right" w:pos="9026" w:leader="dot"/>
            </w:tabs>
            <w:rPr/>
          </w:pPr>
          <w:hyperlink w:anchor="__RefHeading___Toc9959432_2870459653">
            <w:r>
              <w:rPr>
                <w:webHidden/>
                <w:rStyle w:val="IndexLink"/>
              </w:rPr>
              <w:t>2</w:t>
            </w:r>
            <w:r>
              <w:rPr>
                <w:rStyle w:val="IndexLink"/>
                <w:rtl w:val="true"/>
              </w:rPr>
              <w:t xml:space="preserve"> - </w:t>
            </w:r>
            <w:r>
              <w:rPr>
                <w:rStyle w:val="IndexLink"/>
                <w:rtl w:val="true"/>
              </w:rPr>
              <w:t>الأخبار المنضمّة</w:t>
            </w:r>
            <w:r>
              <w:rPr>
                <w:rStyle w:val="IndexLink"/>
                <w:rtl w:val="true"/>
              </w:rPr>
              <w:t>:</w:t>
              <w:tab/>
            </w:r>
            <w:r>
              <w:rPr>
                <w:rStyle w:val="IndexLink"/>
              </w:rPr>
              <w:t>67</w:t>
            </w:r>
          </w:hyperlink>
        </w:p>
        <w:p>
          <w:pPr>
            <w:pStyle w:val="Contents5"/>
            <w:tabs>
              <w:tab w:val="clear" w:pos="7892"/>
              <w:tab w:val="right" w:pos="9026" w:leader="dot"/>
            </w:tabs>
            <w:rPr/>
          </w:pPr>
          <w:hyperlink w:anchor="__RefHeading___Toc9959434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الروايات الواردة في بحث الحيض والنفاس والاستحاضة</w:t>
            </w:r>
            <w:r>
              <w:rPr>
                <w:rStyle w:val="IndexLink"/>
                <w:rtl w:val="true"/>
              </w:rPr>
              <w:t>:</w:t>
              <w:tab/>
            </w:r>
            <w:r>
              <w:rPr>
                <w:rStyle w:val="IndexLink"/>
              </w:rPr>
              <w:t>67</w:t>
            </w:r>
          </w:hyperlink>
        </w:p>
        <w:p>
          <w:pPr>
            <w:pStyle w:val="Contents5"/>
            <w:tabs>
              <w:tab w:val="clear" w:pos="7892"/>
              <w:tab w:val="right" w:pos="9026" w:leader="dot"/>
            </w:tabs>
            <w:rPr/>
          </w:pPr>
          <w:hyperlink w:anchor="__RefHeading___Toc9959436_2870459653">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رواية أبي الصامت في باب غسل الزيارة</w:t>
            </w:r>
            <w:r>
              <w:rPr>
                <w:rStyle w:val="IndexLink"/>
                <w:rtl w:val="true"/>
              </w:rPr>
              <w:t>:</w:t>
              <w:tab/>
            </w:r>
            <w:r>
              <w:rPr>
                <w:rStyle w:val="IndexLink"/>
              </w:rPr>
              <w:t>72</w:t>
            </w:r>
          </w:hyperlink>
        </w:p>
        <w:p>
          <w:pPr>
            <w:pStyle w:val="Contents5"/>
            <w:tabs>
              <w:tab w:val="clear" w:pos="7892"/>
              <w:tab w:val="right" w:pos="9026" w:leader="dot"/>
            </w:tabs>
            <w:rPr/>
          </w:pPr>
          <w:hyperlink w:anchor="__RefHeading___Toc9959438_2870459653">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الروايات في باب صلاة الحاجة</w:t>
            </w:r>
            <w:r>
              <w:rPr>
                <w:rStyle w:val="IndexLink"/>
                <w:rtl w:val="true"/>
              </w:rPr>
              <w:t>:</w:t>
              <w:tab/>
            </w:r>
            <w:r>
              <w:rPr>
                <w:rStyle w:val="IndexLink"/>
              </w:rPr>
              <w:t>74</w:t>
            </w:r>
          </w:hyperlink>
        </w:p>
        <w:p>
          <w:pPr>
            <w:pStyle w:val="Contents4"/>
            <w:tabs>
              <w:tab w:val="clear" w:pos="8176"/>
              <w:tab w:val="right" w:pos="9026" w:leader="dot"/>
            </w:tabs>
            <w:rPr/>
          </w:pPr>
          <w:hyperlink w:anchor="__RefHeading___Toc9959440_2870459653">
            <w:r>
              <w:rPr>
                <w:webHidden/>
                <w:rStyle w:val="IndexLink"/>
                <w:rtl w:val="true"/>
              </w:rPr>
              <w:t>ب</w:t>
            </w:r>
            <w:r>
              <w:rPr>
                <w:rStyle w:val="IndexLink"/>
                <w:rtl w:val="true"/>
              </w:rPr>
              <w:t xml:space="preserve">) </w:t>
            </w:r>
            <w:r>
              <w:rPr>
                <w:rStyle w:val="IndexLink"/>
                <w:rtl w:val="true"/>
              </w:rPr>
              <w:t>رفع الحدث بالغسل</w:t>
            </w:r>
            <w:r>
              <w:rPr>
                <w:rStyle w:val="IndexLink"/>
                <w:rtl w:val="true"/>
              </w:rPr>
              <w:tab/>
            </w:r>
            <w:r>
              <w:rPr>
                <w:rStyle w:val="IndexLink"/>
              </w:rPr>
              <w:t>77</w:t>
            </w:r>
          </w:hyperlink>
        </w:p>
        <w:p>
          <w:pPr>
            <w:pStyle w:val="Contents2"/>
            <w:tabs>
              <w:tab w:val="clear" w:pos="8743"/>
              <w:tab w:val="right" w:pos="9026" w:leader="dot"/>
            </w:tabs>
            <w:rPr/>
          </w:pPr>
          <w:hyperlink w:anchor="__RefHeading___Toc9959442_2870459653">
            <w:r>
              <w:rPr>
                <w:webHidden/>
                <w:rStyle w:val="IndexLink"/>
                <w:rtl w:val="true"/>
              </w:rPr>
              <w:t>النتيجة</w:t>
            </w:r>
            <w:r>
              <w:rPr>
                <w:rStyle w:val="IndexLink"/>
                <w:rtl w:val="true"/>
              </w:rPr>
              <w:t>:</w:t>
              <w:tab/>
            </w:r>
            <w:r>
              <w:rPr>
                <w:rStyle w:val="IndexLink"/>
              </w:rPr>
              <w:t>79</w:t>
            </w:r>
          </w:hyperlink>
        </w:p>
        <w:p>
          <w:pPr>
            <w:pStyle w:val="Contents2"/>
            <w:tabs>
              <w:tab w:val="clear" w:pos="8743"/>
              <w:tab w:val="right" w:pos="9026" w:leader="dot"/>
            </w:tabs>
            <w:rPr/>
          </w:pPr>
          <w:hyperlink w:anchor="__RefHeading___Toc9959444_2870459653">
            <w:r>
              <w:rPr>
                <w:webHidden/>
                <w:rStyle w:val="IndexLink"/>
                <w:rtl w:val="true"/>
              </w:rPr>
              <w:t>مصادر الكتاب</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38_101016"/>
      <w:bookmarkStart w:id="1" w:name="pg9838_101016"/>
      <w:bookmarkEnd w:id="1"/>
    </w:p>
    <w:p>
      <w:pPr>
        <w:pStyle w:val="Heading2"/>
        <w:numPr>
          <w:ilvl w:val="1"/>
          <w:numId w:val="1"/>
        </w:numPr>
        <w:rPr/>
      </w:pPr>
      <w:bookmarkStart w:id="2" w:name="pg9838_101016"/>
      <w:bookmarkStart w:id="3" w:name="__RefHeading___Toc9959356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صانعی، یوسف،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Saanei, Yusuf</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اجزاءالاغسال عن‌الوضوء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لنظریات المرجع‌الدینی سماحه آیه‌العظمی‌الشیخ یوسف‌الصانعی 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موسسه فقه‌الثقلین الثقافیه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فقه‌الثقلین،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سلسله‌الفقه‌المعاصر؛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5280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Sufficiency of ghulus instead of wudu</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Ritual washing (Islam)</w:t>
      </w:r>
    </w:p>
    <w:p>
      <w:pPr>
        <w:pStyle w:val="BookText"/>
        <w:rPr/>
      </w:pPr>
      <w:r>
        <w:rPr>
          <w:rFonts w:ascii="IRNazanin" w:hAnsi="IRNazanin" w:eastAsia="IRNazanin"/>
          <w:color w:val="111111"/>
          <w:sz w:val="28"/>
          <w:sz w:val="28"/>
          <w:szCs w:val="28"/>
          <w:rtl w:val="true"/>
          <w:lang w:bidi="fa-IR"/>
        </w:rPr>
        <w:t>وضو</w:t>
      </w:r>
    </w:p>
    <w:p>
      <w:pPr>
        <w:pStyle w:val="BookText"/>
        <w:rPr/>
      </w:pPr>
      <w:r>
        <w:rPr>
          <w:rFonts w:eastAsia="Times New Roman" w:cs="Times New Roman" w:ascii="Times New Roman" w:hAnsi="Times New Roman"/>
          <w:color w:val="111111"/>
          <w:sz w:val="28"/>
          <w:szCs w:val="28"/>
          <w:lang w:val="en-US" w:bidi="en-US"/>
        </w:rPr>
        <w:t>Ablutions (Islamic law)</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و تحقیقات فقه الثقلین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BP185/6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5386138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59358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فقه‌الثقلین الثقافیه </w:t>
      </w:r>
    </w:p>
    <w:p>
      <w:pPr>
        <w:pStyle w:val="BookText"/>
        <w:rPr/>
      </w:pPr>
      <w:r>
        <w:rPr>
          <w:rFonts w:ascii="Amiri" w:hAnsi="Amiri" w:eastAsia="Amiri" w:cs="Amiri"/>
          <w:color w:val="111111"/>
          <w:sz w:val="28"/>
          <w:sz w:val="28"/>
          <w:szCs w:val="28"/>
          <w:rtl w:val="true"/>
          <w:lang w:bidi="ar-SA"/>
        </w:rPr>
        <w:t xml:space="preserve">سلسة الفقه المعاصر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أجزاء الأغسال عن الوضوء</w:t>
      </w:r>
    </w:p>
    <w:p>
      <w:pPr>
        <w:pStyle w:val="BookText"/>
        <w:rPr/>
      </w:pPr>
      <w:r>
        <w:rPr>
          <w:rFonts w:ascii="Amiri" w:hAnsi="Amiri" w:eastAsia="Amiri" w:cs="Amiri"/>
          <w:color w:val="111111"/>
          <w:sz w:val="28"/>
          <w:sz w:val="28"/>
          <w:szCs w:val="28"/>
          <w:rtl w:val="true"/>
          <w:lang w:bidi="ar-SA"/>
        </w:rPr>
        <w:t>طبقاً لنظريات المرجع الديني</w:t>
      </w:r>
    </w:p>
    <w:p>
      <w:pPr>
        <w:pStyle w:val="BookText"/>
        <w:rPr/>
      </w:pPr>
      <w:r>
        <w:rPr>
          <w:rFonts w:ascii="Amiri" w:hAnsi="Amiri" w:eastAsia="Amiri" w:cs="Amiri"/>
          <w:color w:val="111111"/>
          <w:sz w:val="28"/>
          <w:sz w:val="28"/>
          <w:szCs w:val="28"/>
          <w:rtl w:val="true"/>
          <w:lang w:bidi="ar-SA"/>
        </w:rPr>
        <w:t xml:space="preserve">سماحة آية الله العظمى الشيخ يوسف الصانعي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العالي</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Amiri" w:hAnsi="Amiri" w:eastAsia="Amiri" w:cs="Amiri"/>
          <w:color w:val="111111"/>
          <w:sz w:val="28"/>
          <w:sz w:val="28"/>
          <w:szCs w:val="28"/>
          <w:rtl w:val="true"/>
          <w:lang w:bidi="ar-SA"/>
        </w:rPr>
        <w:t>منشورات فقه الثقلين</w:t>
      </w:r>
    </w:p>
    <w:p>
      <w:pPr>
        <w:pStyle w:val="BookText"/>
        <w:rPr/>
      </w:pPr>
      <w:r>
        <w:rPr>
          <w:rFonts w:ascii="IRNazanin" w:hAnsi="IRNazanin" w:eastAsia="IRNazanin"/>
          <w:color w:val="111111"/>
          <w:sz w:val="28"/>
          <w:sz w:val="28"/>
          <w:szCs w:val="28"/>
          <w:rtl w:val="true"/>
          <w:lang w:bidi="fa-IR"/>
        </w:rPr>
        <w:t>إجزاء الأغسال عن الوضوء</w:t>
      </w:r>
    </w:p>
    <w:p>
      <w:pPr>
        <w:pStyle w:val="BookText"/>
        <w:rPr/>
      </w:pPr>
      <w:r>
        <w:rPr>
          <w:rFonts w:ascii="Amiri" w:hAnsi="Amiri" w:eastAsia="Amiri" w:cs="Amiri"/>
          <w:color w:val="111111"/>
          <w:sz w:val="28"/>
          <w:sz w:val="28"/>
          <w:szCs w:val="28"/>
          <w:rtl w:val="true"/>
          <w:lang w:bidi="ar-SA"/>
        </w:rPr>
        <w:t>طبقاً لنظريات المرجع الديني</w:t>
      </w:r>
    </w:p>
    <w:p>
      <w:pPr>
        <w:pStyle w:val="BookText"/>
        <w:rPr/>
      </w:pPr>
      <w:r>
        <w:rPr>
          <w:rFonts w:ascii="Amiri" w:hAnsi="Amiri" w:eastAsia="Amiri" w:cs="Amiri"/>
          <w:color w:val="111111"/>
          <w:sz w:val="28"/>
          <w:sz w:val="28"/>
          <w:szCs w:val="28"/>
          <w:rtl w:val="true"/>
          <w:lang w:bidi="ar-SA"/>
        </w:rPr>
        <w:t xml:space="preserve">سماحة آية الله العظمى الشيخ يوسف الصانعي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فقه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الثقلين الثقافية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 xml:space="preserve">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الفرع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الفرع الخامس، رقم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صندوق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37137</w:t>
      </w:r>
    </w:p>
    <w:p>
      <w:pPr>
        <w:pStyle w:val="BookText"/>
        <w:rPr/>
      </w:pPr>
      <w:r>
        <w:rPr>
          <w:rFonts w:ascii="Amiri" w:hAnsi="Amiri" w:eastAsia="Amiri" w:cs="Amiri"/>
          <w:color w:val="111111"/>
          <w:sz w:val="28"/>
          <w:sz w:val="28"/>
          <w:szCs w:val="28"/>
          <w:rtl w:val="true"/>
          <w:lang w:bidi="ar-SA"/>
        </w:rPr>
        <w:t>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37835101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الفاكس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02537835109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info@feqh.ir / www.feqh.ir</w:t>
      </w:r>
      <w:r>
        <w:rPr>
          <w:rFonts w:eastAsia="Times New Roman" w:cs="Times New Roman" w:ascii="Times New Roman" w:hAnsi="Times New Roman"/>
          <w:color w:val="111111"/>
          <w:sz w:val="28"/>
          <w:szCs w:val="28"/>
          <w:rtl w:val="true"/>
          <w:lang w:val="en-US" w:bidi="en-US"/>
        </w:rPr>
        <w:t xml:space="preserve"> </w:t>
      </w:r>
      <w:bookmarkStart w:id="7" w:name="pg9838_101020"/>
    </w:p>
    <w:p>
      <w:pPr>
        <w:pStyle w:val="Heading2"/>
        <w:numPr>
          <w:ilvl w:val="1"/>
          <w:numId w:val="1"/>
        </w:numPr>
        <w:rPr/>
      </w:pPr>
      <w:bookmarkStart w:id="8" w:name="__RefHeading___Toc9959360_2870459653"/>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تقرير موضع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أدلّة إجزاء غُسل الجنابة عن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إجماع الفقهاء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المعصومين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وأدلّة القائلين بعدم إجزاء سائر الأغسال عن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الفقهاء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أدلّة القائلين بعدم الإجزاء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وكيفيّ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الاستدلال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ردّ الاستدلال بالآية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مُرسلة ابن أبي عمير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حسنة حمّاد بن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عليّ بن يقطين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الأخبارالدالّة على وجوب الوضوء في كلّ 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القائلين بإجزاء الأغسال عن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الفقهاء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القائلين بالإجزاء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المنفردة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حكم بن حكيم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 بن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الهمداني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الساباطي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الكليني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المنضمّة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بحث الحيض والنفاس والاستحاضة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الصامت في باب غسل الزيارة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باب صلاة الحاجة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الحدث بالغسل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10" w:name="pg9838_101023"/>
    </w:p>
    <w:p>
      <w:pPr>
        <w:pStyle w:val="Heading2"/>
        <w:numPr>
          <w:ilvl w:val="1"/>
          <w:numId w:val="1"/>
        </w:numPr>
        <w:rPr/>
      </w:pPr>
      <w:bookmarkStart w:id="11" w:name="__RefHeading___Toc9959362_2870459653"/>
      <w:bookmarkStart w:id="12" w:name="_Toc4"/>
      <w:bookmarkEnd w:id="10"/>
      <w:bookmarkEnd w:id="11"/>
      <w:r>
        <w:rPr>
          <w:rtl w:val="true"/>
        </w:rPr>
        <w:t>المقدّمة</w:t>
      </w:r>
      <w:r>
        <w:rPr>
          <w:rtl w:val="true"/>
        </w:rPr>
        <w:t>:</w:t>
      </w:r>
      <w:bookmarkEnd w:id="12"/>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وَيُحِبُّ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إنّ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الأبواب الهامّة في الفقه، وقد شغل مساحة واسعة من الروايات المنقولة عن المعصومين علیهم السلام، الأمر الذي أدّى إلى اختلاف وتضارب كبير بين آراء الفقهاء، وفي الوقت نفسه فإنّ هذا يشير إلى أهميّ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هذا الباب واهتمام الإسلام بموضوع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الموارد التي يتقرّب بها العباد إلى </w:t>
      </w:r>
    </w:p>
    <w:p>
      <w:pPr>
        <w:pStyle w:val="BookText"/>
        <w:rPr/>
      </w:pPr>
      <w:r>
        <w:rPr>
          <w:rFonts w:ascii="Amiri" w:hAnsi="Amiri" w:eastAsia="Amiri" w:cs="Amiri"/>
          <w:color w:val="111111"/>
          <w:sz w:val="28"/>
          <w:sz w:val="28"/>
          <w:szCs w:val="28"/>
          <w:rtl w:val="true"/>
          <w:lang w:bidi="ar-SA"/>
        </w:rPr>
        <w:t>الله سبحانه وتعالى، وإنّ 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الأوامر الوجوبيّ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والاستحبابيّ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فيما يتعلّق برعاية النظافة والطهارة في حقّ الميّت، تؤكّد الاهتمام البالغ لشريعة الإسلام المقدّسة بالنظام والبُعد عن الأقذار الجسديّ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ممّا يشكل بدوره مقدّمة للتقرّب من الله والنقاء الروحي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أدّى تأكيد الفقهاء على بيان أمور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والغسل، إلى تخصيص مساحة كبيرة من كتب الفقهاء لمسائل وأبحاث متنوّعة فيما يتعلّق بهذه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واحد من الأحكام العباديّ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في الشريعة المقدّسة، وقد ورد ذكره في المصادر الفقهيّ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على نحو الوجوب أو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عدم اتّضاح جميع العلل التشريعيّ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لأحكام من قبيل الغسل 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الأحكام التأسيسيّ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والعباديّ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ورد في بعض الروايات الواردة في علل 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من ذلك إزالة الروائح الكريهة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كما أنّ الفرد من خلال التأمّل والتفکّر في أسباب تشريع الأغسال المندوبة،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الزيارة والإحرام، قد يصل إلى بعض حِكَمها،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رعاية حقوق الله، وحقّ جسد المكلّف عليه، وحقوق الآخرين من الذين يتعاملون معه؛ إذ أنّ الإنسان في مثل هذه الموارد يتعاطى في الغالب مع أبناء المجتمع، ويضطرّ إلى معاشرتهم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ينبغي أن يأخذ زينته عند الخروج إلى الوسط الاجتماعي فيكون طاهر الظاهر ونقيّ الباطن؛ فلا يؤذيهم برائحة كريهة</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ولا بدّ من الالتفات إلى أنّ هناك عللاً أخرى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للعقول أن تنالها بسبب عباديّتها، أو لعجز العقول عن إدراكها؛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أُوتِيتُمْ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إِلَّا قَلِيلًا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الآخر الذي يجب الالتفات إليه هو أنّ الإسلام دين يحترم الحياة الفرديّ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p>
    <w:p>
      <w:pPr>
        <w:pStyle w:val="BookText"/>
        <w:rPr/>
      </w:pPr>
      <w:r>
        <w:rPr>
          <w:rFonts w:ascii="Amiri" w:hAnsi="Amiri" w:eastAsia="Amiri" w:cs="Amiri"/>
          <w:color w:val="111111"/>
          <w:sz w:val="28"/>
          <w:sz w:val="28"/>
          <w:szCs w:val="28"/>
          <w:rtl w:val="true"/>
          <w:lang w:bidi="ar-SA"/>
        </w:rPr>
        <w:t>الكثير من الأحكام والقوانين الخاصّة والعامّة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هذه القوانين لا تنافي يُسر الدين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القوانين والأحكام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لا تعرّض الإنسان إلى المشقّة والحرج، وفي ذلك يقول الله سبحانه وتعالى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وَلَا يُرِيدُ بِكُمُ الْعُسْرَ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ومن هنا فقد أقام النبيّ الأكرم صلي الله عليه و آله بعثته على السهولة واليُسر في أداء التكاليف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وفي ذلك رويَ عنه صلي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بالحنيفيّ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السمحة</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الإسلام إذا أمر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يكون ذلك بالنظر إلى ظروف وشرائط خاصّة تمّت الإشارة إليها في الكتب الفقهيّ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وإذا أدّى شرط إلى وقوع المكلّف في المشقّة والعُسر، عمد الشارع المقدّس إلى تدارك مصلحة التكليف الابتدائي بتشريع أيسر؛ حتّى إذا فُقد الماء أو حال دون استعماله مرض، سقط وجوب أو استحباب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أو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وحلّ محلّهما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الأمر بالنسبة إلى أبواب الفقه الأخرى المذكورة في مظانّها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w:t>
      </w:r>
      <w:bookmarkStart w:id="13" w:name="pg9838_101028"/>
    </w:p>
    <w:p>
      <w:pPr>
        <w:pStyle w:val="Heading2"/>
        <w:numPr>
          <w:ilvl w:val="1"/>
          <w:numId w:val="1"/>
        </w:numPr>
        <w:rPr/>
      </w:pPr>
      <w:bookmarkStart w:id="14" w:name="__RefHeading___Toc9959364_2870459653"/>
      <w:bookmarkStart w:id="15" w:name="_Toc5"/>
      <w:bookmarkEnd w:id="13"/>
      <w:bookmarkEnd w:id="14"/>
      <w:r>
        <w:rPr>
          <w:rtl w:val="true"/>
        </w:rPr>
        <w:t>تقرير موضع البحث</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الأغسال التي تُجزي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الروايات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نُقل الإجماع على ذلك من قبل الكثير من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يعتبر من ضروريّات فقه الشيعة، بل فقه الإسلام، إذا لم نقل إنّه من ضروريّات ذات المذهب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الذي وقع مورداً للخلاف بين الفقهاء هو إجزاء سائر الأغسال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مشهور الفقهاء إلى القول بعدم إجزاء غير غُسل الجنابة عن الوضوء، وفي قبال هذا المشهور ذهب عددٌ من الفقهاء إلى القول بإجزاء جميع الأغسال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واجبها ومندوبها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فإنّنا نسعى في هذا المقال إلى مناقشة أدلّة الطرفين والإشكالات المطروحة عليهم، مع بيان التحقيق في هذه المسألة الفقهيّ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قبل الدخول في محلّ البحث يجدر بنا أن نشير على نحو الإجمال إلى أدلّة إجزاء غُسل الجنابة عن الوضوء، ثمّ ننتقل بعد ذلك إلى مناقشة أدلّة الطرفين في موضوع إجزاء أو عدم إجزاء سائر الأغسال عن الوضوء</w:t>
      </w:r>
      <w:r>
        <w:rPr>
          <w:rFonts w:eastAsia="Amiri" w:cs="Amiri" w:ascii="Amiri" w:hAnsi="Amiri"/>
          <w:color w:val="111111"/>
          <w:sz w:val="28"/>
          <w:szCs w:val="28"/>
          <w:rtl w:val="true"/>
          <w:lang w:bidi="ar-SA"/>
        </w:rPr>
        <w:t xml:space="preserve">. </w:t>
      </w:r>
      <w:bookmarkStart w:id="16" w:name="pg9838_101030"/>
    </w:p>
    <w:p>
      <w:pPr>
        <w:pStyle w:val="Heading2"/>
        <w:numPr>
          <w:ilvl w:val="1"/>
          <w:numId w:val="1"/>
        </w:numPr>
        <w:rPr/>
      </w:pPr>
      <w:bookmarkStart w:id="17" w:name="__RefHeading___Toc9959366_2870459653"/>
      <w:bookmarkStart w:id="18" w:name="_Toc6"/>
      <w:bookmarkEnd w:id="16"/>
      <w:bookmarkEnd w:id="17"/>
      <w:r>
        <w:rPr>
          <w:rtl w:val="true"/>
        </w:rPr>
        <w:t>أدلّة إجزاء غُسل الجنابة عن الوضوء</w:t>
      </w:r>
      <w:bookmarkEnd w:id="18"/>
    </w:p>
    <w:p>
      <w:pPr>
        <w:pStyle w:val="Heading3"/>
        <w:numPr>
          <w:ilvl w:val="2"/>
          <w:numId w:val="1"/>
        </w:numPr>
        <w:rPr/>
      </w:pPr>
      <w:bookmarkStart w:id="19" w:name="__RefHeading___Toc9959368_2870459653"/>
      <w:bookmarkStart w:id="20" w:name="_Toc7"/>
      <w:bookmarkEnd w:id="19"/>
      <w:r>
        <w:rPr/>
        <w:t>1</w:t>
      </w:r>
      <w:r>
        <w:rPr>
          <w:rtl w:val="true"/>
        </w:rPr>
        <w:t xml:space="preserve"> - </w:t>
      </w:r>
      <w:r>
        <w:rPr>
          <w:rtl w:val="true"/>
        </w:rPr>
        <w:t>إجماع الفقهاء</w:t>
      </w:r>
      <w:bookmarkEnd w:id="20"/>
    </w:p>
    <w:p>
      <w:pPr>
        <w:pStyle w:val="BookText"/>
        <w:rPr/>
      </w:pPr>
      <w:r>
        <w:rPr>
          <w:rFonts w:ascii="Amiri" w:hAnsi="Amiri" w:eastAsia="Amiri" w:cs="Amiri"/>
          <w:color w:val="111111"/>
          <w:sz w:val="28"/>
          <w:sz w:val="28"/>
          <w:szCs w:val="28"/>
          <w:rtl w:val="true"/>
          <w:lang w:bidi="ar-SA"/>
        </w:rPr>
        <w:t>لقد اعتبر الإجماع في كلمات الفقهاء بوصفه واحداً من الأدلّة على إجزاء غُسل الجنابة عن الوضوء، وفيما يلي نشير إلى نموذجين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في كتاب الخلاف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 الجنابة يجزي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 .</w:t>
      </w:r>
      <w:r>
        <w:rPr>
          <w:rStyle w:val="FootnoteAnchor"/>
          <w:rtl w:val="true"/>
        </w:rPr>
        <w:footnoteReference w:id="8"/>
      </w:r>
      <w:bookmarkStart w:id="21" w:name="pg9838_101031"/>
    </w:p>
    <w:p>
      <w:pPr>
        <w:pStyle w:val="BookText"/>
        <w:rPr/>
      </w:pPr>
      <w:bookmarkEnd w:id="21"/>
      <w:r>
        <w:rPr>
          <w:rFonts w:ascii="Amiri" w:hAnsi="Amiri" w:eastAsia="Amiri" w:cs="Amiri"/>
          <w:color w:val="111111"/>
          <w:sz w:val="28"/>
          <w:sz w:val="28"/>
          <w:szCs w:val="28"/>
          <w:rtl w:val="true"/>
          <w:lang w:bidi="ar-SA"/>
        </w:rPr>
        <w:t>وقال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الأغسال لابدّ معها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غُسل الجنابة، فإنّه لا وضوء معه عندنا وجوباً إجماعاً</w:t>
      </w:r>
      <w:r>
        <w:rPr>
          <w:rFonts w:eastAsia="Amiri" w:cs="Amiri" w:ascii="Amiri" w:hAnsi="Amiri"/>
          <w:color w:val="111111"/>
          <w:sz w:val="28"/>
          <w:szCs w:val="28"/>
          <w:rtl w:val="true"/>
          <w:lang w:bidi="ar-SA"/>
        </w:rPr>
        <w:t>.</w:t>
      </w:r>
      <w:r>
        <w:rPr>
          <w:rStyle w:val="FootnoteAnchor"/>
          <w:rtl w:val="true"/>
        </w:rPr>
        <w:footnoteReference w:id="9"/>
      </w:r>
    </w:p>
    <w:p>
      <w:pPr>
        <w:pStyle w:val="Heading3"/>
        <w:numPr>
          <w:ilvl w:val="2"/>
          <w:numId w:val="1"/>
        </w:numPr>
        <w:rPr/>
      </w:pPr>
      <w:bookmarkStart w:id="22" w:name="__RefHeading___Toc9959370_2870459653"/>
      <w:bookmarkStart w:id="23" w:name="_Toc8"/>
      <w:bookmarkEnd w:id="22"/>
      <w:r>
        <w:rPr/>
        <w:t>2</w:t>
      </w:r>
      <w:r>
        <w:rPr>
          <w:rtl w:val="true"/>
        </w:rPr>
        <w:t xml:space="preserve"> - </w:t>
      </w:r>
      <w:r>
        <w:rPr>
          <w:rtl w:val="true"/>
        </w:rPr>
        <w:t>روايات المعصومين</w:t>
      </w:r>
      <w:r>
        <w:rPr>
          <w:rtl w:val="true"/>
        </w:rPr>
        <w:t>:</w:t>
      </w:r>
      <w:bookmarkEnd w:id="23"/>
    </w:p>
    <w:p>
      <w:pPr>
        <w:pStyle w:val="BookText"/>
        <w:rPr/>
      </w:pPr>
      <w:r>
        <w:rPr>
          <w:rFonts w:ascii="Amiri" w:hAnsi="Amiri" w:eastAsia="Amiri" w:cs="Amiri"/>
          <w:color w:val="111111"/>
          <w:sz w:val="28"/>
          <w:sz w:val="28"/>
          <w:szCs w:val="28"/>
          <w:rtl w:val="true"/>
          <w:lang w:bidi="ar-SA"/>
        </w:rPr>
        <w:t>وهي كثيرة، نكتفي هنا بالإشارة إلى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أذينة، عن زرارة، عن أبي عبدالله علیه السلام ، وذكر كيفيّ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غُسل الجنابة،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قبله ولا بعده وضوء</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سعيد، عن أحمد بن محمّد بن أبي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غُسل الجنابة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يدك اليُمنى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وضوء فيه</w:t>
      </w:r>
      <w:r>
        <w:rPr>
          <w:rFonts w:eastAsia="IRNazanin" w:cs="IRNazanin"/>
          <w:color w:val="111111"/>
          <w:sz w:val="28"/>
          <w:szCs w:val="28"/>
          <w:rtl w:val="true"/>
          <w:lang w:bidi="fa-IR"/>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حريز، أو عمّن رواه،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الكوفة يروون عن عليّ علیه السلام أنّه كان يأمر </w:t>
      </w:r>
    </w:p>
    <w:p>
      <w:pPr>
        <w:pStyle w:val="BookText"/>
        <w:rPr/>
      </w:pPr>
      <w:r>
        <w:rPr>
          <w:rFonts w:ascii="IRNazanin" w:hAnsi="IRNazanin" w:eastAsia="IRNazanin"/>
          <w:color w:val="111111"/>
          <w:sz w:val="28"/>
          <w:sz w:val="28"/>
          <w:szCs w:val="28"/>
          <w:rtl w:val="true"/>
          <w:lang w:bidi="fa-IR"/>
        </w:rPr>
        <w:t>بالوضوء قبل الغُسل من الجنابة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على عليّ علیه السلام ما وجدوا ذلك في كتاب عليّ علیه السلام ،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كُنْتُمْ جُنُبًا فَاطَّهَّرُوا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عن حكم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غسل الجنابة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يتوضّأ وضوء الصلاة قبل الغُسل، فضحك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وضوء أنقى من الغُسل وأبلغ</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بالالتفات إلى أنّنا في هذه الدراسة نسعى إلى إثبات المُدّعى القائل بأنّ جميع الأغسال تجزي عن الوضوء، نجد أنفسنا مضطرّين في إطار إثبات مدّعانا في القسم الأوّل إلى ذكر الآراء ومناقشة أدلّة القائلين بعدم الإجزاء، وفي القسم الثاني إلى نقل الآراء ودراسة أدلّة القائلين بإجزاء جميع الأغسال عن الوضوء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جدير بالذكر أنّ سماحة آية الله العظمى الشيخ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الصانعي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إجزاء جميع الأغسال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الأبحاث القادمة تشتمل على الآراء الفقهيّ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لسماحته في هذا الشأن</w:t>
      </w:r>
      <w:r>
        <w:rPr>
          <w:rFonts w:eastAsia="Amiri" w:cs="Amiri" w:ascii="Amiri" w:hAnsi="Amiri"/>
          <w:color w:val="111111"/>
          <w:sz w:val="28"/>
          <w:szCs w:val="28"/>
          <w:rtl w:val="true"/>
          <w:lang w:bidi="ar-SA"/>
        </w:rPr>
        <w:t xml:space="preserve">. </w:t>
      </w:r>
      <w:bookmarkStart w:id="24" w:name="pg9838_101034"/>
    </w:p>
    <w:p>
      <w:pPr>
        <w:pStyle w:val="Heading2"/>
        <w:numPr>
          <w:ilvl w:val="1"/>
          <w:numId w:val="1"/>
        </w:numPr>
        <w:rPr/>
      </w:pPr>
      <w:bookmarkStart w:id="25" w:name="__RefHeading___Toc9959372_2870459653"/>
      <w:bookmarkStart w:id="26" w:name="_Toc9"/>
      <w:bookmarkEnd w:id="24"/>
      <w:bookmarkEnd w:id="25"/>
      <w:r>
        <w:rPr>
          <w:rtl w:val="true"/>
        </w:rPr>
        <w:t>القسم الأوّل</w:t>
      </w:r>
      <w:r>
        <w:rPr>
          <w:rtl w:val="true"/>
        </w:rPr>
        <w:t xml:space="preserve">: </w:t>
      </w:r>
      <w:r>
        <w:rPr>
          <w:rtl w:val="true"/>
        </w:rPr>
        <w:t>آراء وأدلّة القائلين بعدم إجزاء سائر الأغسال عن الوضوء</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9959374_2870459653"/>
      <w:bookmarkStart w:id="28" w:name="_Toc10"/>
      <w:bookmarkEnd w:id="27"/>
      <w:r>
        <w:rPr>
          <w:rtl w:val="true"/>
        </w:rPr>
        <w:t>اشارة</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9838_101036"/>
      <w:bookmarkStart w:id="30" w:name="pg9838_101036"/>
      <w:bookmarkEnd w:id="30"/>
    </w:p>
    <w:p>
      <w:pPr>
        <w:pStyle w:val="BookText"/>
        <w:rPr/>
      </w:pPr>
      <w:bookmarkStart w:id="31" w:name="pg9838_101036"/>
      <w:bookmarkEnd w:id="31"/>
      <w:r>
        <w:rPr>
          <w:rFonts w:ascii="Amiri" w:hAnsi="Amiri" w:eastAsia="Amiri" w:cs="Amiri"/>
          <w:color w:val="111111"/>
          <w:sz w:val="28"/>
          <w:sz w:val="28"/>
          <w:szCs w:val="28"/>
          <w:rtl w:val="true"/>
          <w:lang w:bidi="ar-SA"/>
        </w:rPr>
        <w:t>ذهب مشهور فقهاء الشيعة في مورد إجزاء الأغسال عن الوضوء إلى الحكم بعدم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نتعرّض إلى نقل آراء بعضهم، ثمّ ننتقل بعد ذلك إلى مناقشة الأدلّة المطروحة من قِبلهم</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9959376_2870459653"/>
      <w:bookmarkStart w:id="33" w:name="_Toc11"/>
      <w:bookmarkEnd w:id="32"/>
      <w:r>
        <w:rPr>
          <w:rtl w:val="true"/>
        </w:rPr>
        <w:t>الفصل الأوّل</w:t>
      </w:r>
      <w:r>
        <w:rPr>
          <w:rtl w:val="true"/>
        </w:rPr>
        <w:t xml:space="preserve">: </w:t>
      </w:r>
      <w:r>
        <w:rPr>
          <w:rtl w:val="true"/>
        </w:rPr>
        <w:t>آراء الفقهاء</w:t>
      </w:r>
      <w:bookmarkEnd w:id="33"/>
    </w:p>
    <w:p>
      <w:pPr>
        <w:pStyle w:val="BookText"/>
        <w:rPr/>
      </w:pPr>
      <w:r>
        <w:rPr>
          <w:rFonts w:ascii="Amiri" w:hAnsi="Amiri" w:eastAsia="Amiri" w:cs="Amiri"/>
          <w:color w:val="111111"/>
          <w:sz w:val="28"/>
          <w:sz w:val="28"/>
          <w:szCs w:val="28"/>
          <w:rtl w:val="true"/>
          <w:lang w:bidi="ar-SA"/>
        </w:rPr>
        <w:t>يمكن لنا أن نذكر من بين المتقدّمين من العلماء القائلين بعدم إجزاء الغُسل عن الوضوء، الشيخ الصدوق</w:t>
      </w:r>
      <w:r>
        <w:rPr>
          <w:rFonts w:eastAsia="Amiri" w:cs="Amiri" w:ascii="Amiri" w:hAnsi="Amiri"/>
          <w:color w:val="111111"/>
          <w:sz w:val="28"/>
          <w:szCs w:val="28"/>
          <w:rtl w:val="true"/>
          <w:lang w:bidi="ar-SA"/>
        </w:rPr>
        <w:t>&amp;</w:t>
      </w:r>
      <w:r>
        <w:rPr>
          <w:rFonts w:ascii="Amiri" w:hAnsi="Amiri" w:eastAsia="Amiri" w:cs="Amiri"/>
          <w:color w:val="111111"/>
          <w:sz w:val="28"/>
          <w:sz w:val="28"/>
          <w:szCs w:val="28"/>
          <w:rtl w:val="true"/>
          <w:lang w:bidi="ar-SA"/>
        </w:rPr>
        <w:t>؛ إذ يقول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اغتسل لغير جنابة، فليبدأ بالوضوء، ثمّ يغتسل، ولا يجزيه الغسل عن الوضوء؛ لأنّ الغسل 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والوضوء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ورد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يجزي </w:t>
      </w:r>
    </w:p>
    <w:p>
      <w:pPr>
        <w:pStyle w:val="BookText"/>
        <w:rPr/>
      </w:pP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عن الفرض</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وهناك احتمال قويّ في أنّ استدلاله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والوضوء فرض، ولا يجزي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عن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ومستلهمٌ من الحديث الذي روي عن الإمام موسى بن جعفرعلیه السلام ، وإليك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أبي نجران، أنّه سأل أبا الحسن موسى بن جعفرعلیه السلام عن ثلاثة نفر كانوا في سفر، أحدهم جنب، والثاني ميّت، والثالث على غير وضوء، وحضرت الصلاة ومعهم الماء قدر ما يكفي أحدهم، من يأخذ الماء وكيف يصنعون؟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يغتسل الجنب، ويدفن الميّت بتيمّم، ويتيمّم الذي هو على غير وضوء، لأنّ الغسل من الجنابة فريضة، وغسل الميّت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والتيمّم للآخر جائز</w:t>
      </w:r>
      <w:r>
        <w:rPr>
          <w:rFonts w:eastAsia="IRNazanin" w:cs="IRNazanin"/>
          <w:color w:val="111111"/>
          <w:sz w:val="28"/>
          <w:szCs w:val="28"/>
          <w:rtl w:val="true"/>
          <w:lang w:bidi="fa-IR"/>
        </w:rPr>
        <w:t>».</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فمعنی كلام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الوضوء أمرٌ مذكورٌ في القرآن،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بيد أنّ الغُسل في حالة الوجوب والندب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مذكورٌ في الروايات،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فإنّ الشيء </w:t>
      </w:r>
    </w:p>
    <w:p>
      <w:pPr>
        <w:pStyle w:val="BookText"/>
        <w:rPr/>
      </w:pPr>
      <w:r>
        <w:rPr>
          <w:rFonts w:ascii="Amiri" w:hAnsi="Amiri" w:eastAsia="Amiri" w:cs="Amiri"/>
          <w:color w:val="111111"/>
          <w:sz w:val="28"/>
          <w:sz w:val="28"/>
          <w:szCs w:val="28"/>
          <w:rtl w:val="true"/>
          <w:lang w:bidi="ar-SA"/>
        </w:rPr>
        <w:t>الذي فُهم وجوبه من الأحاديث 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النبيّ الأكرم صلي الله عليه و آله، لا يُجزي عن الأمر الذي وجب بدلالة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العلماء القائلين بعدم إجزاء الغسل عن الوضوء،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المقنعة،</w:t>
      </w:r>
      <w:r>
        <w:rPr>
          <w:rStyle w:val="FootnoteAnchor"/>
          <w:rtl w:val="true"/>
        </w:rPr>
        <w:footnoteReference w:id="17"/>
      </w:r>
      <w:r>
        <w:rPr>
          <w:rFonts w:ascii="Amiri" w:hAnsi="Amiri" w:eastAsia="Amiri" w:cs="Amiri"/>
          <w:color w:val="111111"/>
          <w:sz w:val="28"/>
          <w:sz w:val="28"/>
          <w:szCs w:val="28"/>
          <w:rtl w:val="true"/>
          <w:lang w:bidi="ar-SA"/>
        </w:rPr>
        <w:t>والشيخ الطوسي في النهاية،</w:t>
      </w:r>
      <w:r>
        <w:rPr>
          <w:rStyle w:val="FootnoteAnchor"/>
          <w:rtl w:val="true"/>
        </w:rPr>
        <w:footnoteReference w:id="18"/>
      </w:r>
      <w:r>
        <w:rPr>
          <w:rFonts w:ascii="Amiri" w:hAnsi="Amiri" w:eastAsia="Amiri" w:cs="Amiri"/>
          <w:color w:val="111111"/>
          <w:sz w:val="28"/>
          <w:sz w:val="28"/>
          <w:szCs w:val="28"/>
          <w:rtl w:val="true"/>
          <w:lang w:bidi="ar-SA"/>
        </w:rPr>
        <w:t>وابن إدريس في السرائر،</w:t>
      </w:r>
      <w:r>
        <w:rPr>
          <w:rStyle w:val="FootnoteAnchor"/>
          <w:rtl w:val="true"/>
        </w:rPr>
        <w:footnoteReference w:id="19"/>
      </w:r>
      <w:r>
        <w:rPr>
          <w:rFonts w:ascii="Amiri" w:hAnsi="Amiri" w:eastAsia="Amiri" w:cs="Amiri"/>
          <w:color w:val="111111"/>
          <w:sz w:val="28"/>
          <w:sz w:val="28"/>
          <w:szCs w:val="28"/>
          <w:rtl w:val="true"/>
          <w:lang w:bidi="ar-SA"/>
        </w:rPr>
        <w:t xml:space="preserve">وكذلك ابن حمزة في الوسيلة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بعض الأعاظم من أمثال المحقّق رحمه الله في المختصر النافع، رغم تردّده في حكم المسألة، إلّا أنّه أفتى لاحقاً بعدم الإجزاء استظهاراً،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ويجزي غسل الجنابة عن الوضوء، وفي غيره تردّد، أظهره أنّه لا يُجزي</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وقد ذكر المقداد السيوري رحمه الله في بيان وجه التردّد في كلام المحقّق الحلّي قائلاً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تردّد المصنّف؛ لتعارض الروايات واختلاف الأصحاب</w:t>
      </w:r>
      <w:r>
        <w:rPr>
          <w:rFonts w:eastAsia="Amiri" w:cs="Amiri" w:ascii="Amiri" w:hAnsi="Amiri"/>
          <w:color w:val="111111"/>
          <w:sz w:val="28"/>
          <w:szCs w:val="28"/>
          <w:rtl w:val="true"/>
          <w:lang w:bidi="ar-SA"/>
        </w:rPr>
        <w:t>.</w:t>
      </w:r>
      <w:r>
        <w:rPr>
          <w:rStyle w:val="FootnoteAnchor"/>
          <w:rtl w:val="true"/>
        </w:rPr>
        <w:footnoteReference w:id="22"/>
      </w:r>
      <w:bookmarkStart w:id="34" w:name="pg9838_101039"/>
    </w:p>
    <w:p>
      <w:pPr>
        <w:pStyle w:val="Heading3"/>
        <w:numPr>
          <w:ilvl w:val="2"/>
          <w:numId w:val="1"/>
        </w:numPr>
        <w:rPr/>
      </w:pPr>
      <w:bookmarkStart w:id="35" w:name="__RefHeading___Toc9959378_2870459653"/>
      <w:bookmarkStart w:id="36" w:name="_Toc12"/>
      <w:bookmarkEnd w:id="34"/>
      <w:bookmarkEnd w:id="35"/>
      <w:r>
        <w:rPr>
          <w:rtl w:val="true"/>
        </w:rPr>
        <w:t>الفصل الثاني</w:t>
      </w:r>
      <w:r>
        <w:rPr>
          <w:rtl w:val="true"/>
        </w:rPr>
        <w:t xml:space="preserve">: </w:t>
      </w:r>
      <w:r>
        <w:rPr>
          <w:rtl w:val="true"/>
        </w:rPr>
        <w:t>مناقشة أدلّة القائلين بعدم الإجزاء</w:t>
      </w:r>
      <w:bookmarkEnd w:id="36"/>
    </w:p>
    <w:p>
      <w:pPr>
        <w:pStyle w:val="Heading4"/>
        <w:numPr>
          <w:ilvl w:val="3"/>
          <w:numId w:val="1"/>
        </w:numPr>
        <w:rPr/>
      </w:pPr>
      <w:bookmarkStart w:id="37" w:name="__RefHeading___Toc9959380_2870459653"/>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لقد تمسّك القائلون بعدم إجزاء سائر الأغسال عن الوضوء، بعدد من الأدلّة، وتشتمل هذه الأدلّة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وبعض الروايات، وأصل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ظاهر كلام بعضهم أنّ شهرة القول بعدم إجزاء الغسل عن الوضوء، رافعة للتعارض بين أدلّة المشهور وأدلّة القائلين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جعلوا من الشهرة واحدة من أدلّتهم الثابتة</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9959382_2870459653"/>
      <w:bookmarkStart w:id="40" w:name="_Toc14"/>
      <w:bookmarkEnd w:id="39"/>
      <w:r>
        <w:rPr>
          <w:rtl w:val="true"/>
        </w:rPr>
        <w:t>أ</w:t>
      </w:r>
      <w:r>
        <w:rPr>
          <w:rtl w:val="true"/>
        </w:rPr>
        <w:t xml:space="preserve">) </w:t>
      </w:r>
      <w:r>
        <w:rPr>
          <w:rtl w:val="true"/>
        </w:rPr>
        <w:t>الآية وكيفيّ</w:t>
      </w:r>
      <w:r>
        <w:rPr>
          <w:rtl w:val="true"/>
        </w:rPr>
        <w:t>-</w:t>
      </w:r>
      <w:r>
        <w:rPr>
          <w:rtl w:val="true"/>
        </w:rPr>
        <w:t>ة الاستدلال بها</w:t>
      </w:r>
      <w:bookmarkEnd w:id="40"/>
    </w:p>
    <w:p>
      <w:pPr>
        <w:pStyle w:val="Heading5"/>
        <w:numPr>
          <w:ilvl w:val="4"/>
          <w:numId w:val="1"/>
        </w:numPr>
        <w:rPr/>
      </w:pPr>
      <w:bookmarkStart w:id="41" w:name="__RefHeading___Toc9959384_2870459653"/>
      <w:bookmarkStart w:id="42" w:name="_Toc15"/>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القائلين بعدم إجزاء الأغسال عن الوضوء، قد استدلّوا على ذلك بعموم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الله تعالى قد أمر بالوضوء عند القيام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كلّما قام المكلّف إلى الصلاة وجب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الآية شاملة للذي قد اغتسل والذي لم يغتسل، والجُنب وحده هو المُستثنى من هذه القاعدة، وإنّ عموم الآية بالنسبة </w:t>
      </w:r>
      <w:bookmarkStart w:id="43" w:name="pg9838_101040"/>
    </w:p>
    <w:p>
      <w:pPr>
        <w:pStyle w:val="BookText"/>
        <w:rPr/>
      </w:pPr>
      <w:bookmarkEnd w:id="43"/>
      <w:r>
        <w:rPr>
          <w:rFonts w:ascii="Amiri" w:hAnsi="Amiri" w:eastAsia="Amiri" w:cs="Amiri"/>
          <w:color w:val="111111"/>
          <w:sz w:val="28"/>
          <w:sz w:val="28"/>
          <w:szCs w:val="28"/>
          <w:rtl w:val="true"/>
          <w:lang w:bidi="ar-SA"/>
        </w:rPr>
        <w:t>على الجُنب يتمّ تخصيصه بآية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وَلَا جُنُبًا إِلَّا عَابِرِي سَبِيلٍ حَتَّى تَغْتَسِلُوا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r>
        <w:rPr>
          <w:rFonts w:ascii="Amiri" w:hAnsi="Amiri" w:eastAsia="Amiri" w:cs="Amiri"/>
          <w:color w:val="111111"/>
          <w:sz w:val="28"/>
          <w:sz w:val="28"/>
          <w:szCs w:val="28"/>
          <w:rtl w:val="true"/>
          <w:lang w:bidi="ar-SA"/>
        </w:rPr>
        <w:t xml:space="preserve">كما يتمّ تخصيصه بتكملة الآية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التي تمّ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جُنُبًا فَاطَّهَّرُوا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وأمّا بالنسبة إلى سائر الأفراد، فهو باقٍ على عموميّته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العلّامة الحلّي هذا الاستدلال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مريد القيام للصلاة مطلقاً بالوضوء، وهو عام فيمن اغتسل وغيره، خرج الجنب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تَغْتَسِلُوا</w:t>
      </w:r>
      <w:r>
        <w:rPr>
          <w:rFonts w:ascii="IRNazanin" w:hAnsi="IRNazanin" w:eastAsia="IRNazanin"/>
          <w:color w:val="111111"/>
          <w:sz w:val="28"/>
          <w:sz w:val="28"/>
          <w:szCs w:val="28"/>
          <w:rtl w:val="true"/>
          <w:lang w:bidi="fa-IR"/>
        </w:rPr>
        <w:t>، وبقوله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كُنْتُمْ جُنُبًا فَاطَّهَّرُوا، فإنّه يفهم منه أنّ الأمر الأوّل لغيره، وبالإجماع فيبقى الباقي على عمومه</w:t>
      </w:r>
      <w:r>
        <w:rPr>
          <w:rFonts w:eastAsia="Amiri" w:cs="Amiri" w:ascii="Amiri" w:hAnsi="Amiri"/>
          <w:color w:val="111111"/>
          <w:sz w:val="28"/>
          <w:szCs w:val="28"/>
          <w:rtl w:val="true"/>
          <w:lang w:bidi="ar-SA"/>
        </w:rPr>
        <w:t>.</w:t>
      </w:r>
      <w:r>
        <w:rPr>
          <w:rStyle w:val="FootnoteAnchor"/>
          <w:rtl w:val="true"/>
        </w:rPr>
        <w:footnoteReference w:id="26"/>
      </w:r>
    </w:p>
    <w:p>
      <w:pPr>
        <w:pStyle w:val="Heading5"/>
        <w:numPr>
          <w:ilvl w:val="4"/>
          <w:numId w:val="1"/>
        </w:numPr>
        <w:rPr/>
      </w:pPr>
      <w:bookmarkStart w:id="44" w:name="__RefHeading___Toc9959386_2870459653"/>
      <w:bookmarkStart w:id="45" w:name="_Toc16"/>
      <w:bookmarkEnd w:id="44"/>
      <w:r>
        <w:rPr>
          <w:rtl w:val="true"/>
        </w:rPr>
        <w:t>ردّ الاستدلال بالآية</w:t>
      </w:r>
      <w:bookmarkEnd w:id="45"/>
    </w:p>
    <w:p>
      <w:pPr>
        <w:pStyle w:val="BookText"/>
        <w:rPr/>
      </w:pPr>
      <w:r>
        <w:rPr>
          <w:rFonts w:ascii="Amiri" w:hAnsi="Amiri" w:eastAsia="Amiri" w:cs="Amiri"/>
          <w:color w:val="111111"/>
          <w:sz w:val="28"/>
          <w:sz w:val="28"/>
          <w:szCs w:val="28"/>
          <w:rtl w:val="true"/>
          <w:lang w:bidi="ar-SA"/>
        </w:rPr>
        <w:t>في الجواب عن هذا الاستدلال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إِذَا قُمْتُمْ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المفسّرون</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العرفان،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زبدة البيان،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آيات الأحكام،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عند القيام بالغسل، لا يبقى هناك حدث حتّى تكون هناك ضرورة إلى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إنّما توجب الوضوء إذا كان هناك حدث، وأمّا إذا أتى المكلّف بالغُسل، لا يبقى هناك معنى لاعتباره محدثاً، كي يجب 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أشكل بعض الفقهاء على الاستدلال بهذه الآية بإشكالات قابلة للنقاش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نشير إلى هذه الإشكالات ومناقشتها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السبزواري في ردّ هذا الاستدلال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 الآية وإن كانت عامّة، لكنّها تتخصّص بالأدلّة الآتية جمعاً بين الأدلّة، وممّا يضعّف الاستناد إليه ما نقل المصنّف في المنتهى، إجماع المفسّرين على أنّ المراد إذا قمتم من النوم، ونسبه في الخلاف إلى المفسّرين، ويدلّ عليه بعض الروايات المعتبرة،</w:t>
      </w:r>
      <w:r>
        <w:rPr>
          <w:rStyle w:val="FootnoteAnchor"/>
          <w:rtl w:val="true"/>
        </w:rPr>
        <w:footnoteReference w:id="28"/>
      </w:r>
      <w:r>
        <w:rPr>
          <w:rFonts w:ascii="Amiri" w:hAnsi="Amiri" w:eastAsia="Amiri" w:cs="Amiri"/>
          <w:color w:val="111111"/>
          <w:sz w:val="28"/>
          <w:sz w:val="28"/>
          <w:szCs w:val="28"/>
          <w:rtl w:val="true"/>
          <w:lang w:bidi="ar-SA"/>
        </w:rPr>
        <w:t>وقد مرّ فى بحث نواقض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يناقش فى </w:t>
      </w:r>
    </w:p>
    <w:p>
      <w:pPr>
        <w:pStyle w:val="BookText"/>
        <w:rPr/>
      </w:pPr>
      <w:r>
        <w:rPr>
          <w:rFonts w:ascii="Amiri" w:hAnsi="Amiri" w:eastAsia="Amiri" w:cs="Amiri"/>
          <w:color w:val="111111"/>
          <w:sz w:val="28"/>
          <w:sz w:val="28"/>
          <w:szCs w:val="28"/>
          <w:rtl w:val="true"/>
          <w:lang w:bidi="ar-SA"/>
        </w:rPr>
        <w:t>عمومها؛ لعدم اشتمالها على شيء من أدوات العموم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كما قال المرحوم الخونساري</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في الإشكال على دلالة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العموم؛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أداته، بل للإهمال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المخصص ممّا أوردنا من الروايات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كما أنّ المحقّق الأردبيلي</w:t>
      </w:r>
      <w:r>
        <w:rPr>
          <w:rStyle w:val="FootnoteAnchor"/>
          <w:rtl w:val="true"/>
        </w:rPr>
        <w:footnoteReference w:id="31"/>
      </w:r>
      <w:r>
        <w:rPr>
          <w:rFonts w:ascii="Amiri" w:hAnsi="Amiri" w:eastAsia="Amiri" w:cs="Amiri"/>
          <w:color w:val="111111"/>
          <w:sz w:val="28"/>
          <w:sz w:val="28"/>
          <w:szCs w:val="28"/>
          <w:rtl w:val="true"/>
          <w:lang w:bidi="ar-SA"/>
        </w:rPr>
        <w:t>وصاحب المدارك</w:t>
      </w:r>
      <w:r>
        <w:rPr>
          <w:rStyle w:val="FootnoteAnchor"/>
          <w:rtl w:val="true"/>
        </w:rPr>
        <w:footnoteReference w:id="32"/>
      </w:r>
      <w:r>
        <w:rPr>
          <w:rFonts w:ascii="Amiri" w:hAnsi="Amiri" w:eastAsia="Amiri" w:cs="Amiri"/>
          <w:color w:val="111111"/>
          <w:sz w:val="28"/>
          <w:sz w:val="28"/>
          <w:szCs w:val="28"/>
          <w:rtl w:val="true"/>
          <w:lang w:bidi="ar-SA"/>
        </w:rPr>
        <w:t>لايقبلان بدورهما هذا الاستدلال بالآية الكريمة، وقد أوردا ذات الإشكالات المشار إليها، باعتبارها مانعة من الاستناد إلى 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الاستدلال بالآية يرد عليه ثلاثة إشكالات من وجهة نظر الفقهاء، 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عموم في الآية؛ لعدم وجود أداة دالّة على العموم فيها، وإنّ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الإهمال كما هو واضح</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مختصّة بالقيام من النوم، كما يدلّ على ذلك بعض الروايات، وعلى ذلك سار </w:t>
      </w:r>
    </w:p>
    <w:p>
      <w:pPr>
        <w:pStyle w:val="BookText"/>
        <w:rPr/>
      </w:pPr>
      <w:r>
        <w:rPr>
          <w:rFonts w:ascii="Amiri" w:hAnsi="Amiri" w:eastAsia="Amiri" w:cs="Amiri"/>
          <w:color w:val="111111"/>
          <w:sz w:val="28"/>
          <w:sz w:val="28"/>
          <w:szCs w:val="28"/>
          <w:rtl w:val="true"/>
          <w:lang w:bidi="ar-SA"/>
        </w:rPr>
        <w:t>المفسّرون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وإطلاق الآية الكريمة يتمّ تخصيصه بالروايات الدالّة على إجزاء كلّ غُسل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يبدو أنّ هذه الإشكالات لا تخلو من نقاش، وذلك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الرغم 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أدوات العموم، ولكن حيث كان القرآن في مقام بيان الحكم، دون الإهمال والإجمال، فإنّ هذا يُشكل بدوره قرينة على عدم وجود الاختصاص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يفيد العموم والشمول الذي 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مختصّة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إنّما تبيّن واحداً من المصاديق، ولا تشتمل على حكم كلّي يتعلّق بمصداق واحد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تخصيص الآية بالروايات الدالّة على إجزاء الغُسل عن الوضوء إنّما هو إشكال مبنائيّ؛ بمعنى أنّ تخصيص هذه الآية بالروايات إنّما يتمّ على مبنى القائلين بدلالة الروايات على الإجزاء، دون مبنى القائلين بعدم دلالة هذه الروايات على إجزاء الأغسال عن الوضوء</w:t>
      </w:r>
      <w:r>
        <w:rPr>
          <w:rFonts w:eastAsia="Amiri" w:cs="Amiri" w:ascii="Amiri" w:hAnsi="Amiri"/>
          <w:color w:val="111111"/>
          <w:sz w:val="28"/>
          <w:szCs w:val="28"/>
          <w:rtl w:val="true"/>
          <w:lang w:bidi="ar-SA"/>
        </w:rPr>
        <w:t xml:space="preserve">. </w:t>
      </w:r>
      <w:bookmarkStart w:id="46" w:name="pg9838_101044"/>
    </w:p>
    <w:p>
      <w:pPr>
        <w:pStyle w:val="BookText"/>
        <w:rPr/>
      </w:pPr>
      <w:bookmarkEnd w:id="46"/>
      <w:r>
        <w:rPr>
          <w:rFonts w:ascii="Amiri" w:hAnsi="Amiri" w:eastAsia="Amiri" w:cs="Amiri"/>
          <w:color w:val="111111"/>
          <w:sz w:val="28"/>
          <w:sz w:val="28"/>
          <w:szCs w:val="28"/>
          <w:rtl w:val="true"/>
          <w:lang w:bidi="ar-SA"/>
        </w:rPr>
        <w:t>وعلى كلّ حالٍ، حيث أنّ المراد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عدم الطهارة من ناحية، وحيث أنّ أدلّة غسل الجنابة وكذلك روايات إجزاء جميع الأغسال عن الوضوء، تثبت الطهارة للمكلّف من ناحية أخرى، فإنّ هذه الأدلّة والروايات يكون لها ورود على الآية، وتنفي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ولا تكون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غُسل الجنابة وسائر الأغسال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إلى الوضوء الذي تشير إليه هذه الآية؛ لأنّ عدم الطهارة المنظور في الآية قد ارتفع بهذه الأغسال، ومعه لا يبقى هناك موضوع لتحصيل الطهارة</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9959388_2870459653"/>
      <w:bookmarkStart w:id="48" w:name="_Toc17"/>
      <w:bookmarkEnd w:id="47"/>
      <w:r>
        <w:rPr>
          <w:rtl w:val="true"/>
        </w:rPr>
        <w:t>ب</w:t>
      </w:r>
      <w:r>
        <w:rPr>
          <w:rtl w:val="true"/>
        </w:rPr>
        <w:t xml:space="preserve">) </w:t>
      </w:r>
      <w:r>
        <w:rPr>
          <w:rtl w:val="true"/>
        </w:rPr>
        <w:t>الروايات</w:t>
      </w:r>
      <w:bookmarkEnd w:id="48"/>
    </w:p>
    <w:p>
      <w:pPr>
        <w:pStyle w:val="Heading5"/>
        <w:numPr>
          <w:ilvl w:val="4"/>
          <w:numId w:val="1"/>
        </w:numPr>
        <w:rPr/>
      </w:pPr>
      <w:bookmarkStart w:id="49" w:name="__RefHeading___Toc9959390_2870459653"/>
      <w:bookmarkStart w:id="50" w:name="_Toc18"/>
      <w:bookmarkEnd w:id="49"/>
      <w:r>
        <w:rPr/>
        <w:t>1</w:t>
      </w:r>
      <w:r>
        <w:rPr>
          <w:rtl w:val="true"/>
        </w:rPr>
        <w:t xml:space="preserve"> - </w:t>
      </w:r>
      <w:r>
        <w:rPr>
          <w:rtl w:val="true"/>
        </w:rPr>
        <w:t>مُرسلة ابن أبي عمير</w:t>
      </w:r>
      <w:r>
        <w:rPr>
          <w:rtl w:val="true"/>
        </w:rPr>
        <w:t>:</w:t>
      </w:r>
      <w:bookmarkEnd w:id="50"/>
    </w:p>
    <w:p>
      <w:pPr>
        <w:pStyle w:val="BookText"/>
        <w:rPr/>
      </w:pPr>
      <w:r>
        <w:rPr>
          <w:rFonts w:ascii="IRNazanin" w:hAnsi="IRNazanin" w:eastAsia="IRNazanin"/>
          <w:color w:val="111111"/>
          <w:sz w:val="28"/>
          <w:sz w:val="28"/>
          <w:szCs w:val="28"/>
          <w:rtl w:val="true"/>
          <w:lang w:bidi="fa-IR"/>
        </w:rPr>
        <w:t>ابن أبي عمير، عن رجل،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غُسل قبله وضوء إلّا غُسل الجنابة</w:t>
      </w:r>
      <w:r>
        <w:rPr>
          <w:rFonts w:eastAsia="IRNazanin" w:cs="IRNazanin"/>
          <w:color w:val="111111"/>
          <w:sz w:val="28"/>
          <w:szCs w:val="28"/>
          <w:rtl w:val="true"/>
          <w:lang w:bidi="fa-IR"/>
        </w:rPr>
        <w:t>».</w:t>
      </w:r>
      <w:r>
        <w:rPr>
          <w:rStyle w:val="FootnoteAnchor"/>
          <w:rtl w:val="true"/>
        </w:rPr>
        <w:footnoteReference w:id="3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بهذه الرواية على عدم الإجزاء واضح؛ لأنّ الإمام قد أوجب الوضوء مع </w:t>
      </w:r>
    </w:p>
    <w:p>
      <w:pPr>
        <w:pStyle w:val="BookText"/>
        <w:rPr/>
      </w:pPr>
      <w:r>
        <w:rPr>
          <w:rFonts w:ascii="Amiri" w:hAnsi="Amiri" w:eastAsia="Amiri" w:cs="Amiri"/>
          <w:color w:val="111111"/>
          <w:sz w:val="28"/>
          <w:sz w:val="28"/>
          <w:szCs w:val="28"/>
          <w:rtl w:val="true"/>
          <w:lang w:bidi="ar-SA"/>
        </w:rPr>
        <w:t>كلّ غُسل باستثناء الغُسل من الجنابة بشكل صريح لا لبس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بهذه المرسلة غير تامّ؛ وذلك لوجود الإشكال فيها من ناحية السند والدلالة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في السند؛ فلأنّ الرواية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الرغم من أنّ راويها هو ابن أبي عمير، وقد تلقّى الأصحاب مرسلاته بالقبول، ولكن حيث لا نعلم من هو الذي روى عنه، يبقى هناك احتمال أنّ الذي روى عنه ضعيف، وهذا يشكل مانعاً من قبول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الفقهاء الذين ذكروا هذا الإشكال المحقّق الأردبيلي قدس سره؛ إذ يقول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قبول المرسل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لم يُرسل إلّا عن عدل، وعلم ذلك العدل فهو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بأنّه خارج عن الإرسال ولا يضرّ ذلك؛ لأنّ الكلام فيما هو مرسل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أنّه عدل لا بعينه، ففي قبول مسألة بحث في كتب أصول الحديث،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الرجال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قوله لو صرّح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عن عدل ولم يُسمّه؛ لأنّه قد يكون عدلاً </w:t>
      </w:r>
      <w:bookmarkStart w:id="51" w:name="pg9838_101046"/>
    </w:p>
    <w:p>
      <w:pPr>
        <w:pStyle w:val="BookText"/>
        <w:rPr/>
      </w:pPr>
      <w:bookmarkEnd w:id="51"/>
      <w:r>
        <w:rPr>
          <w:rFonts w:ascii="Amiri" w:hAnsi="Amiri" w:eastAsia="Amiri" w:cs="Amiri"/>
          <w:color w:val="111111"/>
          <w:sz w:val="28"/>
          <w:sz w:val="28"/>
          <w:szCs w:val="28"/>
          <w:rtl w:val="true"/>
          <w:lang w:bidi="ar-SA"/>
        </w:rPr>
        <w:t>عنده، فاسقاً عندنا، فلو ظهر اسمه لجرحناه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مذكور في الكتب من غير ردّ</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كما ذكر هذا الإشكال في مشارق الشموس،</w:t>
      </w:r>
      <w:r>
        <w:rPr>
          <w:rStyle w:val="FootnoteAnchor"/>
          <w:rtl w:val="true"/>
        </w:rPr>
        <w:footnoteReference w:id="35"/>
      </w:r>
      <w:r>
        <w:rPr>
          <w:rFonts w:ascii="Amiri" w:hAnsi="Amiri" w:eastAsia="Amiri" w:cs="Amiri"/>
          <w:color w:val="111111"/>
          <w:sz w:val="28"/>
          <w:sz w:val="28"/>
          <w:szCs w:val="28"/>
          <w:rtl w:val="true"/>
          <w:lang w:bidi="ar-SA"/>
        </w:rPr>
        <w:t>ومفاتيح الشرائع</w:t>
      </w:r>
      <w:r>
        <w:rPr>
          <w:rStyle w:val="FootnoteAnchor"/>
          <w:rtl w:val="true"/>
        </w:rPr>
        <w:footnoteReference w:id="3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في الدلالة؛ فلاحتمال حمل الرواية على الاستحباب؛ لعدم اشتمالها على لفظ دالّ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بيان كيفيّ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حملها على الاستحباب، وإيضاح الوجه في ذلك</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9959392_2870459653"/>
      <w:bookmarkStart w:id="53" w:name="_Toc19"/>
      <w:bookmarkEnd w:id="52"/>
      <w:r>
        <w:rPr/>
        <w:t>2</w:t>
      </w:r>
      <w:r>
        <w:rPr>
          <w:rtl w:val="true"/>
        </w:rPr>
        <w:t xml:space="preserve"> - </w:t>
      </w:r>
      <w:r>
        <w:rPr>
          <w:rtl w:val="true"/>
        </w:rPr>
        <w:t>حسنة حمّاد بن عثمان</w:t>
      </w:r>
      <w:r>
        <w:rPr>
          <w:rtl w:val="true"/>
        </w:rPr>
        <w:t>:</w:t>
      </w:r>
      <w:bookmarkEnd w:id="53"/>
    </w:p>
    <w:p>
      <w:pPr>
        <w:pStyle w:val="BookText"/>
        <w:rPr/>
      </w:pPr>
      <w:r>
        <w:rPr>
          <w:rFonts w:ascii="IRNazanin" w:hAnsi="IRNazanin" w:eastAsia="IRNazanin"/>
          <w:color w:val="111111"/>
          <w:sz w:val="28"/>
          <w:sz w:val="28"/>
          <w:szCs w:val="28"/>
          <w:rtl w:val="true"/>
          <w:lang w:bidi="fa-IR"/>
        </w:rPr>
        <w:t>عن ابن أبي عُمير، عن حمّاد أو غيره،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غُسل وضوء، إلّا الجنابة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طريقة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بهذه الرواية كالاستدلال المتقدّم بمرسلة ابن أبي عمير، وترد عليها ذات الإشكالات الواردة على المرسلة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بدورها تحتوي على </w:t>
      </w:r>
    </w:p>
    <w:p>
      <w:pPr>
        <w:pStyle w:val="BookText"/>
        <w:rPr/>
      </w:pPr>
      <w:r>
        <w:rPr>
          <w:rFonts w:ascii="Amiri" w:hAnsi="Amiri" w:eastAsia="Amiri" w:cs="Amiri"/>
          <w:color w:val="111111"/>
          <w:sz w:val="28"/>
          <w:sz w:val="28"/>
          <w:szCs w:val="28"/>
          <w:rtl w:val="true"/>
          <w:lang w:bidi="ar-SA"/>
        </w:rPr>
        <w:t>إشكالات في الدلالة وفي السند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 سند هذه الرواية واضح جدّاً؛ إذ أنّ ذكر اسم حمّاد لا يخرجها من الإرسال؛ لأنّ شخص حمّاد يُشتبه براوٍ آخر، كما أنّ ابن أبي عمير نفسه قد تردّد في المرويّ عنه، بل هناك من ذهب إلى القول بأنّ هذه الرواية هي نفس مرسلة ابن أبي عمير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سلّمنا أنّهما روايتان، يبقى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المسقط للرواية عن الحجيّ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 مع وجود إشكال الإرسال، لا يخلو القول بكونها حسنة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العلّامة الحلّي في المختلف والمنتهى عمد إلى حذف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سلسلة السند، واعتبر الرواية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يجب الالتفات إلى أنّ التهذيب قد ذكر هذه الرواية في موردين، وفي كلا الموضعين قد ذكر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نعرف الوجه في حذف العلّامة لهذه العبارة في المختلف والمنتهى، رغم أنّ العلّامة نفسه في بحث عدم وجوب الوضوء للميّت في المختلف قد ذكر هذه الرواية مشتملة 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الميّت، بيد أنّه واصل القول هناك بأنّها حسنة أيضاً</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وقع ظهور هذه الرواية في </w:t>
      </w:r>
    </w:p>
    <w:p>
      <w:pPr>
        <w:pStyle w:val="BookText"/>
        <w:rPr/>
      </w:pPr>
      <w:r>
        <w:rPr>
          <w:rFonts w:ascii="Amiri" w:hAnsi="Amiri" w:eastAsia="Amiri" w:cs="Amiri"/>
          <w:color w:val="111111"/>
          <w:sz w:val="28"/>
          <w:sz w:val="28"/>
          <w:szCs w:val="28"/>
          <w:rtl w:val="true"/>
          <w:lang w:bidi="ar-SA"/>
        </w:rPr>
        <w:t>الوجوب مورداً للنقاش، بل هناك من الفقهاء من ذهب إلى القول بأنّ الاستحباب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أنّ المحقّق الحلّي في بحث وضوء الميّت في مورد هذه الرواية احتمل الاستحباب،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يلزم من كون الوضوء في الغسل أن يكون واجباً، بل من الجائز أن يكون غسل الجنابة لا يجوز فعل الوضوء فيه، وغيره يجوز، ولا يلزم من الجواز الوجوب فإذن الاستحباب أشبه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ويؤيّد هذا الاحتمال أنّه لو حملنا هذه الرواية على الوجوب، وجب أن يكون الوضوء قبل الغُسل واجباً، في حين أنّ القائلين بوجوب الوضوء في سائر الأغسال لم يفتوا بوجوب الوضوء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الآخر على تأييد هذا الاحتمال أنّ بعض الفقهاء من أمثال أبي الصلاح الحلبي</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بحث 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بوجوب الوضوء للميّت قبل الغسل، مستدلاً لذلك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بعض الفقهاء من أمثال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القائلين بعدم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لا تدلّ على الوجوب؛ إذ لا يلزم من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الوجوب، بل بمعنى أنّ</w:t>
      </w:r>
      <w:bookmarkStart w:id="54" w:name="pg9838_101049"/>
    </w:p>
    <w:p>
      <w:pPr>
        <w:pStyle w:val="BookText"/>
        <w:rPr/>
      </w:pPr>
      <w:bookmarkEnd w:id="54"/>
      <w:r>
        <w:rPr>
          <w:rFonts w:ascii="Amiri" w:hAnsi="Amiri" w:eastAsia="Amiri" w:cs="Amiri"/>
          <w:color w:val="111111"/>
          <w:sz w:val="28"/>
          <w:sz w:val="28"/>
          <w:szCs w:val="28"/>
          <w:rtl w:val="true"/>
          <w:lang w:bidi="ar-SA"/>
        </w:rPr>
        <w:t>الوضوء في غسل الجنابة غير جائز، وفي سائر الأغسال جائز، وإنّ قولنا بوجوب الوضوء في سائر الأغسال، إنّما هو لدليل خارجي، وليس لهذه الرواية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وقد ذكر المحقّق الأردبيلي هذا الأمر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أكثر القائلين لا يقولون بالوجوب في غسل الميّت، فعلم أنّه غير محمول على الوجوب عندهم؛ فظهر أنّه لو قيل بالوجوب لهذه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 ابن أبي عُمير وحمّاد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لوجب القول بوجوب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الوضوء على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نادر عندهم</w:t>
      </w:r>
      <w:r>
        <w:rPr>
          <w:rFonts w:eastAsia="Amiri" w:cs="Amiri" w:ascii="Amiri" w:hAnsi="Amiri"/>
          <w:color w:val="111111"/>
          <w:sz w:val="28"/>
          <w:szCs w:val="28"/>
          <w:rtl w:val="true"/>
          <w:lang w:bidi="ar-SA"/>
        </w:rPr>
        <w:t>.</w:t>
      </w:r>
      <w:r>
        <w:rPr>
          <w:rStyle w:val="FootnoteAnchor"/>
          <w:rtl w:val="true"/>
        </w:rPr>
        <w:footnoteReference w:id="42"/>
      </w:r>
    </w:p>
    <w:p>
      <w:pPr>
        <w:pStyle w:val="Heading5"/>
        <w:numPr>
          <w:ilvl w:val="4"/>
          <w:numId w:val="1"/>
        </w:numPr>
        <w:rPr/>
      </w:pPr>
      <w:bookmarkStart w:id="55" w:name="__RefHeading___Toc9959394_2870459653"/>
      <w:bookmarkStart w:id="56" w:name="_Toc20"/>
      <w:bookmarkEnd w:id="55"/>
      <w:r>
        <w:rPr/>
        <w:t>3</w:t>
      </w:r>
      <w:r>
        <w:rPr>
          <w:rtl w:val="true"/>
        </w:rPr>
        <w:t xml:space="preserve"> - </w:t>
      </w:r>
      <w:r>
        <w:rPr>
          <w:rtl w:val="true"/>
        </w:rPr>
        <w:t>رواية عليّ بن يقطين</w:t>
      </w:r>
      <w:r>
        <w:rPr>
          <w:rtl w:val="true"/>
        </w:rPr>
        <w:t>:</w:t>
      </w:r>
      <w:bookmarkEnd w:id="56"/>
    </w:p>
    <w:p>
      <w:pPr>
        <w:pStyle w:val="BookText"/>
        <w:rPr/>
      </w:pPr>
      <w:r>
        <w:rPr>
          <w:rFonts w:ascii="IRNazanin" w:hAnsi="IRNazanin" w:eastAsia="IRNazanin"/>
          <w:color w:val="111111"/>
          <w:sz w:val="28"/>
          <w:sz w:val="28"/>
          <w:szCs w:val="28"/>
          <w:rtl w:val="true"/>
          <w:lang w:bidi="fa-IR"/>
        </w:rPr>
        <w:t>سليمان بن الحسين، عن عليّ بن يقطين، عن أبي الحسن الأوّل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تغتسل للجمعة؛ فتوضّأ واغتسل</w:t>
      </w:r>
      <w:r>
        <w:rPr>
          <w:rFonts w:eastAsia="IRNazanin" w:cs="IRNazanin"/>
          <w:color w:val="111111"/>
          <w:sz w:val="28"/>
          <w:szCs w:val="28"/>
          <w:rtl w:val="true"/>
          <w:lang w:bidi="fa-IR"/>
        </w:rPr>
        <w:t>».</w:t>
      </w:r>
      <w:r>
        <w:rPr>
          <w:rStyle w:val="FootnoteAnchor"/>
          <w:rtl w:val="true"/>
        </w:rPr>
        <w:footnoteReference w:id="4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اعتبر الاستدلال بهذه الرواية مع القول بعدم الفصل تامّاً؛ إذ ليس هناك فقيهٌ يقول بإجزاء الأغسال المندوبة عن الوضوء باستثناء </w:t>
      </w:r>
    </w:p>
    <w:p>
      <w:pPr>
        <w:pStyle w:val="BookText"/>
        <w:rPr/>
      </w:pPr>
      <w:r>
        <w:rPr>
          <w:rFonts w:ascii="Amiri" w:hAnsi="Amiri" w:eastAsia="Amiri" w:cs="Amiri"/>
          <w:color w:val="111111"/>
          <w:sz w:val="28"/>
          <w:sz w:val="28"/>
          <w:szCs w:val="28"/>
          <w:rtl w:val="true"/>
          <w:lang w:bidi="ar-SA"/>
        </w:rPr>
        <w:t>غسل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بهذه الرواية على القول المشهور، وإن كنّا لا نراه في كتب المتقدّمين إلّا نادراً، بيد أنّنا نجده في كتب متأخّري المتأخّرين،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السبزواري في الذخيرة،</w:t>
      </w:r>
      <w:r>
        <w:rPr>
          <w:rStyle w:val="FootnoteAnchor"/>
          <w:rtl w:val="true"/>
        </w:rPr>
        <w:footnoteReference w:id="44"/>
      </w:r>
      <w:r>
        <w:rPr>
          <w:rFonts w:ascii="Amiri" w:hAnsi="Amiri" w:eastAsia="Amiri" w:cs="Amiri"/>
          <w:color w:val="111111"/>
          <w:sz w:val="28"/>
          <w:sz w:val="28"/>
          <w:szCs w:val="28"/>
          <w:rtl w:val="true"/>
          <w:lang w:bidi="ar-SA"/>
        </w:rPr>
        <w:t>وصاحب الجواهر في جواهر الكلام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وعلى كلّ حالٍ، فإنّ الاستدلال بهذه الرواية ينطوي على إشكال من ناحية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مجهولة بوجود سليمان بن حسين في سندها؛ لعدم بيان حاله من حيث التوثيق أو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بعض الفقهاء الحمل على الاستحباب في الرواية، كما قال المرحوم الخونساري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القدح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الاستحباب، مع أنّه مخصوص بغسل الجمعة</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هذا الاستدلال قابل للنقاش؛ إذ مع وجود ألفاظ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w:t>
      </w:r>
    </w:p>
    <w:p>
      <w:pPr>
        <w:pStyle w:val="BookText"/>
        <w:rPr/>
      </w:pPr>
      <w:r>
        <w:rPr>
          <w:rFonts w:ascii="Amiri" w:hAnsi="Amiri" w:eastAsia="Amiri" w:cs="Amiri"/>
          <w:color w:val="111111"/>
          <w:sz w:val="28"/>
          <w:sz w:val="28"/>
          <w:szCs w:val="28"/>
          <w:rtl w:val="true"/>
          <w:lang w:bidi="ar-SA"/>
        </w:rPr>
        <w:t>لحمل الرواية على الاستحباب؛ لإمكان ظهور الأمر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الأمر بالغسل للجمعة ندبيّ، فإنّ وحدة السياق قرينة للحمل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الوضوء في غسل الجمعة وجوب شرطيّ، ينسجم مع الاستحباب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الوضوء والطهارة للصلاة المندوبة وجوب 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هذه الرواية على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لأنّ العامّة يقولون باستحباب الوضوء قبل غسل الجنابة،</w:t>
      </w:r>
      <w:r>
        <w:rPr>
          <w:rStyle w:val="FootnoteAnchor"/>
          <w:rtl w:val="true"/>
        </w:rPr>
        <w:footnoteReference w:id="47"/>
      </w:r>
      <w:r>
        <w:rPr>
          <w:rFonts w:ascii="Amiri" w:hAnsi="Amiri" w:eastAsia="Amiri" w:cs="Amiri"/>
          <w:color w:val="111111"/>
          <w:sz w:val="28"/>
          <w:sz w:val="28"/>
          <w:szCs w:val="28"/>
          <w:rtl w:val="true"/>
          <w:lang w:bidi="ar-SA"/>
        </w:rPr>
        <w:t>وفي بعض الفتاوى هناك قول بوجوب الوضوء في غسل الجنابة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قال المحقّق البحراني في الحدائق الناضرة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الأظهر عندي حمل الأخبار المذكورة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ابن أبي عُمير وعليّ بن يقطين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وكذا كلامه علیه السلام في الفقه الرضوي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وفي خاتمة البحث عن هذه الطائفة من الروايات، يجدر الالتفات بشكل خاصّ إلى كلام صاحب الوسائل، حيث أنّه يذكر الروايات التي يستدلّ بها القائلون بعدم الإجزاء في باب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الوضوء قبل الغسل في غير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أنّه لم يستفد منها وجوب الوضوء في سائر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العلّامة في المنتهى</w:t>
      </w:r>
      <w:r>
        <w:rPr>
          <w:rStyle w:val="FootnoteAnchor"/>
          <w:rtl w:val="true"/>
        </w:rPr>
        <w:footnoteReference w:id="51"/>
      </w:r>
      <w:r>
        <w:rPr>
          <w:rFonts w:ascii="Amiri" w:hAnsi="Amiri" w:eastAsia="Amiri" w:cs="Amiri"/>
          <w:color w:val="111111"/>
          <w:sz w:val="28"/>
          <w:sz w:val="28"/>
          <w:szCs w:val="28"/>
          <w:rtl w:val="true"/>
          <w:lang w:bidi="ar-SA"/>
        </w:rPr>
        <w:t>إلى اعتبار هذه الرواية مؤكّدة لدليل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ولأهميّة كلام صاحب الوسائل، نذكر فيما يلي نصّ عبارته، إذ يقول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عليّ بن يقطين و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موافقتهما للتقيّ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لا تصريح فيهما بالوجوب، بل حملهما 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بداعي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قريب جدّاً لما مرّ، ويحتمل الحمل على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ويحتمل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الإنكاري ويراد أنّه ليس في غير غسل الجنابة أيضاً وضوء، نصّاً على غير غسل </w:t>
      </w:r>
      <w:bookmarkStart w:id="57" w:name="pg9838_101053"/>
    </w:p>
    <w:p>
      <w:pPr>
        <w:pStyle w:val="BookText"/>
        <w:rPr/>
      </w:pPr>
      <w:bookmarkEnd w:id="57"/>
      <w:r>
        <w:rPr>
          <w:rFonts w:ascii="Amiri" w:hAnsi="Amiri" w:eastAsia="Amiri" w:cs="Amiri"/>
          <w:color w:val="111111"/>
          <w:sz w:val="28"/>
          <w:sz w:val="28"/>
          <w:szCs w:val="28"/>
          <w:rtl w:val="true"/>
          <w:lang w:bidi="ar-SA"/>
        </w:rPr>
        <w:t>الجنابة؛ لأنّه لا يحتاج إلى نصّ؛ لما علم من مذهبهم فيه</w:t>
      </w:r>
      <w:r>
        <w:rPr>
          <w:rFonts w:eastAsia="Amiri" w:cs="Amiri" w:ascii="Amiri" w:hAnsi="Amiri"/>
          <w:color w:val="111111"/>
          <w:sz w:val="28"/>
          <w:szCs w:val="28"/>
          <w:rtl w:val="true"/>
          <w:lang w:bidi="ar-SA"/>
        </w:rPr>
        <w:t>.</w:t>
      </w:r>
      <w:r>
        <w:rPr>
          <w:rStyle w:val="FootnoteAnchor"/>
          <w:rtl w:val="true"/>
        </w:rPr>
        <w:footnoteReference w:id="52"/>
      </w:r>
    </w:p>
    <w:p>
      <w:pPr>
        <w:pStyle w:val="Heading4"/>
        <w:numPr>
          <w:ilvl w:val="3"/>
          <w:numId w:val="1"/>
        </w:numPr>
        <w:rPr/>
      </w:pPr>
      <w:bookmarkStart w:id="58" w:name="__RefHeading___Toc9959396_2870459653"/>
      <w:bookmarkStart w:id="59" w:name="_Toc21"/>
      <w:bookmarkEnd w:id="58"/>
      <w:r>
        <w:rPr>
          <w:rtl w:val="true"/>
        </w:rPr>
        <w:t>ج</w:t>
      </w:r>
      <w:r>
        <w:rPr>
          <w:rtl w:val="true"/>
        </w:rPr>
        <w:t xml:space="preserve">) </w:t>
      </w:r>
      <w:r>
        <w:rPr>
          <w:rtl w:val="true"/>
        </w:rPr>
        <w:t>عموم الأخبارالدالّة على وجوب الوضوء في كلّ حدث</w:t>
      </w:r>
      <w:bookmarkEnd w:id="59"/>
    </w:p>
    <w:p>
      <w:pPr>
        <w:pStyle w:val="BookText"/>
        <w:rPr/>
      </w:pPr>
      <w:r>
        <w:rPr>
          <w:rFonts w:ascii="Amiri" w:hAnsi="Amiri" w:eastAsia="Amiri" w:cs="Amiri"/>
          <w:color w:val="111111"/>
          <w:sz w:val="28"/>
          <w:sz w:val="28"/>
          <w:szCs w:val="28"/>
          <w:rtl w:val="true"/>
          <w:lang w:bidi="ar-SA"/>
        </w:rPr>
        <w:t xml:space="preserve">والدليل الآخر الذي استند إليه المشهور، عموم الروايات الدالّة على وجوب الوضوء عند 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عموم هذه الروايات أنّ الحديث موجب للوضوء، ولا يحلّ محلّه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على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إنّما يتمّ إذا قلنا بأنّ الغسل غير رافع للحدث، ولكن سيتّضح من خلال الأدلّة التي سنأتي على ذكرها لاحقاً أنّ الغسل رافع للحدث، ولن تكون هناك حاجة إلى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التي سنأتي على ذكرها في القسم الثاني، مخصّصة لهذه العمومات</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9959398_2870459653"/>
      <w:bookmarkStart w:id="61" w:name="_Toc22"/>
      <w:bookmarkEnd w:id="60"/>
      <w:r>
        <w:rPr>
          <w:rtl w:val="true"/>
        </w:rPr>
        <w:t>د</w:t>
      </w:r>
      <w:r>
        <w:rPr>
          <w:rtl w:val="true"/>
        </w:rPr>
        <w:t xml:space="preserve">) </w:t>
      </w:r>
      <w:r>
        <w:rPr>
          <w:rtl w:val="true"/>
        </w:rPr>
        <w:t>أصل الاستصحاب</w:t>
      </w:r>
      <w:bookmarkEnd w:id="6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w:t>
      </w:r>
    </w:p>
    <w:p>
      <w:pPr>
        <w:pStyle w:val="BookText"/>
        <w:rPr/>
      </w:pPr>
      <w:r>
        <w:rPr>
          <w:rFonts w:ascii="Amiri" w:hAnsi="Amiri" w:eastAsia="Amiri" w:cs="Amiri"/>
          <w:color w:val="111111"/>
          <w:sz w:val="28"/>
          <w:sz w:val="28"/>
          <w:szCs w:val="28"/>
          <w:rtl w:val="true"/>
          <w:lang w:bidi="ar-SA"/>
        </w:rPr>
        <w:t>آخر، وهو عبارة عن استصحاب حرمة الدخول في الصلاة دون وضوء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قبل الغسل ممنوعٌ من الدخول في الصلاة، فكذا بعده؛ عملاً بالاستصحاب</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إنّما يصحّ إذا لم يكن هناك دليل على إجزاء الغسل عن الوضوء، ولكن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عدم إجزاء الغسل عن الوضوء مردودة، وفي المقابل، فإنّ أدلّة القائلين بإجزاء جميع الأغسال عن الوضوء أكثر إتقاناً وإحكاماً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رفع الحدث بواسطة الغسل، لايبقى موضع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الغسل ورفع الحدث، لايبقى هناك شكّ كي يشكل موضوعاً لاستصحاب الحكم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عندما يرد اليقين برفع الحدث، يكون هذا اليقين ناقضاً لليقين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المحقّق السبزواري هذا الجواب قائلاً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الاستصحاب يرتفع بالأدلّة</w:t>
      </w:r>
      <w:r>
        <w:rPr>
          <w:rFonts w:eastAsia="Amiri" w:cs="Amiri" w:ascii="Amiri" w:hAnsi="Amiri"/>
          <w:color w:val="111111"/>
          <w:sz w:val="28"/>
          <w:szCs w:val="28"/>
          <w:rtl w:val="true"/>
          <w:lang w:bidi="ar-SA"/>
        </w:rPr>
        <w:t>.</w:t>
      </w:r>
      <w:r>
        <w:rPr>
          <w:rStyle w:val="FootnoteAnchor"/>
          <w:rtl w:val="true"/>
        </w:rPr>
        <w:footnoteReference w:id="55"/>
      </w:r>
      <w:bookmarkStart w:id="62" w:name="pg9838_101055"/>
    </w:p>
    <w:p>
      <w:pPr>
        <w:pStyle w:val="BookText"/>
        <w:rPr/>
      </w:pPr>
      <w:bookmarkEnd w:id="62"/>
      <w:r>
        <w:rPr>
          <w:rFonts w:ascii="Amiri" w:hAnsi="Amiri" w:eastAsia="Amiri" w:cs="Amiri"/>
          <w:color w:val="111111"/>
          <w:sz w:val="28"/>
          <w:sz w:val="28"/>
          <w:szCs w:val="28"/>
          <w:rtl w:val="true"/>
          <w:lang w:bidi="ar-SA"/>
        </w:rPr>
        <w:t xml:space="preserve">وقال المرحوم الحاج رضا الهمداني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الاستدلال بالعمومات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الحدث، وقاعدة الشغل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على تقدير الخدشة في أدلّة السيّد وأتباعه</w:t>
      </w:r>
      <w:r>
        <w:rPr>
          <w:rFonts w:eastAsia="Amiri" w:cs="Amiri" w:ascii="Amiri" w:hAnsi="Amiri"/>
          <w:color w:val="111111"/>
          <w:sz w:val="28"/>
          <w:szCs w:val="28"/>
          <w:rtl w:val="true"/>
          <w:lang w:bidi="ar-SA"/>
        </w:rPr>
        <w:t>.</w:t>
      </w:r>
      <w:r>
        <w:rPr>
          <w:rStyle w:val="FootnoteAnchor"/>
          <w:rtl w:val="true"/>
        </w:rPr>
        <w:footnoteReference w:id="56"/>
      </w:r>
    </w:p>
    <w:p>
      <w:pPr>
        <w:pStyle w:val="Heading4"/>
        <w:numPr>
          <w:ilvl w:val="3"/>
          <w:numId w:val="1"/>
        </w:numPr>
        <w:rPr/>
      </w:pPr>
      <w:bookmarkStart w:id="63" w:name="__RefHeading___Toc9959400_2870459653"/>
      <w:bookmarkStart w:id="64" w:name="_Toc23"/>
      <w:bookmarkEnd w:id="63"/>
      <w:r>
        <w:rPr>
          <w:rtl w:val="true"/>
        </w:rPr>
        <w:t>ه</w:t>
      </w:r>
      <w:r>
        <w:rPr>
          <w:rtl w:val="true"/>
        </w:rPr>
        <w:t xml:space="preserve">) </w:t>
      </w:r>
      <w:r>
        <w:rPr>
          <w:rtl w:val="true"/>
        </w:rPr>
        <w:t>الشهرة</w:t>
      </w:r>
      <w:bookmarkEnd w:id="64"/>
    </w:p>
    <w:p>
      <w:pPr>
        <w:pStyle w:val="BookText"/>
        <w:rPr/>
      </w:pPr>
      <w:r>
        <w:rPr>
          <w:rFonts w:ascii="Amiri" w:hAnsi="Amiri" w:eastAsia="Amiri" w:cs="Amiri"/>
          <w:color w:val="111111"/>
          <w:sz w:val="28"/>
          <w:sz w:val="28"/>
          <w:szCs w:val="28"/>
          <w:rtl w:val="true"/>
          <w:lang w:bidi="ar-SA"/>
        </w:rPr>
        <w:t>قال بعض الفقهاء من أمثال الشهيد الأوّل بعد نقل أدلّة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أنّ الترجيح باعتبار الشهرة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ويكاد يكون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معارضة بمثلها وبما هو أصح إسناداً منها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فهو بعد مواجهة هذا التعارض، اعتبر الشهرة مرجّحاً وعمل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الفقهاء أفراد مثل المحقّق الخونساري في مشارق الشموس، والمرحوم النراقي في مستند الشيعة،</w:t>
      </w:r>
      <w:r>
        <w:rPr>
          <w:rStyle w:val="FootnoteAnchor"/>
          <w:rtl w:val="true"/>
        </w:rPr>
        <w:footnoteReference w:id="58"/>
      </w:r>
      <w:r>
        <w:rPr>
          <w:rFonts w:ascii="Amiri" w:hAnsi="Amiri" w:eastAsia="Amiri" w:cs="Amiri"/>
          <w:color w:val="111111"/>
          <w:sz w:val="28"/>
          <w:sz w:val="28"/>
          <w:szCs w:val="28"/>
          <w:rtl w:val="true"/>
          <w:lang w:bidi="ar-SA"/>
        </w:rPr>
        <w:t>من اعتبر الشهرة من الأدلّة، أو اعتبرها مرجّحة في مقام رفع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المرحوم الخونساري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ما هو الأظهر من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قول </w:t>
      </w:r>
    </w:p>
    <w:p>
      <w:p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مقتضى الاحتياط أن لا يترك الوضوء مع هذه الأغسال؛ للشهرة بين الأصحاب</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الإشكال على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الجواب عن مثل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إنّما تكون حجّة إذا كانت في الرواية، أمّا الشهرة الفتوائيّ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فلا يمكن أن تسعف الفقيه بوصفها حجّة ومرجّحة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البحراني بعد نقل كلام 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الترجيح بالشهرة في الفتوى لم يدلّ عليه دليل، وإنّما الشهرة الموجبة للترجيح بين الأخبار هي الشهره في الرواية، كما اشتملت عليه مقبولة عمر بن حنظلة وغيرها، وهو ثابت في جانب روايات 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القائلين بالإجزاء</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 الاعتراف في الكتب الأصوليّ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والقواعد الفقهيّ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عادة بهذه النقطة، وهي أنّ الشهرة الروائيّ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هي المرجّحة دون الشهرة القوليّ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Style w:val="FootnoteAnchor"/>
          <w:rtl w:val="true"/>
        </w:rPr>
        <w:footnoteReference w:id="61"/>
      </w:r>
      <w:bookmarkStart w:id="65" w:name="pg9838_101057"/>
    </w:p>
    <w:p>
      <w:pPr>
        <w:pStyle w:val="BookText"/>
        <w:rPr/>
      </w:pPr>
      <w:bookmarkEnd w:id="65"/>
      <w:r>
        <w:rPr>
          <w:rFonts w:ascii="IRNazanin" w:hAnsi="IRNazanin" w:eastAsia="IRNazanin"/>
          <w:color w:val="111111"/>
          <w:sz w:val="28"/>
          <w:sz w:val="28"/>
          <w:szCs w:val="28"/>
          <w:rtl w:val="true"/>
          <w:lang w:bidi="fa-IR"/>
        </w:rPr>
        <w:t>وبذلك يتّضح جيّداً أنّ تمسّك بعض الأصحاب بقول المشهور، وذلك اعتماداً على الشهرة بين الأصحاب، ليس صحيحاً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سيتّضح في الأبحاث القادمة أنّ روايات القائلين بالإجزاء أكثر، وذلك يُثبت أنّ نقلها أو الاستناد إليها بين الأئمّة علیهم السلام كان مشهوراً، وأنّ ما أفتى به الفقهاء وإن كان مشهوراً، بيد أنّه من الشهرة في الفتوى، ولا يكون باعثاً إلى الترجيح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وبطبيعة الحال فإنّ بعض الكبار من العلماء من أمثال سماحة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بحجيّ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الشهرة الفتوائيّ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وعدم اعتبار الشهرة الروائيّ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من المرجّحات،</w:t>
      </w:r>
      <w:r>
        <w:rPr>
          <w:rStyle w:val="FootnoteAnchor"/>
          <w:rtl w:val="true"/>
        </w:rPr>
        <w:footnoteReference w:id="62"/>
      </w:r>
      <w:r>
        <w:rPr>
          <w:rFonts w:ascii="Amiri" w:hAnsi="Amiri" w:eastAsia="Amiri" w:cs="Amiri"/>
          <w:color w:val="111111"/>
          <w:sz w:val="28"/>
          <w:sz w:val="28"/>
          <w:szCs w:val="28"/>
          <w:rtl w:val="true"/>
          <w:lang w:bidi="ar-SA"/>
        </w:rPr>
        <w:t>وهو أمر موضع نقاش من وجهة نظر سماحة آية الله العظمى الصانعي</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66" w:name="__RefHeading___Toc9959402_2870459653"/>
      <w:bookmarkStart w:id="67" w:name="_Toc24"/>
      <w:bookmarkEnd w:id="66"/>
      <w:r>
        <w:rPr>
          <w:rtl w:val="true"/>
        </w:rPr>
        <w:t>و</w:t>
      </w:r>
      <w:r>
        <w:rPr>
          <w:rtl w:val="true"/>
        </w:rPr>
        <w:t xml:space="preserve">) </w:t>
      </w:r>
      <w:r>
        <w:rPr>
          <w:rtl w:val="true"/>
        </w:rPr>
        <w:t>الدليل العقلي</w:t>
      </w:r>
      <w:bookmarkEnd w:id="67"/>
    </w:p>
    <w:p>
      <w:pPr>
        <w:pStyle w:val="BookText"/>
        <w:rPr/>
      </w:pPr>
      <w:r>
        <w:rPr>
          <w:rFonts w:ascii="Amiri" w:hAnsi="Amiri" w:eastAsia="Amiri" w:cs="Amiri"/>
          <w:color w:val="111111"/>
          <w:sz w:val="28"/>
          <w:sz w:val="28"/>
          <w:szCs w:val="28"/>
          <w:rtl w:val="true"/>
          <w:lang w:bidi="ar-SA"/>
        </w:rPr>
        <w:t>لقد ذكر المحقّق رحمه الله دليلاً مقتبساً من العقل؛ إذ يقول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واحد من الحدثين لو انفرد لأوجب حكمه ولا منافاة، وأمّا لو اجتمع حدثان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أصغر، وحدث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ظهور حكمهما، لكن ترك العمل بذلك في غسل الجنابة، فيبقى معمولاً به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سائر الأغسال الأخرى</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وبالالتفات إلى كون المحدّث البحراني من الإخباريين، ردّ على هذا الاستدلال بجوابين؛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توقيفيّ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ليس للعقول فيها مسرح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المرجع فيها إلى الكتاب العزيز والسنّ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الجائز الممكن أنّه وإن كان كلّ من الحدثين لو انفرد لأوجب حكمه إلّا أنّه بالاجتماع يندرج الأصغر تحت الأكبر كما في الجنابة، وكما خرجت الجنابة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غيرها بالأدلّة التي قدّمناها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القول غير المشهور، تخرج من هذه القاعدة، ولا حاجة إلى الوضوء فيها</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فإنّ الأدلّة التي أقامها القائلون بالإجزاء والتي سنأتي على ذكرها في القسم الثاني من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الدراسة، تجعل الأغسال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مجزية عن الوضوء</w:t>
      </w:r>
      <w:r>
        <w:rPr>
          <w:rFonts w:eastAsia="Amiri" w:cs="Amiri" w:ascii="Amiri" w:hAnsi="Amiri"/>
          <w:color w:val="111111"/>
          <w:sz w:val="28"/>
          <w:szCs w:val="28"/>
          <w:rtl w:val="true"/>
          <w:lang w:bidi="ar-SA"/>
        </w:rPr>
        <w:t xml:space="preserve">. </w:t>
      </w:r>
      <w:bookmarkStart w:id="68" w:name="pg9838_101060"/>
    </w:p>
    <w:p>
      <w:pPr>
        <w:pStyle w:val="Heading2"/>
        <w:numPr>
          <w:ilvl w:val="1"/>
          <w:numId w:val="1"/>
        </w:numPr>
        <w:rPr/>
      </w:pPr>
      <w:bookmarkStart w:id="69" w:name="__RefHeading___Toc9959404_2870459653"/>
      <w:bookmarkStart w:id="70" w:name="_Toc25"/>
      <w:bookmarkEnd w:id="68"/>
      <w:bookmarkEnd w:id="69"/>
      <w:r>
        <w:rPr>
          <w:rtl w:val="true"/>
        </w:rPr>
        <w:t>القسم الثاني</w:t>
      </w:r>
      <w:r>
        <w:rPr>
          <w:rtl w:val="true"/>
        </w:rPr>
        <w:t xml:space="preserve">: </w:t>
      </w:r>
      <w:r>
        <w:rPr>
          <w:rtl w:val="true"/>
        </w:rPr>
        <w:t>أدلّة القائلين بإجزاء الأغسال عن الوضوء</w:t>
      </w:r>
      <w:bookmarkEnd w:id="7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9959406_2870459653"/>
      <w:bookmarkStart w:id="72" w:name="_Toc26"/>
      <w:bookmarkEnd w:id="71"/>
      <w:r>
        <w:rPr>
          <w:rtl w:val="true"/>
        </w:rPr>
        <w:t>اشارة</w:t>
      </w:r>
      <w:bookmarkEnd w:id="7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9838_101062"/>
      <w:bookmarkStart w:id="74" w:name="pg9838_101062"/>
      <w:bookmarkEnd w:id="74"/>
    </w:p>
    <w:p>
      <w:pPr>
        <w:pStyle w:val="BookText"/>
        <w:rPr/>
      </w:pPr>
      <w:bookmarkStart w:id="75" w:name="pg9838_101062"/>
      <w:bookmarkEnd w:id="75"/>
      <w:r>
        <w:rPr>
          <w:rFonts w:ascii="Amiri" w:hAnsi="Amiri" w:eastAsia="Amiri" w:cs="Amiri"/>
          <w:color w:val="111111"/>
          <w:sz w:val="28"/>
          <w:sz w:val="28"/>
          <w:szCs w:val="28"/>
          <w:rtl w:val="true"/>
          <w:lang w:bidi="ar-SA"/>
        </w:rPr>
        <w:t>في هذا القسم نتناول بالدراسة أدلّة القائلين بإجزاء الأغسال عن الوضوء</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9959408_2870459653"/>
      <w:bookmarkStart w:id="77" w:name="_Toc27"/>
      <w:bookmarkEnd w:id="76"/>
      <w:r>
        <w:rPr>
          <w:rtl w:val="true"/>
        </w:rPr>
        <w:t>الفصل الأوّل</w:t>
      </w:r>
      <w:r>
        <w:rPr>
          <w:rtl w:val="true"/>
        </w:rPr>
        <w:t xml:space="preserve">: </w:t>
      </w:r>
      <w:r>
        <w:rPr>
          <w:rtl w:val="true"/>
        </w:rPr>
        <w:t>آراء الفقهاء</w:t>
      </w:r>
      <w:bookmarkEnd w:id="77"/>
    </w:p>
    <w:p>
      <w:pPr>
        <w:pStyle w:val="BookText"/>
        <w:rPr/>
      </w:pPr>
      <w:r>
        <w:rPr>
          <w:rFonts w:ascii="Amiri" w:hAnsi="Amiri" w:eastAsia="Amiri" w:cs="Amiri"/>
          <w:color w:val="111111"/>
          <w:sz w:val="28"/>
          <w:sz w:val="28"/>
          <w:szCs w:val="28"/>
          <w:rtl w:val="true"/>
          <w:lang w:bidi="ar-SA"/>
        </w:rPr>
        <w:t>نشير في هذا الفصل على التعريف ببعض الفقهاء القائلين بهذا القول؛ أي إجزاء الأغسال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بين الفقهاء القائلين بهذا الرأي السيّد المرتضى علم الهدى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الحلّي رحمه الله في هذا الشأن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علماؤنا في غير غسل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هل يجزي عن الوضوء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الغسل بجميع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w:t>
      </w:r>
    </w:p>
    <w:p>
      <w:pPr>
        <w:pStyle w:val="BookText"/>
        <w:rPr/>
      </w:pPr>
      <w:r>
        <w:rPr>
          <w:rFonts w:ascii="Amiri" w:hAnsi="Amiri" w:eastAsia="Amiri" w:cs="Amiri"/>
          <w:color w:val="111111"/>
          <w:sz w:val="28"/>
          <w:sz w:val="28"/>
          <w:szCs w:val="28"/>
          <w:rtl w:val="true"/>
          <w:lang w:bidi="ar-SA"/>
        </w:rPr>
        <w:t>عن الوضوء، وإن كان الغُسل مندوباً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كما أنّ ابن الجنيد مثله، فهو من القائلين بالإجزاء أيضاً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وقد ذهب كلّ من المحقّق الأردبيلي،</w:t>
      </w:r>
      <w:r>
        <w:rPr>
          <w:rStyle w:val="FootnoteAnchor"/>
          <w:rtl w:val="true"/>
        </w:rPr>
        <w:footnoteReference w:id="68"/>
      </w:r>
      <w:r>
        <w:rPr>
          <w:rFonts w:ascii="Amiri" w:hAnsi="Amiri" w:eastAsia="Amiri" w:cs="Amiri"/>
          <w:color w:val="111111"/>
          <w:sz w:val="28"/>
          <w:sz w:val="28"/>
          <w:szCs w:val="28"/>
          <w:rtl w:val="true"/>
          <w:lang w:bidi="ar-SA"/>
        </w:rPr>
        <w:t>والمرحوم العاملي،</w:t>
      </w:r>
      <w:r>
        <w:rPr>
          <w:rStyle w:val="FootnoteAnchor"/>
          <w:rtl w:val="true"/>
        </w:rPr>
        <w:footnoteReference w:id="69"/>
      </w:r>
      <w:r>
        <w:rPr>
          <w:rFonts w:ascii="Amiri" w:hAnsi="Amiri" w:eastAsia="Amiri" w:cs="Amiri"/>
          <w:color w:val="111111"/>
          <w:sz w:val="28"/>
          <w:sz w:val="28"/>
          <w:szCs w:val="28"/>
          <w:rtl w:val="true"/>
          <w:lang w:bidi="ar-SA"/>
        </w:rPr>
        <w:t>والمحقّق السبزواري،</w:t>
      </w:r>
      <w:r>
        <w:rPr>
          <w:rStyle w:val="FootnoteAnchor"/>
          <w:rtl w:val="true"/>
        </w:rPr>
        <w:footnoteReference w:id="70"/>
      </w:r>
      <w:r>
        <w:rPr>
          <w:rFonts w:ascii="Amiri" w:hAnsi="Amiri" w:eastAsia="Amiri" w:cs="Amiri"/>
          <w:color w:val="111111"/>
          <w:sz w:val="28"/>
          <w:sz w:val="28"/>
          <w:szCs w:val="28"/>
          <w:rtl w:val="true"/>
          <w:lang w:bidi="ar-SA"/>
        </w:rPr>
        <w:t>والمحدّث البحراني،</w:t>
      </w:r>
      <w:r>
        <w:rPr>
          <w:rStyle w:val="FootnoteAnchor"/>
          <w:rtl w:val="true"/>
        </w:rPr>
        <w:footnoteReference w:id="71"/>
      </w:r>
      <w:r>
        <w:rPr>
          <w:rFonts w:ascii="Amiri" w:hAnsi="Amiri" w:eastAsia="Amiri" w:cs="Amiri"/>
          <w:color w:val="111111"/>
          <w:sz w:val="28"/>
          <w:sz w:val="28"/>
          <w:szCs w:val="28"/>
          <w:rtl w:val="true"/>
          <w:lang w:bidi="ar-SA"/>
        </w:rPr>
        <w:t>والفيض الكاشاني</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كبار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بإجزاء الأغسال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الرأي المختار لسماحة آية الله العظمى الصانعي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لرأي هؤلاء الكبار الذين قالوا بهذا الرأي أيضاً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وجود علماء كبار بحجم السيّد المرتضى وابن الجنيد، لايبقى هناك موضع لادّعاء الإجماع من قبل المخالفين، وحتّى إذا تمّ الاستناد إلى ما ادّعاه الشيخ الصدوق،</w:t>
      </w:r>
      <w:r>
        <w:rPr>
          <w:rStyle w:val="FootnoteAnchor"/>
          <w:rtl w:val="true"/>
        </w:rPr>
        <w:footnoteReference w:id="73"/>
      </w:r>
      <w:r>
        <w:rPr>
          <w:rFonts w:ascii="Amiri" w:hAnsi="Amiri" w:eastAsia="Amiri" w:cs="Amiri"/>
          <w:color w:val="111111"/>
          <w:sz w:val="28"/>
          <w:sz w:val="28"/>
          <w:szCs w:val="28"/>
          <w:rtl w:val="true"/>
          <w:lang w:bidi="ar-SA"/>
        </w:rPr>
        <w:t>يمكن الإشكال بأنّ هذا النوع من الإجماعات لا يمكن الاعتبار به؛ لكونه مدركيّاً</w:t>
      </w:r>
      <w:r>
        <w:rPr>
          <w:rFonts w:eastAsia="Amiri" w:cs="Amiri" w:ascii="Amiri" w:hAnsi="Amiri"/>
          <w:color w:val="111111"/>
          <w:sz w:val="28"/>
          <w:szCs w:val="28"/>
          <w:rtl w:val="true"/>
          <w:lang w:bidi="ar-SA"/>
        </w:rPr>
        <w:t xml:space="preserve">. </w:t>
      </w:r>
      <w:bookmarkStart w:id="78" w:name="pg9838_101064"/>
    </w:p>
    <w:p>
      <w:pPr>
        <w:pStyle w:val="Heading3"/>
        <w:numPr>
          <w:ilvl w:val="2"/>
          <w:numId w:val="1"/>
        </w:numPr>
        <w:rPr/>
      </w:pPr>
      <w:bookmarkStart w:id="79" w:name="__RefHeading___Toc9959410_2870459653"/>
      <w:bookmarkStart w:id="80" w:name="_Toc28"/>
      <w:bookmarkEnd w:id="78"/>
      <w:bookmarkEnd w:id="79"/>
      <w:r>
        <w:rPr>
          <w:rtl w:val="true"/>
        </w:rPr>
        <w:t>الفصل الثاني</w:t>
      </w:r>
      <w:r>
        <w:rPr>
          <w:rtl w:val="true"/>
        </w:rPr>
        <w:t xml:space="preserve">: </w:t>
      </w:r>
      <w:r>
        <w:rPr>
          <w:rtl w:val="true"/>
        </w:rPr>
        <w:t>أدلّة القائلين بالإجزاء</w:t>
      </w:r>
      <w:bookmarkEnd w:id="80"/>
    </w:p>
    <w:p>
      <w:pPr>
        <w:pStyle w:val="Heading4"/>
        <w:numPr>
          <w:ilvl w:val="3"/>
          <w:numId w:val="1"/>
        </w:numPr>
        <w:rPr/>
      </w:pPr>
      <w:bookmarkStart w:id="81" w:name="__RefHeading___Toc9959412_2870459653"/>
      <w:bookmarkStart w:id="82" w:name="_Toc29"/>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إنّ الذي يجب قوله في مورد أدلّة القائلين بالإجزاء هو أنّ أدلّتهم من حيث عدد الروايات أكثر من الروايات المستدلّ بها لرأي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أن ذكرنا فإنّ من بين كبار العلماء من قال لهذا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كثرة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بالإجزاء هو الأرجح والأظهر، ولكنّه تبعاً للمشهور والتمسّك بالشهرة ارتضى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هذا الفصل يشتمل على بيان الأدلّة الدالّة على قول السيّد المرتضى، والقول المختار لسماحة الأستاذ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وعمدة هذه الأدلّة هي الروايات</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9959414_2870459653"/>
      <w:bookmarkStart w:id="84" w:name="_Toc30"/>
      <w:bookmarkEnd w:id="83"/>
      <w:r>
        <w:rPr>
          <w:rtl w:val="true"/>
        </w:rPr>
        <w:t>أ</w:t>
      </w:r>
      <w:r>
        <w:rPr>
          <w:rtl w:val="true"/>
        </w:rPr>
        <w:t xml:space="preserve">) </w:t>
      </w:r>
      <w:r>
        <w:rPr>
          <w:rtl w:val="true"/>
        </w:rPr>
        <w:t>الروايات</w:t>
      </w:r>
      <w:bookmarkEnd w:id="84"/>
    </w:p>
    <w:p>
      <w:pPr>
        <w:pStyle w:val="Heading5"/>
        <w:numPr>
          <w:ilvl w:val="4"/>
          <w:numId w:val="1"/>
        </w:numPr>
        <w:rPr/>
      </w:pPr>
      <w:bookmarkStart w:id="85" w:name="__RefHeading___Toc9959416_2870459653"/>
      <w:bookmarkStart w:id="86" w:name="_Toc31"/>
      <w:bookmarkEnd w:id="85"/>
      <w:r>
        <w:rPr>
          <w:rtl w:val="true"/>
        </w:rPr>
        <w:t>اشارة</w:t>
      </w:r>
      <w:bookmarkEnd w:id="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الروايات التي تمّ الاستدلال بها على القول بالإجزاء تنقسم إلى طائفتين،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إجزاء الغسل عن الوضوء بشكل منفرد، والطائفة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إجزاء الغسل عن الوضوء بشكل جمعيّ</w:t>
      </w:r>
      <w:r>
        <w:rPr>
          <w:rFonts w:eastAsia="Amiri" w:cs="Amiri" w:ascii="Amiri" w:hAnsi="Amiri"/>
          <w:color w:val="111111"/>
          <w:sz w:val="28"/>
          <w:szCs w:val="28"/>
          <w:rtl w:val="true"/>
          <w:lang w:bidi="ar-SA"/>
        </w:rPr>
        <w:t xml:space="preserve">. </w:t>
      </w:r>
      <w:bookmarkStart w:id="87" w:name="pg9838_101065"/>
    </w:p>
    <w:p>
      <w:pPr>
        <w:pStyle w:val="Heading5"/>
        <w:numPr>
          <w:ilvl w:val="4"/>
          <w:numId w:val="1"/>
        </w:numPr>
        <w:rPr/>
      </w:pPr>
      <w:bookmarkStart w:id="88" w:name="__RefHeading___Toc9959418_2870459653"/>
      <w:bookmarkStart w:id="89" w:name="_Toc32"/>
      <w:bookmarkEnd w:id="87"/>
      <w:bookmarkEnd w:id="88"/>
      <w:r>
        <w:rPr/>
        <w:t>1</w:t>
      </w:r>
      <w:r>
        <w:rPr>
          <w:rtl w:val="true"/>
        </w:rPr>
        <w:t xml:space="preserve"> - </w:t>
      </w:r>
      <w:r>
        <w:rPr>
          <w:rtl w:val="true"/>
        </w:rPr>
        <w:t>الأخبار المنفردة</w:t>
      </w:r>
      <w:r>
        <w:rPr>
          <w:rtl w:val="true"/>
        </w:rPr>
        <w:t>:</w:t>
      </w:r>
      <w:bookmarkEnd w:id="89"/>
    </w:p>
    <w:p>
      <w:pPr>
        <w:pStyle w:val="Heading5"/>
        <w:numPr>
          <w:ilvl w:val="4"/>
          <w:numId w:val="1"/>
        </w:numPr>
        <w:rPr/>
      </w:pPr>
      <w:bookmarkStart w:id="90" w:name="__RefHeading___Toc9959420_2870459653"/>
      <w:bookmarkStart w:id="91" w:name="_Toc33"/>
      <w:bookmarkEnd w:id="90"/>
      <w:r>
        <w:rPr/>
        <w:t>1</w:t>
      </w:r>
      <w:r>
        <w:rPr>
          <w:rtl w:val="true"/>
        </w:rPr>
        <w:t xml:space="preserve">- </w:t>
      </w:r>
      <w:r>
        <w:rPr/>
        <w:t>1</w:t>
      </w:r>
      <w:r>
        <w:rPr>
          <w:rtl w:val="true"/>
        </w:rPr>
        <w:t xml:space="preserve">) </w:t>
      </w:r>
      <w:r>
        <w:rPr>
          <w:rtl w:val="true"/>
        </w:rPr>
        <w:t>صحيحة محمّد بن مسلم</w:t>
      </w:r>
      <w:r>
        <w:rPr>
          <w:rtl w:val="true"/>
        </w:rPr>
        <w:t>:</w:t>
      </w:r>
      <w:bookmarkEnd w:id="91"/>
    </w:p>
    <w:p>
      <w:pPr>
        <w:pStyle w:val="BookText"/>
        <w:rPr/>
      </w:pPr>
      <w:r>
        <w:rPr>
          <w:rFonts w:ascii="IRNazanin" w:hAnsi="IRNazanin" w:eastAsia="IRNazanin"/>
          <w:color w:val="111111"/>
          <w:sz w:val="28"/>
          <w:sz w:val="28"/>
          <w:szCs w:val="28"/>
          <w:rtl w:val="true"/>
          <w:lang w:bidi="fa-IR"/>
        </w:rPr>
        <w:t>عن عبدالحميد بن عواض، عن محمّد بن مسلم،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يجزي عن الوضوء، وأيّ وضوء أطهر من الغسل</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إنّ الاستدلال بهذه الصحيحة واضح؛ لأنّ الإمام علیه السلام قد صرّح فيها بإنّ الغسل أطهر من الوضوء، بيد أنّ القائلين بعدم الإجزاء أشكلوا على الاستدلال بهذه الرواية بعدّة إشكالات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طُرح هذا الإشكال من قبل المحقّق الحلّي رحمه الله في كتاب المعتبر؛ إذ يقول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احتجّ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يجزي عن الوضوء، وأيّ وضوء أطهر من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روي من طرق عن الصادق علیه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بعد الغسل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خبرنا يتضمّن التفصيل، والعمل بالمفصّل أولى</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بمعنى أنّ الأخبار التي استدلّ بها المشهور من الفقهاء، قد فرّقت بين غسل الجنابة وغيره، وحكمت بالتفصيل، بيد أنّ الأخبار التي استدلّ بها القائل بالإجزاء لم تفصّل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بالالتفات إلى أرجحيّ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العمل بالأخبار المفصّلة على العمل بالأخبار غير المفصّلة، إذن لابدّ من العمل بالأخبار المفصّلة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 هذا الإشكال واضح؛ لأنّ الأخبار التي يستدلّ بها السيّد المرتضى لا تنحصر بهاتين الروايتين، ففي روايات مثل مكاتبة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للصلاة في غسل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أو رواية حمّاد بن عثمان، عن رجل، عن أبي عبدالله علیه السلام في الرجل يغتسل للجمعة أو غير ذلك، أ يُجزيه الوضوء؟ فقال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وضوء أطهر من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تمّ بيان الحكم بالتفصيل؛ إذ صرّح الإمام المعصوم علیه السلام أنّ الوضوء غير لازم في مطلق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ففي الروايات التي يستدلّ بها السيّد المرتضى هناك روايات مشتملة على التفصيل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تحمل عليها الروايات المفتقرة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التفصيل، مثل روايات محمّد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مجملة؛ إذ 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للعهد دون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هناك احتمالان فيها؛ فتكون مجملة من هذه الناحية، ولا يمكن الاستدلال بالرواية المجملة والأخذ بعمومها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هذا الإشكال يتّضح من الجواب عن الإشكال الأوّل؛ 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هناك احتمالين في هذه الرواية وأنّها مجملة، بيد أنّ دليلنا لا ينحصر في هذه الرواية، بل هناك روايات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حمّاد بن عثمان ومكاتبة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مجملة،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لاستغراق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يُستفاد منها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مسلم لاستغراق الجنس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الثالث طرحه العلّامة الحلّي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المنتهى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الألف واللام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يدلّان على الاستغراق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يحمل الألف واللام على العهد؛ </w:t>
      </w:r>
    </w:p>
    <w:p>
      <w:pPr>
        <w:pStyle w:val="BookText"/>
        <w:rPr/>
      </w:pPr>
      <w:r>
        <w:rPr>
          <w:rFonts w:ascii="Amiri" w:hAnsi="Amiri" w:eastAsia="Amiri" w:cs="Amiri"/>
          <w:color w:val="111111"/>
          <w:sz w:val="28"/>
          <w:sz w:val="28"/>
          <w:szCs w:val="28"/>
          <w:rtl w:val="true"/>
          <w:lang w:bidi="ar-SA"/>
        </w:rPr>
        <w:t>جمعاً بين الأدلّة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ومراده من العهد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الشهيد الثاني هذا الإشكال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بالغُسل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إجزاء جميع الأغسال عن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استناداً إلى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هذا اللام للجنس، وأنّ لام الجنس إذا دخل على اسمه أفاد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والمقدّمتان ممنوعتان؛ لإمكان حمل اللام على العهد ويراد به غسل الجنابة؛ جمعاً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سيأتي من الأخبار الدالّة على اختصاص الحكم بغسل الجنابة نصّاً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وفي الحقيقة فإنّ هذا أهمّ إشكال يرد على رواية محمّد بن مسلم والروايات الأخرى التي سنأتي على ذكرها قريباً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هذا الإشكال والإشكال السابق عدم </w:t>
      </w:r>
    </w:p>
    <w:p>
      <w:pPr>
        <w:pStyle w:val="BookText"/>
        <w:rPr/>
      </w:pPr>
      <w:r>
        <w:rPr>
          <w:rFonts w:ascii="Amiri" w:hAnsi="Amiri" w:eastAsia="Amiri" w:cs="Amiri"/>
          <w:color w:val="111111"/>
          <w:sz w:val="28"/>
          <w:sz w:val="28"/>
          <w:szCs w:val="28"/>
          <w:rtl w:val="true"/>
          <w:lang w:bidi="ar-SA"/>
        </w:rPr>
        <w:t>استفادة العموم من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يجزي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فارق أنّ عدم الإفادة في الإشكال الثاني من حيث الإجمال في الصحيحة، وأمّا في هذا الإشكال فمن طريق الحكم بعهديّ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الإشكال لا يقول المستشكلون إنّ الرواية مجملة، وإنّما يقولون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الذي يشير إلى غسل الجنابة، وليس جميع الأغسال بحسب ما تدّعونه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الإشكال عن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في جواب الإشكال،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يمكن أن تكون للعهد؛ إذ لم يرد ذكر لغُسل الجنابة في كلام الراوي ولا في كلام الإمام علیه السلام كي يتمّ الحمل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العهد الذهني لا يجدي في الحمل، ولا يكون مسوّغاً للحمل؛ إذ العهد الذهني لا ينافي بيان الغرض وإفادة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العلّة المذكورة في كلام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وضوء أطهر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ظهور في عموميّ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واستغراق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يجزي عن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لو قلنا 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العلّة المذكورة إنّما هو غُسل الجنابة، وجب أن يكون في غسل الجنابة بالأطهريّ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خصوصيّ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خاصّة تميّزه من </w:t>
      </w:r>
    </w:p>
    <w:p>
      <w:pPr>
        <w:pStyle w:val="BookText"/>
        <w:rPr/>
      </w:pPr>
      <w:r>
        <w:rPr>
          <w:rFonts w:ascii="IRNazanin" w:hAnsi="IRNazanin" w:eastAsia="IRNazanin"/>
          <w:color w:val="111111"/>
          <w:sz w:val="28"/>
          <w:sz w:val="28"/>
          <w:szCs w:val="28"/>
          <w:rtl w:val="true"/>
          <w:lang w:bidi="fa-IR"/>
        </w:rPr>
        <w:t>سائر الأغسال الأخرى، في حين ليس هناك قول أو دليل على وجود خصوصيّ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خاصّة في غُسل الجنابة في الاتّصاف بالأطهريّ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في مرسلة حمّاد بن عثمان عن إجزاء غسل الجمعة عن الوضوء، وليس فيها ذكر لغُسل الجنابة في السؤال، وقال الإمام علیه السلام في جواب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وضوء أطهر من الغسل؟</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الحلّي في كتاب مختلف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غسل الجنابة؛ إذ عند استعمال هذا اللفظ مطلقاً، يكون المراد غسل الجنابة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جواب الإشكال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الجواب عن هذا الادّعاء، نكتفي بكلام المحقّق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في جواب العلّامة الحلّي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غسل الحيض والاستحاضة لا يقصران في التكرار والشيوع عنه، فالحمل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محض</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نذكر جواباً مشتركاً في الردّ على </w:t>
      </w:r>
      <w:bookmarkStart w:id="92" w:name="pg9838_101071"/>
    </w:p>
    <w:p>
      <w:pPr>
        <w:pStyle w:val="BookText"/>
        <w:rPr/>
      </w:pPr>
      <w:bookmarkEnd w:id="92"/>
      <w:r>
        <w:rPr>
          <w:rFonts w:ascii="Amiri" w:hAnsi="Amiri" w:eastAsia="Amiri" w:cs="Amiri"/>
          <w:color w:val="111111"/>
          <w:sz w:val="28"/>
          <w:sz w:val="28"/>
          <w:szCs w:val="28"/>
          <w:rtl w:val="true"/>
          <w:lang w:bidi="ar-SA"/>
        </w:rPr>
        <w:t>جميع هذه الإشكالات، وهو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يجزي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عموم عرفي، وليس عموماً 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بمعنى أنّه كلّما واجه العرف هذه العمومات، فهم منها الشمول والعموم، من قبيل الفهم العرفي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اللهُ الْبَيْعَ وَحَرَّمَ الرِّبَا</w:t>
      </w:r>
      <w:r>
        <w:rPr>
          <w:rFonts w:ascii="IRNazanin" w:hAnsi="IRNazanin" w:eastAsia="IRNazanin"/>
          <w:color w:val="111111"/>
          <w:sz w:val="28"/>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بالنسبة إلى جميع العقود والمواثيق؛ إذ لو لم تدلّ هذه العمومات على العموم، لزم منه أن يكون كلام الشارع الحكيم مجملاً في مقام التشريع وبيان الأحكام، وهو خلاف الحكمة والتشريع</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9959422_2870459653"/>
      <w:bookmarkStart w:id="94" w:name="_Toc34"/>
      <w:bookmarkEnd w:id="93"/>
      <w:r>
        <w:rPr/>
        <w:t>2</w:t>
      </w:r>
      <w:r>
        <w:rPr>
          <w:rtl w:val="true"/>
        </w:rPr>
        <w:t xml:space="preserve">- </w:t>
      </w:r>
      <w:r>
        <w:rPr/>
        <w:t>1</w:t>
      </w:r>
      <w:r>
        <w:rPr>
          <w:rtl w:val="true"/>
        </w:rPr>
        <w:t xml:space="preserve">) </w:t>
      </w:r>
      <w:r>
        <w:rPr>
          <w:rtl w:val="true"/>
        </w:rPr>
        <w:t>صحيحة حكم بن حكيم</w:t>
      </w:r>
      <w:r>
        <w:rPr>
          <w:rtl w:val="true"/>
        </w:rPr>
        <w:t>:</w:t>
      </w:r>
      <w:bookmarkEnd w:id="94"/>
    </w:p>
    <w:p>
      <w:pPr>
        <w:pStyle w:val="BookText"/>
        <w:rPr/>
      </w:pPr>
      <w:r>
        <w:rPr>
          <w:rFonts w:ascii="IRNazanin" w:hAnsi="IRNazanin" w:eastAsia="IRNazanin"/>
          <w:color w:val="111111"/>
          <w:sz w:val="28"/>
          <w:sz w:val="28"/>
          <w:szCs w:val="28"/>
          <w:rtl w:val="true"/>
          <w:lang w:bidi="fa-IR"/>
        </w:rPr>
        <w:t>عن حمّاد بن عثمان، عن حكم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يتوضّأ وضوء الصلاة قبل الغسل، فضحك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وضوء أنقى من الغُسل وأبلغ؟</w:t>
      </w:r>
      <w:r>
        <w:rPr>
          <w:rFonts w:eastAsia="IRNazanin" w:cs="IRNazanin"/>
          <w:color w:val="111111"/>
          <w:sz w:val="28"/>
          <w:szCs w:val="28"/>
          <w:rtl w:val="true"/>
          <w:lang w:bidi="fa-IR"/>
        </w:rPr>
        <w:t>».</w:t>
      </w:r>
      <w:r>
        <w:rPr>
          <w:rStyle w:val="FootnoteAnchor"/>
          <w:rtl w:val="true"/>
        </w:rPr>
        <w:footnoteReference w:id="8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طريقة الاستدلال ومناقشة الانتقادات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جواب الإمام علیه السلام له ظهور في العموم، فهو شامل لجميع </w:t>
      </w:r>
      <w:bookmarkStart w:id="95" w:name="pg9838_101072"/>
    </w:p>
    <w:p>
      <w:pPr>
        <w:pStyle w:val="BookText"/>
        <w:rPr/>
      </w:pPr>
      <w:bookmarkEnd w:id="95"/>
      <w:r>
        <w:rPr>
          <w:rFonts w:ascii="IRNazanin" w:hAnsi="IRNazanin" w:eastAsia="IRNazanin"/>
          <w:color w:val="111111"/>
          <w:sz w:val="28"/>
          <w:sz w:val="28"/>
          <w:szCs w:val="28"/>
          <w:rtl w:val="true"/>
          <w:lang w:bidi="fa-IR"/>
        </w:rPr>
        <w:t>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أشكل بأنّ السؤال كان عن الجنابة، فيكون جواب الإمام علیه السلام مرتبطاً بغسل الجنابة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ثبت في محلّه أنّ المورد في السؤال لا يمكنه تخصيص العام الوارد في جواب الإمام علیه السلام ، وإنّ الإمام بدلاً من جواب السائل عن غسل الجنابة، قد أجابه بشكل عام مع ذكر دليل لا يمكن أن يقتصر على غسل الجنابة، يُثبت تعميم الحكم على جميع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أنّ السؤال خاصّ بغسل الجنابة، إلّا أنّ الذي يتمّ الاهتمام به هو عموميّ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جواب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القول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من الغسل في مثل هذه الموارد هو ماهيّته وليس خصوص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المورد غير مخصّص، ولا يمكن تخصيص العام لمجرّد السؤال عن مورد خاصّ</w:t>
      </w:r>
      <w:r>
        <w:rPr>
          <w:rFonts w:eastAsia="IRNazanin" w:cs="IRNazanin"/>
          <w:color w:val="111111"/>
          <w:sz w:val="28"/>
          <w:szCs w:val="28"/>
          <w:rtl w:val="true"/>
          <w:lang w:bidi="fa-IR"/>
        </w:rPr>
        <w:t>.</w:t>
      </w:r>
    </w:p>
    <w:p>
      <w:pPr>
        <w:pStyle w:val="Heading5"/>
        <w:numPr>
          <w:ilvl w:val="4"/>
          <w:numId w:val="1"/>
        </w:numPr>
        <w:rPr/>
      </w:pPr>
      <w:bookmarkStart w:id="96" w:name="__RefHeading___Toc9959424_2870459653"/>
      <w:bookmarkStart w:id="97" w:name="_Toc35"/>
      <w:bookmarkEnd w:id="96"/>
      <w:r>
        <w:rPr/>
        <w:t>3</w:t>
      </w:r>
      <w:r>
        <w:rPr>
          <w:rtl w:val="true"/>
        </w:rPr>
        <w:t xml:space="preserve">- </w:t>
      </w:r>
      <w:r>
        <w:rPr/>
        <w:t>1</w:t>
      </w:r>
      <w:r>
        <w:rPr>
          <w:rtl w:val="true"/>
        </w:rPr>
        <w:t xml:space="preserve">) </w:t>
      </w:r>
      <w:r>
        <w:rPr>
          <w:rtl w:val="true"/>
        </w:rPr>
        <w:t>مرسلة حمّاد بن عثمان</w:t>
      </w:r>
      <w:r>
        <w:rPr>
          <w:rtl w:val="true"/>
        </w:rPr>
        <w:t>:</w:t>
      </w:r>
      <w:bookmarkEnd w:id="9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الحسن بن عليّ بن فضّال، عن حمّاد بن عثمان، عن رجل، عن أبي عبدالله علیه السلام في الرجل يغتسل للجمعة، أو غير ذلك، أ يجزيه عن الوضوء؟ فقال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 </w:t>
      </w:r>
      <w:bookmarkStart w:id="98" w:name="pg9838_101073"/>
    </w:p>
    <w:p>
      <w:pPr>
        <w:pStyle w:val="BookText"/>
        <w:rPr/>
      </w:pPr>
      <w:bookmarkEnd w:id="98"/>
      <w:r>
        <w:rPr>
          <w:rFonts w:ascii="IRNazanin" w:hAnsi="IRNazanin" w:eastAsia="IRNazanin"/>
          <w:color w:val="111111"/>
          <w:sz w:val="28"/>
          <w:sz w:val="28"/>
          <w:szCs w:val="28"/>
          <w:rtl w:val="true"/>
          <w:lang w:bidi="fa-IR"/>
        </w:rPr>
        <w:t>وضوء أطهر من الغسل؟</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إنّ هذه المرسلة بالالتفات إلى أنّ السؤال فيها عن غسل الجمعة، وجواب الإمام علیه السلام فيها عام، تدلّ بوضوح على المطلوب، حيث ترى صراحة أنّ جميع الأغسال تجزي عن الوضوء؛ إذ السؤال في الأساس ليس عن غسل الجنابة، كي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جواب الإمام ناظر بدوره إلى غُسل الجنابة أيضاً، ولا عموميّ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السؤال عن غسل الجمعة، ولم يقل فقيه أنّ غسل الجنابة وغسل الجمعة وحدهما هما اللذان يجزيان عن الوضوء دون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تعميم حكم الإجزاء على كافة الأغسال في هذه المرسلة لا غبار عليه؛ وذلك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ليس عن غسل الجنابة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جواب الإمام ناظر بدوره إلى غسل الجنابة؛ فلا عموميّ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نستفد التعميم من جواب الإمام علیه السلام ، يجب القول على طبق هذه المرسلة بإجزاء خصوص غسل الجمعة وغسل الجنابة عن الوضوء، في حين لم يقل بهذا الحكم فقيه</w:t>
      </w:r>
      <w:r>
        <w:rPr>
          <w:rFonts w:eastAsia="IRNazanin" w:cs="IRNazanin"/>
          <w:color w:val="111111"/>
          <w:sz w:val="28"/>
          <w:szCs w:val="28"/>
          <w:rtl w:val="true"/>
          <w:lang w:bidi="fa-IR"/>
        </w:rPr>
        <w:t>.</w:t>
      </w:r>
    </w:p>
    <w:p>
      <w:pPr>
        <w:pStyle w:val="Heading5"/>
        <w:numPr>
          <w:ilvl w:val="4"/>
          <w:numId w:val="1"/>
        </w:numPr>
        <w:rPr/>
      </w:pPr>
      <w:bookmarkStart w:id="99" w:name="__RefHeading___Toc9959426_2870459653"/>
      <w:bookmarkStart w:id="100" w:name="_Toc36"/>
      <w:bookmarkEnd w:id="99"/>
      <w:r>
        <w:rPr/>
        <w:t>4</w:t>
      </w:r>
      <w:r>
        <w:rPr>
          <w:rtl w:val="true"/>
        </w:rPr>
        <w:t xml:space="preserve">- </w:t>
      </w:r>
      <w:r>
        <w:rPr/>
        <w:t>1</w:t>
      </w:r>
      <w:r>
        <w:rPr>
          <w:rtl w:val="true"/>
        </w:rPr>
        <w:t xml:space="preserve">) </w:t>
      </w:r>
      <w:r>
        <w:rPr>
          <w:rtl w:val="true"/>
        </w:rPr>
        <w:t>مكاتبة الهمداني</w:t>
      </w:r>
      <w:r>
        <w:rPr>
          <w:rtl w:val="true"/>
        </w:rPr>
        <w:t>:</w:t>
      </w:r>
      <w:bookmarkEnd w:id="10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إبراهيم بن محمّد، عن محمّد بن عبد </w:t>
      </w:r>
    </w:p>
    <w:p>
      <w:pPr>
        <w:pStyle w:val="BookText"/>
        <w:rPr/>
      </w:pPr>
      <w:r>
        <w:rPr>
          <w:rFonts w:ascii="IRNazanin" w:hAnsi="IRNazanin" w:eastAsia="IRNazanin"/>
          <w:color w:val="111111"/>
          <w:sz w:val="28"/>
          <w:sz w:val="28"/>
          <w:szCs w:val="28"/>
          <w:rtl w:val="true"/>
          <w:lang w:bidi="fa-IR"/>
        </w:rPr>
        <w:t xml:space="preserve">الرحمن الهمداني، كتب إلى أبي الحسن الثالث علیه السلام يسأله عن الوضوء للصلاة في غسل الجمعة؟ فكتب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وضوء للصلاة في غسل الجمعة ولا غيره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هناك إشكال في سند هذه الرواية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توثيق السند،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الإشكال في أنّ المكاتبة حجّة أم لا؟ أمّا من الجهة الأولى نشير إلى كلام العلّامة الحلّي؛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عليّ بن إبراهيم بن محمّد، عن جدّه إبراهيم، ولا يحضرني الآن حالهما، ومحمّد بن عبد الرحمن الهمداني لا أعرف حاله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بالالتفات إلى كلام العلّامة الحلّي فإنّ هذه الرواية تعاني من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ضعف السند لا يضرّ بمتنها؛ لأنّه يُعضد بروايات أخرى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من حيث المكاتبة، فلابدّ من الالتفات إلى أنّ الذي يمنح الحجيّ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لخبر الواحد هو بناء العقلاء، وهذا البناء لايختلف فيما لو كان الخبر منقولاً مشافهة أو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w:t>
      </w:r>
      <w:bookmarkStart w:id="101" w:name="pg9838_101075"/>
    </w:p>
    <w:p>
      <w:pPr>
        <w:pStyle w:val="BookText"/>
        <w:rPr/>
      </w:pPr>
      <w:bookmarkEnd w:id="101"/>
      <w:r>
        <w:rPr>
          <w:rFonts w:ascii="Amiri" w:hAnsi="Amiri" w:eastAsia="Amiri" w:cs="Amiri"/>
          <w:color w:val="111111"/>
          <w:sz w:val="28"/>
          <w:sz w:val="28"/>
          <w:szCs w:val="28"/>
          <w:rtl w:val="true"/>
          <w:lang w:bidi="ar-SA"/>
        </w:rPr>
        <w:t>أن يكون الخبر المنقول عبر المراسلة أو من طريق المشافهة والسماع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يعمل العرف بالخبر الواصل من طريق السمع، يعمل أيضاً بالخبر الواصل عبر الرسالة والكتابة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يُشكل بأنّ مراد الإمام علیه السلام من أنّ غسل الجمعة يغني عن الوضوء قبل حلول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جواب الإمام علیه السلام مقيّد بما قبل حلول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يقال في جوابه،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خلاف الظاهر من كلام الإمام علیه السلام ؛ إذ ليس هناك دليل على هذا التقييد، بل الدليل على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لم يرَ عدم الحاجة إلى الوضوء منحصراً بغُسل الجمعة فقط، بل أفاد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عدم الحاجة إلى الوضوء في سائر الأغسال الأخرى أيضاً</w:t>
      </w:r>
      <w:r>
        <w:rPr>
          <w:rFonts w:eastAsia="IRNazanin" w:cs="IRNazanin"/>
          <w:color w:val="111111"/>
          <w:sz w:val="28"/>
          <w:szCs w:val="28"/>
          <w:rtl w:val="true"/>
          <w:lang w:bidi="fa-IR"/>
        </w:rPr>
        <w:t>.</w:t>
      </w:r>
    </w:p>
    <w:p>
      <w:pPr>
        <w:pStyle w:val="Heading5"/>
        <w:numPr>
          <w:ilvl w:val="4"/>
          <w:numId w:val="1"/>
        </w:numPr>
        <w:rPr/>
      </w:pPr>
      <w:bookmarkStart w:id="102" w:name="__RefHeading___Toc9959428_2870459653"/>
      <w:bookmarkStart w:id="103" w:name="_Toc37"/>
      <w:bookmarkEnd w:id="102"/>
      <w:r>
        <w:rPr/>
        <w:t>5</w:t>
      </w:r>
      <w:r>
        <w:rPr>
          <w:rtl w:val="true"/>
        </w:rPr>
        <w:t xml:space="preserve"> -</w:t>
      </w:r>
      <w:r>
        <w:rPr/>
        <w:t>1</w:t>
      </w:r>
      <w:r>
        <w:rPr>
          <w:rtl w:val="true"/>
        </w:rPr>
        <w:t xml:space="preserve">) </w:t>
      </w:r>
      <w:r>
        <w:rPr>
          <w:rtl w:val="true"/>
        </w:rPr>
        <w:t>موثّقة عمّار الساباطي</w:t>
      </w:r>
      <w:r>
        <w:rPr>
          <w:rtl w:val="true"/>
        </w:rPr>
        <w:t>:</w:t>
      </w:r>
      <w:bookmarkEnd w:id="10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مصدق بن صدقة،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 السلام عن الرجل إذا اغتسل من جنابته، أو يوم جمعة، أو يوم عيد، هل عليه الوضوء قبل ذلك أو بعده؟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ليس عليه قبل ولا بعد، قد أجزأه الغسل</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والإشكال الوحيد الوارد على هذه الرواية من ناحية السند، يأتي من جهة فطحيّ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عمّار الساباطي، بيد أنّ علماء الرجال قد وثّقوه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الإشكالات الواردة على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هذه الموثّقة من وجهة نظر العلّامة الحلّي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الإشكال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إشكالان آخران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عموم في هذا الحديث، بل هو مرتبط بما قبل حلول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قال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وضوء قبل حلول وقت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أنّه لا وضوء للصلاة مع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أورد العلّامة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على كلامه، وحاصل الإشكال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عام، فتقييده بغير وقت الصلاة يخرجه عن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العلّامة الحلّي عن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العموم لدليل آخر، وهو ما يدلّ على وجوب الوضوء لكلّ صلاة</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هنا المنع من انعقاد العموم؛ سواء بواسطة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لعموم الرواية الشاملة </w:t>
      </w:r>
    </w:p>
    <w:p>
      <w:pPr>
        <w:pStyle w:val="BookText"/>
        <w:rPr/>
      </w:pPr>
      <w:r>
        <w:rPr>
          <w:rFonts w:ascii="Amiri" w:hAnsi="Amiri" w:eastAsia="Amiri" w:cs="Amiri"/>
          <w:color w:val="111111"/>
          <w:sz w:val="28"/>
          <w:sz w:val="28"/>
          <w:szCs w:val="28"/>
          <w:rtl w:val="true"/>
          <w:lang w:bidi="ar-SA"/>
        </w:rPr>
        <w:t>لعدّة أنواع من الأغسال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 الدالّ على وجوب الوضوء لكلّ صلاة قابل للتخصيص؛ لأنّ هذا العام قد تمّ تخصيصه بغسل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الموثّقة قام الإمام علیه السلام في جواب السؤال عن غسل الجمعة أو يوم العيد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جاءا في سياق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بنفي الوضوء بشكل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غسل الجنابة رافع لحكم وجوب الوضوء، كذلك هذان الغسلان الآخران يتساويان مع غسل الجنابة في الحكم المذكور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العلّامة الحلّي قدس سره الإشكال الثاني على هذه الموثّقة،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إجزاء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التعبّد به مع فعله، أمّا إنّه يجزئ عن الوضوء في الصلاة، فلا</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أجزأها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ليس عليه قبل ولا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بشكل مطلق على إجزاء الغسل عن الوضوء للصلاة ولغير الصلاة؛ إذ لو كانت هناك حاجة إلى الوضوء للصلاة، لقال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بعد الغسل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سؤال السائل كان في مورد الحاجة إلى الوض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وء مع الغس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وهل 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الغس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مع الوض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وء </w:t>
      </w:r>
      <w:bookmarkStart w:id="104" w:name="pg9838_101078"/>
    </w:p>
    <w:p>
      <w:pPr>
        <w:pStyle w:val="BookText"/>
        <w:rPr/>
      </w:pPr>
      <w:bookmarkEnd w:id="104"/>
      <w:r>
        <w:rPr>
          <w:rFonts w:ascii="IRNazanin" w:hAnsi="IRNazanin" w:eastAsia="IRNazanin"/>
          <w:color w:val="111111"/>
          <w:sz w:val="28"/>
          <w:sz w:val="28"/>
          <w:szCs w:val="28"/>
          <w:rtl w:val="true"/>
          <w:lang w:bidi="fa-IR"/>
        </w:rPr>
        <w:t>أم لا؟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هناك في الغسل حاجة إلى الوضوء أم لا ؟ 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إلى الوضوء مع الغسل أبداً؛ سواء قبله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هل يجب الوضوء للصلاة أم لا ؟ لا يمكن لهذه الرواية أن تثبته أو تنفيه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الإشكال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صاحب المستند</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وارد؛ لأنّ الحكم بالإجزاء متعلّق بمورد يكون فيه المكلّف مأموراً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عندما يقول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الغسل يجزئ عن الوضوء، يعني في المورد الذي يكون فيه المكلّف مأموراً بالوضوء</w:t>
      </w:r>
      <w:r>
        <w:rPr>
          <w:rFonts w:eastAsia="IRNazanin" w:cs="IRNazanin"/>
          <w:color w:val="111111"/>
          <w:sz w:val="28"/>
          <w:szCs w:val="28"/>
          <w:rtl w:val="true"/>
          <w:lang w:bidi="fa-IR"/>
        </w:rPr>
        <w:t>.</w:t>
      </w:r>
    </w:p>
    <w:p>
      <w:pPr>
        <w:pStyle w:val="Heading5"/>
        <w:numPr>
          <w:ilvl w:val="4"/>
          <w:numId w:val="1"/>
        </w:numPr>
        <w:rPr/>
      </w:pPr>
      <w:bookmarkStart w:id="105" w:name="__RefHeading___Toc9959430_2870459653"/>
      <w:bookmarkStart w:id="106" w:name="_Toc38"/>
      <w:bookmarkEnd w:id="105"/>
      <w:r>
        <w:rPr/>
        <w:t>6</w:t>
      </w:r>
      <w:r>
        <w:rPr>
          <w:rtl w:val="true"/>
        </w:rPr>
        <w:t xml:space="preserve"> - </w:t>
      </w:r>
      <w:r>
        <w:rPr/>
        <w:t>1</w:t>
      </w:r>
      <w:r>
        <w:rPr>
          <w:rtl w:val="true"/>
        </w:rPr>
        <w:t xml:space="preserve">) </w:t>
      </w:r>
      <w:r>
        <w:rPr>
          <w:rtl w:val="true"/>
        </w:rPr>
        <w:t>مرسلة الكليني</w:t>
      </w:r>
      <w:r>
        <w:rPr>
          <w:rtl w:val="true"/>
        </w:rPr>
        <w:t>:</w:t>
      </w:r>
      <w:bookmarkEnd w:id="106"/>
    </w:p>
    <w:p>
      <w:pPr>
        <w:pStyle w:val="BookText"/>
        <w:rPr/>
      </w:pPr>
      <w:r>
        <w:rPr>
          <w:rFonts w:ascii="Amiri" w:hAnsi="Amiri" w:eastAsia="Amiri" w:cs="Amiri"/>
          <w:color w:val="111111"/>
          <w:sz w:val="28"/>
          <w:sz w:val="28"/>
          <w:szCs w:val="28"/>
          <w:rtl w:val="true"/>
          <w:lang w:bidi="ar-SA"/>
        </w:rPr>
        <w:t xml:space="preserve">قال الشيخ الكليني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وضوء أطهر من الغسل؟</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تقدّم في صحيحة ابن مسلم، وصحيحة حكم، ومرسلة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تعليل، وهو تعليل له ظهور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العلّة المذكورة في هذه الروايات شاملة لجميع أنواع الأغسال</w:t>
      </w:r>
      <w:r>
        <w:rPr>
          <w:rFonts w:eastAsia="Amiri" w:cs="Amiri" w:ascii="Amiri" w:hAnsi="Amiri"/>
          <w:color w:val="111111"/>
          <w:sz w:val="28"/>
          <w:szCs w:val="28"/>
          <w:rtl w:val="true"/>
          <w:lang w:bidi="ar-SA"/>
        </w:rPr>
        <w:t xml:space="preserve">. </w:t>
      </w:r>
      <w:bookmarkStart w:id="107" w:name="pg9838_101079"/>
    </w:p>
    <w:p>
      <w:pPr>
        <w:pStyle w:val="Heading5"/>
        <w:numPr>
          <w:ilvl w:val="4"/>
          <w:numId w:val="1"/>
        </w:numPr>
        <w:rPr/>
      </w:pPr>
      <w:bookmarkStart w:id="108" w:name="__RefHeading___Toc9959432_2870459653"/>
      <w:bookmarkStart w:id="109" w:name="_Toc39"/>
      <w:bookmarkEnd w:id="107"/>
      <w:bookmarkEnd w:id="108"/>
      <w:r>
        <w:rPr/>
        <w:t>2</w:t>
      </w:r>
      <w:r>
        <w:rPr>
          <w:rtl w:val="true"/>
        </w:rPr>
        <w:t xml:space="preserve"> - </w:t>
      </w:r>
      <w:r>
        <w:rPr>
          <w:rtl w:val="true"/>
        </w:rPr>
        <w:t>الأخبار المنضمّة</w:t>
      </w:r>
      <w:r>
        <w:rPr>
          <w:rtl w:val="true"/>
        </w:rPr>
        <w:t>:</w:t>
      </w:r>
      <w:bookmarkEnd w:id="109"/>
    </w:p>
    <w:p>
      <w:pPr>
        <w:pStyle w:val="Heading5"/>
        <w:numPr>
          <w:ilvl w:val="4"/>
          <w:numId w:val="1"/>
        </w:numPr>
        <w:rPr/>
      </w:pPr>
      <w:bookmarkStart w:id="110" w:name="__RefHeading___Toc9959434_2870459653"/>
      <w:bookmarkStart w:id="111" w:name="_Toc40"/>
      <w:bookmarkEnd w:id="110"/>
      <w:r>
        <w:rPr/>
        <w:t>1</w:t>
      </w:r>
      <w:r>
        <w:rPr>
          <w:rtl w:val="true"/>
        </w:rPr>
        <w:t xml:space="preserve"> -</w:t>
      </w:r>
      <w:r>
        <w:rPr/>
        <w:t>2</w:t>
      </w:r>
      <w:r>
        <w:rPr>
          <w:rtl w:val="true"/>
        </w:rPr>
        <w:t xml:space="preserve">) </w:t>
      </w:r>
      <w:r>
        <w:rPr>
          <w:rtl w:val="true"/>
        </w:rPr>
        <w:t>الروايات الواردة في بحث الحيض والنفاس والاستحاضة</w:t>
      </w:r>
      <w:r>
        <w:rPr>
          <w:rtl w:val="true"/>
        </w:rPr>
        <w:t>:</w:t>
      </w:r>
      <w:bookmarkEnd w:id="11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جاز الدم لكرسف تعصّبت واغتسلت، ثمّ صلّت الغداة بغسل، والظهر والعصر بغسل</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عن ابن سنان،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تغتسل عند صلاة الظهر وتصلّي الظهر والعصر، ثمّ تغتسل عند المغرب وتصلّي المغرب والعشاء، ثمّ تغتسل عند الصبح وتصلّي الفجر</w:t>
      </w:r>
      <w:r>
        <w:rPr>
          <w:rFonts w:eastAsia="IRNazanin" w:cs="IRNazanin"/>
          <w:color w:val="111111"/>
          <w:sz w:val="28"/>
          <w:szCs w:val="28"/>
          <w:rtl w:val="true"/>
          <w:lang w:bidi="fa-IR"/>
        </w:rPr>
        <w:t>».</w:t>
      </w:r>
      <w:r>
        <w:rPr>
          <w:rStyle w:val="FootnoteAnchor"/>
          <w:rtl w:val="true"/>
        </w:rPr>
        <w:footnoteReference w:id="9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عن عبدالرحمن بن الحجّاج،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كانت صفرة فلتغتسل ولتصلّ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دماً ليس بصفرة، فلتمسّك عن الصلاة أيّام قرئها،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p>
    <w:p>
      <w:pPr>
        <w:pStyle w:val="BookText"/>
        <w:rPr/>
      </w:pPr>
      <w:r>
        <w:rPr>
          <w:rFonts w:ascii="Amiri" w:hAnsi="Amiri" w:eastAsia="Amiri" w:cs="Amiri"/>
          <w:color w:val="111111"/>
          <w:sz w:val="28"/>
          <w:sz w:val="28"/>
          <w:szCs w:val="28"/>
          <w:rtl w:val="true"/>
          <w:lang w:bidi="ar-SA"/>
        </w:rPr>
        <w:t>أيّام قرئها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لتغتسل ولتصلّ</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 عن الحسين بن نعيم الصحّاف،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انقطع الدم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تعد ترى دم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فلتغتسل ولتصلّ</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عيسى وابن أبي عُمير، عن معاوية بن عمّار،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جازت أيّامها ورأت الدم يثقب الكرسف، اغتسلت للظهر 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كان الدم لا يثقب الكرسف توضّأت ودخلت المسجد وصلّت كلّ صلاة بوضوء</w:t>
      </w:r>
      <w:r>
        <w:rPr>
          <w:rFonts w:eastAsia="IRNazanin" w:cs="IRNazanin"/>
          <w:color w:val="111111"/>
          <w:sz w:val="28"/>
          <w:szCs w:val="28"/>
          <w:rtl w:val="true"/>
          <w:lang w:bidi="fa-IR"/>
        </w:rPr>
        <w:t>».</w:t>
      </w:r>
      <w:r>
        <w:rPr>
          <w:rStyle w:val="FootnoteAnchor"/>
          <w:rtl w:val="true"/>
        </w:rPr>
        <w:footnoteReference w:id="9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عليّ بن يقطين،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الماضي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فإذا رقّ وكانت صفرة، اغتسلت وصلّت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شاذان، عن صفوان، عن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تغتسل وتستدخل قطنة وتجمع بين صلاتين بغسل</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طريقة الاستدلال بهذه الرواية على النحو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أغلب هذه الروايات قد صدرت في مقام البيان، فلو كانت هناك حاجة إلى الوضوء في الصلاة لتمّ بيان ذلك من قبل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في صحيحة معاوية بن عمّار أظهر من سائر الروايات؛ لأنّ الإمام علیه السلام في مورد اختراق الدم للكرسف قد حكم بالغسل والصلاة، وأمّا إذا لم يخرق الدم الكرسف، حكم بالوضوء والصلاة، فلو كان الوضوء في المورد الأوّل ضروريّاً لبيّنه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الأمر بالنسبة إلى صحيحة صفوان أيضاً، فيها صراحة في بيان الحكم؛ لأنّ أمر الإمام علیه السلام في الجمع بين الصلاتين بغسل واحد، صريح جدّاً في عدم الحاجة إلى الوضوء</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على الاستدلال بهذه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النراقي رحمه الله في الإشكال على هذه الطائفة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الظاهر من سياقها الحاجة إلى معرفة الرافع للأحداث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 والنفاس والاستحاضة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لا بيان غيره، ولذا لم يذكر فيها سائر شرائط الصلاة من ستر العورة والاستقبال وغيرهما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جواب إشكال صاحب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القول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 الروايات، ولا سيّما صحيحة معاوية بن عمّار، لها من الظهور الواضح، بحيث لا تبقي أيّ مجال للشكّ في أنّ الإمام علیه السلام في مقام بيان جميع أحكام الأحداث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أنّ سياقها مفتقر إلى معرفة رافع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بيد أنّ الإمام علیه السلام بعد بيان رافع الحدث، أمر مباشرة بالصلاة من دون الإشارة إلى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إشكالان مشتركان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العلّامة الحلّي في المنتهى</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الإشكال على 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إيراد إشكالين على سائر الروايات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سائر الروايات، باستثناء رواية محمّد بن مسلم تعاني من ضعف السند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تدلّ على </w:t>
      </w:r>
    </w:p>
    <w:p>
      <w:pPr>
        <w:pStyle w:val="BookText"/>
        <w:rPr/>
      </w:pPr>
      <w:r>
        <w:rPr>
          <w:rFonts w:ascii="Amiri" w:hAnsi="Amiri" w:eastAsia="Amiri" w:cs="Amiri"/>
          <w:color w:val="111111"/>
          <w:sz w:val="28"/>
          <w:sz w:val="28"/>
          <w:szCs w:val="28"/>
          <w:rtl w:val="true"/>
          <w:lang w:bidi="ar-SA"/>
        </w:rPr>
        <w:t xml:space="preserve">أنّ الغسل في بعض موارده،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حدّ ذاته رافع لجميع أنواع الحدث، ولا حاجة إلى ضمّ الوضوء إليه، وأمّا أن لا تكون الصلاة بحاجة إلى وضوء فإنّ هذه الروايات لا دلالة فيها على ذلك، وإنّما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دلّ الدليل الخاصّ على سقوط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لايحتاج إلى الوضوء لتحصيل الغرض، وأمّا الصلاة فهي تحتاج إلى وضوء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 صاحب الحدائق</w:t>
      </w:r>
      <w:r>
        <w:rPr>
          <w:rStyle w:val="FootnoteAnchor"/>
          <w:rtl w:val="true"/>
        </w:rPr>
        <w:footnoteReference w:id="104"/>
      </w:r>
      <w:r>
        <w:rPr>
          <w:rFonts w:ascii="Amiri" w:hAnsi="Amiri" w:eastAsia="Amiri" w:cs="Amiri"/>
          <w:color w:val="111111"/>
          <w:sz w:val="28"/>
          <w:sz w:val="28"/>
          <w:szCs w:val="28"/>
          <w:rtl w:val="true"/>
          <w:lang w:bidi="ar-SA"/>
        </w:rPr>
        <w:t>عن هذين الإشكالين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مورد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للعلّامة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أسّسوا لمصطلحات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والموثّق والضعيف وما إلى ذلك في سلسلة سند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احتاجوا إلى الاستدلال بهذا النوع من الروايات الضعيفة بحسب مصطلحهم فاستدلّوا بها وغضّوا الطرف عن ضعفها، ولولا ذلك لما أمكن لهؤلاء العلماء أن يؤلّفوا كلّ هذه الكتب، وإضافة الكثير من الفروع عليها؛ إذ لو كان الملاك على الاستدلال بخصوص الروايات الصحيحة فقط، فإنّ الروايات الصحيحة لا تشكل سوى عُشر الأحكام المذكورة في كتبهم</w:t>
      </w:r>
      <w:r>
        <w:rPr>
          <w:rFonts w:eastAsia="Amiri" w:cs="Amiri" w:ascii="Amiri" w:hAnsi="Amiri"/>
          <w:color w:val="111111"/>
          <w:sz w:val="28"/>
          <w:szCs w:val="28"/>
          <w:rtl w:val="true"/>
          <w:lang w:bidi="ar-SA"/>
        </w:rPr>
        <w:t xml:space="preserve">. </w:t>
      </w:r>
      <w:bookmarkStart w:id="112" w:name="pg9838_101084"/>
    </w:p>
    <w:p>
      <w:pPr>
        <w:pStyle w:val="BookText"/>
        <w:rPr/>
      </w:pPr>
      <w:bookmarkEnd w:id="112"/>
      <w:r>
        <w:rPr>
          <w:rFonts w:ascii="Amiri" w:hAnsi="Amiri" w:eastAsia="Amiri" w:cs="Amiri"/>
          <w:color w:val="111111"/>
          <w:sz w:val="28"/>
          <w:sz w:val="28"/>
          <w:szCs w:val="28"/>
          <w:rtl w:val="true"/>
          <w:lang w:bidi="ar-SA"/>
        </w:rPr>
        <w:t>وبالإضافة إلى جواب المحدّث البحراني قدس سره ،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بين هذه الروايات، روايات موثّقة أيضاً، وهي تكفي للاستدلال، وليس كلّها ضعيفة السند، كما سبق أن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بالنسبة إلى الإشكال الثاني، فقد قال المحدّث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الكلام غير صحيح؛ لأنّ الإمام علیه السلام قال في مكاتبة الهمداني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للصلاة غير واجب لا في غسل الجمعة ولا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كلامكم هذا ادّعاء في قبال النصّ</w:t>
      </w:r>
      <w:r>
        <w:rPr>
          <w:rFonts w:eastAsia="IRNazanin" w:cs="IRNazanin"/>
          <w:color w:val="111111"/>
          <w:sz w:val="28"/>
          <w:szCs w:val="28"/>
          <w:rtl w:val="true"/>
          <w:lang w:bidi="fa-IR"/>
        </w:rPr>
        <w:t>.</w:t>
      </w:r>
    </w:p>
    <w:p>
      <w:pPr>
        <w:pStyle w:val="Heading5"/>
        <w:numPr>
          <w:ilvl w:val="4"/>
          <w:numId w:val="1"/>
        </w:numPr>
        <w:rPr/>
      </w:pPr>
      <w:bookmarkStart w:id="113" w:name="__RefHeading___Toc9959436_2870459653"/>
      <w:bookmarkStart w:id="114" w:name="_Toc41"/>
      <w:bookmarkEnd w:id="113"/>
      <w:r>
        <w:rPr/>
        <w:t>2</w:t>
      </w:r>
      <w:r>
        <w:rPr>
          <w:rtl w:val="true"/>
        </w:rPr>
        <w:t xml:space="preserve"> -</w:t>
      </w:r>
      <w:r>
        <w:rPr/>
        <w:t>2</w:t>
      </w:r>
      <w:r>
        <w:rPr>
          <w:rtl w:val="true"/>
        </w:rPr>
        <w:t xml:space="preserve">) </w:t>
      </w:r>
      <w:r>
        <w:rPr>
          <w:rtl w:val="true"/>
        </w:rPr>
        <w:t>رواية أبي الصامت في باب غسل الزيارة</w:t>
      </w:r>
      <w:r>
        <w:rPr>
          <w:rtl w:val="true"/>
        </w:rPr>
        <w:t>:</w:t>
      </w:r>
      <w:bookmarkEnd w:id="11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المكفوف، عن أبي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قبر الحسين علیه السلام ماشياً كتب الله له بكلّ خطوة ألف حسنة، ومحا عنه ألف 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ئة، ورفع له ألف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أتيت الفرات فاغتسل وعلّق نعليك وامش حافياً، وامش مشي العبد الذليل، فإذا أتيت باب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أربعاً، ثمّ امش قليلاً، ثمّ كبّر أربعاً، ثمّ ائت رأسه فقف عليه فكبّر أربعاً وصلّ عنده، </w:t>
      </w:r>
    </w:p>
    <w:p>
      <w:pPr>
        <w:pStyle w:val="BookText"/>
        <w:rPr/>
      </w:pPr>
      <w:r>
        <w:rPr>
          <w:rFonts w:ascii="Amiri" w:hAnsi="Amiri" w:eastAsia="Amiri" w:cs="Amiri"/>
          <w:color w:val="111111"/>
          <w:sz w:val="28"/>
          <w:sz w:val="28"/>
          <w:szCs w:val="28"/>
          <w:rtl w:val="true"/>
          <w:lang w:bidi="ar-SA"/>
        </w:rPr>
        <w:t>وأسأل الله حاجتك</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غسل الزيارة من الأمور التي تمّ التأكيد على استحبابها، وقد تمّ اعتباره في هذه الرواية مجزياً عن الوضوء، وذلك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قد أمر بالغسل والصلاة، ولم يأت في كلامه على ذكر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الغسل رافعاً للحدث، لما جاز الأمر بالصلاة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أبي الصامت وجابر المكفوف في سند هذه الرواية يوجب ضعفها؛ لأنّهما مجهولان، إلّا أنّه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هذان الراويان في سلسلة أسانيد كامل الزيارات، وقد عمد ابن قولويه رحمه الله في مقدّمة هذا الكتاب إلى توثيق جميع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يخرج هذان الراويان عن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عبارة ابن قولويه بشأن توثيق رواة الأحاديث المنقولة في كتاب كامل الزيارات؛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وقع لنا من جهة الثقات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أخرجت فيه حديثاً روي عن الشذاذ من الرجال</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بحث في الكتب الرجاليّ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حول هذا النوع </w:t>
      </w:r>
      <w:bookmarkStart w:id="115" w:name="pg9838_101086"/>
    </w:p>
    <w:p>
      <w:pPr>
        <w:pStyle w:val="BookText"/>
        <w:rPr/>
      </w:pPr>
      <w:bookmarkEnd w:id="115"/>
      <w:r>
        <w:rPr>
          <w:rFonts w:ascii="Amiri" w:hAnsi="Amiri" w:eastAsia="Amiri" w:cs="Amiri"/>
          <w:color w:val="111111"/>
          <w:sz w:val="28"/>
          <w:sz w:val="28"/>
          <w:szCs w:val="28"/>
          <w:rtl w:val="true"/>
          <w:lang w:bidi="ar-SA"/>
        </w:rPr>
        <w:t xml:space="preserve">من 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بالنظر إلى صدوره من قبل أحد العلماء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كان هو مثل التوثيق الخاصّ الصادر عن علماء الرجال من أمثال النجاشي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كبار علماء الرجال المتأخّرون من أمثال المحدّث النوري في هذا الشأن إلى كفاية التوثيق الصادر عن ابن قولويه، 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ابن قولويه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توثيق كلّ من رواه عنه فيه، بل كونه من المشهورين بالحديث والعلم، ولا فرق في التوثيق بين النصّ على أحد بخصوصه أو توثيق جمع محصورين بعنوان خاصّ، وكفى بمثل هذا الشيخ مزكياً ومعدلاً</w:t>
      </w:r>
      <w:r>
        <w:rPr>
          <w:rFonts w:eastAsia="Amiri" w:cs="Amiri" w:ascii="Amiri" w:hAnsi="Amiri"/>
          <w:color w:val="111111"/>
          <w:sz w:val="28"/>
          <w:szCs w:val="28"/>
          <w:rtl w:val="true"/>
          <w:lang w:bidi="ar-SA"/>
        </w:rPr>
        <w:t>.</w:t>
      </w:r>
      <w:r>
        <w:rPr>
          <w:rStyle w:val="FootnoteAnchor"/>
          <w:rtl w:val="true"/>
        </w:rPr>
        <w:footnoteReference w:id="107"/>
      </w:r>
    </w:p>
    <w:p>
      <w:pPr>
        <w:pStyle w:val="Heading5"/>
        <w:numPr>
          <w:ilvl w:val="4"/>
          <w:numId w:val="1"/>
        </w:numPr>
        <w:rPr/>
      </w:pPr>
      <w:bookmarkStart w:id="116" w:name="__RefHeading___Toc9959438_2870459653"/>
      <w:bookmarkStart w:id="117" w:name="_Toc42"/>
      <w:bookmarkEnd w:id="116"/>
      <w:r>
        <w:rPr/>
        <w:t>3</w:t>
      </w:r>
      <w:r>
        <w:rPr>
          <w:rtl w:val="true"/>
        </w:rPr>
        <w:t xml:space="preserve"> -</w:t>
      </w:r>
      <w:r>
        <w:rPr/>
        <w:t>2</w:t>
      </w:r>
      <w:r>
        <w:rPr>
          <w:rtl w:val="true"/>
        </w:rPr>
        <w:t xml:space="preserve">) </w:t>
      </w:r>
      <w:r>
        <w:rPr>
          <w:rtl w:val="true"/>
        </w:rPr>
        <w:t>الروايات في باب صلاة الحاجة</w:t>
      </w:r>
      <w:r>
        <w:rPr>
          <w:rtl w:val="true"/>
        </w:rPr>
        <w:t>:</w:t>
      </w:r>
      <w:bookmarkEnd w:id="11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الإشارة إلى ما يُشبه هذه الرواية في الروايات الواردة في صلاة الحاجة؛ إذ تمّ الاكتفاء فيها بالغسل لأداء صلاة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بالذكر أنّ هذا الوجه وسائر الوجوه التي أشار إليها صاحب الذخيرة،</w:t>
      </w:r>
      <w:r>
        <w:rPr>
          <w:rStyle w:val="FootnoteAnchor"/>
          <w:rtl w:val="true"/>
        </w:rPr>
        <w:footnoteReference w:id="108"/>
      </w:r>
      <w:r>
        <w:rPr>
          <w:rFonts w:ascii="Amiri" w:hAnsi="Amiri" w:eastAsia="Amiri" w:cs="Amiri"/>
          <w:color w:val="111111"/>
          <w:sz w:val="28"/>
          <w:sz w:val="28"/>
          <w:szCs w:val="28"/>
          <w:rtl w:val="true"/>
          <w:lang w:bidi="ar-SA"/>
        </w:rPr>
        <w:t xml:space="preserve">يمكن لها أن تذكر بوصفها من المؤيّدات دون الأدلّة؛ </w:t>
      </w:r>
    </w:p>
    <w:p>
      <w:pPr>
        <w:pStyle w:val="BookText"/>
        <w:rPr/>
      </w:pPr>
      <w:r>
        <w:rPr>
          <w:rFonts w:ascii="Amiri" w:hAnsi="Amiri" w:eastAsia="Amiri" w:cs="Amiri"/>
          <w:color w:val="111111"/>
          <w:sz w:val="28"/>
          <w:sz w:val="28"/>
          <w:szCs w:val="28"/>
          <w:rtl w:val="true"/>
          <w:lang w:bidi="ar-SA"/>
        </w:rPr>
        <w:t>لوجود إشكالات من حيث الدلالة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نشير فيما يلي إلى بعضها تيمّناً وتبرّكاً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معاوية بن وهب، عن زرارة، عن أبي عبدالله علیه السلام ، قال في الأمر يطلبه الطالب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فإذا كان الليل اغتسلت في الثلث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تصلّي ركعتين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القندي، عن عبدالرحيم القصير،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علیه 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اخترعت دعاءً،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دعني من اختراعك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بك أمر فافزع إلى رسول الله صلي الله عليه و آله، وصلّ ركعتين تهديهما إلى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تغتسل وتصلّي ركعتين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r>
        <w:rPr>
          <w:rStyle w:val="FootnoteAnchor"/>
          <w:rtl w:val="true"/>
        </w:rPr>
        <w:footnoteReference w:id="11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دويل، عن مقاتل بن مقاتل،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دعاءً لقضاء الحوائج،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كانت لك حاجة </w:t>
      </w:r>
    </w:p>
    <w:p>
      <w:pPr>
        <w:pStyle w:val="BookText"/>
        <w:rPr/>
      </w:pPr>
      <w:r>
        <w:rPr>
          <w:rFonts w:ascii="Amiri" w:hAnsi="Amiri" w:eastAsia="Amiri" w:cs="Amiri"/>
          <w:color w:val="111111"/>
          <w:sz w:val="28"/>
          <w:sz w:val="28"/>
          <w:szCs w:val="28"/>
          <w:rtl w:val="true"/>
          <w:lang w:bidi="ar-SA"/>
        </w:rPr>
        <w:t xml:space="preserve">إلى الله مهمّة فاغتسل والبس أنظف ثيابك وشمّ شيئاً من الطيب، ثمّ أبرز تحت السماء، فصلّ ركعتين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علیه السلام فدخلت عليه امرأة، فذكرت أنّها تركت ابنها وقد قالت</w:t>
      </w:r>
      <w:r>
        <w:rPr>
          <w:rStyle w:val="FootnoteAnchor"/>
          <w:rtl w:val="true"/>
        </w:rPr>
        <w:footnoteReference w:id="112"/>
      </w:r>
      <w:r>
        <w:rPr>
          <w:rFonts w:ascii="IRNazanin" w:hAnsi="IRNazanin" w:eastAsia="IRNazanin"/>
          <w:color w:val="111111"/>
          <w:sz w:val="28"/>
          <w:sz w:val="28"/>
          <w:szCs w:val="28"/>
          <w:rtl w:val="true"/>
          <w:lang w:bidi="fa-IR"/>
        </w:rPr>
        <w:t xml:space="preserve">بالملحفة على وجهه ميّتاً، فقال لها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لم يمت، فقومي فاذهبي إلى بيتك، فاغتسلي وصلّي ركعتين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إنّ الاستدلال بهذه الروايات شبيه بالاستدلال بروايات الدماء الثلاثة، حيث جاء الأمر بالصلاة بعد الأمر بالغسل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بأنّ هذا الغُسل خاصّ بصلاة الحاجة، وهي صلاة مندوبة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يُقال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عمومات من قبيل صحيحة زرارة عن الإمام الباقر علیه السلام ؛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bookmarkStart w:id="118" w:name="pg9838_101089"/>
    </w:p>
    <w:p>
      <w:pPr>
        <w:pStyle w:val="BookText"/>
        <w:rPr/>
      </w:pPr>
      <w:bookmarkEnd w:id="118"/>
      <w:r>
        <w:rPr>
          <w:rFonts w:ascii="Amiri" w:hAnsi="Amiri" w:eastAsia="Amiri" w:cs="Amiri"/>
          <w:color w:val="111111"/>
          <w:sz w:val="28"/>
          <w:sz w:val="28"/>
          <w:szCs w:val="28"/>
          <w:rtl w:val="true"/>
          <w:lang w:bidi="ar-SA"/>
        </w:rPr>
        <w:t>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شاملة للصلاة الواجبة والمستحبّ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وصلاة الحاجة وإن كانت مندوبة، إلّا أنّها تقع تحت عموم وشمول رواية زرارة</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9959440_2870459653"/>
      <w:bookmarkStart w:id="120" w:name="_Toc43"/>
      <w:bookmarkEnd w:id="119"/>
      <w:r>
        <w:rPr>
          <w:rtl w:val="true"/>
        </w:rPr>
        <w:t>ب</w:t>
      </w:r>
      <w:r>
        <w:rPr>
          <w:rtl w:val="true"/>
        </w:rPr>
        <w:t xml:space="preserve">) </w:t>
      </w:r>
      <w:r>
        <w:rPr>
          <w:rtl w:val="true"/>
        </w:rPr>
        <w:t>رفع الحدث بالغسل</w:t>
      </w:r>
      <w:bookmarkEnd w:id="120"/>
    </w:p>
    <w:p>
      <w:pPr>
        <w:pStyle w:val="BookText"/>
        <w:rPr/>
      </w:pPr>
      <w:r>
        <w:rPr>
          <w:rFonts w:ascii="Amiri" w:hAnsi="Amiri" w:eastAsia="Amiri" w:cs="Amiri"/>
          <w:color w:val="111111"/>
          <w:sz w:val="28"/>
          <w:sz w:val="28"/>
          <w:szCs w:val="28"/>
          <w:rtl w:val="true"/>
          <w:lang w:bidi="ar-SA"/>
        </w:rPr>
        <w:t>الدليل الآخر الذي يمكن إضافته إلى أدلّة القائلين بإجزاء الأغسال عن الوضوء،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تشريع الغسل من قبيل تشريع الوضوء؛ أي كما أنّ الوضوء رافع للحدث، كذلك الغُسل رافع للحدث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غسل الجنابة وغيره من الأغسال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المقدّس قد شرّع الوضوء والغُسل، بحيث يكون كلّ واحد منهما مجزياً عن الشيء الذي شُرّع من أجله، دون أن تكون هناك حاجة إلى ضمّ أحدهما إلى الآخر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يؤيّد ذلك الأغسال المندوبة التي تبطل وتنتقض بسبب النوم أو مطلق الحدث،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لم تكن هذه الأغسال رافعة للحدث، لما انتقضت بالحدث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الحلّي في مورد نقض الغسل بالحدث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 اغتسل للإحرام، ثمّ نام قبله استحبّ له إعادته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كما قال الصيمري رحمه الله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الأغسال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للفعل على قسمين؛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الغسل قبله، كالإحرام والطواف وزيارة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الحاجة والاستخارة والاستسقاء وقضاء الكسوف مع استيعاب القرص والترك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السبعة الأغسال يُستحبّ الغُسل قبل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أحدث بعد الغسل وقبل الفعل انتقض غسله واستحبّ إعادته</w:t>
      </w:r>
      <w:r>
        <w:rPr>
          <w:rFonts w:eastAsia="Amiri" w:cs="Amiri" w:ascii="Amiri" w:hAnsi="Amiri"/>
          <w:color w:val="111111"/>
          <w:sz w:val="28"/>
          <w:szCs w:val="28"/>
          <w:rtl w:val="true"/>
          <w:lang w:bidi="ar-SA"/>
        </w:rPr>
        <w:t>.</w:t>
      </w:r>
      <w:r>
        <w:rPr>
          <w:rStyle w:val="FootnoteAnchor"/>
          <w:rtl w:val="true"/>
        </w:rPr>
        <w:footnoteReference w:id="116"/>
      </w:r>
      <w:bookmarkStart w:id="121" w:name="pg9838_101091"/>
    </w:p>
    <w:p>
      <w:pPr>
        <w:pStyle w:val="Heading2"/>
        <w:numPr>
          <w:ilvl w:val="1"/>
          <w:numId w:val="1"/>
        </w:numPr>
        <w:rPr/>
      </w:pPr>
      <w:bookmarkStart w:id="122" w:name="__RefHeading___Toc9959442_2870459653"/>
      <w:bookmarkStart w:id="123" w:name="_Toc44"/>
      <w:bookmarkEnd w:id="121"/>
      <w:bookmarkEnd w:id="122"/>
      <w:r>
        <w:rPr>
          <w:rtl w:val="true"/>
        </w:rPr>
        <w:t>النتيجة</w:t>
      </w:r>
      <w:r>
        <w:rPr>
          <w:rtl w:val="true"/>
        </w:rPr>
        <w:t>:</w:t>
      </w:r>
      <w:bookmarkEnd w:id="12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بالالتفات إلى ما تقدّم فقد اتّضح أنّ أدلّة القائلين بإجزاء جميع الأغسال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السيّد المرتضى رحمه الله وآية الله العظمى الشيخ يوسف الصانعي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أقوى وأكثر بكثير من أدلّة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هذا الرأي هو الأنسب بما روي عن رسول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جئتكم بالشريعة السهلة السمحة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وقيام الدين الإسلامي على السهولة والتيسير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أنّه طبقاً للرأي المختار لسماحته والاستفتاءات المطروحة عليه، فإنّ إجزاء الغسل عن الوضوء وإن كان غير منحصر بغسل الجنابة، وطبقاً لما تمّ بيانه في هذا المقال من أنّ جميع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الواجبة </w:t>
      </w:r>
    </w:p>
    <w:p>
      <w:pPr>
        <w:pStyle w:val="BookText"/>
        <w:rPr/>
      </w:pPr>
      <w:r>
        <w:rPr>
          <w:rFonts w:ascii="Amiri" w:hAnsi="Amiri" w:eastAsia="Amiri" w:cs="Amiri"/>
          <w:color w:val="111111"/>
          <w:sz w:val="28"/>
          <w:sz w:val="28"/>
          <w:szCs w:val="28"/>
          <w:rtl w:val="true"/>
          <w:lang w:bidi="ar-SA"/>
        </w:rPr>
        <w:t xml:space="preserve">والمندوبة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عن الوضوء، إلّا أنّ الأغسال المستحبّة التي تجزي عن الوضوء هي خصوص الأغسال المنصوصة والتي تمّ التصريح باستحبابها في الروايات فقط</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زيارة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ورد استحبابهما في النصوص، فإنّهما لذلك يجزيان عن الوضوء، وأمّا إذا أراد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يغتسل ابتداءً لمطلق الاستحباب والكون على طهارة دون أن يكون في نيّته أيّ غسل واجب أو مستحبّ بعنوانه، فإنّ غسله هذا لن يكون مجزياً عن الوضوء</w:t>
      </w:r>
      <w:r>
        <w:rPr>
          <w:rFonts w:eastAsia="IRNazanin" w:cs="IRNazanin"/>
          <w:color w:val="111111"/>
          <w:sz w:val="28"/>
          <w:szCs w:val="28"/>
          <w:rtl w:val="true"/>
          <w:lang w:bidi="fa-IR"/>
        </w:rPr>
        <w:t>.</w:t>
      </w:r>
      <w:r>
        <w:rPr>
          <w:rStyle w:val="FootnoteAnchor"/>
          <w:rtl w:val="true"/>
        </w:rPr>
        <w:footnoteReference w:id="117"/>
      </w:r>
      <w:bookmarkStart w:id="124" w:name="pg9838_101093"/>
    </w:p>
    <w:p>
      <w:pPr>
        <w:pStyle w:val="Heading2"/>
        <w:numPr>
          <w:ilvl w:val="1"/>
          <w:numId w:val="1"/>
        </w:numPr>
        <w:rPr/>
      </w:pPr>
      <w:bookmarkStart w:id="125" w:name="__RefHeading___Toc9959444_2870459653"/>
      <w:bookmarkStart w:id="126" w:name="_Toc45"/>
      <w:bookmarkEnd w:id="124"/>
      <w:bookmarkEnd w:id="125"/>
      <w:r>
        <w:rPr>
          <w:rtl w:val="true"/>
        </w:rPr>
        <w:t>مصادر الكتاب</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الأحكام، محمّد بن عليّ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مكتبة معراجي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أجود التقريرات، السيّد أبوالقاسم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مطبوعات ديني،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محمّد بن 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دارالكتب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الأمالي، 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بعثت،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محمّد بن 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الفقهاء، الحسن بن يوسف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البيت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التعادل والترجيح،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تنظيم ونشر آثار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التنقيح الرائع في شرح المختصر النافع، المقداد بن عبدالله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آية الله المرعشي النجفي،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في شرح المقنعة، محمّد بن 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دارالكتب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انتشارات 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المستدرك، الميرزا الشيخ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البيت علیهم السلام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محمّد بن 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دفتر انتشارات 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دفتر انتشارات إسلامي،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ذخيرة المعاد في شرح إرشاد الأذهان، محمّد باقر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ذكرى الشيعة، محمّد بن مكي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انتشارات إسلامي،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في شرح إرشاد الأذهان،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بوستان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البيان في أحكام القرآن، أحمد بن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المكتبة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الحاوي لتحرير الفتاوي، محمّد بن منصور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دفتر انتشارات 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الكبير، عبدالرحمن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السيّد محمّد كاظم الطباطبائي، قم، منشورات ميثم التمار،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الرضا علیه السلام ، المنسوب إلى الإمام عليّ بن </w:t>
      </w:r>
    </w:p>
    <w:p>
      <w:pPr>
        <w:pStyle w:val="BookText"/>
        <w:rPr/>
      </w:pPr>
      <w:r>
        <w:rPr>
          <w:rFonts w:ascii="IRNazanin" w:hAnsi="IRNazanin" w:eastAsia="IRNazanin"/>
          <w:color w:val="111111"/>
          <w:sz w:val="28"/>
          <w:sz w:val="28"/>
          <w:szCs w:val="28"/>
          <w:rtl w:val="true"/>
          <w:lang w:bidi="fa-IR"/>
        </w:rPr>
        <w:t xml:space="preserve">موسى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الاستشهاد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مؤسّسة آل البيت علیهم السلام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محمّد عبدالرؤوف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دارالكتب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الفقهيّ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حسين الموسوي البجنوردي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الهادي علیه السلام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دارالكتب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الفقاهة،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الالتباس، مفلح بن حسن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العرفان، المق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داد بن عبدالله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في فقه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محمّد بن 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المكتبة المرتضويّ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الفائدة والبرهان في شرح إرشاد الأذهان، أحمد بن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نشر 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في أحكام الشريعة، 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بوستان كتاب،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النافع، جعفر بن 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مطبوعات ديني،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المدونة الكبرى،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 نشر السعادة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الأحكام في شرح شرائع الإسلام،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مؤسّسة آل البيت علیهم السلام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الشيعة في أحكام الشريعة، 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البيت علیهم السلام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الشموس في شرح الدروس، آغا حسين 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الفقيه، رضا بن محمّد هادي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المؤسّسة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المعتبر في شرح المختصر، جعفر بن حسن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سيّد الشهداء علیه السلام ، </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عبدالله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الشرائع، محمّد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مجمع الذخائر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محمّد بن محمّد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كنگره جهاني هزاره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الحسن بن 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في تحقيق المذهب، 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 مجمع البحوث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دفتر انتشارات 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محمّد بن 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دارالكتاب العربي،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نيل الأوطار، 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إلى تحصيل مسائل الشريعة، محمّد بن 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البيت علیهم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الوسيلة إلى نيل الفضيلة، محمّد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آية الله العظمى المرعشي النجفي،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الصدوق</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 في بيان علّة غسل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الأنصار كانت تعمل في نواضحها وأموالها، فإذا كان يوم الجمعة حضروا المسجد فتأذّى الناس بأرواح آباطهم وأجسادهم؛ فأمرهم رسول الله’ بالغسل، فجرت بذلك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أبواب الأغسال المسنونة، الباب السادس،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الطبرسي في مكارم الأخلاق بشأن أهميّ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الطهارة والنظافة،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ينظر في المرآة ويرجل جمّته ويتمشط، وربما نظر في الماء وسوى جمّته فيه، ولقد كان يتجمّل لأصحابه فضلاً عن تجمّله لأهله،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يحبّ من عبده إذا خرج إلى إخوانه أن يتهيّأ لهم ويتجمّل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أبواب أحكام الملابس، الباب الرابع،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باب كراهيّة الرهبانيّة وترك الباه،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ضمن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أبواب بقيّ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الصلوات المندوبة، الباب الرابع عشر،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في شرح إرشاد الأذهان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أبواب الجنابة، الباب الرابع والثلاثون،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أبواب الجنابة، الباب السادس والعشرون،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أبواب الجنابة، الباب الرابع والثلاثون،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أبواب الجنابة، الباب الرابع والثلاثون،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أبواب التيمّم، الباب الثامن عشر،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رواية ابن أذينة، عن ابن بكير،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عبدالله علیه السلام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قُمْتُمْ إِلَى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يعني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قُمْتُمْ إِلَى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قمتم من النوم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يَنقض النومُ الوضوءَ؟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إذا كان يغلب على السمع، ولا يسمع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أبواب نواقض الوضوء، الباب الثالث،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شرح إرشاد الأذهان ،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وبعده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أبواب الجنابة، الباب الخامس والثلاثون،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أبواب الجنابة، الباب الخامس والثلاثون،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في شرح إرشاد الأذهان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ابواب الجنابة، الباب الخامس و الثلاثون،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شرح إرشاد الأذهان ،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الشافعي في أحد أقواله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رواية عن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داوود و أبو 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يُجزيه سائر الغُسل عن الوضوء؛ لأنّ الغسل 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والوضوء فريضة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في تحقيق المذهب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أبواب الجنابة، الباب الخامس والثلاثون،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أبواب نواقض الوضوء،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شرح إرشاد الأذهان ،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التعادل والترجيح،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دروس سماحته، بحث التعادل والتراجيح</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شرح إرشاد الأذهان ،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أبواب الجنابة، الباب الثالث والثلاثون،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أبواب الجنابة، الباب الثالث والثلاثون،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أبواب الجنابة، الباب الثالث والثلاثون،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في تحقيق المذهب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في شرح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ذكرنا في بداية هذه الدراسة روايات القول المشهور، والتي هي عبارة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ابن أبي عُمير، ورواية حمّاد وغيرهما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أبواب الجنابة، الباب الثالث والثلاثون،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أبواب الجنابة، الباب الرابع والثلاثون،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أبواب الجنابة، الباب الثالث والثلاثون،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أبواب الجنابة، الباب الثالث والثلاثون،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في تحقيق المذهب،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أبواب الجنابة، الباب الثالث والثلاثون،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في أحكام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صفة الغسل والوضوء قبله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أبواب الجنابة، الباب الثالث والثلاثون،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النفساء،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أبواب الاستحاضة، الباب الأوّل،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أبواب الاستحاضة، الباب الأوّل،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أبواب النفاس، الباب الخامس،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أبواب الحيض، الباب الخامس،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أبواب الحيض، الباب الخامس،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أبواب النفاس، الباب الثالث،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أبواب الاستحاضة، الباب الأوّل،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في أحكام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في تحقيق المذهب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أبواب المزار، الباب الحادي والأربعون،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شرح إرشاد الأذهان،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باب صلاة الحوائج،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أبواب بقيّ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الصلوات المندوبة، الباب الثامن والعشرون،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باب صلاة الحوائج،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أبواب الأغسال المسنونة، الباب العشرون،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أبواب الأغسال المسنونة، الباب العشرون،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أشارت إلى وجهه بالملحفة أو ألقتها، فإنّ في معنى القول توسّعاً يطلق على معان كثيرة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باب صلاة الحوائج،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أبواب بقيّ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الصلاة المندوبة، الباب الرابع والعشرون،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أبواب أحكام الخلوة، الباب التاسع،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11187</Words>
  <Characters>49044</Characters>
  <CharactersWithSpaces>59720</CharactersWithSpaces>
  <Paragraphs>742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2026-08-20T21:11:32Z</dcterms:created>
  <dc:creator>ghaemiyeh.com</dc:creator>
  <dc:description/>
  <dc:language>en-US</dc:language>
  <cp:lastModifiedBy/>
  <dcterms:modified xsi:type="dcterms:W3CDTF">2026-08-21T00:41:34Z</dcterms:modified>
  <cp:revision>1</cp:revision>
  <dc:subject/>
  <dc:title>اجزاء الاغسال عن الوضوء طبقا لنظریات المرجع الدینی سماحه آیه العظمی الشیخ یوسف الصانعی دام ظله</dc:title>
</cp:coreProperties>
</file>

<file path=docProps/custom.xml><?xml version="1.0" encoding="utf-8"?>
<Properties xmlns="http://schemas.openxmlformats.org/officeDocument/2006/custom-properties" xmlns:vt="http://schemas.openxmlformats.org/officeDocument/2006/docPropsVTypes"/>
</file>