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أجوبة مسائل موسى جار الله ورسالة فی اللعن وفضل العلویین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98148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798150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798152_2870459653">
            <w:r>
              <w:rPr>
                <w:webHidden/>
                <w:rStyle w:val="IndexLink"/>
                <w:rtl w:val="true"/>
              </w:rPr>
              <w:t>مقدمة ناشر الطبعة الأولى</w:t>
            </w:r>
            <w:r>
              <w:rPr>
                <w:rStyle w:val="IndexLink"/>
                <w:rtl w:val="true"/>
              </w:rPr>
              <w:tab/>
            </w:r>
            <w:r>
              <w:rPr>
                <w:rStyle w:val="IndexLink"/>
              </w:rPr>
              <w:t>9</w:t>
            </w:r>
          </w:hyperlink>
        </w:p>
        <w:p>
          <w:pPr>
            <w:pStyle w:val="Contents2"/>
            <w:tabs>
              <w:tab w:val="clear" w:pos="8743"/>
              <w:tab w:val="right" w:pos="9026" w:leader="dot"/>
            </w:tabs>
            <w:rPr/>
          </w:pPr>
          <w:hyperlink w:anchor="__RefHeading___Toc8798154_2870459653">
            <w:r>
              <w:rPr>
                <w:webHidden/>
                <w:rStyle w:val="IndexLink"/>
                <w:rtl w:val="true"/>
              </w:rPr>
              <w:t>مقدمة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8798156_2870459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798158_2870459653">
            <w:r>
              <w:rPr>
                <w:webHidden/>
                <w:rStyle w:val="IndexLink"/>
                <w:rtl w:val="true"/>
              </w:rPr>
              <w:t xml:space="preserve">الردّ على مسائل موسى جار الله </w:t>
            </w:r>
            <w:r>
              <w:rPr>
                <w:rStyle w:val="IndexLink"/>
                <w:rtl w:val="true"/>
              </w:rPr>
              <w:t>:</w:t>
              <w:tab/>
            </w:r>
            <w:r>
              <w:rPr>
                <w:rStyle w:val="IndexLink"/>
              </w:rPr>
              <w:t>15</w:t>
            </w:r>
          </w:hyperlink>
        </w:p>
        <w:p>
          <w:pPr>
            <w:pStyle w:val="Contents3"/>
            <w:tabs>
              <w:tab w:val="clear" w:pos="8459"/>
              <w:tab w:val="right" w:pos="9026" w:leader="dot"/>
            </w:tabs>
            <w:rPr/>
          </w:pPr>
          <w:hyperlink w:anchor="__RefHeading___Toc8798160_2870459653">
            <w:r>
              <w:rPr>
                <w:webHidden/>
                <w:rStyle w:val="IndexLink"/>
                <w:rtl w:val="true"/>
              </w:rPr>
              <w:t>كتاب مسائل موسى جار الله</w:t>
            </w:r>
            <w:r>
              <w:rPr>
                <w:rStyle w:val="IndexLink"/>
                <w:rtl w:val="true"/>
              </w:rPr>
              <w:t>:</w:t>
              <w:tab/>
            </w:r>
            <w:r>
              <w:rPr>
                <w:rStyle w:val="IndexLink"/>
              </w:rPr>
              <w:t>16</w:t>
            </w:r>
          </w:hyperlink>
        </w:p>
        <w:p>
          <w:pPr>
            <w:pStyle w:val="Contents2"/>
            <w:tabs>
              <w:tab w:val="clear" w:pos="8743"/>
              <w:tab w:val="right" w:pos="9026" w:leader="dot"/>
            </w:tabs>
            <w:rPr/>
          </w:pPr>
          <w:hyperlink w:anchor="__RefHeading___Toc8798162_2870459653">
            <w:r>
              <w:rPr>
                <w:webHidden/>
                <w:rStyle w:val="IndexLink"/>
                <w:rtl w:val="true"/>
              </w:rPr>
              <w:t>ترجمة 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8798164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798166_2870459653">
            <w:r>
              <w:rPr>
                <w:webHidden/>
                <w:rStyle w:val="IndexLink"/>
                <w:rtl w:val="true"/>
              </w:rPr>
              <w:t>نشأته</w:t>
            </w:r>
            <w:r>
              <w:rPr>
                <w:rStyle w:val="IndexLink"/>
                <w:rtl w:val="true"/>
              </w:rPr>
              <w:t>:</w:t>
              <w:tab/>
            </w:r>
            <w:r>
              <w:rPr>
                <w:rStyle w:val="IndexLink"/>
              </w:rPr>
              <w:t>19</w:t>
            </w:r>
          </w:hyperlink>
        </w:p>
        <w:p>
          <w:pPr>
            <w:pStyle w:val="Contents3"/>
            <w:tabs>
              <w:tab w:val="clear" w:pos="8459"/>
              <w:tab w:val="right" w:pos="9026" w:leader="dot"/>
            </w:tabs>
            <w:rPr/>
          </w:pPr>
          <w:hyperlink w:anchor="__RefHeading___Toc8798168_2870459653">
            <w:r>
              <w:rPr>
                <w:webHidden/>
                <w:rStyle w:val="IndexLink"/>
                <w:rtl w:val="true"/>
              </w:rPr>
              <w:t>دروسه</w:t>
            </w:r>
            <w:r>
              <w:rPr>
                <w:rStyle w:val="IndexLink"/>
                <w:rtl w:val="true"/>
              </w:rPr>
              <w:t>:</w:t>
              <w:tab/>
            </w:r>
            <w:r>
              <w:rPr>
                <w:rStyle w:val="IndexLink"/>
              </w:rPr>
              <w:t>19</w:t>
            </w:r>
          </w:hyperlink>
        </w:p>
        <w:p>
          <w:pPr>
            <w:pStyle w:val="Contents3"/>
            <w:tabs>
              <w:tab w:val="clear" w:pos="8459"/>
              <w:tab w:val="right" w:pos="9026" w:leader="dot"/>
            </w:tabs>
            <w:rPr/>
          </w:pPr>
          <w:hyperlink w:anchor="__RefHeading___Toc8798170_2870459653">
            <w:r>
              <w:rPr>
                <w:webHidden/>
                <w:rStyle w:val="IndexLink"/>
                <w:rtl w:val="true"/>
              </w:rPr>
              <w:t>مؤلفاته</w:t>
            </w:r>
            <w:r>
              <w:rPr>
                <w:rStyle w:val="IndexLink"/>
                <w:rtl w:val="true"/>
              </w:rPr>
              <w:t>:</w:t>
              <w:tab/>
            </w:r>
            <w:r>
              <w:rPr>
                <w:rStyle w:val="IndexLink"/>
              </w:rPr>
              <w:t>20</w:t>
            </w:r>
          </w:hyperlink>
        </w:p>
        <w:p>
          <w:pPr>
            <w:pStyle w:val="Contents3"/>
            <w:tabs>
              <w:tab w:val="clear" w:pos="8459"/>
              <w:tab w:val="right" w:pos="9026" w:leader="dot"/>
            </w:tabs>
            <w:rPr/>
          </w:pPr>
          <w:hyperlink w:anchor="__RefHeading___Toc8798172_2870459653">
            <w:r>
              <w:rPr>
                <w:webHidden/>
                <w:rStyle w:val="IndexLink"/>
                <w:rtl w:val="true"/>
              </w:rPr>
              <w:t>وفاته</w:t>
            </w:r>
            <w:r>
              <w:rPr>
                <w:rStyle w:val="IndexLink"/>
                <w:rtl w:val="true"/>
              </w:rPr>
              <w:t>:</w:t>
              <w:tab/>
            </w:r>
            <w:r>
              <w:rPr>
                <w:rStyle w:val="IndexLink"/>
              </w:rPr>
              <w:t>20</w:t>
            </w:r>
          </w:hyperlink>
        </w:p>
        <w:p>
          <w:pPr>
            <w:pStyle w:val="Contents3"/>
            <w:tabs>
              <w:tab w:val="clear" w:pos="8459"/>
              <w:tab w:val="right" w:pos="9026" w:leader="dot"/>
            </w:tabs>
            <w:rPr/>
          </w:pPr>
          <w:hyperlink w:anchor="__RefHeading___Toc8798174_2870459653">
            <w:r>
              <w:rPr>
                <w:webHidden/>
                <w:rStyle w:val="IndexLink"/>
                <w:rtl w:val="true"/>
              </w:rPr>
              <w:t>ترجمة السائل</w:t>
            </w:r>
            <w:r>
              <w:rPr>
                <w:rStyle w:val="IndexLink"/>
                <w:rtl w:val="true"/>
              </w:rPr>
              <w:t>:</w:t>
              <w:tab/>
            </w:r>
            <w:r>
              <w:rPr>
                <w:rStyle w:val="IndexLink"/>
              </w:rPr>
              <w:t>20</w:t>
            </w:r>
          </w:hyperlink>
        </w:p>
        <w:p>
          <w:pPr>
            <w:pStyle w:val="Contents3"/>
            <w:tabs>
              <w:tab w:val="clear" w:pos="8459"/>
              <w:tab w:val="right" w:pos="9026" w:leader="dot"/>
            </w:tabs>
            <w:rPr/>
          </w:pPr>
          <w:hyperlink w:anchor="__RefHeading___Toc8798176_2870459653">
            <w:r>
              <w:rPr>
                <w:webHidden/>
                <w:rStyle w:val="IndexLink"/>
                <w:rtl w:val="true"/>
              </w:rPr>
              <w:t>نسخ المخطوطات</w:t>
            </w:r>
            <w:r>
              <w:rPr>
                <w:rStyle w:val="IndexLink"/>
                <w:rtl w:val="true"/>
              </w:rPr>
              <w:t>:</w:t>
              <w:tab/>
            </w:r>
            <w:r>
              <w:rPr>
                <w:rStyle w:val="IndexLink"/>
              </w:rPr>
              <w:t>22</w:t>
            </w:r>
          </w:hyperlink>
        </w:p>
        <w:p>
          <w:pPr>
            <w:pStyle w:val="Contents3"/>
            <w:tabs>
              <w:tab w:val="clear" w:pos="8459"/>
              <w:tab w:val="right" w:pos="9026" w:leader="dot"/>
            </w:tabs>
            <w:rPr/>
          </w:pPr>
          <w:hyperlink w:anchor="__RefHeading___Toc8798178_2870459653">
            <w:r>
              <w:rPr>
                <w:webHidden/>
                <w:rStyle w:val="IndexLink"/>
                <w:rtl w:val="true"/>
              </w:rPr>
              <w:t>عملنا في التحقيق</w:t>
            </w:r>
            <w:r>
              <w:rPr>
                <w:rStyle w:val="IndexLink"/>
                <w:rtl w:val="true"/>
              </w:rPr>
              <w:t>:</w:t>
              <w:tab/>
            </w:r>
            <w:r>
              <w:rPr>
                <w:rStyle w:val="IndexLink"/>
              </w:rPr>
              <w:t>22</w:t>
            </w:r>
          </w:hyperlink>
        </w:p>
        <w:p>
          <w:pPr>
            <w:pStyle w:val="Contents2"/>
            <w:tabs>
              <w:tab w:val="clear" w:pos="8743"/>
              <w:tab w:val="right" w:pos="9026" w:leader="dot"/>
            </w:tabs>
            <w:rPr/>
          </w:pPr>
          <w:hyperlink w:anchor="__RefHeading___Toc8798180_2870459653">
            <w:r>
              <w:rPr>
                <w:webHidden/>
                <w:rStyle w:val="IndexLink"/>
                <w:rtl w:val="true"/>
              </w:rPr>
              <w:t>أجوبة سماحة الشيخ هادي كاشف الغطاء قُدَّسَ سرّه</w:t>
            </w:r>
            <w:r>
              <w:rPr>
                <w:rStyle w:val="IndexLink"/>
                <w:rtl w:val="true"/>
              </w:rPr>
              <w:tab/>
            </w:r>
            <w:r>
              <w:rPr>
                <w:rStyle w:val="IndexLink"/>
              </w:rPr>
              <w:t>25</w:t>
            </w:r>
          </w:hyperlink>
        </w:p>
        <w:p>
          <w:pPr>
            <w:pStyle w:val="Contents3"/>
            <w:tabs>
              <w:tab w:val="clear" w:pos="8459"/>
              <w:tab w:val="right" w:pos="9026" w:leader="dot"/>
            </w:tabs>
            <w:rPr/>
          </w:pPr>
          <w:hyperlink w:anchor="__RefHeading___Toc8798182_2870459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8798184_2870459653">
            <w:r>
              <w:rPr>
                <w:webHidden/>
                <w:rStyle w:val="IndexLink"/>
                <w:rtl w:val="true"/>
              </w:rPr>
              <w:t>المسألة الأولى</w:t>
            </w:r>
            <w:r>
              <w:rPr>
                <w:rStyle w:val="IndexLink"/>
                <w:rtl w:val="true"/>
              </w:rPr>
              <w:t>:</w:t>
              <w:tab/>
            </w:r>
            <w:r>
              <w:rPr>
                <w:rStyle w:val="IndexLink"/>
              </w:rPr>
              <w:t>25</w:t>
            </w:r>
          </w:hyperlink>
        </w:p>
        <w:p>
          <w:pPr>
            <w:pStyle w:val="Contents3"/>
            <w:tabs>
              <w:tab w:val="clear" w:pos="8459"/>
              <w:tab w:val="right" w:pos="9026" w:leader="dot"/>
            </w:tabs>
            <w:rPr/>
          </w:pPr>
          <w:hyperlink w:anchor="__RefHeading___Toc8798186_2870459653">
            <w:r>
              <w:rPr>
                <w:webHidden/>
                <w:rStyle w:val="IndexLink"/>
                <w:rtl w:val="true"/>
              </w:rPr>
              <w:t>المسألة الثانية</w:t>
            </w:r>
            <w:r>
              <w:rPr>
                <w:rStyle w:val="IndexLink"/>
                <w:rtl w:val="true"/>
              </w:rPr>
              <w:t>:</w:t>
              <w:tab/>
            </w:r>
            <w:r>
              <w:rPr>
                <w:rStyle w:val="IndexLink"/>
              </w:rPr>
              <w:t>27</w:t>
            </w:r>
          </w:hyperlink>
        </w:p>
        <w:p>
          <w:pPr>
            <w:pStyle w:val="Contents3"/>
            <w:tabs>
              <w:tab w:val="clear" w:pos="8459"/>
              <w:tab w:val="right" w:pos="9026" w:leader="dot"/>
            </w:tabs>
            <w:rPr/>
          </w:pPr>
          <w:hyperlink w:anchor="__RefHeading___Toc8798188_2870459653">
            <w:r>
              <w:rPr>
                <w:webHidden/>
                <w:rStyle w:val="IndexLink"/>
                <w:rtl w:val="true"/>
              </w:rPr>
              <w:t>المسألة الثالثة</w:t>
            </w:r>
            <w:r>
              <w:rPr>
                <w:rStyle w:val="IndexLink"/>
                <w:rtl w:val="true"/>
              </w:rPr>
              <w:t>:</w:t>
              <w:tab/>
            </w:r>
            <w:r>
              <w:rPr>
                <w:rStyle w:val="IndexLink"/>
              </w:rPr>
              <w:t>29</w:t>
            </w:r>
          </w:hyperlink>
        </w:p>
        <w:p>
          <w:pPr>
            <w:pStyle w:val="Contents3"/>
            <w:tabs>
              <w:tab w:val="clear" w:pos="8459"/>
              <w:tab w:val="right" w:pos="9026" w:leader="dot"/>
            </w:tabs>
            <w:rPr/>
          </w:pPr>
          <w:hyperlink w:anchor="__RefHeading___Toc8798190_2870459653">
            <w:r>
              <w:rPr>
                <w:webHidden/>
                <w:rStyle w:val="IndexLink"/>
                <w:rtl w:val="true"/>
              </w:rPr>
              <w:t>المسألة الرابعة</w:t>
            </w:r>
            <w:r>
              <w:rPr>
                <w:rStyle w:val="IndexLink"/>
                <w:rtl w:val="true"/>
              </w:rPr>
              <w:t>:</w:t>
              <w:tab/>
            </w:r>
            <w:r>
              <w:rPr>
                <w:rStyle w:val="IndexLink"/>
              </w:rPr>
              <w:t>32</w:t>
            </w:r>
          </w:hyperlink>
        </w:p>
        <w:p>
          <w:pPr>
            <w:pStyle w:val="Contents3"/>
            <w:tabs>
              <w:tab w:val="clear" w:pos="8459"/>
              <w:tab w:val="right" w:pos="9026" w:leader="dot"/>
            </w:tabs>
            <w:rPr/>
          </w:pPr>
          <w:hyperlink w:anchor="__RefHeading___Toc8798192_2870459653">
            <w:r>
              <w:rPr>
                <w:webHidden/>
                <w:rStyle w:val="IndexLink"/>
                <w:rtl w:val="true"/>
              </w:rPr>
              <w:t>المسألة الخامسة</w:t>
            </w:r>
            <w:r>
              <w:rPr>
                <w:rStyle w:val="IndexLink"/>
                <w:rtl w:val="true"/>
              </w:rPr>
              <w:t>:</w:t>
              <w:tab/>
            </w:r>
            <w:r>
              <w:rPr>
                <w:rStyle w:val="IndexLink"/>
              </w:rPr>
              <w:t>34</w:t>
            </w:r>
          </w:hyperlink>
        </w:p>
        <w:p>
          <w:pPr>
            <w:pStyle w:val="Contents3"/>
            <w:tabs>
              <w:tab w:val="clear" w:pos="8459"/>
              <w:tab w:val="right" w:pos="9026" w:leader="dot"/>
            </w:tabs>
            <w:rPr/>
          </w:pPr>
          <w:hyperlink w:anchor="__RefHeading___Toc8798194_2870459653">
            <w:r>
              <w:rPr>
                <w:webHidden/>
                <w:rStyle w:val="IndexLink"/>
                <w:rtl w:val="true"/>
              </w:rPr>
              <w:t>المسألة السادسة</w:t>
            </w:r>
            <w:r>
              <w:rPr>
                <w:rStyle w:val="IndexLink"/>
                <w:rtl w:val="true"/>
              </w:rPr>
              <w:t>:</w:t>
              <w:tab/>
            </w:r>
            <w:r>
              <w:rPr>
                <w:rStyle w:val="IndexLink"/>
              </w:rPr>
              <w:t>37</w:t>
            </w:r>
          </w:hyperlink>
        </w:p>
        <w:p>
          <w:pPr>
            <w:pStyle w:val="Contents3"/>
            <w:tabs>
              <w:tab w:val="clear" w:pos="8459"/>
              <w:tab w:val="right" w:pos="9026" w:leader="dot"/>
            </w:tabs>
            <w:rPr/>
          </w:pPr>
          <w:hyperlink w:anchor="__RefHeading___Toc8798196_2870459653">
            <w:r>
              <w:rPr>
                <w:webHidden/>
                <w:rStyle w:val="IndexLink"/>
                <w:rtl w:val="true"/>
              </w:rPr>
              <w:t>المسألة السابعة</w:t>
            </w:r>
            <w:r>
              <w:rPr>
                <w:rStyle w:val="IndexLink"/>
                <w:rtl w:val="true"/>
              </w:rPr>
              <w:t>:</w:t>
              <w:tab/>
            </w:r>
            <w:r>
              <w:rPr>
                <w:rStyle w:val="IndexLink"/>
              </w:rPr>
              <w:t>40</w:t>
            </w:r>
          </w:hyperlink>
        </w:p>
        <w:p>
          <w:pPr>
            <w:pStyle w:val="Contents3"/>
            <w:tabs>
              <w:tab w:val="clear" w:pos="8459"/>
              <w:tab w:val="right" w:pos="9026" w:leader="dot"/>
            </w:tabs>
            <w:rPr/>
          </w:pPr>
          <w:hyperlink w:anchor="__RefHeading___Toc8798198_2870459653">
            <w:r>
              <w:rPr>
                <w:webHidden/>
                <w:rStyle w:val="IndexLink"/>
                <w:rtl w:val="true"/>
              </w:rPr>
              <w:t>المسألة الثامنة</w:t>
            </w:r>
            <w:r>
              <w:rPr>
                <w:rStyle w:val="IndexLink"/>
                <w:rtl w:val="true"/>
              </w:rPr>
              <w:t>:</w:t>
              <w:tab/>
            </w:r>
            <w:r>
              <w:rPr>
                <w:rStyle w:val="IndexLink"/>
              </w:rPr>
              <w:t>43</w:t>
            </w:r>
          </w:hyperlink>
        </w:p>
        <w:p>
          <w:pPr>
            <w:pStyle w:val="Contents3"/>
            <w:tabs>
              <w:tab w:val="clear" w:pos="8459"/>
              <w:tab w:val="right" w:pos="9026" w:leader="dot"/>
            </w:tabs>
            <w:rPr/>
          </w:pPr>
          <w:hyperlink w:anchor="__RefHeading___Toc8798200_2870459653">
            <w:r>
              <w:rPr>
                <w:webHidden/>
                <w:rStyle w:val="IndexLink"/>
                <w:rtl w:val="true"/>
              </w:rPr>
              <w:t>المسألة التاسعة</w:t>
            </w:r>
            <w:r>
              <w:rPr>
                <w:rStyle w:val="IndexLink"/>
                <w:rtl w:val="true"/>
              </w:rPr>
              <w:t>:</w:t>
              <w:tab/>
            </w:r>
            <w:r>
              <w:rPr>
                <w:rStyle w:val="IndexLink"/>
              </w:rPr>
              <w:t>45</w:t>
            </w:r>
          </w:hyperlink>
        </w:p>
        <w:p>
          <w:pPr>
            <w:pStyle w:val="Contents3"/>
            <w:tabs>
              <w:tab w:val="clear" w:pos="8459"/>
              <w:tab w:val="right" w:pos="9026" w:leader="dot"/>
            </w:tabs>
            <w:rPr/>
          </w:pPr>
          <w:hyperlink w:anchor="__RefHeading___Toc8798202_2870459653">
            <w:r>
              <w:rPr>
                <w:webHidden/>
                <w:rStyle w:val="IndexLink"/>
                <w:rtl w:val="true"/>
              </w:rPr>
              <w:t>المسألة العاشرة</w:t>
            </w:r>
            <w:r>
              <w:rPr>
                <w:rStyle w:val="IndexLink"/>
                <w:rtl w:val="true"/>
              </w:rPr>
              <w:t>:</w:t>
              <w:tab/>
            </w:r>
            <w:r>
              <w:rPr>
                <w:rStyle w:val="IndexLink"/>
              </w:rPr>
              <w:t>45</w:t>
            </w:r>
          </w:hyperlink>
        </w:p>
        <w:p>
          <w:pPr>
            <w:pStyle w:val="Contents3"/>
            <w:tabs>
              <w:tab w:val="clear" w:pos="8459"/>
              <w:tab w:val="right" w:pos="9026" w:leader="dot"/>
            </w:tabs>
            <w:rPr/>
          </w:pPr>
          <w:hyperlink w:anchor="__RefHeading___Toc8798204_2870459653">
            <w:r>
              <w:rPr>
                <w:webHidden/>
                <w:rStyle w:val="IndexLink"/>
                <w:rtl w:val="true"/>
              </w:rPr>
              <w:t>المسألة الحادية عشرة</w:t>
            </w:r>
            <w:r>
              <w:rPr>
                <w:rStyle w:val="IndexLink"/>
                <w:rtl w:val="true"/>
              </w:rPr>
              <w:t>:</w:t>
              <w:tab/>
            </w:r>
            <w:r>
              <w:rPr>
                <w:rStyle w:val="IndexLink"/>
              </w:rPr>
              <w:t>48</w:t>
            </w:r>
          </w:hyperlink>
        </w:p>
        <w:p>
          <w:pPr>
            <w:pStyle w:val="Contents3"/>
            <w:tabs>
              <w:tab w:val="clear" w:pos="8459"/>
              <w:tab w:val="right" w:pos="9026" w:leader="dot"/>
            </w:tabs>
            <w:rPr/>
          </w:pPr>
          <w:hyperlink w:anchor="__RefHeading___Toc8798206_2870459653">
            <w:r>
              <w:rPr>
                <w:webHidden/>
                <w:rStyle w:val="IndexLink"/>
                <w:rtl w:val="true"/>
              </w:rPr>
              <w:t>المسألة الثانية عشرة</w:t>
            </w:r>
            <w:r>
              <w:rPr>
                <w:rStyle w:val="IndexLink"/>
                <w:rtl w:val="true"/>
              </w:rPr>
              <w:t>:</w:t>
              <w:tab/>
            </w:r>
            <w:r>
              <w:rPr>
                <w:rStyle w:val="IndexLink"/>
              </w:rPr>
              <w:t>48</w:t>
            </w:r>
          </w:hyperlink>
        </w:p>
        <w:p>
          <w:pPr>
            <w:pStyle w:val="Contents3"/>
            <w:tabs>
              <w:tab w:val="clear" w:pos="8459"/>
              <w:tab w:val="right" w:pos="9026" w:leader="dot"/>
            </w:tabs>
            <w:rPr/>
          </w:pPr>
          <w:hyperlink w:anchor="__RefHeading___Toc8798208_2870459653">
            <w:r>
              <w:rPr>
                <w:webHidden/>
                <w:rStyle w:val="IndexLink"/>
                <w:rtl w:val="true"/>
              </w:rPr>
              <w:t>المسألة الثالثة عشرة</w:t>
            </w:r>
            <w:r>
              <w:rPr>
                <w:rStyle w:val="IndexLink"/>
                <w:rtl w:val="true"/>
              </w:rPr>
              <w:t>:</w:t>
              <w:tab/>
            </w:r>
            <w:r>
              <w:rPr>
                <w:rStyle w:val="IndexLink"/>
              </w:rPr>
              <w:t>53</w:t>
            </w:r>
          </w:hyperlink>
        </w:p>
        <w:p>
          <w:pPr>
            <w:pStyle w:val="Contents3"/>
            <w:tabs>
              <w:tab w:val="clear" w:pos="8459"/>
              <w:tab w:val="right" w:pos="9026" w:leader="dot"/>
            </w:tabs>
            <w:rPr/>
          </w:pPr>
          <w:hyperlink w:anchor="__RefHeading___Toc8798210_2870459653">
            <w:r>
              <w:rPr>
                <w:webHidden/>
                <w:rStyle w:val="IndexLink"/>
                <w:rtl w:val="true"/>
              </w:rPr>
              <w:t>المسألة الرابعة عشرة</w:t>
            </w:r>
            <w:r>
              <w:rPr>
                <w:rStyle w:val="IndexLink"/>
                <w:rtl w:val="true"/>
              </w:rPr>
              <w:t>:</w:t>
              <w:tab/>
            </w:r>
            <w:r>
              <w:rPr>
                <w:rStyle w:val="IndexLink"/>
              </w:rPr>
              <w:t>55</w:t>
            </w:r>
          </w:hyperlink>
        </w:p>
        <w:p>
          <w:pPr>
            <w:pStyle w:val="Contents3"/>
            <w:tabs>
              <w:tab w:val="clear" w:pos="8459"/>
              <w:tab w:val="right" w:pos="9026" w:leader="dot"/>
            </w:tabs>
            <w:rPr/>
          </w:pPr>
          <w:hyperlink w:anchor="__RefHeading___Toc8798212_2870459653">
            <w:r>
              <w:rPr>
                <w:webHidden/>
                <w:rStyle w:val="IndexLink"/>
                <w:rtl w:val="true"/>
              </w:rPr>
              <w:t>المسألة الخامسة عشرة</w:t>
            </w:r>
            <w:r>
              <w:rPr>
                <w:rStyle w:val="IndexLink"/>
                <w:rtl w:val="true"/>
              </w:rPr>
              <w:t>:</w:t>
              <w:tab/>
            </w:r>
            <w:r>
              <w:rPr>
                <w:rStyle w:val="IndexLink"/>
              </w:rPr>
              <w:t>58</w:t>
            </w:r>
          </w:hyperlink>
        </w:p>
        <w:p>
          <w:pPr>
            <w:pStyle w:val="Contents3"/>
            <w:tabs>
              <w:tab w:val="clear" w:pos="8459"/>
              <w:tab w:val="right" w:pos="9026" w:leader="dot"/>
            </w:tabs>
            <w:rPr/>
          </w:pPr>
          <w:hyperlink w:anchor="__RefHeading___Toc8798214_2870459653">
            <w:r>
              <w:rPr>
                <w:webHidden/>
                <w:rStyle w:val="IndexLink"/>
                <w:rtl w:val="true"/>
              </w:rPr>
              <w:t>المسألة السادسة عشرة</w:t>
            </w:r>
            <w:r>
              <w:rPr>
                <w:rStyle w:val="IndexLink"/>
                <w:rtl w:val="true"/>
              </w:rPr>
              <w:t>:</w:t>
              <w:tab/>
            </w:r>
            <w:r>
              <w:rPr>
                <w:rStyle w:val="IndexLink"/>
              </w:rPr>
              <w:t>61</w:t>
            </w:r>
          </w:hyperlink>
        </w:p>
        <w:p>
          <w:pPr>
            <w:pStyle w:val="Contents3"/>
            <w:tabs>
              <w:tab w:val="clear" w:pos="8459"/>
              <w:tab w:val="right" w:pos="9026" w:leader="dot"/>
            </w:tabs>
            <w:rPr/>
          </w:pPr>
          <w:hyperlink w:anchor="__RefHeading___Toc8798216_2870459653">
            <w:r>
              <w:rPr>
                <w:webHidden/>
                <w:rStyle w:val="IndexLink"/>
                <w:rtl w:val="true"/>
              </w:rPr>
              <w:t>المسألةُ السّابعةُ عشرة</w:t>
            </w:r>
            <w:r>
              <w:rPr>
                <w:rStyle w:val="IndexLink"/>
                <w:rtl w:val="true"/>
              </w:rPr>
              <w:t>:</w:t>
              <w:tab/>
            </w:r>
            <w:r>
              <w:rPr>
                <w:rStyle w:val="IndexLink"/>
              </w:rPr>
              <w:t>62</w:t>
            </w:r>
          </w:hyperlink>
        </w:p>
        <w:p>
          <w:pPr>
            <w:pStyle w:val="Contents3"/>
            <w:tabs>
              <w:tab w:val="clear" w:pos="8459"/>
              <w:tab w:val="right" w:pos="9026" w:leader="dot"/>
            </w:tabs>
            <w:rPr/>
          </w:pPr>
          <w:hyperlink w:anchor="__RefHeading___Toc8798218_2870459653">
            <w:r>
              <w:rPr>
                <w:webHidden/>
                <w:rStyle w:val="IndexLink"/>
                <w:rtl w:val="true"/>
              </w:rPr>
              <w:t>المسألة الثامنة عشرة و المسألة التاسعة عشرة تعرض فيها السائل</w:t>
            </w:r>
            <w:r>
              <w:rPr>
                <w:rStyle w:val="IndexLink"/>
                <w:rtl w:val="true"/>
              </w:rPr>
              <w:t>:</w:t>
              <w:tab/>
            </w:r>
            <w:r>
              <w:rPr>
                <w:rStyle w:val="IndexLink"/>
              </w:rPr>
              <w:t>63</w:t>
            </w:r>
          </w:hyperlink>
        </w:p>
        <w:p>
          <w:pPr>
            <w:pStyle w:val="Contents3"/>
            <w:tabs>
              <w:tab w:val="clear" w:pos="8459"/>
              <w:tab w:val="right" w:pos="9026" w:leader="dot"/>
            </w:tabs>
            <w:rPr/>
          </w:pPr>
          <w:hyperlink w:anchor="__RefHeading___Toc8798220_2870459653">
            <w:r>
              <w:rPr>
                <w:webHidden/>
                <w:rStyle w:val="IndexLink"/>
                <w:rtl w:val="true"/>
              </w:rPr>
              <w:t>المسألة العشرون</w:t>
            </w:r>
            <w:r>
              <w:rPr>
                <w:rStyle w:val="IndexLink"/>
                <w:rtl w:val="true"/>
              </w:rPr>
              <w:t>:</w:t>
              <w:tab/>
            </w:r>
            <w:r>
              <w:rPr>
                <w:rStyle w:val="IndexLink"/>
              </w:rPr>
              <w:t>64</w:t>
            </w:r>
          </w:hyperlink>
        </w:p>
        <w:p>
          <w:pPr>
            <w:pStyle w:val="Contents2"/>
            <w:tabs>
              <w:tab w:val="clear" w:pos="8743"/>
              <w:tab w:val="right" w:pos="9026" w:leader="dot"/>
            </w:tabs>
            <w:rPr/>
          </w:pPr>
          <w:hyperlink w:anchor="__RefHeading___Toc8798222_2870459653">
            <w:r>
              <w:rPr>
                <w:webHidden/>
                <w:rStyle w:val="IndexLink"/>
                <w:rtl w:val="true"/>
              </w:rPr>
              <w:t>مسائل موسى جار الله</w:t>
            </w:r>
            <w:r>
              <w:rPr>
                <w:rStyle w:val="IndexLink"/>
                <w:rtl w:val="true"/>
              </w:rPr>
              <w:tab/>
            </w:r>
            <w:r>
              <w:rPr>
                <w:rStyle w:val="IndexLink"/>
              </w:rPr>
              <w:t>67</w:t>
            </w:r>
          </w:hyperlink>
        </w:p>
        <w:p>
          <w:pPr>
            <w:pStyle w:val="Contents3"/>
            <w:tabs>
              <w:tab w:val="clear" w:pos="8459"/>
              <w:tab w:val="right" w:pos="9026" w:leader="dot"/>
            </w:tabs>
            <w:rPr/>
          </w:pPr>
          <w:hyperlink w:anchor="__RefHeading___Toc8798224_2870459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8798226_2870459653">
            <w:r>
              <w:rPr>
                <w:webHidden/>
                <w:rStyle w:val="IndexLink"/>
                <w:rtl w:val="true"/>
              </w:rPr>
              <w:t>المسألة الأولى</w:t>
            </w:r>
            <w:r>
              <w:rPr>
                <w:rStyle w:val="IndexLink"/>
                <w:rtl w:val="true"/>
              </w:rPr>
              <w:t xml:space="preserve">: </w:t>
            </w:r>
            <w:r>
              <w:rPr>
                <w:rStyle w:val="IndexLink"/>
                <w:rtl w:val="true"/>
              </w:rPr>
              <w:t>تكفيرُ الصحابة</w:t>
            </w:r>
            <w:r>
              <w:rPr>
                <w:rStyle w:val="IndexLink"/>
                <w:rtl w:val="true"/>
              </w:rPr>
              <w:tab/>
            </w:r>
            <w:r>
              <w:rPr>
                <w:rStyle w:val="IndexLink"/>
              </w:rPr>
              <w:t>67</w:t>
            </w:r>
          </w:hyperlink>
        </w:p>
        <w:p>
          <w:pPr>
            <w:pStyle w:val="Contents3"/>
            <w:tabs>
              <w:tab w:val="clear" w:pos="8459"/>
              <w:tab w:val="right" w:pos="9026" w:leader="dot"/>
            </w:tabs>
            <w:rPr/>
          </w:pPr>
          <w:hyperlink w:anchor="__RefHeading___Toc8798228_2870459653">
            <w:r>
              <w:rPr>
                <w:webHidden/>
                <w:rStyle w:val="IndexLink"/>
                <w:rtl w:val="true"/>
              </w:rPr>
              <w:t>المسألة الثانية</w:t>
            </w:r>
            <w:r>
              <w:rPr>
                <w:rStyle w:val="IndexLink"/>
                <w:rtl w:val="true"/>
              </w:rPr>
              <w:t xml:space="preserve">: </w:t>
            </w:r>
            <w:r>
              <w:rPr>
                <w:rStyle w:val="IndexLink"/>
                <w:rtl w:val="true"/>
              </w:rPr>
              <w:t>تكفير الخليفة الأول و الثاني</w:t>
            </w:r>
            <w:r>
              <w:rPr>
                <w:rStyle w:val="IndexLink"/>
                <w:rtl w:val="true"/>
              </w:rPr>
              <w:tab/>
            </w:r>
            <w:r>
              <w:rPr>
                <w:rStyle w:val="IndexLink"/>
              </w:rPr>
              <w:t>67</w:t>
            </w:r>
          </w:hyperlink>
        </w:p>
        <w:p>
          <w:pPr>
            <w:pStyle w:val="Contents3"/>
            <w:tabs>
              <w:tab w:val="clear" w:pos="8459"/>
              <w:tab w:val="right" w:pos="9026" w:leader="dot"/>
            </w:tabs>
            <w:rPr/>
          </w:pPr>
          <w:hyperlink w:anchor="__RefHeading___Toc8798230_2870459653">
            <w:r>
              <w:rPr>
                <w:webHidden/>
                <w:rStyle w:val="IndexLink"/>
                <w:rtl w:val="true"/>
              </w:rPr>
              <w:t>المسألة الثالثة</w:t>
            </w:r>
            <w:r>
              <w:rPr>
                <w:rStyle w:val="IndexLink"/>
                <w:rtl w:val="true"/>
              </w:rPr>
              <w:t xml:space="preserve">: </w:t>
            </w:r>
            <w:r>
              <w:rPr>
                <w:rStyle w:val="IndexLink"/>
                <w:rtl w:val="true"/>
              </w:rPr>
              <w:t>في اللعنات</w:t>
            </w:r>
            <w:r>
              <w:rPr>
                <w:rStyle w:val="IndexLink"/>
                <w:rtl w:val="true"/>
              </w:rPr>
              <w:tab/>
            </w:r>
            <w:r>
              <w:rPr>
                <w:rStyle w:val="IndexLink"/>
              </w:rPr>
              <w:t>68</w:t>
            </w:r>
          </w:hyperlink>
        </w:p>
        <w:p>
          <w:pPr>
            <w:pStyle w:val="Contents3"/>
            <w:tabs>
              <w:tab w:val="clear" w:pos="8459"/>
              <w:tab w:val="right" w:pos="9026" w:leader="dot"/>
            </w:tabs>
            <w:rPr/>
          </w:pPr>
          <w:hyperlink w:anchor="__RefHeading___Toc8798232_2870459653">
            <w:r>
              <w:rPr>
                <w:webHidden/>
                <w:rStyle w:val="IndexLink"/>
                <w:rtl w:val="true"/>
              </w:rPr>
              <w:t>المسألة الرابعة</w:t>
            </w:r>
            <w:r>
              <w:rPr>
                <w:rStyle w:val="IndexLink"/>
                <w:rtl w:val="true"/>
              </w:rPr>
              <w:t xml:space="preserve">: </w:t>
            </w:r>
            <w:r>
              <w:rPr>
                <w:rStyle w:val="IndexLink"/>
                <w:rtl w:val="true"/>
              </w:rPr>
              <w:t>في القول بتحريف القرآن</w:t>
            </w:r>
            <w:r>
              <w:rPr>
                <w:rStyle w:val="IndexLink"/>
                <w:rtl w:val="true"/>
              </w:rPr>
              <w:tab/>
            </w:r>
            <w:r>
              <w:rPr>
                <w:rStyle w:val="IndexLink"/>
              </w:rPr>
              <w:t>69</w:t>
            </w:r>
          </w:hyperlink>
        </w:p>
        <w:p>
          <w:pPr>
            <w:pStyle w:val="Contents3"/>
            <w:tabs>
              <w:tab w:val="clear" w:pos="8459"/>
              <w:tab w:val="right" w:pos="9026" w:leader="dot"/>
            </w:tabs>
            <w:rPr/>
          </w:pPr>
          <w:hyperlink w:anchor="__RefHeading___Toc8798234_2870459653">
            <w:r>
              <w:rPr>
                <w:webHidden/>
                <w:rStyle w:val="IndexLink"/>
                <w:rtl w:val="true"/>
              </w:rPr>
              <w:t>المسألة الخامسة</w:t>
            </w:r>
            <w:r>
              <w:rPr>
                <w:rStyle w:val="IndexLink"/>
                <w:rtl w:val="true"/>
              </w:rPr>
              <w:t xml:space="preserve">: </w:t>
            </w:r>
            <w:r>
              <w:rPr>
                <w:rStyle w:val="IndexLink"/>
                <w:rtl w:val="true"/>
              </w:rPr>
              <w:t>في حكومات الدول الإسلامية و قضاتها</w:t>
            </w:r>
            <w:r>
              <w:rPr>
                <w:rStyle w:val="IndexLink"/>
                <w:rtl w:val="true"/>
              </w:rPr>
              <w:tab/>
            </w:r>
            <w:r>
              <w:rPr>
                <w:rStyle w:val="IndexLink"/>
              </w:rPr>
              <w:t>72</w:t>
            </w:r>
          </w:hyperlink>
        </w:p>
        <w:p>
          <w:pPr>
            <w:pStyle w:val="Contents3"/>
            <w:tabs>
              <w:tab w:val="clear" w:pos="8459"/>
              <w:tab w:val="right" w:pos="9026" w:leader="dot"/>
            </w:tabs>
            <w:rPr/>
          </w:pPr>
          <w:hyperlink w:anchor="__RefHeading___Toc8798236_2870459653">
            <w:r>
              <w:rPr>
                <w:webHidden/>
                <w:rStyle w:val="IndexLink"/>
                <w:rtl w:val="true"/>
              </w:rPr>
              <w:t>المسألة السادسة</w:t>
            </w:r>
            <w:r>
              <w:rPr>
                <w:rStyle w:val="IndexLink"/>
                <w:rtl w:val="true"/>
              </w:rPr>
              <w:t xml:space="preserve">: </w:t>
            </w:r>
            <w:r>
              <w:rPr>
                <w:rStyle w:val="IndexLink"/>
                <w:rtl w:val="true"/>
              </w:rPr>
              <w:t>تكفير الفرق الإسلامية</w:t>
            </w:r>
            <w:r>
              <w:rPr>
                <w:rStyle w:val="IndexLink"/>
                <w:rtl w:val="true"/>
              </w:rPr>
              <w:tab/>
            </w:r>
            <w:r>
              <w:rPr>
                <w:rStyle w:val="IndexLink"/>
              </w:rPr>
              <w:t>72</w:t>
            </w:r>
          </w:hyperlink>
        </w:p>
        <w:p>
          <w:pPr>
            <w:pStyle w:val="Contents3"/>
            <w:tabs>
              <w:tab w:val="clear" w:pos="8459"/>
              <w:tab w:val="right" w:pos="9026" w:leader="dot"/>
            </w:tabs>
            <w:rPr/>
          </w:pPr>
          <w:hyperlink w:anchor="__RefHeading___Toc8798238_2870459653">
            <w:r>
              <w:rPr>
                <w:webHidden/>
                <w:rStyle w:val="IndexLink"/>
                <w:rtl w:val="true"/>
              </w:rPr>
              <w:t>المسألة السابعة</w:t>
            </w:r>
            <w:r>
              <w:rPr>
                <w:rStyle w:val="IndexLink"/>
                <w:rtl w:val="true"/>
              </w:rPr>
              <w:t xml:space="preserve">: </w:t>
            </w:r>
            <w:r>
              <w:rPr>
                <w:rStyle w:val="IndexLink"/>
                <w:rtl w:val="true"/>
              </w:rPr>
              <w:t>في الجهاد والشهادة</w:t>
            </w:r>
            <w:r>
              <w:rPr>
                <w:rStyle w:val="IndexLink"/>
                <w:rtl w:val="true"/>
              </w:rPr>
              <w:tab/>
            </w:r>
            <w:r>
              <w:rPr>
                <w:rStyle w:val="IndexLink"/>
              </w:rPr>
              <w:t>73</w:t>
            </w:r>
          </w:hyperlink>
        </w:p>
        <w:p>
          <w:pPr>
            <w:pStyle w:val="Contents3"/>
            <w:tabs>
              <w:tab w:val="clear" w:pos="8459"/>
              <w:tab w:val="right" w:pos="9026" w:leader="dot"/>
            </w:tabs>
            <w:rPr/>
          </w:pPr>
          <w:hyperlink w:anchor="__RefHeading___Toc8798240_2870459653">
            <w:r>
              <w:rPr>
                <w:webHidden/>
                <w:rStyle w:val="IndexLink"/>
                <w:rtl w:val="true"/>
              </w:rPr>
              <w:t>المسألة الثامنة</w:t>
            </w:r>
            <w:r>
              <w:rPr>
                <w:rStyle w:val="IndexLink"/>
                <w:rtl w:val="true"/>
              </w:rPr>
              <w:t xml:space="preserve">: </w:t>
            </w:r>
            <w:r>
              <w:rPr>
                <w:rStyle w:val="IndexLink"/>
                <w:rtl w:val="true"/>
              </w:rPr>
              <w:t>إنكار كتب الشيعة أحاديث أئمة العامة</w:t>
            </w:r>
            <w:r>
              <w:rPr>
                <w:rStyle w:val="IndexLink"/>
                <w:rtl w:val="true"/>
              </w:rPr>
              <w:tab/>
            </w:r>
            <w:r>
              <w:rPr>
                <w:rStyle w:val="IndexLink"/>
              </w:rPr>
              <w:t>73</w:t>
            </w:r>
          </w:hyperlink>
        </w:p>
        <w:p>
          <w:pPr>
            <w:pStyle w:val="Contents3"/>
            <w:tabs>
              <w:tab w:val="clear" w:pos="8459"/>
              <w:tab w:val="right" w:pos="9026" w:leader="dot"/>
            </w:tabs>
            <w:rPr/>
          </w:pPr>
          <w:hyperlink w:anchor="__RefHeading___Toc8798242_2870459653">
            <w:r>
              <w:rPr>
                <w:webHidden/>
                <w:rStyle w:val="IndexLink"/>
                <w:rtl w:val="true"/>
              </w:rPr>
              <w:t>المسألة التاسعة</w:t>
            </w:r>
            <w:r>
              <w:rPr>
                <w:rStyle w:val="IndexLink"/>
                <w:rtl w:val="true"/>
              </w:rPr>
              <w:t xml:space="preserve">: </w:t>
            </w:r>
            <w:r>
              <w:rPr>
                <w:rStyle w:val="IndexLink"/>
                <w:rtl w:val="true"/>
              </w:rPr>
              <w:t>في تأويل الآيات و تنزيلها</w:t>
            </w:r>
            <w:r>
              <w:rPr>
                <w:rStyle w:val="IndexLink"/>
                <w:rtl w:val="true"/>
              </w:rPr>
              <w:tab/>
            </w:r>
            <w:r>
              <w:rPr>
                <w:rStyle w:val="IndexLink"/>
              </w:rPr>
              <w:t>74</w:t>
            </w:r>
          </w:hyperlink>
        </w:p>
        <w:p>
          <w:pPr>
            <w:pStyle w:val="Contents3"/>
            <w:tabs>
              <w:tab w:val="clear" w:pos="8459"/>
              <w:tab w:val="right" w:pos="9026" w:leader="dot"/>
            </w:tabs>
            <w:rPr/>
          </w:pPr>
          <w:hyperlink w:anchor="__RefHeading___Toc8798244_2870459653">
            <w:r>
              <w:rPr>
                <w:webHidden/>
                <w:rStyle w:val="IndexLink"/>
                <w:rtl w:val="true"/>
              </w:rPr>
              <w:t>المسألة العاشرة</w:t>
            </w:r>
            <w:r>
              <w:rPr>
                <w:rStyle w:val="IndexLink"/>
                <w:rtl w:val="true"/>
              </w:rPr>
              <w:t xml:space="preserve">: </w:t>
            </w:r>
            <w:r>
              <w:rPr>
                <w:rStyle w:val="IndexLink"/>
                <w:rtl w:val="true"/>
              </w:rPr>
              <w:t>في التقية</w:t>
            </w:r>
            <w:r>
              <w:rPr>
                <w:rStyle w:val="IndexLink"/>
                <w:rtl w:val="true"/>
              </w:rPr>
              <w:tab/>
            </w:r>
            <w:r>
              <w:rPr>
                <w:rStyle w:val="IndexLink"/>
              </w:rPr>
              <w:t>74</w:t>
            </w:r>
          </w:hyperlink>
        </w:p>
        <w:p>
          <w:pPr>
            <w:pStyle w:val="Contents3"/>
            <w:tabs>
              <w:tab w:val="clear" w:pos="8459"/>
              <w:tab w:val="right" w:pos="9026" w:leader="dot"/>
            </w:tabs>
            <w:rPr/>
          </w:pPr>
          <w:hyperlink w:anchor="__RefHeading___Toc8798246_2870459653">
            <w:r>
              <w:rPr>
                <w:webHidden/>
                <w:rStyle w:val="IndexLink"/>
                <w:rtl w:val="true"/>
              </w:rPr>
              <w:t>المسألة الحادية عشر</w:t>
            </w:r>
            <w:r>
              <w:rPr>
                <w:rStyle w:val="IndexLink"/>
                <w:rtl w:val="true"/>
              </w:rPr>
              <w:t xml:space="preserve">: </w:t>
            </w:r>
            <w:r>
              <w:rPr>
                <w:rStyle w:val="IndexLink"/>
                <w:rtl w:val="true"/>
              </w:rPr>
              <w:t>في الأخبار الواردة في كتب الشيعة</w:t>
            </w:r>
            <w:r>
              <w:rPr>
                <w:rStyle w:val="IndexLink"/>
                <w:rtl w:val="true"/>
              </w:rPr>
              <w:tab/>
            </w:r>
            <w:r>
              <w:rPr>
                <w:rStyle w:val="IndexLink"/>
              </w:rPr>
              <w:t>76</w:t>
            </w:r>
          </w:hyperlink>
        </w:p>
        <w:p>
          <w:pPr>
            <w:pStyle w:val="Contents3"/>
            <w:tabs>
              <w:tab w:val="clear" w:pos="8459"/>
              <w:tab w:val="right" w:pos="9026" w:leader="dot"/>
            </w:tabs>
            <w:rPr/>
          </w:pPr>
          <w:hyperlink w:anchor="__RefHeading___Toc8798248_2870459653">
            <w:r>
              <w:rPr>
                <w:webHidden/>
                <w:rStyle w:val="IndexLink"/>
                <w:rtl w:val="true"/>
              </w:rPr>
              <w:t>المسألة الثانية عشرة</w:t>
            </w:r>
            <w:r>
              <w:rPr>
                <w:rStyle w:val="IndexLink"/>
                <w:rtl w:val="true"/>
              </w:rPr>
              <w:t xml:space="preserve">: </w:t>
            </w:r>
            <w:r>
              <w:rPr>
                <w:rStyle w:val="IndexLink"/>
                <w:rtl w:val="true"/>
              </w:rPr>
              <w:t>في تحريم المسكر و الربا و العول</w:t>
            </w:r>
            <w:r>
              <w:rPr>
                <w:rStyle w:val="IndexLink"/>
                <w:rtl w:val="true"/>
              </w:rPr>
              <w:tab/>
            </w:r>
            <w:r>
              <w:rPr>
                <w:rStyle w:val="IndexLink"/>
              </w:rPr>
              <w:t>77</w:t>
            </w:r>
          </w:hyperlink>
        </w:p>
        <w:p>
          <w:pPr>
            <w:pStyle w:val="Contents3"/>
            <w:tabs>
              <w:tab w:val="clear" w:pos="8459"/>
              <w:tab w:val="right" w:pos="9026" w:leader="dot"/>
            </w:tabs>
            <w:rPr/>
          </w:pPr>
          <w:hyperlink w:anchor="__RefHeading___Toc8798250_2870459653">
            <w:r>
              <w:rPr>
                <w:webHidden/>
                <w:rStyle w:val="IndexLink"/>
                <w:rtl w:val="true"/>
              </w:rPr>
              <w:t>المسألة الثالثة عشرة</w:t>
            </w:r>
            <w:r>
              <w:rPr>
                <w:rStyle w:val="IndexLink"/>
                <w:rtl w:val="true"/>
              </w:rPr>
              <w:t xml:space="preserve">: </w:t>
            </w:r>
            <w:r>
              <w:rPr>
                <w:rStyle w:val="IndexLink"/>
                <w:rtl w:val="true"/>
              </w:rPr>
              <w:t>في المتعة</w:t>
            </w:r>
            <w:r>
              <w:rPr>
                <w:rStyle w:val="IndexLink"/>
                <w:rtl w:val="true"/>
              </w:rPr>
              <w:tab/>
            </w:r>
            <w:r>
              <w:rPr>
                <w:rStyle w:val="IndexLink"/>
              </w:rPr>
              <w:t>78</w:t>
            </w:r>
          </w:hyperlink>
        </w:p>
        <w:p>
          <w:pPr>
            <w:pStyle w:val="Contents3"/>
            <w:tabs>
              <w:tab w:val="clear" w:pos="8459"/>
              <w:tab w:val="right" w:pos="9026" w:leader="dot"/>
            </w:tabs>
            <w:rPr/>
          </w:pPr>
          <w:hyperlink w:anchor="__RefHeading___Toc8798252_2870459653">
            <w:r>
              <w:rPr>
                <w:webHidden/>
                <w:rStyle w:val="IndexLink"/>
                <w:rtl w:val="true"/>
              </w:rPr>
              <w:t>المسألة الرابعة عشرة</w:t>
            </w:r>
            <w:r>
              <w:rPr>
                <w:rStyle w:val="IndexLink"/>
                <w:rtl w:val="true"/>
              </w:rPr>
              <w:t xml:space="preserve">: </w:t>
            </w:r>
            <w:r>
              <w:rPr>
                <w:rStyle w:val="IndexLink"/>
                <w:rtl w:val="true"/>
              </w:rPr>
              <w:t>في عرض النبي إرثه</w:t>
            </w:r>
            <w:r>
              <w:rPr>
                <w:rStyle w:val="IndexLink"/>
                <w:rtl w:val="true"/>
              </w:rPr>
              <w:tab/>
            </w:r>
            <w:r>
              <w:rPr>
                <w:rStyle w:val="IndexLink"/>
              </w:rPr>
              <w:t>79</w:t>
            </w:r>
          </w:hyperlink>
        </w:p>
        <w:p>
          <w:pPr>
            <w:pStyle w:val="Contents3"/>
            <w:tabs>
              <w:tab w:val="clear" w:pos="8459"/>
              <w:tab w:val="right" w:pos="9026" w:leader="dot"/>
            </w:tabs>
            <w:rPr/>
          </w:pPr>
          <w:hyperlink w:anchor="__RefHeading___Toc8798254_2870459653">
            <w:r>
              <w:rPr>
                <w:webHidden/>
                <w:rStyle w:val="IndexLink"/>
                <w:rtl w:val="true"/>
              </w:rPr>
              <w:t>المسألة الخامسة عشرة</w:t>
            </w:r>
            <w:r>
              <w:rPr>
                <w:rStyle w:val="IndexLink"/>
                <w:rtl w:val="true"/>
              </w:rPr>
              <w:t xml:space="preserve">: </w:t>
            </w:r>
            <w:r>
              <w:rPr>
                <w:rStyle w:val="IndexLink"/>
                <w:rtl w:val="true"/>
              </w:rPr>
              <w:t>في الخلاف بين علي و الصحابة </w:t>
            </w:r>
            <w:r>
              <w:rPr>
                <w:rStyle w:val="IndexLink"/>
                <w:rtl w:val="true"/>
              </w:rPr>
              <w:tab/>
            </w:r>
            <w:r>
              <w:rPr>
                <w:rStyle w:val="IndexLink"/>
              </w:rPr>
              <w:t>81</w:t>
            </w:r>
          </w:hyperlink>
        </w:p>
        <w:p>
          <w:pPr>
            <w:pStyle w:val="Contents3"/>
            <w:tabs>
              <w:tab w:val="clear" w:pos="8459"/>
              <w:tab w:val="right" w:pos="9026" w:leader="dot"/>
            </w:tabs>
            <w:rPr/>
          </w:pPr>
          <w:hyperlink w:anchor="__RefHeading___Toc8798256_2870459653">
            <w:r>
              <w:rPr>
                <w:webHidden/>
                <w:rStyle w:val="IndexLink"/>
                <w:rtl w:val="true"/>
              </w:rPr>
              <w:t>المسألة السادسة عشرة</w:t>
            </w:r>
            <w:r>
              <w:rPr>
                <w:rStyle w:val="IndexLink"/>
                <w:rtl w:val="true"/>
              </w:rPr>
              <w:t xml:space="preserve">: </w:t>
            </w:r>
            <w:r>
              <w:rPr>
                <w:rStyle w:val="IndexLink"/>
                <w:rtl w:val="true"/>
              </w:rPr>
              <w:t>في ولاية الإمام</w:t>
            </w:r>
            <w:r>
              <w:rPr>
                <w:rStyle w:val="IndexLink"/>
                <w:rtl w:val="true"/>
              </w:rPr>
              <w:tab/>
            </w:r>
            <w:r>
              <w:rPr>
                <w:rStyle w:val="IndexLink"/>
              </w:rPr>
              <w:t>82</w:t>
            </w:r>
          </w:hyperlink>
        </w:p>
        <w:p>
          <w:pPr>
            <w:pStyle w:val="Contents3"/>
            <w:tabs>
              <w:tab w:val="clear" w:pos="8459"/>
              <w:tab w:val="right" w:pos="9026" w:leader="dot"/>
            </w:tabs>
            <w:rPr/>
          </w:pPr>
          <w:hyperlink w:anchor="__RefHeading___Toc8798258_2870459653">
            <w:r>
              <w:rPr>
                <w:webHidden/>
                <w:rStyle w:val="IndexLink"/>
                <w:rtl w:val="true"/>
              </w:rPr>
              <w:t>المسألة السابعة عشرة</w:t>
            </w:r>
            <w:r>
              <w:rPr>
                <w:rStyle w:val="IndexLink"/>
                <w:rtl w:val="true"/>
              </w:rPr>
              <w:t xml:space="preserve">: </w:t>
            </w:r>
            <w:r>
              <w:rPr>
                <w:rStyle w:val="IndexLink"/>
                <w:rtl w:val="true"/>
              </w:rPr>
              <w:t>في النسيء</w:t>
            </w:r>
            <w:r>
              <w:rPr>
                <w:rStyle w:val="IndexLink"/>
                <w:rtl w:val="true"/>
              </w:rPr>
              <w:tab/>
            </w:r>
            <w:r>
              <w:rPr>
                <w:rStyle w:val="IndexLink"/>
              </w:rPr>
              <w:t>83</w:t>
            </w:r>
          </w:hyperlink>
        </w:p>
        <w:p>
          <w:pPr>
            <w:pStyle w:val="Contents3"/>
            <w:tabs>
              <w:tab w:val="clear" w:pos="8459"/>
              <w:tab w:val="right" w:pos="9026" w:leader="dot"/>
            </w:tabs>
            <w:rPr/>
          </w:pPr>
          <w:hyperlink w:anchor="__RefHeading___Toc8798260_2870459653">
            <w:r>
              <w:rPr>
                <w:webHidden/>
                <w:rStyle w:val="IndexLink"/>
                <w:rtl w:val="true"/>
              </w:rPr>
              <w:t>المسألة الثامنة عشرة</w:t>
            </w:r>
            <w:r>
              <w:rPr>
                <w:rStyle w:val="IndexLink"/>
                <w:rtl w:val="true"/>
              </w:rPr>
              <w:t xml:space="preserve">: </w:t>
            </w:r>
            <w:r>
              <w:rPr>
                <w:rStyle w:val="IndexLink"/>
                <w:rtl w:val="true"/>
              </w:rPr>
              <w:t>في حج النبي صلى الله عليه و آله و سلم</w:t>
            </w:r>
            <w:r>
              <w:rPr>
                <w:rStyle w:val="IndexLink"/>
                <w:rtl w:val="true"/>
              </w:rPr>
              <w:tab/>
            </w:r>
            <w:r>
              <w:rPr>
                <w:rStyle w:val="IndexLink"/>
              </w:rPr>
              <w:t>83</w:t>
            </w:r>
          </w:hyperlink>
        </w:p>
        <w:p>
          <w:pPr>
            <w:pStyle w:val="Contents3"/>
            <w:tabs>
              <w:tab w:val="clear" w:pos="8459"/>
              <w:tab w:val="right" w:pos="9026" w:leader="dot"/>
            </w:tabs>
            <w:rPr/>
          </w:pPr>
          <w:hyperlink w:anchor="__RefHeading___Toc8798262_2870459653">
            <w:r>
              <w:rPr>
                <w:webHidden/>
                <w:rStyle w:val="IndexLink"/>
                <w:rtl w:val="true"/>
              </w:rPr>
              <w:t>المسألة التاسعة عشرة</w:t>
            </w:r>
            <w:r>
              <w:rPr>
                <w:rStyle w:val="IndexLink"/>
                <w:rtl w:val="true"/>
              </w:rPr>
              <w:t xml:space="preserve">: </w:t>
            </w:r>
            <w:r>
              <w:rPr>
                <w:rStyle w:val="IndexLink"/>
                <w:rtl w:val="true"/>
              </w:rPr>
              <w:t>في حج السنة التاسعة</w:t>
            </w:r>
            <w:r>
              <w:rPr>
                <w:rStyle w:val="IndexLink"/>
                <w:rtl w:val="true"/>
              </w:rPr>
              <w:tab/>
            </w:r>
            <w:r>
              <w:rPr>
                <w:rStyle w:val="IndexLink"/>
              </w:rPr>
              <w:t>83</w:t>
            </w:r>
          </w:hyperlink>
        </w:p>
        <w:p>
          <w:pPr>
            <w:pStyle w:val="Contents3"/>
            <w:tabs>
              <w:tab w:val="clear" w:pos="8459"/>
              <w:tab w:val="right" w:pos="9026" w:leader="dot"/>
            </w:tabs>
            <w:rPr/>
          </w:pPr>
          <w:hyperlink w:anchor="__RefHeading___Toc8798264_2870459653">
            <w:r>
              <w:rPr>
                <w:webHidden/>
                <w:rStyle w:val="IndexLink"/>
                <w:rtl w:val="true"/>
              </w:rPr>
              <w:t>المسألة العشرون</w:t>
            </w:r>
            <w:r>
              <w:rPr>
                <w:rStyle w:val="IndexLink"/>
                <w:rtl w:val="true"/>
              </w:rPr>
              <w:t xml:space="preserve">: </w:t>
            </w:r>
            <w:r>
              <w:rPr>
                <w:rStyle w:val="IndexLink"/>
                <w:rtl w:val="true"/>
              </w:rPr>
              <w:t>في حفظ الشيعة للقرآن و الاختلاف في المصاحف</w:t>
            </w:r>
            <w:r>
              <w:rPr>
                <w:rStyle w:val="IndexLink"/>
                <w:rtl w:val="true"/>
              </w:rPr>
              <w:tab/>
            </w:r>
            <w:r>
              <w:rPr>
                <w:rStyle w:val="IndexLink"/>
              </w:rPr>
              <w:t>84</w:t>
            </w:r>
          </w:hyperlink>
        </w:p>
        <w:p>
          <w:pPr>
            <w:pStyle w:val="Contents2"/>
            <w:tabs>
              <w:tab w:val="clear" w:pos="8743"/>
              <w:tab w:val="right" w:pos="9026" w:leader="dot"/>
            </w:tabs>
            <w:rPr/>
          </w:pPr>
          <w:hyperlink w:anchor="__RefHeading___Toc8798266_2870459653">
            <w:r>
              <w:rPr>
                <w:webHidden/>
                <w:rStyle w:val="IndexLink"/>
                <w:rtl w:val="true"/>
              </w:rPr>
              <w:t>رسالة في لعن يزيد بن معاوية</w:t>
            </w:r>
            <w:r>
              <w:rPr>
                <w:rStyle w:val="IndexLink"/>
                <w:rtl w:val="true"/>
              </w:rPr>
              <w:tab/>
            </w:r>
            <w:r>
              <w:rPr>
                <w:rStyle w:val="IndexLink"/>
              </w:rPr>
              <w:t>89</w:t>
            </w:r>
          </w:hyperlink>
        </w:p>
        <w:p>
          <w:pPr>
            <w:pStyle w:val="Contents3"/>
            <w:tabs>
              <w:tab w:val="clear" w:pos="8459"/>
              <w:tab w:val="right" w:pos="9026" w:leader="dot"/>
            </w:tabs>
            <w:rPr/>
          </w:pPr>
          <w:hyperlink w:anchor="__RefHeading___Toc8798268_2870459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8798270_2870459653">
            <w:r>
              <w:rPr>
                <w:webHidden/>
                <w:rStyle w:val="IndexLink"/>
                <w:rtl w:val="true"/>
              </w:rPr>
              <w:t>الفصل الأول</w:t>
            </w:r>
            <w:r>
              <w:rPr>
                <w:rStyle w:val="IndexLink"/>
                <w:rtl w:val="true"/>
              </w:rPr>
              <w:t xml:space="preserve">: </w:t>
            </w:r>
            <w:r>
              <w:rPr>
                <w:rStyle w:val="IndexLink"/>
                <w:rtl w:val="true"/>
              </w:rPr>
              <w:t>رأي الغزالي في منع لعن يزيد</w:t>
            </w:r>
            <w:r>
              <w:rPr>
                <w:rStyle w:val="IndexLink"/>
                <w:rtl w:val="true"/>
              </w:rPr>
              <w:tab/>
            </w:r>
            <w:r>
              <w:rPr>
                <w:rStyle w:val="IndexLink"/>
              </w:rPr>
              <w:t>93</w:t>
            </w:r>
          </w:hyperlink>
        </w:p>
        <w:p>
          <w:pPr>
            <w:pStyle w:val="Contents3"/>
            <w:tabs>
              <w:tab w:val="clear" w:pos="8459"/>
              <w:tab w:val="right" w:pos="9026" w:leader="dot"/>
            </w:tabs>
            <w:rPr/>
          </w:pPr>
          <w:hyperlink w:anchor="__RefHeading___Toc8798272_2870459653">
            <w:r>
              <w:rPr>
                <w:webHidden/>
                <w:rStyle w:val="IndexLink"/>
                <w:rtl w:val="true"/>
              </w:rPr>
              <w:t>الفصل الثاني</w:t>
            </w:r>
            <w:r>
              <w:rPr>
                <w:rStyle w:val="IndexLink"/>
                <w:rtl w:val="true"/>
              </w:rPr>
              <w:t xml:space="preserve">: </w:t>
            </w:r>
            <w:r>
              <w:rPr>
                <w:rStyle w:val="IndexLink"/>
                <w:rtl w:val="true"/>
              </w:rPr>
              <w:t>رأيُ ابن تيمية في منع لعن يزيد</w:t>
            </w:r>
            <w:r>
              <w:rPr>
                <w:rStyle w:val="IndexLink"/>
                <w:rtl w:val="true"/>
              </w:rPr>
              <w:tab/>
            </w:r>
            <w:r>
              <w:rPr>
                <w:rStyle w:val="IndexLink"/>
              </w:rPr>
              <w:t>97</w:t>
            </w:r>
          </w:hyperlink>
        </w:p>
        <w:p>
          <w:pPr>
            <w:pStyle w:val="Contents2"/>
            <w:tabs>
              <w:tab w:val="clear" w:pos="8743"/>
              <w:tab w:val="right" w:pos="9026" w:leader="dot"/>
            </w:tabs>
            <w:rPr/>
          </w:pPr>
          <w:hyperlink w:anchor="__RefHeading___Toc8798274_2870459653">
            <w:r>
              <w:rPr>
                <w:webHidden/>
                <w:rStyle w:val="IndexLink"/>
                <w:rtl w:val="true"/>
              </w:rPr>
              <w:t>أدلة جواز اللعن</w:t>
            </w:r>
            <w:r>
              <w:rPr>
                <w:rStyle w:val="IndexLink"/>
                <w:rtl w:val="true"/>
              </w:rPr>
              <w:tab/>
            </w:r>
            <w:r>
              <w:rPr>
                <w:rStyle w:val="IndexLink"/>
              </w:rPr>
              <w:t>109</w:t>
            </w:r>
          </w:hyperlink>
        </w:p>
        <w:p>
          <w:pPr>
            <w:pStyle w:val="Contents3"/>
            <w:tabs>
              <w:tab w:val="clear" w:pos="8459"/>
              <w:tab w:val="right" w:pos="9026" w:leader="dot"/>
            </w:tabs>
            <w:rPr/>
          </w:pPr>
          <w:hyperlink w:anchor="__RefHeading___Toc8798276_2870459653">
            <w:r>
              <w:rPr>
                <w:webHidden/>
                <w:rStyle w:val="IndexLink"/>
                <w:rtl w:val="true"/>
              </w:rPr>
              <w:t>و أما أدلة الجواز ففيها مقامان</w:t>
            </w:r>
            <w:r>
              <w:rPr>
                <w:rStyle w:val="IndexLink"/>
                <w:rtl w:val="true"/>
              </w:rPr>
              <w:t>:</w:t>
              <w:tab/>
            </w:r>
            <w:r>
              <w:rPr>
                <w:rStyle w:val="IndexLink"/>
              </w:rPr>
              <w:t>109</w:t>
            </w:r>
          </w:hyperlink>
        </w:p>
        <w:p>
          <w:pPr>
            <w:pStyle w:val="Contents4"/>
            <w:tabs>
              <w:tab w:val="clear" w:pos="8176"/>
              <w:tab w:val="right" w:pos="9026" w:leader="dot"/>
            </w:tabs>
            <w:rPr/>
          </w:pPr>
          <w:hyperlink w:anchor="__RefHeading___Toc8798278_2870459653">
            <w:r>
              <w:rPr>
                <w:webHidden/>
                <w:rStyle w:val="IndexLink"/>
                <w:rtl w:val="true"/>
              </w:rPr>
              <w:t>المقام الأول</w:t>
            </w:r>
            <w:r>
              <w:rPr>
                <w:rStyle w:val="IndexLink"/>
                <w:rtl w:val="true"/>
              </w:rPr>
              <w:t xml:space="preserve">: </w:t>
            </w:r>
            <w:r>
              <w:rPr>
                <w:rStyle w:val="IndexLink"/>
                <w:rtl w:val="true"/>
              </w:rPr>
              <w:t>في جواز لعن المستحق و مشروعيته و استحبابه و مندوبيته</w:t>
            </w:r>
            <w:r>
              <w:rPr>
                <w:rStyle w:val="IndexLink"/>
                <w:rtl w:val="true"/>
              </w:rPr>
              <w:tab/>
            </w:r>
            <w:r>
              <w:rPr>
                <w:rStyle w:val="IndexLink"/>
              </w:rPr>
              <w:t>109</w:t>
            </w:r>
          </w:hyperlink>
        </w:p>
        <w:p>
          <w:pPr>
            <w:pStyle w:val="Contents4"/>
            <w:tabs>
              <w:tab w:val="clear" w:pos="8176"/>
              <w:tab w:val="right" w:pos="9026" w:leader="dot"/>
            </w:tabs>
            <w:rPr/>
          </w:pPr>
          <w:hyperlink w:anchor="__RefHeading___Toc8798280_2870459653">
            <w:r>
              <w:rPr>
                <w:webHidden/>
                <w:rStyle w:val="IndexLink"/>
                <w:rtl w:val="true"/>
              </w:rPr>
              <w:t>المقام الثاني</w:t>
            </w:r>
            <w:r>
              <w:rPr>
                <w:rStyle w:val="IndexLink"/>
                <w:rtl w:val="true"/>
              </w:rPr>
              <w:t xml:space="preserve">: </w:t>
            </w:r>
            <w:r>
              <w:rPr>
                <w:rStyle w:val="IndexLink"/>
                <w:rtl w:val="true"/>
              </w:rPr>
              <w:t>في أدَّلة جواز لعن يزيد بخصوصه</w:t>
            </w:r>
            <w:r>
              <w:rPr>
                <w:rStyle w:val="IndexLink"/>
                <w:rtl w:val="true"/>
              </w:rPr>
              <w:tab/>
            </w:r>
            <w:r>
              <w:rPr>
                <w:rStyle w:val="IndexLink"/>
              </w:rPr>
              <w:t>115</w:t>
            </w:r>
          </w:hyperlink>
        </w:p>
        <w:p>
          <w:pPr>
            <w:pStyle w:val="Contents2"/>
            <w:tabs>
              <w:tab w:val="clear" w:pos="8743"/>
              <w:tab w:val="right" w:pos="9026" w:leader="dot"/>
            </w:tabs>
            <w:rPr/>
          </w:pPr>
          <w:hyperlink w:anchor="__RefHeading___Toc8798282_2870459653">
            <w:r>
              <w:rPr>
                <w:webHidden/>
                <w:rStyle w:val="IndexLink"/>
                <w:rtl w:val="true"/>
              </w:rPr>
              <w:t>خاتمة في فضل العلويين من بني هاشم</w:t>
            </w:r>
            <w:r>
              <w:rPr>
                <w:rStyle w:val="IndexLink"/>
                <w:rtl w:val="true"/>
              </w:rPr>
              <w:tab/>
            </w:r>
            <w:r>
              <w:rPr>
                <w:rStyle w:val="IndexLink"/>
              </w:rPr>
              <w:t>128</w:t>
            </w:r>
          </w:hyperlink>
        </w:p>
        <w:p>
          <w:pPr>
            <w:pStyle w:val="Contents2"/>
            <w:tabs>
              <w:tab w:val="clear" w:pos="8743"/>
              <w:tab w:val="right" w:pos="9026" w:leader="dot"/>
            </w:tabs>
            <w:rPr/>
          </w:pPr>
          <w:hyperlink w:anchor="__RefHeading___Toc8798284_2870459653">
            <w:r>
              <w:rPr>
                <w:webHidden/>
                <w:rStyle w:val="IndexLink"/>
                <w:rtl w:val="true"/>
              </w:rPr>
              <w:t>المصادر</w:t>
            </w:r>
            <w:r>
              <w:rPr>
                <w:rStyle w:val="IndexLink"/>
                <w:rtl w:val="true"/>
              </w:rPr>
              <w:tab/>
            </w:r>
            <w:r>
              <w:rPr>
                <w:rStyle w:val="IndexLink"/>
              </w:rPr>
              <w:t>138</w:t>
            </w:r>
          </w:hyperlink>
        </w:p>
        <w:p>
          <w:pPr>
            <w:pStyle w:val="Contents2"/>
            <w:tabs>
              <w:tab w:val="clear" w:pos="8743"/>
              <w:tab w:val="right" w:pos="9026" w:leader="dot"/>
            </w:tabs>
            <w:rPr/>
          </w:pPr>
          <w:hyperlink w:anchor="__RefHeading___Toc8798286_2870459653">
            <w:r>
              <w:rPr>
                <w:webHidden/>
                <w:rStyle w:val="IndexLink"/>
                <w:rtl w:val="true"/>
              </w:rPr>
              <w:t>محتویات الکتاب</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37_97036"/>
      <w:bookmarkStart w:id="1" w:name="pg9737_97036"/>
      <w:bookmarkEnd w:id="1"/>
    </w:p>
    <w:p>
      <w:pPr>
        <w:pStyle w:val="Heading2"/>
        <w:numPr>
          <w:ilvl w:val="1"/>
          <w:numId w:val="1"/>
        </w:numPr>
        <w:rPr/>
      </w:pPr>
      <w:bookmarkStart w:id="2" w:name="pg9737_97036"/>
      <w:bookmarkStart w:id="3" w:name="__RefHeading___Toc879814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الرّدُ علی مسائل مُوسی جار الله وَ رسالة فی اللّعن و فضل العَلَویّین</w:t>
      </w:r>
    </w:p>
    <w:p>
      <w:pPr>
        <w:pStyle w:val="BookText"/>
        <w:rPr/>
      </w:pPr>
      <w:r>
        <w:rPr>
          <w:rFonts w:ascii="Amiri" w:hAnsi="Amiri" w:eastAsia="Amiri" w:cs="Amiri"/>
          <w:color w:val="111111"/>
          <w:sz w:val="28"/>
          <w:sz w:val="28"/>
          <w:szCs w:val="28"/>
          <w:rtl w:val="true"/>
          <w:lang w:bidi="ar-SA"/>
        </w:rPr>
        <w:t>آیة الله العُظمی الشَّیخ هادي کَاشِف الغِطَاءِ</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مؤسّسة کاشِف الغِطَاءِ العامَّةُ</w:t>
      </w:r>
    </w:p>
    <w:p>
      <w:pPr>
        <w:pStyle w:val="BookText"/>
        <w:rPr/>
      </w:pPr>
      <w:r>
        <w:rPr>
          <w:rFonts w:ascii="IRNazanin" w:hAnsi="IRNazanin" w:eastAsia="IRNazanin"/>
          <w:color w:val="111111"/>
          <w:sz w:val="28"/>
          <w:sz w:val="28"/>
          <w:szCs w:val="28"/>
          <w:rtl w:val="true"/>
          <w:lang w:bidi="fa-IR"/>
        </w:rPr>
        <w:t>کریمُ الکمولي</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پیش بین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9815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الرّدُ علی مسائل مُوسی جار الله وَ رسالة فی اللّعن و فضل العَلَویّین</w:t>
      </w:r>
    </w:p>
    <w:p>
      <w:pPr>
        <w:pStyle w:val="BookText"/>
        <w:rPr/>
      </w:pPr>
      <w:r>
        <w:rPr>
          <w:rFonts w:ascii="Amiri" w:hAnsi="Amiri" w:eastAsia="Amiri" w:cs="Amiri"/>
          <w:color w:val="111111"/>
          <w:sz w:val="28"/>
          <w:sz w:val="28"/>
          <w:szCs w:val="28"/>
          <w:rtl w:val="true"/>
          <w:lang w:bidi="ar-SA"/>
        </w:rPr>
        <w:t>آیة الله العُظمی الشَّیخ هادي کَاشِف الغِطَاءِ</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مؤسّسة کاشِف الغِطَاءِ العامَّةُ</w:t>
      </w:r>
    </w:p>
    <w:p>
      <w:pPr>
        <w:pStyle w:val="BookText"/>
        <w:rPr/>
      </w:pPr>
      <w:r>
        <w:rPr>
          <w:rFonts w:ascii="IRNazanin" w:hAnsi="IRNazanin" w:eastAsia="IRNazanin"/>
          <w:color w:val="111111"/>
          <w:sz w:val="28"/>
          <w:sz w:val="28"/>
          <w:szCs w:val="28"/>
          <w:rtl w:val="true"/>
          <w:lang w:bidi="fa-IR"/>
        </w:rPr>
        <w:t>کریمُ الکمولي</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کاشف الغطاء</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کاشِف الغِطَاءِ العامَّةُ</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العمارة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العتبة العلویة المقدسة من جهة باب الشیخ الطوسي</w:t>
      </w:r>
    </w:p>
    <w:p>
      <w:pPr>
        <w:pStyle w:val="BookText"/>
        <w:rPr/>
      </w:pP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علی مسائل مُوسی جار الله وَ رسالة فی اللّعن و فضل العَلَویّین</w:t>
      </w:r>
    </w:p>
    <w:p>
      <w:pPr>
        <w:pStyle w:val="BookText"/>
        <w:rPr/>
      </w:pPr>
      <w:r>
        <w:rPr>
          <w:rFonts w:ascii="Amiri" w:hAnsi="Amiri" w:eastAsia="Amiri" w:cs="Amiri"/>
          <w:color w:val="111111"/>
          <w:sz w:val="28"/>
          <w:sz w:val="28"/>
          <w:szCs w:val="28"/>
          <w:rtl w:val="true"/>
          <w:lang w:bidi="ar-SA"/>
        </w:rPr>
        <w:t xml:space="preserve">تألیف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العُظمی الشَّیخ هادي کَاشِف الغِطَاءِ</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الکمولي</w:t>
      </w:r>
    </w:p>
    <w:p>
      <w:pPr>
        <w:pStyle w:val="BookText"/>
        <w:rPr/>
      </w:pPr>
      <w:r>
        <w:rPr>
          <w:rFonts w:ascii="IRNazanin" w:hAnsi="IRNazanin" w:eastAsia="IRNazanin"/>
          <w:color w:val="111111"/>
          <w:sz w:val="28"/>
          <w:sz w:val="28"/>
          <w:szCs w:val="28"/>
          <w:rtl w:val="true"/>
          <w:lang w:bidi="fa-IR"/>
        </w:rPr>
        <w:t xml:space="preserve">إخراج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کاشف الغطاء العامة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صبح للطباعة و التجلید</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مکان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الکمیة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kashifalgetaa.com / info@kashifalgetaa.com / 00964 - 7801006730</w:t>
      </w:r>
      <w:r>
        <w:rPr>
          <w:rFonts w:eastAsia="Times New Roman" w:cs="Times New Roman" w:ascii="Times New Roman" w:hAnsi="Times New Roman"/>
          <w:color w:val="111111"/>
          <w:sz w:val="28"/>
          <w:szCs w:val="28"/>
          <w:rtl w:val="true"/>
          <w:lang w:val="en-US" w:bidi="en-US"/>
        </w:rPr>
        <w:t xml:space="preserve"> </w:t>
      </w:r>
      <w:bookmarkStart w:id="7" w:name="pg9737_9704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798152_2870459653"/>
      <w:bookmarkStart w:id="9" w:name="_Toc3"/>
      <w:bookmarkEnd w:id="8"/>
      <w:r>
        <w:rPr>
          <w:rtl w:val="true"/>
        </w:rPr>
        <w:t>مقدمة ناشر الطبعة الأولى</w:t>
      </w:r>
      <w:bookmarkEnd w:id="9"/>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نبينا محمد أشرف الخلق أجمعين، و على آله الأطهار الميامين أئمة الهدى، و حماة الدين، و وسيلة المستضعفين، و غاية منتهى الراجين، و على 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كتب العلاّمة آية الله العظمى الشيخ هادي كاشف الغطاء قدّس سره رسالتين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فيها على المسائل التي وجهها موسى جار الله إلى علماء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اللعن و فضل العلويين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في الحقيقة تعبران عن مسألة مهمة و قضية كبرى شغلت العالم الإسلامي منذ قرون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زالت تَبِعاتُها إلى هذا اليوم تنخر في جسد الأمة الإسلامية، و تقوّض من دعائم المجتمع الإسلامي، و قد استفاد منها أعداؤنا كثيراً و اتخذوها سلاحاً فتّاكاً للتفرقة بين المسلمين، و كسر شوكتهم، و تشتيت </w:t>
      </w:r>
    </w:p>
    <w:p>
      <w:pPr>
        <w:pStyle w:val="BookText"/>
        <w:rPr/>
      </w:pPr>
      <w:r>
        <w:rPr>
          <w:rFonts w:ascii="Amiri" w:hAnsi="Amiri" w:eastAsia="Amiri" w:cs="Amiri"/>
          <w:color w:val="111111"/>
          <w:sz w:val="28"/>
          <w:sz w:val="28"/>
          <w:szCs w:val="28"/>
          <w:rtl w:val="true"/>
          <w:lang w:bidi="ar-SA"/>
        </w:rPr>
        <w:t>جمعهم؛ لصرف أنظارهم عن الأخطار الخارجية التي تهدد وجودهم و كيانهم و عن الأوضاع المأساوية التي يعيش في كنفها الإنسان العربي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 بين السنة و الشيعة هي القضية الكبرى التي ألقت بظلالها على واقعنا القديم و المعاصر و ما تبعها من صراع مذهبي منذ عصر صدر الإسلام إلى هذا اليوم، و ما حَمَل في طيّاته من تبعاتٍ خطيرة، و ما تركه من إرث ثقيل بالمشاكل و الخصومات بين أبناء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تصدّى العلامة الشيخ هادي كاشف الغطاء قدّس سره لهذا الأمر بكل حزم و قوة، و بكل ما أوتي من أدب و بيان، و بما عرف عنه من قوة الاستدلال و سطوع البرهان، و مقارعة الخصوم في النقاش و الجدال بأسلوب علمي و منطقي يستند إلى الحقائق و الوقائع بعيداً عن الأهواء الشخصية و الآراء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همّه الوحيد في ذلك كشف القناع عن الحقيقة، و إزاحة الستار عن الشبهات، كما أنّ الشيخ كان يسعى إلى توحيد صفوف المسلمين و يدعو إلى تناسي أحقادهم و نبذ خلافاتهم ورائهم ظهرياً، لأن هذه الأمور لم تعدْ على المسلمين بأيّ فائدة، و لا طائل من ورائها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الشيخ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طرح مثل هذه الموضوعات في ميدان البحث و المناظرة و الرد و النقد مما لا فائدة فيه و لا عائدة و لا رقي و لا عرفان منفعة، كمسألة 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قدمه و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غيرها من المسائل البائدة التي لا وقع لبعثها، و لا نفع لنشرها، فليس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إضاعة الوقت، و إتلاف الحبر و الورق و الاشتغال بما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 العواطف و إثارة الإحن و التفرقة بين المسلمين، و مناوأة الحق، و التعصب للباطل، و قيل و قال، و مراء و جدال، </w:t>
      </w:r>
    </w:p>
    <w:p>
      <w:pPr>
        <w:pStyle w:val="BookText"/>
        <w:rPr/>
      </w:pPr>
      <w:r>
        <w:rPr>
          <w:rFonts w:ascii="IRNazanin" w:hAnsi="IRNazanin" w:eastAsia="IRNazanin"/>
          <w:color w:val="111111"/>
          <w:sz w:val="28"/>
          <w:sz w:val="28"/>
          <w:szCs w:val="28"/>
          <w:rtl w:val="true"/>
          <w:lang w:bidi="fa-IR"/>
        </w:rPr>
        <w:t>و تعصب و تحزب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 الشيخ هادي كاشف الغطاء قدس سره بكلّ أسف و 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الغربيين يناولون الشهرة و السمعة، و يكون لهم الصوت و الصيت بما يبتكرونه من الأعمال و ما يخترعونه من الصنائع التي تنفع عموم البشر، و إنّ بعض الجهلة من الشرقيين ممن صبغ نفسه بصبغة الإسلام يعٍمَدُ إلى أمور خرافية منسية بائدة كاسدة فيروّجُها، و يتعصب لها، و يجعلها أساطير تتلى و زبراً على منصة القدر تجلى؛ لينالَ بذلك شُهرة و سمعة بين أهل عصره ليقال من ذا قالها؟ و إنّا لنعجب ممن ينشر مثل هذه الأمور، و لمن يقرؤها و يضعها موضع النظر و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الرسالة الأولى جاءت رداً على المسائل التي وجهها موسى جار الله و التي طلب فيها جواباً من علماء الشيعة في النجف الأشرف و هي مسائل تضمّنت أموراً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الصَّحَابة و لعنهم، و القول بتحريف القرآن، و موقفُ الشيعة من حكوماتِ الدّول الإسلامية، و تكفير الفرق الإسلامية، و الجهاد و الشهادة، و إنكار كتب الشيعة لأحاديث أئمة العامة، و في تأويل الآيات و تنزيلها، و في التقية، و في الأخبار الواردة في كتب الشيعة، و في مسألة العول، و في المتعة، و في الخلاف بين علي عليه السلام و الصحابة، و في ولاية الإمام، و في النسيء، و في حج النبي صلى الله عليه و آله و سلم، و في حفظ الشيعة للقرآن الكريم و اختلافهم في المصاحف</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رَدِّهِ على تلكَ المسائل أوضحَ الشيخ قدس سره ما وَقَعَ فيه موسى جار الله من أغلاطٍ و أوهام و زلل لا يخفى على ذي عقل و بصيرة، و إنّ هذا الرَّجُل ما أراد إلّا الإساءَةَ إلى الشّيعةِ و عقائدهم مُنتحِلاً الكذب و الادّعاء على الشيعة بما لا تقول فيه و لا تؤمن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انبرى الشيخ قدس سره مُنافحاً عن عقيدة أهل البيت و تراث آل محمد صلى الله عليه و آله و سلم مسقطاً الحجج الواهية و الأدلة الفانية التي جاء بها موسى جار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الثانية فقد جاءت جواباً عن سؤال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الحكم الشرعي في لعن يزيد هل هو جائز مشروع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أجاب الشيخ قدس سره عن هذا السؤال في مقامين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الأول فقد ذكر فيه حجج المانعين من لعنه، و في المقام الثاني تناول حُجَجَ المجوّزين في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الخاتمة فقد جعلها في فضل العلويين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ذكره لجميع الأدلة و البراهين اعتمد على مصادر السنة كي تكون الحجّة أبلغ و الدليل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 اللهُ علينا بإظهار هاتين الرّسالتين و إخراجهما إلى الوجود لكي يطلع عليهما القراء و يفيدوا منها ما شاؤا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عملنا هذا إلّا في سبيل خدمة الإسلام و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التوفيق إنه نعم المولى و 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9737_97044"/>
    </w:p>
    <w:p>
      <w:pPr>
        <w:pStyle w:val="Heading2"/>
        <w:numPr>
          <w:ilvl w:val="1"/>
          <w:numId w:val="1"/>
        </w:numPr>
        <w:rPr/>
      </w:pPr>
      <w:bookmarkStart w:id="11" w:name="__RefHeading___Toc8798154_2870459653"/>
      <w:bookmarkStart w:id="12" w:name="_Toc4"/>
      <w:bookmarkEnd w:id="10"/>
      <w:bookmarkEnd w:id="11"/>
      <w:r>
        <w:rPr>
          <w:rtl w:val="true"/>
        </w:rPr>
        <w:t>مقدمة التحقيق</w:t>
      </w:r>
      <w:bookmarkEnd w:id="12"/>
    </w:p>
    <w:p>
      <w:pPr>
        <w:pStyle w:val="Heading3"/>
        <w:numPr>
          <w:ilvl w:val="2"/>
          <w:numId w:val="1"/>
        </w:numPr>
        <w:rPr/>
      </w:pPr>
      <w:bookmarkStart w:id="13" w:name="__RefHeading___Toc8798156_2870459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 صلّى الله على رسوله الامين و آله الطيبين الطاهرين و 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ابتليت الامّة الاسلامية بالصراع في أدوارها الاولى، و هي أصعب مرحلة تمرَّ بها الاَمة أيّ أمّة يريد لها أبناؤها أنْ تستمر و تشيد صرح العمران و الحضارة؛ لتملأ الأرضَ بعبق عطرها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الصراع في الادوار الاولى جعل ابناء الامّة الى قسمين مع العترة و ضدّها فلي هناك وسط في هذه المسألة، التي بقيت الى يومنا هنا، فإمّا معهم و امّا عليهم، هذه معاناة أمتنا المستديمة منذ قرون فانتفاء الحدّ الاوسط جعل الامّة تدور في دوّامة محاولات الجمع و التقريب بين الفريقين، فمرّة يعلو صوتُ المصلحين، و مرَات عديدة تعلو أصوات و صياح المتصارعين فيغيب عن المشهد الحوار الهادئ في مواضيع مضت عليها قرون، لكنّها ماتزال حتى اليوم كالبراكين الخامدة نارها قريبٌ من السطح</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تنتشر في أيامنا في كل بلاد المسلمين تقريباً مشتقاتُ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عندما تصل النّوبة الى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الحدّ الأدنى من مشتقات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يزداد وصولاً الى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نراها اليوم بأدقّ تفاصيلها عندنا في العراق، فلا بيتَ إلاّ و فيه من يإنُّ حسرة و لوعة و حزناً، بسبب تغييب الحدّ الأوسط، و هو جعل هذه المواضيع المذهبية التاريخية الفقهية العقدية </w:t>
      </w:r>
    </w:p>
    <w:p>
      <w:pPr>
        <w:pStyle w:val="BookText"/>
        <w:rPr/>
      </w:pPr>
      <w:r>
        <w:rPr>
          <w:rFonts w:ascii="Amiri" w:hAnsi="Amiri" w:eastAsia="Amiri" w:cs="Amiri"/>
          <w:color w:val="111111"/>
          <w:sz w:val="28"/>
          <w:sz w:val="28"/>
          <w:szCs w:val="28"/>
          <w:rtl w:val="true"/>
          <w:lang w:bidi="ar-SA"/>
        </w:rPr>
        <w:t>الدقيقة محصورة في أضيق نطاقٍ ممكن، و هو نطاق العلماء المتخصصين في مجالاتهم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فتح هذه المواضيع على الفضائيات و صفحات التواصل الاجتماعي و هي أكثر و أوسع انتشاراً من الكتب كان سبباً رئيساً في زيادة التشتت الطائفي بل الحرب الطائفية التي حطّت رحالها في بلدان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هل تعلمون بأنّ موسى جار الله دَخَلَ النجف و بقي في كربلاء فترة و في الكاظمية، و علماؤها يعرفون الرجل جيّداً، و يعرفون آراءه فيهم، و لم يتعرّض لإهانته أحد أو التجاوز عليه بشق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الدكتور أحمد أمين الذي كتب ما كتب في مؤلفاته عن الشيعة زار النجف فانبهر بحسن الاستقبال و الضيافة و كأنه لم يكتب شيئاً عنهم، أو كأنهم لا يعرفون بكتابته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للبحث العلمي مكان و للضيافة و الاخوّة و المودّة أماكن، ولكن كيف يتم إيصال هذا المعنى للناس مع تسلّط الطائفيين على الإعلام المسموع و المرئي في ايّامنا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الاسئلة الشهيرة التي كتبها موسى جار الله الداعية الاسلامي الروسي التركماني حشاها ناراً، و سجّر عباراتها بمختلف موارد الإثارة، و كأنه كان يكتب اسئلة انفجارية الغرض منها اثارة زوبعة في المجتمع الاسلامي الذي لم يكن يخرج من تسلط الظَلَمَة المستبدين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فطارت الاسئلة في الأيدي في البلدان، و ترجمت الى الفارسية و التركية، فصار لزاماً على علماء الشيعة الردّ عليها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لأنّا في هذه الايّام نمرّ بظروف أكثر شدة و تطرّفاً مما كان يمرّ به أجدادنا في </w:t>
      </w:r>
      <w:bookmarkStart w:id="15" w:name="pg9737_97046"/>
    </w:p>
    <w:p>
      <w:pPr>
        <w:pStyle w:val="BookText"/>
        <w:rPr/>
      </w:pPr>
      <w:bookmarkEnd w:id="15"/>
      <w:r>
        <w:rPr>
          <w:rFonts w:ascii="Amiri" w:hAnsi="Amiri" w:eastAsia="Amiri" w:cs="Amiri"/>
          <w:color w:val="111111"/>
          <w:sz w:val="28"/>
          <w:sz w:val="28"/>
          <w:szCs w:val="28"/>
          <w:rtl w:val="true"/>
          <w:lang w:bidi="ar-SA"/>
        </w:rPr>
        <w:t>العشرينات من غزوات فيصل الدويش و أمثاله من الإخوان الوهابيين النجديين، و إحياءً لذكرى علمائنا العظام الذين تصدّوا للردّ على السيف بالقلم قمنا بإعادة تحقيق هذه الاجوبة و طبعها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8798158_2870459653"/>
      <w:bookmarkStart w:id="17" w:name="_Toc6"/>
      <w:bookmarkEnd w:id="16"/>
      <w:r>
        <w:rPr>
          <w:rtl w:val="true"/>
        </w:rPr>
        <w:t xml:space="preserve">الردّ على مسائل موسى جار الله </w:t>
      </w:r>
      <w:r>
        <w:rPr>
          <w:rtl w:val="true"/>
        </w:rPr>
        <w:t>:</w:t>
      </w:r>
      <w:bookmarkEnd w:id="17"/>
    </w:p>
    <w:p>
      <w:pPr>
        <w:pStyle w:val="BookText"/>
        <w:rPr/>
      </w:pPr>
      <w:r>
        <w:rPr>
          <w:rFonts w:ascii="Amiri" w:hAnsi="Amiri" w:eastAsia="Amiri" w:cs="Amiri"/>
          <w:color w:val="111111"/>
          <w:sz w:val="28"/>
          <w:sz w:val="28"/>
          <w:szCs w:val="28"/>
          <w:rtl w:val="true"/>
          <w:lang w:bidi="ar-SA"/>
        </w:rPr>
        <w:t xml:space="preserve">كتبه الشيخ هادي قدس سره على عجالة على ما يبدو فلم يتسَنَ لأحَدٍ مراجعةَ بعض كتب الحديث الموجودة عنده في مكتبته، ذكر ذلك بنفسه في ردّه المسألة السابعة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من كلامه انه قدس سره كان متبرّماً من الخوض في هذه المواضيع؛ لعدم الفائدة، بل الضرر المترتب على الخوض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إرباكاً في العالم الاسلامي برمّتِهِ بنشر هذه المسائل، فاقتضت المصلحة الردّ عليها، حذراً من تفسير السكوت عنها بالعجز أو بالاعتراف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استعان الشيخ قدس سره في ردّه بالقرآن الكريمُ و بالحديث الشريف، و من امهات المصادر الإسلامية، و كذلك استعان بالردّ الجَدَلي في أحيان قليلة، و حاول توضيحَ الإيرادات و الشبهات بهدوء و بساطة، و بدون الخوض طويلاً في مسائل تزيد من حالة التفكّك التي تعيشها الأمة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قدس سره رغم كلّ هذه الصعوبات التي تحول دون بسط الكلام ظهر منافحاً بقلمه الشريف عن مذهب آل البيت ذابّاً عنهم أشدّ الذبِّ و مُدافعاً ممانعاً لهجوم جار الله على المذهب، و لو كان جارُ الله جاراً لله لما رَمَى بيوتَ أهل بيت رسول الله بالحجارة</w:t>
      </w:r>
      <w:r>
        <w:rPr>
          <w:rFonts w:eastAsia="Amiri" w:cs="Amiri" w:ascii="Amiri" w:hAnsi="Amiri"/>
          <w:color w:val="111111"/>
          <w:sz w:val="28"/>
          <w:szCs w:val="28"/>
          <w:rtl w:val="true"/>
          <w:lang w:bidi="ar-SA"/>
        </w:rPr>
        <w:t xml:space="preserve">. </w:t>
      </w:r>
      <w:bookmarkStart w:id="18" w:name="pg9737_97047"/>
    </w:p>
    <w:p>
      <w:pPr>
        <w:pStyle w:val="Heading3"/>
        <w:numPr>
          <w:ilvl w:val="2"/>
          <w:numId w:val="1"/>
        </w:numPr>
        <w:rPr/>
      </w:pPr>
      <w:bookmarkStart w:id="19" w:name="__RefHeading___Toc8798160_2870459653"/>
      <w:bookmarkStart w:id="20" w:name="_Toc7"/>
      <w:bookmarkEnd w:id="18"/>
      <w:bookmarkEnd w:id="19"/>
      <w:r>
        <w:rPr>
          <w:rtl w:val="true"/>
        </w:rPr>
        <w:t>كتاب مسائل موسى جار الله</w:t>
      </w:r>
      <w:r>
        <w:rPr>
          <w:rtl w:val="true"/>
        </w:rPr>
        <w:t>:</w:t>
      </w:r>
      <w:bookmarkEnd w:id="20"/>
    </w:p>
    <w:p>
      <w:pPr>
        <w:pStyle w:val="BookText"/>
        <w:rPr/>
      </w:pPr>
      <w:r>
        <w:rPr>
          <w:rFonts w:ascii="Amiri" w:hAnsi="Amiri" w:eastAsia="Amiri" w:cs="Amiri"/>
          <w:color w:val="111111"/>
          <w:sz w:val="28"/>
          <w:sz w:val="28"/>
          <w:szCs w:val="28"/>
          <w:rtl w:val="true"/>
          <w:lang w:bidi="ar-SA"/>
        </w:rPr>
        <w:t>مجموعة مسائل هي عشرون مسألة معظمها في العقائد، و التأريخ، و الحديث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نَسَجَها السائلُ بطريقةٍ جُمَلٍ مقتضبة عن موضوع معيّن، استقى أفكارها في غالبها من آراء المتشددين من أهل السنة، كابن تيمية و تلاميذه ابن القيم و الذهبي و ابن كثير، فليست إلّا دعاوى لا تثبت أمام التحقيق، و أوهام، و أخطاء في فهمٍ، نقلها قدماء المؤرخين في الملل و النحل، و نقول بلا تمحيص، و تخرّصات و اكاذيب سببها الصراعات الصراعات المذهبية في تأريخ المسلمين المشحون بالخلافات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جار الله ان يسند بعض آرائه و مدعياته بأحاديث ينقلها من كتب الامامية دون بل هي اسقاطات معتقداته في كتب السنة على كتب الشيعة فمثلاً هم يعتقدون أنْ البخاري و مسلم أصحّ الكتب بعد كتاب الله، فيظنون أنّ الشيعة تقول بنفس المقالة في كتبها، فأخذ ينقل الأحاديث من الكافي متبجحاً كأنه عثر على الدرّة وسط الفحم، فجلى عنها السواد و بان تلألؤها، و لم يلتفت الى ان الشيعة تعامل كل كتبها على مستوى واحد، من عرضها على كتاب الله و على مباحث الجرح و التعديل في علم الرجال، فبعد حجة السند ينظرون في الروايات، هل يمكن قبول متونها، و انها لا تخالف كتاب الله، و ليس لها معارض او مُخصِّصٌ أو مقيّد لسعة مداليلها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الأسباب تعرّض جمعٌ من العلماء لردّ هذه المسائل و نقضها،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الموسوي، و السيد محسن الامين العاملي،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عبد الحسين الرشتي، و الشيخ مهدي الحجار، و الشيخ هادي كاشف الغطاء، و هذا كتابه في الردّ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عرّض بصاحب المسائل جماعة كبيرة من العلماء الشيعة لعلّ أهمّهم الشيخ عبد الحسين الأميني صاحب الغدير</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737_97050"/>
      <w:bookmarkStart w:id="22" w:name="pg9737_97050"/>
      <w:bookmarkEnd w:id="22"/>
    </w:p>
    <w:p>
      <w:pPr>
        <w:pStyle w:val="BookText"/>
        <w:rPr/>
      </w:pPr>
      <w:bookmarkStart w:id="23" w:name="pg9737_97050"/>
      <w:bookmarkEnd w:id="2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4" w:name="__RefHeading___Toc8798162_2870459653"/>
      <w:bookmarkStart w:id="25" w:name="_Toc8"/>
      <w:bookmarkEnd w:id="24"/>
      <w:r>
        <w:rPr>
          <w:rtl w:val="true"/>
        </w:rPr>
        <w:t>ترجمة المؤلف</w:t>
      </w:r>
      <w:bookmarkEnd w:id="25"/>
    </w:p>
    <w:p>
      <w:pPr>
        <w:pStyle w:val="Heading3"/>
        <w:numPr>
          <w:ilvl w:val="2"/>
          <w:numId w:val="1"/>
        </w:numPr>
        <w:rPr/>
      </w:pPr>
      <w:bookmarkStart w:id="26" w:name="__RefHeading___Toc8798164_2870459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هو الشيخ هادي ابن الشيخ عباس ابن الشيخ علي ابن الشيخ جعفر الكبير كاشف الغطاء ابن الشيخ خضر بن يحيى الجناجي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سنة ولادته بين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الراجح الاخير لأنه ذكر في ترجمته التي دوّنها ولده الشيخ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798166_2870459653"/>
      <w:bookmarkStart w:id="29" w:name="_Toc10"/>
      <w:bookmarkEnd w:id="28"/>
      <w:r>
        <w:rPr>
          <w:rtl w:val="true"/>
        </w:rPr>
        <w:t>نشأته</w:t>
      </w:r>
      <w:r>
        <w:rPr>
          <w:rtl w:val="true"/>
        </w:rPr>
        <w:t>:</w:t>
      </w:r>
      <w:bookmarkEnd w:id="29"/>
    </w:p>
    <w:p>
      <w:pPr>
        <w:pStyle w:val="BookText"/>
        <w:rPr/>
      </w:pPr>
      <w:r>
        <w:rPr>
          <w:rFonts w:ascii="Amiri" w:hAnsi="Amiri" w:eastAsia="Amiri" w:cs="Amiri"/>
          <w:color w:val="111111"/>
          <w:sz w:val="28"/>
          <w:sz w:val="28"/>
          <w:szCs w:val="28"/>
          <w:rtl w:val="true"/>
          <w:lang w:bidi="ar-SA"/>
        </w:rPr>
        <w:t>نشأ في ظلال أسرته الوارفه، و لا تحتاج أسرة كاشف الغطاء الى تعريف، بل بها يُعرَفُ طلبة العلم و الأدب، شبَّ قدس سره شاعراً مفلقاً أديباً، شارك في معارك النجف الأدبية الى جانب أقرانه الذين عرفوا بالنباهة و الذكاء و الفضيلة و العلم، أمثال السيد جعفر الحلي، و الشيخ جواد الشبيبي، و الشيخ عبد الحسين الجواهري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798168_2870459653"/>
      <w:bookmarkStart w:id="31" w:name="_Toc11"/>
      <w:bookmarkEnd w:id="30"/>
      <w:r>
        <w:rPr>
          <w:rtl w:val="true"/>
        </w:rPr>
        <w:t>دروسه</w:t>
      </w:r>
      <w:r>
        <w:rPr>
          <w:rtl w:val="true"/>
        </w:rPr>
        <w:t>:</w:t>
      </w:r>
      <w:bookmarkEnd w:id="3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مقدمات العلم الشيخ صادق آل حاج مسعود، و الشيخ عبد الهادي البغدادي، و السيد علي ابن السيد محمود الامين العاملي، قرأ رسائل الشيخ الأنصاري على شيخ الشريعة الأصفهاني، و حَضَرَ الفقه و الأصولَ عند والده </w:t>
      </w:r>
      <w:bookmarkStart w:id="32" w:name="pg9737_97051"/>
    </w:p>
    <w:p>
      <w:pPr>
        <w:pStyle w:val="BookText"/>
        <w:rPr/>
      </w:pPr>
      <w:bookmarkEnd w:id="32"/>
      <w:r>
        <w:rPr>
          <w:rFonts w:ascii="Amiri" w:hAnsi="Amiri" w:eastAsia="Amiri" w:cs="Amiri"/>
          <w:color w:val="111111"/>
          <w:sz w:val="28"/>
          <w:sz w:val="28"/>
          <w:szCs w:val="28"/>
          <w:rtl w:val="true"/>
          <w:lang w:bidi="ar-SA"/>
        </w:rPr>
        <w:t xml:space="preserve">الشيخ عباس، و حضر درس الشيخ الاخوند محمد كاظم الخراساني أكثر من عشر سنين، و حضر درس السيد اليزدي صاحب العروة، و حَضَرَ درس الشيخ اغا رضا الهمداني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798170_2870459653"/>
      <w:bookmarkStart w:id="34" w:name="_Toc12"/>
      <w:bookmarkEnd w:id="33"/>
      <w:r>
        <w:rPr>
          <w:rtl w:val="true"/>
        </w:rPr>
        <w:t>مؤلفاته</w:t>
      </w:r>
      <w:r>
        <w:rPr>
          <w:rtl w:val="true"/>
        </w:rPr>
        <w:t>:</w:t>
      </w:r>
      <w:bookmarkEnd w:id="34"/>
    </w:p>
    <w:p>
      <w:pPr>
        <w:pStyle w:val="BookText"/>
        <w:rPr/>
      </w:pPr>
      <w:r>
        <w:rPr>
          <w:rFonts w:ascii="Amiri" w:hAnsi="Amiri" w:eastAsia="Amiri" w:cs="Amiri"/>
          <w:color w:val="111111"/>
          <w:sz w:val="28"/>
          <w:sz w:val="28"/>
          <w:szCs w:val="28"/>
          <w:rtl w:val="true"/>
          <w:lang w:bidi="ar-SA"/>
        </w:rPr>
        <w:t>ترك قدس سره آثاراً عديدة بعضها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الاجوبة النجفية عن الفتاوى الوهابية، البرهان المبين في من يجب أتباعه من المرسلين، بلغة النحاة في شرح الفائقة، الرد على مسائل موسى جار الله، رسالة في اللعن و فضل العلويين، رسالة في فن التجويد، مدارك نهج البلاغة، مستدرك نهج البلاغة، هدى المتقين، و هذه كلها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النحو سماها نظم الزهر من نثر القطر، منظومة في أحوال السيدة الزهراء عليها السلام، منظومة في أحوال الامام الحسن عليه السلام، شرح على كتاب الشرائع، شرح على تبصرة المتعلمين، قاموس المحرمات، شرح على منظومة السيد بحر العلوم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798172_2870459653"/>
      <w:bookmarkStart w:id="36" w:name="_Toc13"/>
      <w:bookmarkEnd w:id="35"/>
      <w:r>
        <w:rPr>
          <w:rtl w:val="true"/>
        </w:rPr>
        <w:t>وفاته</w:t>
      </w:r>
      <w:r>
        <w:rPr>
          <w:rtl w:val="true"/>
        </w:rPr>
        <w:t>:</w:t>
      </w:r>
      <w:bookmarkEnd w:id="36"/>
    </w:p>
    <w:p>
      <w:pPr>
        <w:pStyle w:val="BookText"/>
        <w:rPr/>
      </w:pPr>
      <w:r>
        <w:rPr>
          <w:rFonts w:ascii="Amiri" w:hAnsi="Amiri" w:eastAsia="Amiri" w:cs="Amiri"/>
          <w:color w:val="111111"/>
          <w:sz w:val="28"/>
          <w:sz w:val="28"/>
          <w:szCs w:val="28"/>
          <w:rtl w:val="true"/>
          <w:lang w:bidi="ar-SA"/>
        </w:rPr>
        <w:t xml:space="preserve">توفي الشيخ قدس سره في النجف ليلة الأربعاء التاسع من محرم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شيّع تشيعاً مهيباً شارك فيه كبار العلماء و الوجوه و الاعيان و جماهير الناس و شيوخ القبائل، دفن في مقبرتهم الشهيرة الى جانب ابيه و أجداده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798174_2870459653"/>
      <w:bookmarkStart w:id="38" w:name="_Toc14"/>
      <w:bookmarkEnd w:id="37"/>
      <w:r>
        <w:rPr>
          <w:rtl w:val="true"/>
        </w:rPr>
        <w:t>ترجمة السائل</w:t>
      </w:r>
      <w:r>
        <w:rPr>
          <w:rtl w:val="true"/>
        </w:rPr>
        <w:t>:</w:t>
      </w:r>
      <w:bookmarkEnd w:id="3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جار الله الشهير بابن فاطمة، التركستاني القازاني التاتاري،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رستوف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روسيا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درس في بلاده مبادئ العربية </w:t>
      </w:r>
    </w:p>
    <w:p>
      <w:pPr>
        <w:pStyle w:val="BookText"/>
        <w:rPr/>
      </w:pPr>
      <w:r>
        <w:rPr>
          <w:rFonts w:ascii="Amiri" w:hAnsi="Amiri" w:eastAsia="Amiri" w:cs="Amiri"/>
          <w:color w:val="111111"/>
          <w:sz w:val="28"/>
          <w:sz w:val="28"/>
          <w:szCs w:val="28"/>
          <w:rtl w:val="true"/>
          <w:lang w:bidi="ar-SA"/>
        </w:rPr>
        <w:t xml:space="preserve">و الفقه و تبحر فيه، صار إماماً للجامع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لينينغراد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كثير السفر، فإنّه أثناء حجّهِ أقامٍ بمكّة ثلاث سنين، صار شيخاً للإسلام في روسيا قبيل الثورة البلشفية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أصدر كتباً عن علاقة المسلمين بالثورة، فصودرت مطبعته، فرحل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 وصف رحلته في 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قد ساح في البلاد الإسلامية عندما كان طالباً، و استمرّت سياحته ستة سنوات، زار العراق و مدنه المهمة بغداد و البصرة و النجف و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نشر مسائله هذه التي هي ملخّصٌ لكتاب الوشيعة، و أرسلها الى علماء الإمامية في إيران و العراق و طَرَقَ كلَّ الأبواب من أجل 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الزركلي في الأعلام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اضطربت عقيدته في أعوامه الاخيرة، و مرض في مصر فدخل ملجأ العجزة بالقاهرة و توفي به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لم افهم معهناها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لرجل يكونُ بهذه الأهمية عندهم و يهتفون باسمه حتى اليوم يموتُ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 العجزة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يمنح داراً ليسكنها في غربته، و هو يعيشُ في مصر ردحاً طويلاً قارب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ثم إنّ الدعاة السلفيين في مصر امتدحوه مثل محبّ الدين الخطيب مع كون هؤلاء متنفذين جداً في مصر إبّانَ الحكم الملكي المصري</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جملة نقلها الزركلي لم أجدها عند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اضطربت عقيدته في أعوامه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ذلك هل تعني إنه بدّل عقيدته من الأشعرية الى السلفيّة الوهابية المتشددة، فلماذا تركه السلفيون المتنفذون بهذا الحال الذي يُرثى </w:t>
      </w:r>
      <w:bookmarkStart w:id="39" w:name="pg9737_97053"/>
    </w:p>
    <w:p>
      <w:pPr>
        <w:pStyle w:val="BookText"/>
        <w:rPr/>
      </w:pPr>
      <w:bookmarkEnd w:id="39"/>
      <w:r>
        <w:rPr>
          <w:rFonts w:ascii="Amiri" w:hAnsi="Amiri" w:eastAsia="Amiri" w:cs="Amiri"/>
          <w:color w:val="111111"/>
          <w:sz w:val="28"/>
          <w:sz w:val="28"/>
          <w:szCs w:val="28"/>
          <w:rtl w:val="true"/>
          <w:lang w:bidi="ar-SA"/>
        </w:rPr>
        <w:t>له بحيث يلقي في ملجأ العجزة ليموت فيه؟</w:t>
      </w:r>
    </w:p>
    <w:p>
      <w:pPr>
        <w:pStyle w:val="BookText"/>
        <w:rPr/>
      </w:pPr>
      <w:r>
        <w:rPr>
          <w:rFonts w:ascii="Amiri" w:hAnsi="Amiri" w:eastAsia="Amiri" w:cs="Amiri"/>
          <w:color w:val="111111"/>
          <w:sz w:val="28"/>
          <w:sz w:val="28"/>
          <w:szCs w:val="28"/>
          <w:rtl w:val="true"/>
          <w:lang w:bidi="ar-SA"/>
        </w:rPr>
        <w:t>أو ربما يكون الرجل قد تشيّع 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تُرك وحيداً يعاني آلامه و أيّامه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اقلّ التقارير أعرض عن آرائه في ذمّ السقيفة فأعرض عند من امتدحوه طويلاً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798176_2870459653"/>
      <w:bookmarkStart w:id="41" w:name="_Toc15"/>
      <w:bookmarkEnd w:id="40"/>
      <w:r>
        <w:rPr>
          <w:rtl w:val="true"/>
        </w:rPr>
        <w:t>نسخ المخطوطات</w:t>
      </w:r>
      <w:r>
        <w:rPr>
          <w:rtl w:val="true"/>
        </w:rPr>
        <w:t>:</w:t>
      </w:r>
      <w:bookmarkEnd w:id="41"/>
    </w:p>
    <w:p>
      <w:pPr>
        <w:pStyle w:val="BookText"/>
        <w:rPr/>
      </w:pPr>
      <w:r>
        <w:rPr>
          <w:rFonts w:ascii="Amiri" w:hAnsi="Amiri" w:eastAsia="Amiri" w:cs="Amiri"/>
          <w:color w:val="111111"/>
          <w:sz w:val="28"/>
          <w:sz w:val="28"/>
          <w:szCs w:val="28"/>
          <w:rtl w:val="true"/>
          <w:lang w:bidi="ar-SA"/>
        </w:rPr>
        <w:t>عثرنا في خزانة كتب الشيخ قدس سره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الردّ علی مسائل موسی جار الله بخطّ الشیخ هادي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فیها سطراً قیاساتها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في کل سطر ما بین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السائل بخطٍّ غیر خط الشیخ لم أتبیّن ناسخها لکن في آخرها توقیع موسی جار الله، و أنّه کتبها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فیها ما بین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کلُّ سطر فیه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قیاساتها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رسالة اللعن و فضل العلویین و هي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قیاساتها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في کل صفحة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في کل سطر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 هي بخط الشیخ هادي شخصیاً</w:t>
      </w:r>
      <w:r>
        <w:rPr>
          <w:rFonts w:eastAsia="IRNazanin" w:cs="IRNazanin"/>
          <w:color w:val="111111"/>
          <w:sz w:val="28"/>
          <w:szCs w:val="28"/>
          <w:rtl w:val="true"/>
          <w:lang w:bidi="fa-IR"/>
        </w:rPr>
        <w:t>.</w:t>
      </w:r>
    </w:p>
    <w:p>
      <w:pPr>
        <w:pStyle w:val="Heading3"/>
        <w:numPr>
          <w:ilvl w:val="2"/>
          <w:numId w:val="1"/>
        </w:numPr>
        <w:rPr/>
      </w:pPr>
      <w:bookmarkStart w:id="42" w:name="__RefHeading___Toc8798178_2870459653"/>
      <w:bookmarkStart w:id="43" w:name="_Toc16"/>
      <w:bookmarkEnd w:id="42"/>
      <w:r>
        <w:rPr>
          <w:rtl w:val="true"/>
        </w:rPr>
        <w:t>عملنا في التحقيق</w:t>
      </w:r>
      <w:r>
        <w:rPr>
          <w:rtl w:val="true"/>
        </w:rPr>
        <w:t>:</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ابراز الآيات القرآنية الكريمة و وضعها بخط مميّز، مع استعمال الاقواس المزهرة </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الأحاديث النبوية الشريفة بين قوسين عاديين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نصوص كلام العلماء المنقول من كتبهم بين قوسين عاديين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الآیات، و ذکر سورها، و أرقاب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الأحادیث النبویة، و ردّها الی مصادها التي نقل منها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أبیات الشعر الواردة في المتین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النص بالأملاء الحدیث لأن الخطوطات مکتوبة بنظام الاملاء غیر المتعارف في أیامنا، و لا نذکر ذلك في الحواشي؛ لأنّا لا نرید إثقال النصّ بهواش لا داعي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إثراء البحث بالتعلیق علی بعض نقاط الخلاف التي لم یعلق سماحة الشیخ قدس سره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إتیان الکمال من ضروب المحال، فإذا أوُجِدَتْ في کلماتي بعض الخطأ فلقصر الباع و قلة البضاعة و نسأل الله المغفرة و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الکمولی</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9737_97056"/>
      <w:bookmarkStart w:id="45" w:name="pg9737_97056"/>
      <w:bookmarkEnd w:id="45"/>
    </w:p>
    <w:p>
      <w:pPr>
        <w:pStyle w:val="BookText"/>
        <w:rPr/>
      </w:pPr>
      <w:bookmarkStart w:id="46" w:name="pg9737_97056"/>
      <w:bookmarkEnd w:id="4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7" w:name="__RefHeading___Toc8798180_2870459653"/>
      <w:bookmarkStart w:id="48" w:name="_Toc17"/>
      <w:bookmarkEnd w:id="47"/>
      <w:r>
        <w:rPr>
          <w:rtl w:val="true"/>
        </w:rPr>
        <w:t>أجوبة سماحة الشيخ هادي كاشف الغطاء قُدَّسَ سرّه</w:t>
      </w:r>
      <w:bookmarkEnd w:id="48"/>
    </w:p>
    <w:p>
      <w:pPr>
        <w:pStyle w:val="Heading3"/>
        <w:numPr>
          <w:ilvl w:val="2"/>
          <w:numId w:val="1"/>
        </w:numPr>
        <w:rPr/>
      </w:pPr>
      <w:bookmarkStart w:id="49" w:name="__RefHeading___Toc8798182_2870459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الحمدُ للهِ و الصّلاةُ و السلام على محمد و آل محمد الطاهرين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وقفتُ على جُملةِ مَسَائل صَدَرَتْ مِنْ بَعْضِ أهل السُّنّةِ و الجماعَة، وجّهها إلى علماءِ الشيعة الإمامية، و هي في الحقيقة انتقادٌ لمذهب الإمامية، و طعنٌ في كتبهم و ديانتهم و عقائدهم، و قد طلب مني بعض طلبة العلم من أهل النجف الأشرف أنْ أكتُبَ ما يسنحُ لي من الجواب عنها على سبيل الإيجاز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الأمورُ التي أعدّها منكرةً لا تتحمّلُها الأمة و لن ترتضيها الأئمة و تنافي أهم مصالح الأمة فهي مسائل عديدة منها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798184_2870459653"/>
      <w:bookmarkStart w:id="52" w:name="_Toc19"/>
      <w:bookmarkEnd w:id="51"/>
      <w:r>
        <w:rPr>
          <w:rtl w:val="true"/>
        </w:rPr>
        <w:t>المسألة الأولى</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عامّةِ الصّحَابة كافّة، لم ينجُ منهم سوى قليل منهم لا تزيد عِدّتُهم على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يوجد في بعض الأخبار المودعة المنسوبة إلى الشيعة لا يصحُّ جعلُه من عقائد الشيعة، فإنّه يوجد في الأخبار أمور كثيرة يُوردونها إيراداً لا تديناً و اعتقاداً، و إنّما التعويلُ في ذلك على كتبهم الاعتقادية التي صَنّفَها أئمةُ المذهب و علماء الدين، كالمفيد و الصدوق من المتقدمين، و الشيخ المجلسي صاحب البحار </w:t>
      </w:r>
    </w:p>
    <w:p>
      <w:pPr>
        <w:pStyle w:val="BookText"/>
        <w:rPr/>
      </w:pPr>
      <w:r>
        <w:rPr>
          <w:rFonts w:ascii="Amiri" w:hAnsi="Amiri" w:eastAsia="Amiri" w:cs="Amiri"/>
          <w:color w:val="111111"/>
          <w:sz w:val="28"/>
          <w:sz w:val="28"/>
          <w:szCs w:val="28"/>
          <w:rtl w:val="true"/>
          <w:lang w:bidi="ar-SA"/>
        </w:rPr>
        <w:t>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جوامع أهل السنة و الجماعة ما ينطقُ بكفر عامّةِ الصَّحَابَةِ بعد وفاة صاحب الرسالة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البخاري في أول كتاب الفتن بإسناده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حوضي انتظر مَنْ يَردُ عليَّ فيؤخذ بناسٍ من دوني فأقولُ أمّتي فيقول لا تدري مشوا على القهقرى</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 أي ربي أصحابي يقول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سحقاً 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لو فتشنا جوامعهم الأخر و كتب أحاديثهم لوجدنا فيها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هو من هذا القبيل ما روي في الصحيح المذكور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المسلمان بسيفهما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تواجه المسلمان بسيفيهما فكلاهما من أهل النار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هذا يوجب تكفير أو تفسيق عامة أهل الجمل و أهل صفين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فنحن لا نمنع من تجويز كفر عامّةِ الصّحابة إلاّ القليل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المراد من الكفر الكفر الإيماني لا الكفر الإسلامي، و يتحقق الكفر الإيماني بإنكار إمامة الامام من أهل البيت علیهم السلام قولاً أو فعلاً أو اعتقاداً</w:t>
      </w:r>
      <w:r>
        <w:rPr>
          <w:rFonts w:eastAsia="IRNazanin" w:cs="IRNazanin"/>
          <w:color w:val="111111"/>
          <w:sz w:val="28"/>
          <w:szCs w:val="28"/>
          <w:rtl w:val="true"/>
          <w:lang w:bidi="fa-IR"/>
        </w:rPr>
        <w:t xml:space="preserve">. </w:t>
      </w:r>
      <w:bookmarkStart w:id="53" w:name="pg9737_97058"/>
    </w:p>
    <w:p>
      <w:pPr>
        <w:pStyle w:val="BookText"/>
        <w:rPr/>
      </w:pPr>
      <w:bookmarkEnd w:id="53"/>
      <w:r>
        <w:rPr>
          <w:rFonts w:ascii="Amiri" w:hAnsi="Amiri" w:eastAsia="Amiri" w:cs="Amiri"/>
          <w:color w:val="111111"/>
          <w:sz w:val="28"/>
          <w:sz w:val="28"/>
          <w:szCs w:val="28"/>
          <w:rtl w:val="true"/>
          <w:lang w:bidi="ar-SA"/>
        </w:rPr>
        <w:t>وإنْ أبيت عن ذلك فلا مانع من حمل الكفر على معناه اللغوي و هو الستر، فإنّ عامّة الصحابة ستروا الحق و أخفوه، و بهذا المعنى سُمّي الليلُ كافراً و الزارع كافراً، و عامة الصحابة بايعوا أبا بكر و جعلوه خليفة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و لمْ يَسْمُرْ بمكَّةَ سَامِرُ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الحاصل إنّ في كتب الأخبار سواء كانت للشيعة أو لأهل السنة أخبارٌ تحتاج إلى النقد و التحليل، و لا يصح لمن اطّلَع عليها أنْ يَنْسِبَ إلى مذهب أهل التشيع أو إلى مذهب أهل السنة ما اشتمل عليه ذلك الحديث، فلا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أهل التسنّن تكفيرَ أهل صِفّين و الجَمَلَ من الصَّحَابة و التّابعين لأجل الخبر الذي أورده البخاري في صحيحه الذي تقدَّمّت إليه الإشارة؛ لأنّ الصحيح المذكور مما يعتمد أهل السنة عليه و ترجع في مذاهبها إليه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798186_2870459653"/>
      <w:bookmarkStart w:id="55" w:name="_Toc20"/>
      <w:bookmarkEnd w:id="54"/>
      <w:r>
        <w:rPr>
          <w:rtl w:val="true"/>
        </w:rPr>
        <w:t>المسألة الثانية</w:t>
      </w:r>
      <w:r>
        <w:rPr>
          <w:rtl w:val="true"/>
        </w:rPr>
        <w:t>:</w:t>
      </w:r>
      <w:bookmarkEnd w:id="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للشيعة في تكفير الأول و الثاني صراحة شديدة ثم استدل على ذلك بأنّ في كتب الشيعة عن الباقر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كتبه في هذه المسألة التي لا فائدة في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انطوت عليها قرون عديدة حتى صارت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تفريق الكلمة و قدح زنا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فرق الشيعة كثيرة و لا أُبْعدُ عن بعضها القول بتكفير الشيخين الكفر الإيماني أو الإسلامي، فلا وجه لنسبة ذلك إلى جميع الشيعة، كما </w:t>
      </w:r>
    </w:p>
    <w:p>
      <w:pPr>
        <w:pStyle w:val="BookText"/>
        <w:rPr/>
      </w:pPr>
      <w:r>
        <w:rPr>
          <w:rFonts w:ascii="Amiri" w:hAnsi="Amiri" w:eastAsia="Amiri" w:cs="Amiri"/>
          <w:color w:val="111111"/>
          <w:sz w:val="28"/>
          <w:sz w:val="28"/>
          <w:szCs w:val="28"/>
          <w:rtl w:val="true"/>
          <w:lang w:bidi="ar-SA"/>
        </w:rPr>
        <w:t>أنَّ في فِرَقِ أهلِ السُّنّة مَن يَتديّنُ بعداوة أمير المؤمنين عليه السلام و هم النواصب، فلا وجه لنسبة النَّصْبِ إلى جميع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المسلمين مَن يُكَفّر الصّهرين، و فيهم فرقٌ كثيرة من الخوارج و غيرهم لهم آراء فاسدة و اعتقادات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الشيعة الإمامية من العقائد التي يتدينون بها و يجعلونها أصلاً من أصول ديانتهم، هي ولاية علي أمير المؤمنين عليه السلام و أبنائه المعصومين، و عداوة أعدائهم، و البراءة ممن يعاديهم و يناوئهم، و يريد السوء بهم، و الخلاف عليهم، و يعبّرون عن ذلك بالتّوَلّي و التَبرّي، و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تَبْرَ 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في مَحبَّتِهِ ثَوَابُ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فمَنْ وافق على ذلك من فرق المسلمين فقد اهتدى، ومَن أبى فله عمله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أهل السنة يظهرون حب أهل البيت و يبرؤن من أعدائهم، ولكنهم يرون أنّ فلاناً و فلاناً و غيرهما ليسوا من أعدائهم، و أنّهم من مُحبيهم، و إنّه لا خلاف بينهم و لا عداء، و إذا كان الأمر كذلك فلا نزاع بين الشيعة و السنة في هذا الشأن، فإنّ الشيعة مثلاً يُبغضون زَيداً المعادي لأهل البيت، و يبرؤن منه، و أهل السنة يوالون زيداً المحب لأهل البيت فقد اختلف الموضوع و ارتفع النزاع، فإنّ </w:t>
      </w:r>
      <w:bookmarkStart w:id="56" w:name="pg9737_97060"/>
    </w:p>
    <w:p>
      <w:pPr>
        <w:pStyle w:val="BookText"/>
        <w:rPr/>
      </w:pPr>
      <w:bookmarkEnd w:id="56"/>
      <w:r>
        <w:rPr>
          <w:rFonts w:ascii="Amiri" w:hAnsi="Amiri" w:eastAsia="Amiri" w:cs="Amiri"/>
          <w:color w:val="111111"/>
          <w:sz w:val="28"/>
          <w:sz w:val="28"/>
          <w:szCs w:val="28"/>
          <w:rtl w:val="true"/>
          <w:lang w:bidi="ar-SA"/>
        </w:rPr>
        <w:t>الموضوعات تختلف باختلاف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فهذه كسابقتها مما ينبغي، أنْ لا يُعَرِّج عليها في مثل هذه الأعصر الحرجة التي يفتقر المسلمون فيها إلى التكاتف 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نّبهناكَ على أنّ ما يوجد في كتب الأخبار لا يجعل عقيدة لمن تنسب إليه تلك الكتب فَتُذْكَر</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8798188_2870459653"/>
      <w:bookmarkStart w:id="58" w:name="_Toc21"/>
      <w:bookmarkEnd w:id="57"/>
      <w:r>
        <w:rPr>
          <w:rtl w:val="true"/>
        </w:rPr>
        <w:t>المسألة الثالثة</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فيها السائل إلى عموم الشيعة لعن جماعة من الصحابة الكرام و لعن الأمة من أهل العصر الأول، إلى آخر ما أطال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التعرض في هذه المسألة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مشروعية اللعن و جوازه على مستحقه، و قد اشتمل الكتابَ الشَّريف، و السُّنّة المقدسة عليه، و قد استعمله الصحابة و المسلمون، فلا شبهة و لا إشكال في جواز لعن الظالمين و الكافرين و الفاسقين، بل لا يبعد استحبابه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اللعن إلاّ دعاءٌ على مستحقه؟ فكما يجوز الدعاء على الظالم بالهلاك و البَوَار، يجوز الدُّعاء عليه بالإبعاد عن رحمة الله و الطرد عنها و هو معنى اللعن و مفهومه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يستعمله الشيعة من اللعن و الموجود في أدعيتهم و زياراتهم هو لعن الظالمين و الفاسقين، و لعن أعداء أهل البيت، و لعن مَنْ قَتَلَهُم و أراق دماءهم ظلماً و حرصاً على حطام الدنيا و زخرفها، و هؤلاء لا ينبغي لمسلم أنْ يتوقف في لعنهم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اللعن ليس من قوام التشيع و لا من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يوجد في بعض فرق الشيعة كما يوجد في بعض فرق أهل السُّنّة مَنْ يَتَعدّى الحدّ فيلعَنْ بعض الصحابة أو التابعين، كما أنّه قد يوجد في بعض كتب أهل المذهب غير كتب العقائد ما لا يكون عقيدة لجميع أهل المذهب و لا أصلاً من أصول تدينه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الذي عليه الشيعة الإماميّة هو جواز، بل استحباب لعن الظّالمين و الفاسقين و الكافرين و أعداء أهل البيت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السَّائلُ عن أصول الكافي من أنّ اللعن حرام إلى آخره فإنما هو لعن غير المستحق من أهل الإيمان، و هذه المسألة مسألة طويلةُ الذَّيل ذات فروع و شُعَبِ و الوَقْتِ لا يَتَّسعُ لبسطِ الكلام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في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فائدةٍ حَصَلَتْ من اللعن إلى اليوم؟ وأيُّ مَصْلَحَةٍ تحدث من اللعن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اللَّعْنَ عند مُجوّزه و مستعمله كذكرٍ من الأذكار فلا يصحُّ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مثلاً حصلت من التسبيح إلى اليوم؟ و أيُّ مصلحة تَحْدُثُ منه بعد اليوم؟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اللعنَ لا يزيدُ اللاعنَ إلاّ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فهو ممنوع، فإنّ لعن الفاسق مثلاً يَزيدُ اللاعنَ إيماناً كما لا يخفى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 المؤمنين عائشة و حفصة و هما بنص القرآن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أزواج النبي صلى الله عليه و آله و سلم أمّهات المؤمنين و إنّ الاتصال به صلى الله عليه و آله و سلم بنسب أو سبب موجب للتشريف و مقتضٍ للاحترام و التبجيل ولكنّ ذلك </w:t>
      </w:r>
    </w:p>
    <w:p>
      <w:pPr>
        <w:pStyle w:val="BookText"/>
        <w:rPr/>
      </w:pPr>
      <w:r>
        <w:rPr>
          <w:rFonts w:ascii="Amiri" w:hAnsi="Amiri" w:eastAsia="Amiri" w:cs="Amiri"/>
          <w:color w:val="111111"/>
          <w:sz w:val="28"/>
          <w:sz w:val="28"/>
          <w:szCs w:val="28"/>
          <w:rtl w:val="true"/>
          <w:lang w:bidi="ar-SA"/>
        </w:rPr>
        <w:t>مع تقوى الله و إطاعة أوامره و اتّباع سننه، و أمّا مع ارتكاب المعاصي و إسخاط الله و رسوله فقد يكون ذلك موجباً لشدة العذاب و تغليظ العقاب، و هذا أمر واضح يحكم به العقل و ينطق به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بنصِّ القرآنِ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مَنْ لا يُفرِّقُ بين النَّصِّ و الظّاهر، فإنّ النَّصَّ ما لا يحتمل الخلاف، و الظهور في محل الشك و التوقف، و قد احتملوا في أن المراد من البيت أهل مكة أو أهل المسجد الحرام، ولكنّ المشهور أنّ المراد من أهل البيت هم أهل بيت رسول الله صلى الله عليه و آله و سلم، و قد اتفقت الشِّيعَةُ على أنّ المرادَ بهم أهل آية المباهلة، و ذكر النيسابوري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البيت نَصْبٌ على النداء أو على المدح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آية المباهلة أنهم أهل العباء، النبيُّ صلى الله عليه و آله و سلم لأنه أصلٌ و فاطمةُ لأنها فرعٌ و الحسن و الحسين بالاتفاق، و الصحيح أنّ عليا منهم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ورود الآية في شأن أزواج النبي صلى الله عليه و آله و سلم يغلِبُ على الظَّنّ دخولهن فيهن</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في آي القرآن ما يكون صدرها في شأن و آخرها في أمر آخر، و من عادة الفصحاء أنْ يذهبوا من خطابٍ إلى غيره، و في كلام العرب شيء من ذلك كثير، فلا يقينَ بدخول مطلق الأزواج، في ذلك لا سيما الأزواج اللاتي لم يعقبن منه، و ما الزَّوْجَة في البيت إلا كالجارية التي يفترشها، و الخادم و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مُجرَّدَ زَوّجْتُ و قَبِلْتُ تَجْعَلُ المرأة من أهل بيتِ الرَّجُل و من آله؟ و هي </w:t>
      </w:r>
      <w:bookmarkStart w:id="59" w:name="pg9737_97063"/>
    </w:p>
    <w:p>
      <w:pPr>
        <w:pStyle w:val="BookText"/>
        <w:rPr/>
      </w:pPr>
      <w:bookmarkEnd w:id="59"/>
      <w:r>
        <w:rPr>
          <w:rFonts w:ascii="Amiri" w:hAnsi="Amiri" w:eastAsia="Amiri" w:cs="Amiri"/>
          <w:color w:val="111111"/>
          <w:sz w:val="28"/>
          <w:sz w:val="28"/>
          <w:szCs w:val="28"/>
          <w:rtl w:val="true"/>
          <w:lang w:bidi="ar-SA"/>
        </w:rPr>
        <w:t>تنفصل عنه تمام الانفصال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أهل البيت أنّهم سفينة النجاة، و أنّه يجب التمسك بهم، و أنهم أحد الثقلين، و أنهم عترته، و لا يصلح أزواجه صلى الله عليه و آله و سلم بشيء من ذلك قطعاً، مضافاً إلى أنّ هذه الآية من أقوى الأدلّةِ على العِصْمَة، و ليس في الأزواج مَنْ ادُّعِيَ لها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من طُرق الشيعة على أنّ المراد خصوص الخمسة فهي كثيرة، و رَوَى الزَّمَخْشَري في كشّافه في تفسير آية المباهلة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خَرَجَ و عليه مرط مُرحَّل مِنْ شَعَرٍ أسود، فجاءَ الحَسَنُ فأدخله ثمَّ جاء الحسين فأدخله ثمّ فاطمة ثم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8798190_2870459653"/>
      <w:bookmarkStart w:id="61" w:name="_Toc22"/>
      <w:bookmarkEnd w:id="60"/>
      <w:r>
        <w:rPr>
          <w:rtl w:val="true"/>
        </w:rPr>
        <w:t>المسألة الرابعة</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بتحريف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جَمَاعَةً من أكابر عُلماء الشيعة أنكروا وقوعَ التحريف في القرآن الشريف، و أوّلوا ما صَحَّ من الأخبار الواردة في ذلك و هي كثيرة، و أكثرها لم تَجْمَعْ شرائط الصحة و الاعتبار، و لسنا نَرَى صِحَّةَ جميع ما رواه أصحابُنا الإمامية في كتبهم و لا الاعتقاد بها إلا بعد نقدها، و فهم المراد منها و فتوى علمائنا بمضمونها و غير ذلك مما ذُكر في محله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الطبرسي و هو من أكابر علمائنا المتقدمين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الزيادة في القرآن مُجْمَعٌ على بُطلانِها، و أمّا النُّقْصَانُ فَقْدَ رَوَى جَمَاعَةٌ من أصحابنا و قومٌ مِنْ حِشوَّيةِ العامّة إنّ في القرآن تغييراً أو نقصاناً، و الصَّحيحُ من مَذْهَبِ أصحابنا خِلافُه و هو الذي نَصَرَه المرتضى قُدّس سرّه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إلى آخر ما كتبه و استدلّ به على حفظه و حمايته من التغيير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أكابر علمائنا المتأخرين كاشف الغطاء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لا زيادةَ فيه من سورة و لا آية من بسملة و غيرها، و لا كلمة و لا حرف، و جميع ما بين الدفتين مما يُتلى كلامُ الله بالضّرورة من المذهب بل الدين و إجماع المسلمين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نقصه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في أنّه محفوظ من النقصان بحفظ الملك الدّيّان كما دَلَّ عليه صريحُ القرآن و إجماع العلماء في جميع الأزمان و لا عبرة بالنادر، و ما ورد من أخبار النقيصة تمنع البديهة من العمل بظاهرها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إلى أن قال بعد أن شَدَّدَ النّكير على القول بالنُّقصانِ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تأويلها بأحدِ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الوجوه هناك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أولاً و أقول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التحريف في القرآن لا دليلَ على استحالته عقلاً و لا عادةً و لا يَستلزِمُ أمراً باطلاً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إمكانُهُ عَقلاً فهو واضح، و أمّا عادةً فإنّ جَمْعَهُ من السُّطور </w:t>
      </w:r>
      <w:bookmarkStart w:id="62" w:name="pg9737_97065"/>
    </w:p>
    <w:p>
      <w:pPr>
        <w:pStyle w:val="BookText"/>
        <w:rPr/>
      </w:pPr>
      <w:bookmarkEnd w:id="62"/>
      <w:r>
        <w:rPr>
          <w:rFonts w:ascii="Amiri" w:hAnsi="Amiri" w:eastAsia="Amiri" w:cs="Amiri"/>
          <w:color w:val="111111"/>
          <w:sz w:val="28"/>
          <w:sz w:val="28"/>
          <w:szCs w:val="28"/>
          <w:rtl w:val="true"/>
          <w:lang w:bidi="ar-SA"/>
        </w:rPr>
        <w:t>و الصُّدُورِ مع أنَّ القَتْلَ قد استحَرَّ بالقُرّاءِ يَومَ اليَمَامَةِ و الإنسانُ مُعرَّضٌ للسَّهو و النِّسيان لا يسلم عادةً من زيادة أو نقصان، و اختلاف المصاحِفِ التي جُمِعَتْ في صدر الإسلام يَقْضي بذلك، و مَنْ يقرأ من كتاب الإتقان للسيوطي النوع الثامن عشر في جمع القرآن و ترتيبه، و ما يليه مما كتبه في ذلك يتّضحُ له الأمر، و ينكشف له أنّ القولَ بتحريفِ القرآن معنىً ظاهر واضح مما ذكره و رواه عن العلماء و المحدِّثينَ منهم، و لولا التَّحريفُ في المصاحف لما أحرق عثمانُ بقيَّةَ المَصَاحِفْ</w:t>
      </w:r>
      <w:r>
        <w:rPr>
          <w:rStyle w:val="FootnoteAnchor"/>
          <w:rtl w:val="true"/>
        </w:rPr>
        <w:footnoteReference w:id="15"/>
      </w:r>
      <w:r>
        <w:rPr>
          <w:rFonts w:ascii="Amiri" w:hAnsi="Amiri" w:eastAsia="Amiri" w:cs="Amiri"/>
          <w:color w:val="111111"/>
          <w:sz w:val="28"/>
          <w:sz w:val="28"/>
          <w:szCs w:val="28"/>
          <w:rtl w:val="true"/>
          <w:lang w:bidi="ar-SA"/>
        </w:rPr>
        <w:t>، فهذا منه فِعْلٌ يَدُلُّ على وقوعِ التَّحريفِ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العادة قاضية بأنَّ ما يُجمع من الألواح و الدّفاف و العُسُبِ و اللِّخاف و مِنْ صُدور الرّجال لا يَسْلَمُ غَالباً من التغيير و التبديل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798192_2870459653"/>
      <w:bookmarkStart w:id="64" w:name="_Toc23"/>
      <w:bookmarkEnd w:id="63"/>
      <w:r>
        <w:rPr>
          <w:rtl w:val="true"/>
        </w:rPr>
        <w:t>المسألة الخامسة</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حكوماتِ الدّول الإسلامية و قضاتها و كل علمائها طواغيت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لا حكومة و لا سلطنة و لا ولاية لأحد من المخلوقين على أمثاله في بدن أو مال، بل سلطنة له على نفسه أو ماله، و إنّما الولاية </w:t>
      </w:r>
    </w:p>
    <w:p>
      <w:pPr>
        <w:pStyle w:val="BookText"/>
        <w:rPr/>
      </w:pPr>
      <w:r>
        <w:rPr>
          <w:rFonts w:ascii="Amiri" w:hAnsi="Amiri" w:eastAsia="Amiri" w:cs="Amiri"/>
          <w:color w:val="111111"/>
          <w:sz w:val="28"/>
          <w:sz w:val="28"/>
          <w:szCs w:val="28"/>
          <w:rtl w:val="true"/>
          <w:lang w:bidi="ar-SA"/>
        </w:rPr>
        <w:t>و السلطنة لله تعالى أو لمن أعاره السلطنة و جعلها له بمقدار ما منحه منها و فوّضه إليه من أمرها؛ لأنه المالك الحقيقي، و الناس متساوون في العبودية، فلو تَغَلَّبَ على أمرِ الأًمَّةِ مُتَغلِّبٌ أو تَسلَّطَ عليها قاهِرٌ لم تجب طاعته، و لم تنفذ أحكامه، و حَرُمَتْ إعانته، و لم يَجُزْ التَّحَاكُمُ و التَّرَافُعُ إليه، و لا الأخذ بما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اتفق عليه المسلمون أنّ الظالم و الفاسق و المتغلب لا ولاية له و لا حكومة، فراجع كلمات أئمة التفسير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 إنّها الولاية لمن تضمّنَه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الولاية لله على طريق الأصالة و للرسول و المؤمنين على سبيل التبع</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عليًّ كرّم الله وجهه حين سأله سائل و هو راكع في صلاته فطرح له خاتمه كأنّه كانَ مَرِجاً في خنصره، فلم يتكلف لخلعه كثير عمل تفسد بمثله صلاته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مَنْ كان ظالماً من </w:t>
      </w:r>
    </w:p>
    <w:p>
      <w:pPr>
        <w:pStyle w:val="BookText"/>
        <w:rPr/>
      </w:pPr>
      <w:r>
        <w:rPr>
          <w:rFonts w:ascii="Amiri" w:hAnsi="Amiri" w:eastAsia="Amiri" w:cs="Amiri"/>
          <w:color w:val="111111"/>
          <w:sz w:val="28"/>
          <w:sz w:val="28"/>
          <w:szCs w:val="28"/>
          <w:rtl w:val="true"/>
          <w:lang w:bidi="ar-SA"/>
        </w:rPr>
        <w:t>ذريتك لا يناله استخلافي و عهدي إليه بالإمامة، و إنما ينال من كان عادلاً بريئاً من الظلم، و قالوا في هذا دليل على أنّ الفاسق لا يصلح للإمامة، و كيف يَصْلُحُ لها من لا يجوز حكمه و شهادته، و لا تجب طاعته، و لا يقبل خبره، ولا يُقدَّمُ للصلاة؟</w:t>
      </w:r>
    </w:p>
    <w:p>
      <w:pPr>
        <w:pStyle w:val="BookText"/>
        <w:rPr/>
      </w:pPr>
      <w:r>
        <w:rPr>
          <w:rFonts w:ascii="Amiri" w:hAnsi="Amiri" w:eastAsia="Amiri" w:cs="Amiri"/>
          <w:color w:val="111111"/>
          <w:sz w:val="28"/>
          <w:sz w:val="28"/>
          <w:szCs w:val="28"/>
          <w:rtl w:val="true"/>
          <w:lang w:bidi="ar-SA"/>
        </w:rPr>
        <w:t>و كان أبو حنيفة يفتي سراً بوجوب نصرة زيد بن علي رضوان الله عليهما و حمل المال إليه و الخروج معه على اللصِّ المتغلّب المتسمي بالإمام و الخليفة كالدوانيقي و أشباهه، و 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على ابني بالخروج مع إبراهيم و محمد ابني عبد الله بن الحسن حتى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مكان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في المنصور و أشياعه لو أرادوا بناء مسجد و أرادوني عدّ أجره لما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الظالم إماماً قط، و كيف يجوز نصب الظالم للإمامة، و الإمام إنّما هو لكَفِّ الظَّلَمَة، فإذا نُصب مَنْ كان ظالماً في نفسه فقد جاز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استرعى الذئب ظلم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ثَبَتَ بدلالة الآيةِ بُطلانُ إمامة الفاسق، و إنّ الفاسق لا يكونُ حاكماً، و أنّ أحكامه لا تنفذ إذا ولي الحكم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يُفرِّق أبو حنيفة بين الخليفة و الحاكم في أنّ شَرْطَ كُلَّ </w:t>
      </w:r>
      <w:bookmarkStart w:id="65" w:name="pg9737_97068"/>
    </w:p>
    <w:p>
      <w:pPr>
        <w:pStyle w:val="BookText"/>
        <w:rPr/>
      </w:pPr>
      <w:bookmarkEnd w:id="65"/>
      <w:r>
        <w:rPr>
          <w:rFonts w:ascii="Amiri" w:hAnsi="Amiri" w:eastAsia="Amiri" w:cs="Amiri"/>
          <w:color w:val="111111"/>
          <w:sz w:val="28"/>
          <w:sz w:val="28"/>
          <w:szCs w:val="28"/>
          <w:rtl w:val="true"/>
          <w:lang w:bidi="ar-SA"/>
        </w:rPr>
        <w:t>واحِدٍ منهما العدالة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أكرهَهُ ابنُ هُبيرة في أيّامِ بَني أميَّةَ على القضاء و ضَرَبَهُ فامتَنَع عن ذلك فحُبسَ، فلَجَّ ابنُ هبيرة، و جعل يضربه كل يوم أسواطاً، فلمّا خيف عليه قال له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له شيئاً من عمله أيَّ شيء كان حتّى يزول عنك الضرب، فتولّى له عَدّ أحَمَالِ التبّن التي تدخل، فخَلاّه، ثم دعاه المنصورُ إلى مثل ذلك حتى عدّ له اللبن الذي كان يُضرب لسور مدينة المنصور، و قصّتُهُ في أمر زيدِ بن عليٍ مَشهورةٌ و في حَمْلِهِ المالَ إليه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إلى آخر 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أنّ مُلوكيّة بني أمية و بني العباس و خلافتهم و خلافة غيرهم ممّنْ جَرَى على مِنوالِهِم باطِلَةٌ غيرُ مَشْرُوعَةٍ، و لا يجوزُ إطاعتُهُم إلاّ بمقدارِ الضَّرورةِ، و بمقدار ما يَنْتَظِمُ به أمرُ الأمن العام، و حفظ بيضة الإسلام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798194_2870459653"/>
      <w:bookmarkStart w:id="67" w:name="_Toc24"/>
      <w:bookmarkEnd w:id="66"/>
      <w:r>
        <w:rPr>
          <w:rtl w:val="true"/>
        </w:rPr>
        <w:t>المسألة السادسة</w:t>
      </w:r>
      <w:r>
        <w:rPr>
          <w:rtl w:val="true"/>
        </w:rPr>
        <w:t>:</w:t>
      </w:r>
      <w:bookmarkEnd w:id="67"/>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صرَّحَتْ كتُبُ الشِيعة إنّ الفرق الإسلامية كلها كافرة ملعونة خالدة في النار، و المخالف شِرُّ من الكفّار، و إنَّ دَمَ النَّاصِبِ و مالِهُ حَلالٌ، و النّاصِبٌ مَنْ يُقدِّمُ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الشيعَة فِرَقٌ كثيرة مُشتَّتة كثيرة، و فيها الغَثُّ و السَّمينُ، و الحقُّ و الباطل، و أمّا الفرقة المحِقّة من فرقها فليس كُلّ ما يُورَدُ في كتب الأخبار و الجوامع المنسوبة إليها مما يُعوَّلُ عليهِ و تتدين به و تعتمد عليه و تفتي بمضمونه، و لا يقبل الحديث المروّي فيها و لا يعمل به إلاّ بعد استكماله شروطاً مُقدَّرَةً في </w:t>
      </w:r>
    </w:p>
    <w:p>
      <w:pPr>
        <w:pStyle w:val="BookText"/>
        <w:rPr/>
      </w:pP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كتب الشيعة الإمامية كتب العقائد و كتب الفتوىَ ليس فيها لذلك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الكُفْرَ له مَعَانٍ كثيرة وَرَدَ استعمالُها في الكتاب و السُّنّةِ، و ليس كل ما أطلق يُرادُ به ما قَابَلَ الإسلام و رَادَفَ الشّرك، و لو سَلَّمنَا تصريح كتب الشيعة بكفر الفرق الإسلامية ما عداها، فذلك مضمون الخبر الذي رواه الفريقان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أمتي ستفترق على اثنتين و سبعين فرقة كلها في النار إلا واحدة</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فعلى هذا تكون كل الفرق الإسلامية ما عدا واحدة ضالة هالكة تستحق العذاب في النار، و لا فرق بين أنْ نقول ذلك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كافرة ملعونة كما لا يخفى على المنصف، فهذه المقالة التي نسبها إلى الشيعة كوصمة و انتقاد كُلُّ فرقَةٍ من فرق الإسلام تقولُ بها، و لا ترى النجاة إلا بها دون غيرها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الناصب فعلى ما يظهر من القاموس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المتدين ببغض عليّ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وجوبُ مودته من أحكام دين الإسلام الضرورية، فمَنْ أنكَرَ وجوبها أنكر ضرورياً دينياً، و هو مُوجِبٌ للخروج من الإسلام، و قد رَوَى الزمخشري في الكشَّاف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w:t>
      </w:r>
    </w:p>
    <w:p>
      <w:pPr>
        <w:pStyle w:val="BookText"/>
        <w:rPr/>
      </w:pPr>
      <w:r>
        <w:rPr>
          <w:rFonts w:ascii="Amiri" w:hAnsi="Amiri" w:eastAsia="Amiri" w:cs="Amiri"/>
          <w:color w:val="111111"/>
          <w:sz w:val="28"/>
          <w:sz w:val="28"/>
          <w:szCs w:val="28"/>
          <w:rtl w:val="true"/>
          <w:lang w:bidi="ar-SA"/>
        </w:rPr>
        <w:t>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حديثاً طويلاً عن النبي صلى الله عليه و آله و سلم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مات على بُغضِ آل محمَّدٍ ماتَ كافراً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شبهة في أنَّ دَمُ الكافر الذي من أفراده الناصب بالمعنى المذكور حلالٌ، و ماله حلال، و أمّا الناصب بغير هذا المعنى فلم يُفَسِّرْهُ أكابرُ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أنه يوجد في بعض الأخبار التي لا معوّل عليها عند علماء الإمامية تفسير الناصب بما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نَصَبَ علياً عَلَمَاً بينَهُ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تقوله الشيعة و لا تنكره؛ لأنَّها ترى الإمامة كالنبوة لا تكون إلا بالنص و لا تكون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أنكره كان كافراً، و إنّ المخالف في الإمامة لا إيمان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فمرادهم بالكفر ما قابل الإيمان، و أصول الإيمان عندهم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الإمامة مع أصول الإسلام الثلاثة، فمن لم يعتقدها فلا إيمانَ له و إنْ كان مسلماً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المخالِفَ في حُكْمِ المشرك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لا تقولُ بهِ الشّيعَةُ، بل ترى أنَّ المخالِفَ، و هو مَنْ لا يقول بإمامةِ أميرِ المؤمنين عليه السلام بعد النبي صلى الله عليه و آله و سلم بلا فصلٍ، لا تجري عليه أحكامِ الكُفَّار مِن حِلّيّةِ الدم و المال و نجاسة البدن</w:t>
      </w:r>
      <w:r>
        <w:rPr>
          <w:rFonts w:eastAsia="Amiri" w:cs="Amiri" w:ascii="Amiri" w:hAnsi="Amiri"/>
          <w:color w:val="111111"/>
          <w:sz w:val="28"/>
          <w:szCs w:val="28"/>
          <w:rtl w:val="true"/>
          <w:lang w:bidi="ar-SA"/>
        </w:rPr>
        <w:t xml:space="preserve">. </w:t>
      </w:r>
      <w:bookmarkStart w:id="68" w:name="pg9737_97071"/>
    </w:p>
    <w:p>
      <w:pPr>
        <w:pStyle w:val="BookText"/>
        <w:rPr/>
      </w:pPr>
      <w:bookmarkEnd w:id="68"/>
      <w:r>
        <w:rPr>
          <w:rFonts w:ascii="Amiri" w:hAnsi="Amiri" w:eastAsia="Amiri" w:cs="Amiri"/>
          <w:color w:val="111111"/>
          <w:sz w:val="28"/>
          <w:sz w:val="28"/>
          <w:szCs w:val="28"/>
          <w:rtl w:val="true"/>
          <w:lang w:bidi="ar-SA"/>
        </w:rPr>
        <w:t>ثم إنَّ هذا السائل يقول بملئ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الإمام كذا و يقول الإمام من أئمة المذاهب كذا، كأنْ قد سَمِعَ ذلك من الإمام أو ثَبَتَ لديه بتواترٍ أو قَطْعٍ و مثلُ ذَلِكَ لا يُسْنَدُ إلى الإمام بمجرَّدِ وجودِ رِوايةٍ ضَعْيفَةٍ أو خبر شاذ لا مُعوّل عليه، فإسناد ذلك إلى الإمام و الحالة هذه من أكبر المحرّمات، و لا نعلم مَنْ أراد بهذا الإمام من الأئمة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8798196_2870459653"/>
      <w:bookmarkStart w:id="70" w:name="_Toc25"/>
      <w:bookmarkEnd w:id="69"/>
      <w:r>
        <w:rPr>
          <w:rtl w:val="true"/>
        </w:rPr>
        <w:t>المسألة السابعة</w:t>
      </w:r>
      <w:r>
        <w:rPr>
          <w:rtl w:val="true"/>
        </w:rPr>
        <w:t>:</w:t>
      </w:r>
      <w:bookmarkEnd w:id="70"/>
    </w:p>
    <w:p>
      <w:pPr>
        <w:pStyle w:val="BookText"/>
        <w:rPr/>
      </w:pPr>
      <w:r>
        <w:rPr>
          <w:rFonts w:ascii="Amiri" w:hAnsi="Amiri" w:eastAsia="Amiri" w:cs="Amiri"/>
          <w:color w:val="111111"/>
          <w:sz w:val="28"/>
          <w:sz w:val="28"/>
          <w:szCs w:val="28"/>
          <w:rtl w:val="true"/>
          <w:lang w:bidi="ar-SA"/>
        </w:rPr>
        <w:t>اشتملت على مسائل ثلاث ذكرها السائل و نسبها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جهاد الملل الإسلامية اليوم غير مشروع حتّى لو أوصى أحد في سبيلِ اللهِ، و سَبيل الله في عقيدته هو الجهاد جاز العدول عنه إلى فقراء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مع غير الإمام المفترضة طاعته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الشيعيُّ شهيدٌ و لو ماتَ على فراشه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يترتب على هذه المسائل من المفاسد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المسألةِ الأولى إنّ الجهادَ قد يكونُ ببذلِ المال لإعلاء كلمة الإسلام، و قد يكونُ ببذل النَّفْسِ، و تعريضُها للعطب و الهلاك و القتل و القتال، و هو بهذا المعنى على أقسام خمسة ذكرها الشيخ الفقيه في كتابه المعروف بكشف الغطاء، </w:t>
      </w:r>
    </w:p>
    <w:p>
      <w:pPr>
        <w:pStyle w:val="BookText"/>
        <w:rPr/>
      </w:pPr>
      <w:r>
        <w:rPr>
          <w:rFonts w:ascii="Amiri" w:hAnsi="Amiri" w:eastAsia="Amiri" w:cs="Amiri"/>
          <w:color w:val="111111"/>
          <w:sz w:val="28"/>
          <w:sz w:val="28"/>
          <w:szCs w:val="28"/>
          <w:rtl w:val="true"/>
          <w:lang w:bidi="ar-SA"/>
        </w:rPr>
        <w:t>و ذكرها غيره من فقهاء الإمامية، نذكرها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لحفظ بيضَةِ الإسلام، إذا أرادَ الكُفَّارُ الهجومَ على أراضي المسلمين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 الكفار من التسلُّط على دماء المسلمين 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لدفعهم عن طائفةٍ من المسلمين التقت مع طائفة من الكفار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لدفعهم عن بلدان المسلمين و قُراهُم و أراضيهم و إخراجهم منها بعد التسلط عليها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الكفر و التوجه إلى محالّهم لجلبهم إلى الإسلام، و الإذعان بما أتى به النبي صلى الله عليه و آله و سلم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الجهاد بهذا المعنى و هو القسم الخامس يُشتَرَطُ فيه حضور الإمام أو نائبه الخاص دون العام، و لا يشترط في الأقسام الأربعة ذلك، فمع عدم حضور الإمام و نائبه الخاص و عجز النائب العام يَجبُ على كل من له قابلية السياسة و تدبير الحرب و جمع العساكر القيام به، و تجبُ على المسلمينَ إطاعته، و يجبُ في الأقسام الأربعة على كلِّ قادرٍ على النُّصرة مِنْ قَريبٍ و بعيدٍ الحُضورُ في عَسْكَرِ المسلمينَ وجوباً كفائياً إلى آخره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فَضْلَ الجهادِ و وجوبهِ و رَغَّبَ فيهَ، و حَثّ عليه و ذكر من الآيات </w:t>
      </w:r>
    </w:p>
    <w:p>
      <w:pPr>
        <w:pStyle w:val="BookText"/>
        <w:rPr/>
      </w:pPr>
      <w:r>
        <w:rPr>
          <w:rFonts w:ascii="Amiri" w:hAnsi="Amiri" w:eastAsia="Amiri" w:cs="Amiri"/>
          <w:color w:val="111111"/>
          <w:sz w:val="28"/>
          <w:sz w:val="28"/>
          <w:szCs w:val="28"/>
          <w:rtl w:val="true"/>
          <w:lang w:bidi="ar-SA"/>
        </w:rPr>
        <w:t xml:space="preserve">الشريفة و الأحاديث شيئاً كثيراً </w:t>
      </w:r>
      <w:r>
        <w:rPr>
          <w:rStyle w:val="FootnoteAnchor"/>
          <w:rtl w:val="true"/>
        </w:rPr>
        <w:footnoteReference w:id="31"/>
      </w:r>
      <w:r>
        <w:rPr>
          <w:rFonts w:ascii="Amiri" w:hAnsi="Amiri" w:eastAsia="Amiri" w:cs="Amiri"/>
          <w:color w:val="111111"/>
          <w:sz w:val="28"/>
          <w:sz w:val="28"/>
          <w:szCs w:val="28"/>
          <w:rtl w:val="true"/>
          <w:lang w:bidi="ar-SA"/>
        </w:rPr>
        <w:t xml:space="preserve">ثم ذكر فضل المرابطة و الإقامة في الثغور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ترى كتابا من كتب الشيعة إلاّ و يذكر فيه الجهاد و فضله و الحثّ عليه، و إنه سبيلُ اللهِ، و إنّه مِنْ مَصَارِف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التبصرة و هي من كتب الفتوى التي عليها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اللهِ كُلّ مَصْلَحَةٍ و قُرْبةٍ كالجهادِ و الحجّ و بناء القناطر و المساجد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جهادَ الملل اليوم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خلافُ الحقيقة، و مسألةُ الوصيّة التي ذكرها لا صحّة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 الزكاة الذي يجوز صرفه في الجهاد يجوزُ العدول عن صرفه فيه إلى صرفه على الفقراء أو غيرهم من الأصناف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المسألة الثانية، فالجهاد بمعنى التوجّه إلى بلاد الكفّار لجلبهم إلى الإسلام و التديّن بهِ فلا يجوز إلا مع الإمام أو مأذونه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أقسام الجهاد الباقية فلا تتوقف على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المسألة الثالثة فلم نقف عليها في كتب الشيعة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يوجد ذلك في بعض الأخبار، و على فرض وجودِهِ فلا ضير من القول به، ففي الكشاف في تفسير آيةِ المودّة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لا شكَّ في أنَّ الشيعي إذا ماتَ على فِراشِهِ حَتْفَ أنفِهِ يموت </w:t>
      </w:r>
      <w:bookmarkStart w:id="71" w:name="pg9737_97074"/>
    </w:p>
    <w:p>
      <w:pPr>
        <w:pStyle w:val="BookText"/>
        <w:rPr/>
      </w:pPr>
      <w:bookmarkEnd w:id="71"/>
      <w:r>
        <w:rPr>
          <w:rFonts w:ascii="Amiri" w:hAnsi="Amiri" w:eastAsia="Amiri" w:cs="Amiri"/>
          <w:color w:val="111111"/>
          <w:sz w:val="28"/>
          <w:sz w:val="28"/>
          <w:szCs w:val="28"/>
          <w:rtl w:val="true"/>
          <w:lang w:bidi="ar-SA"/>
        </w:rPr>
        <w:t>على حُبِّ آلِ محمّدٍ، و المراد أنَّ لَهُ أجرُ الشَّهادة، و قد ورد إطلاق الشهيد على أفراد كثيرة من المسلمين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798198_2870459653"/>
      <w:bookmarkStart w:id="73" w:name="_Toc26"/>
      <w:bookmarkEnd w:id="72"/>
      <w:r>
        <w:rPr>
          <w:rtl w:val="true"/>
        </w:rPr>
        <w:t>المسألة الثامنة</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ادَّعَتْ كُتُبُ الشيعة أنّ الأئمة كانت تنكر كل حديث يرويه إمام من أئمة العامّة و الأخذ بنقيض ما أخذت به الأئمة أسهل طريق في الإصابة، فكلُّ خَبَرٍ وَافَقَ العامَّةَ باطِلٌ، و 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رسمه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من الأحاديث النبوية التي ترويها أئمة العامة و ثقاة رواتها تأخذ بها الشيعة و تحتجُّ بها في كتبها الفقهية، كما لا يخفى على من راجع كتبها الاستدلالية، و كثيراً من الأخبار التي ترويها الشيعة في جوامعها و تعمل بها موافقة لأخبار العامة و فتاواهم، و كثيرا ما تعتمد على الثقاة من 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الطرق عندهم إلى معرفة الأحكام الشرعية الكتاب العزيز، ثمَّ السُّنَّةُ النبوية من طريق أهل البيت، فإنّ أهل البيت أدرى بما فيه، ثم ما أجمعت عليه الأمة، و ما رواه الثقاة الأثبات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تجعل كتبُ الشيعة خلافَ العامة أصلاً من أصول الفقه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 تعارض الأخبار كما يرجح الفريق الموافق لكتاب الله على غير الموافق له، كذلك يُرجَّحُ المخالف للعامّة على غيرهِ، و لا غرابة و لا بداعة في ذلك، فإنّ ذلك من الطرق التي يسلكها كافة ذوي العقول عند الحيرة و التردد، فإنّها تأخذ بما تراه موافقاً لمن يرونه من أهل </w:t>
      </w:r>
    </w:p>
    <w:p>
      <w:pPr>
        <w:pStyle w:val="BookText"/>
        <w:rPr/>
      </w:pPr>
      <w:r>
        <w:rPr>
          <w:rFonts w:ascii="Amiri" w:hAnsi="Amiri" w:eastAsia="Amiri" w:cs="Amiri"/>
          <w:color w:val="111111"/>
          <w:sz w:val="28"/>
          <w:sz w:val="28"/>
          <w:szCs w:val="28"/>
          <w:rtl w:val="true"/>
          <w:lang w:bidi="ar-SA"/>
        </w:rPr>
        <w:t>الحقّ و الصواب، و ترى الرُّشْدَ في خِلافِ الفريق الذي تَعْتَقِدُ فيه أنّهُ مِنْ أهل الغَيِّ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مثله أهل الأصول من العامة، فقد ذَكَر ابنُ الحاجِب في مختصره و العَضُدي في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الترجيحَ بحَسَبِ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الموافق لأهل المدينة أو للخلفاء و الموافق لعمل الأئمة الأربعة على غيره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لا معنى لهذا إلا أنّهم يرون الرُشْدَ في خلافِ غير أهل المدينة، و غير الموافق لعمل الأئمة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فهذه المسائل و نحوها صحيحةً كانت أو باطلة لا دخل لها بحقيّة المذهب و عدم حقيته، فإنّ أهل المذهب قد تصدر منهم آراء و أقاويل في أصول الفقه و فروعه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في بابها بديعة لم تكن لدينٍ من الأديان، و لم تكن مسلكاً لعلمٍ من العلوم، و لم يجعل مدركاً للحق و دليلاً للإصابة قبل وضع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الوَهَن و السقوط، و إنّ قائله جاهل بأصولِ أهلِ مذهبه، فضلاً عن غيرهم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قرون الإسلام قرن رسالته و قرن خلافته 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سَطّر فهذا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غَضِّ النظر عن الطعن في صحته، و عمّا وقع في تلك القرون من المعاصي و الكبائر التي لم يتفق وقوع </w:t>
      </w:r>
      <w:bookmarkStart w:id="74" w:name="pg9737_97076"/>
    </w:p>
    <w:p>
      <w:pPr>
        <w:pStyle w:val="BookText"/>
        <w:rPr/>
      </w:pPr>
      <w:bookmarkEnd w:id="74"/>
      <w:r>
        <w:rPr>
          <w:rFonts w:ascii="Amiri" w:hAnsi="Amiri" w:eastAsia="Amiri" w:cs="Amiri"/>
          <w:color w:val="111111"/>
          <w:sz w:val="28"/>
          <w:sz w:val="28"/>
          <w:szCs w:val="28"/>
          <w:rtl w:val="true"/>
          <w:lang w:bidi="ar-SA"/>
        </w:rPr>
        <w:t xml:space="preserve">نظيرها في القرون المتأخرة مما يوجب الريب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إلا أنّ في أهل ذلك القرن من هو أفضل ممن يكون في أهل القرن الذي يليه، و لا شبهة في ذلكَّ فإنّ في قرنِ رسالته أهلُ البيت و شيعتَهم، و هم خيرٌ ممن يكون في القرن الثاني، و في القرن الثاني أولادُهُم أئمّةُ المسلمين، و أبنائهم الأبرار، و ليس المراد إثباتُ الأفضلية لعامَّةِ أهلِ ذلك القرن، فإنّ فيهم الصالح و الطالح و المؤمن و المنافق و من يُبطِنُ الكفر و يظهر الإسلام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8798200_2870459653"/>
      <w:bookmarkStart w:id="76" w:name="_Toc27"/>
      <w:bookmarkEnd w:id="75"/>
      <w:r>
        <w:rPr>
          <w:rtl w:val="true"/>
        </w:rPr>
        <w:t>المسألة التاسعة</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الشيعة أبوابٌ في آياتٍ نزلت في الأئمة و الشيعة، و آياتٌ نزلت في كفر أبي بكر و عمر و كفر من اتّبعهما و الآيات تزيد على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الكتب المنسوبة إلى الشيعة كثيرة، و فيها ما لا يعول عليه و لا يعتمد على ما فيه، و المعتبر منها قد يوجد فيه ما لا تقول به الشيعة و لا تتدين به، و إنّما المدار على كتب العقائد و كتب التفسير المعتمدة، كمَجْمَع البيان، و التّبيان، و نحوهما، و على ما يذكر في الرسائل الدينية العملية، و لا شكَّ في أنَّ القرآنَ الشريف فيه آياتٌ كثيرة نزلت في الأئمة الطاهرين، و قد رواها الفريقان، و ليس في تأويل الآيات تعجيزٌ و لا تجهيل و لا طعن على الآداب، كما لا يخفى على ذوي الألباب</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798202_2870459653"/>
      <w:bookmarkStart w:id="78" w:name="_Toc28"/>
      <w:bookmarkEnd w:id="77"/>
      <w:r>
        <w:rPr>
          <w:rtl w:val="true"/>
        </w:rPr>
        <w:t>المسألة العاشرة</w:t>
      </w:r>
      <w:r>
        <w:rPr>
          <w:rtl w:val="true"/>
        </w:rPr>
        <w:t>:</w:t>
      </w:r>
      <w:bookmarkEnd w:id="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لكتب الشيعة في حيلة التقية غرام 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كتبه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مما دَلّ على مَشْروعيّتها العقلُ و النقل، كتاباً و سنةً، بل و الإجماع في الجملة من جميع المسلمين مُضافاً إلى أدلة نفي العسر و الحرج في الدين و النهي عن إلقاء النفس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الدالّة على شرعّيتها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فقد ورد عن أهل البيت أنّ التي هي أحسن التقية </w:t>
      </w:r>
      <w:r>
        <w:rPr>
          <w:rStyle w:val="FootnoteAnchor"/>
          <w:rtl w:val="true"/>
        </w:rPr>
        <w:footnoteReference w:id="38"/>
      </w:r>
      <w:r>
        <w:rPr>
          <w:rFonts w:ascii="Amiri" w:hAnsi="Amiri" w:eastAsia="Amiri" w:cs="Amiri"/>
          <w:color w:val="111111"/>
          <w:sz w:val="28"/>
          <w:sz w:val="28"/>
          <w:szCs w:val="28"/>
          <w:rtl w:val="true"/>
          <w:lang w:bidi="ar-SA"/>
        </w:rPr>
        <w:t>، و إنّ الحسنة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هي التقية والسيئة الإذاعة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غير ذلك من الآيات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أكثرُ المفسرين من العامة بدلالة بعض الآيات على مشروعية التقية، و عرّفها الآلوسي في روح المعاني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محافظة النفس أو العرض أو المال من شر الأعداء</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 ذكر جملة من الأخبار الواردة من الطرق المعتبرة عندهم الدالة على وجوب مدارة الناس، و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أمرني بمداراة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عاشَ مُدارياً مات شهيداً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إلى آخر ما ذكره مما يطول المقام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الواردة عن أهل البيت و الأئمة المعصومين في أنَّ التقية دينُهُم و دينُ آبائهم،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تكاد تحصى، و الذي يظهر منها أنّ التقية عزيمة لا رخصة، و أنّها واجبة على كلّ مكلّف، إلا في موارد مخصوصة خرجت بالدليل، و ليس هذا مقام ذكرها، و لا مقام ذكر تفصيل أحكام التقية، و إنه هل يعتبر فيها عدم المندوحة أو لا؟ و إنّما الغرضُ إثبات شرعيتها و جوازها لكلّ مكلف في أمور الدين و أمور الدنيا، و في العبادات و المعاملات، و الأقوال و الأفعال، و أنّها من الدين و من الشريعة الحنيفة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بها هذا السائل في آخر كلامه كما اعترف بها غيره من أهل الخلاف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التقية في سبيل حفظ حياته و شرفه و في حفظ ماله و في حماية حقٍّ من حقوقه واجبةٌ على كلِّ أحدٍ إماماً كان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الكلام كما تراه اعتراف من قائله بما تذهب إليه الإمامية من وجوب التقية على كل أحد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التقيّة بالعبادة بأنْ تعمَلَ عَمَلاً لم يُْقْصَدْ بهِ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فبطلانه ظاهر؛ لأنّ المكلّف إذا كان الواجب عليه مِن اللهِ تعالى أنْ يَتّقي في عبادةٍ أو معاملة أو غيرهما كان عمله مقصوداً به وجه الله و متقرباً به إليه</w:t>
      </w:r>
      <w:r>
        <w:rPr>
          <w:rFonts w:eastAsia="Amiri" w:cs="Amiri" w:ascii="Amiri" w:hAnsi="Amiri"/>
          <w:color w:val="111111"/>
          <w:sz w:val="28"/>
          <w:szCs w:val="28"/>
          <w:rtl w:val="true"/>
          <w:lang w:bidi="ar-SA"/>
        </w:rPr>
        <w:t xml:space="preserve">. </w:t>
      </w:r>
      <w:bookmarkStart w:id="79" w:name="pg9737_97079"/>
    </w:p>
    <w:p>
      <w:pPr>
        <w:pStyle w:val="BookText"/>
        <w:rPr/>
      </w:pPr>
      <w:bookmarkEnd w:id="79"/>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هذا السائل في هذا المقام متناقض الجمل، ينقض بعضه بعضاً، و هو غير خفيٍّ على مَن لاحظه و تأمل فيه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798204_2870459653"/>
      <w:bookmarkStart w:id="81" w:name="_Toc29"/>
      <w:bookmarkEnd w:id="80"/>
      <w:r>
        <w:rPr>
          <w:rtl w:val="true"/>
        </w:rPr>
        <w:t>المسألة الحادية عشرة</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الشيعة إنّ عليًّا، طَلَّقَ عائشة فخَرَجَتْ عن كونها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كتبه من أمور قد توجد في بعض الكتب المنسوبة إلى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مِنّا مِراراً أنَّ كثيراً مما يُوجد في بعض الكتب مما لا تُعوِّلُ عليه الشيعة و لا تعتقده و لا تتخذه ديناً، و لو فتشنا كتب كل فرقة من فرق الإسلام لوجدنا فيها أموراً مُنكَرَة لا يقولون بها و لا يعوِّلونَ عليها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798206_2870459653"/>
      <w:bookmarkStart w:id="83" w:name="_Toc30"/>
      <w:bookmarkEnd w:id="82"/>
      <w:r>
        <w:rPr>
          <w:rtl w:val="true"/>
        </w:rPr>
        <w:t>المسألة الثانية عشرة</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دينُ الشيعة في تحريم كل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السائل 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دين الشيعة تحريم المسكر حتى على المضطر، و ليس الأمر كذلك، فإنّ المسكر مع الاضطرار إليه غيرُ محرّم عندهم، فمَن خاف على نفسه الهلاك من العطش و لم يك معه إلا مائع مسكر يجوز له أن يتناول منه أقل ما تندفع به الضرورة، و كذا لو توقف عليه علاجه و برؤه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استحسن كل الاستحسان مذهب الشيعة الإمامية في مسائل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الأحكام الشرعية إنْ قام عليها دليل من كتاب أو سنة وجب </w:t>
      </w:r>
    </w:p>
    <w:p>
      <w:pPr>
        <w:pStyle w:val="BookText"/>
        <w:rPr/>
      </w:pPr>
      <w:r>
        <w:rPr>
          <w:rFonts w:ascii="Amiri" w:hAnsi="Amiri" w:eastAsia="Amiri" w:cs="Amiri"/>
          <w:color w:val="111111"/>
          <w:sz w:val="28"/>
          <w:sz w:val="28"/>
          <w:szCs w:val="28"/>
          <w:rtl w:val="true"/>
          <w:lang w:bidi="ar-SA"/>
        </w:rPr>
        <w:t>قبولها و الالتزام بها و إلا فلا يُعبأ به استحسنها أم لم يستحسنها، أعجبته أو لم تعجبه و الاستحسان و الإعجاب لا أثر له في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كتب الشيعة مقصَّرة في بيان مسائل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الكتب التي رماها بالتقصير، كما أنّه لم يُبيّن أنّها قَصَّرَتْ في أيَّ شيء، و ما ذلك إلا من القصور، فإنّ للشيعة كتباَ كثيرة في الفروع تعرضت لهذا الموضوع و شرحتها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هنا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إلا بدخول الزوج أو الزوجة، و هي من أهمّ مسائل المواريث التي وقع فيها الخلاف بين الشيعة الإمامية و بين أهل السنة من العامة من قديم الزمان، بل وقع فيها الخلاف في صدر الإسلام في زمن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الإمامية ينكرون العَوْل أشدَّ الإنكار، لأنه يستلزم الجهل أو التكليف بما لا يطاق تعالى الله عن ذلك علواً كبيراً، و على إنكاره و نفي ثبوته إجماعُ أهل البيت و أخبارهم به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السائل لم يفهم مذهب الإمامية في هذه المسألة، و لم يُعْطِ حقَّه من النظرِ، فأخذ يخبط خبط عشواء، و ينسب إلى أئمة المذهب ما لا يليق، و أنا ألخّصه لك لتقف على حقيقته فيتضح لك ما في كلام هذا السائل من الوهن و الخطأ</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يمنعون من اجتماع سهام لا يفي بها المال، و لو اجتمعت بحسب الذكر و الاسم فهي غيرُ مجتمعةٍ بحسب الغرض و الحكم، لأنّ لبعض أهل السهام في مثل تلك الصورة كالأختين فيما لو ماتت امرأة عن زوج </w:t>
      </w:r>
    </w:p>
    <w:p>
      <w:pPr>
        <w:pStyle w:val="BookText"/>
        <w:rPr/>
      </w:pPr>
      <w:r>
        <w:rPr>
          <w:rFonts w:ascii="Amiri" w:hAnsi="Amiri" w:eastAsia="Amiri" w:cs="Amiri"/>
          <w:color w:val="111111"/>
          <w:sz w:val="28"/>
          <w:sz w:val="28"/>
          <w:szCs w:val="28"/>
          <w:rtl w:val="true"/>
          <w:lang w:bidi="ar-SA"/>
        </w:rPr>
        <w:t>و أختين مثلاٍ مَا بقي من المال، و هو تخصيصٌ للدّليل الدالّ على أنّ للأختين الثلثين أو تقييد لإطلاقه بالسُّنّةِ المتواترةِ عن أهل البيت و أئمة الهدى، و لا ريب في تخصيص عمومات الكتاب و تقييد إطلاقاته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تجتمع في المسألة سهامٌ لم يف بها المال؛ ليلزم النقص على الجميع، كما يذهب إليه أهلُ السنة، و لا على البعض كما يُعبِّر بذلك بعضُ فقهاءِ الإماميّة تسامحاً و مجاراةً لهم في الجملة؛ إذ لا عَوْلَ عندَ الإماميّة أصلاً لا على الكلّ و لا على البعض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عَوْلَ الأُمّةِ عولٌ عادل، و عَولَ الشيعة عَولٌ جائر، و مقادير السهام يتبع الدليل، و لا تصل العقول إلى الأسباب التي اقتضت أن يكون لهذا كذا و لذاك كذا، و إنّ للذكر و الأنثى من الأبوين مع الولد على السواء، و إنّ الذكر و الأنثى من الأولاد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لقول الخصم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إدخال النقص على البعض دون البعض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دلالة الدليل على ذلك، و إنّ الله تعالى لا يجور في الحكم، و لا ريب في أنّ التخصيص في البعض أولى من التخصيص في الجميع، و أقرب إلى العمل بكتاب الله، بل يلزم عليه عدم العمل بالكتاب أصلاً، مع أنّ إدخال النقص على الأختين مُجمَعٌ عليه دونَ إدخالِهِ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غرابة في ما ذهبت إليه الإمامية فقد وقع في الشريعة نظيره، و ذلك فيما إذا تعلّقت حقوقٌ بمالٍ لا يفي بها، فقد ذكروا أنه يقدّمُ منها ما كان أقوى، كالتجهيز و الدَّين و الوصية و الميراث، و كذا لو اجتمعت وصايا متعددة لا يعلم فيها الترتيب و لا يسعها الثلث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الشريف الجرجاني في شرح الفرائض السراجية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من </w:t>
      </w:r>
    </w:p>
    <w:p>
      <w:pPr>
        <w:pStyle w:val="BookText"/>
        <w:rPr/>
      </w:pPr>
      <w:r>
        <w:rPr>
          <w:rFonts w:ascii="Amiri" w:hAnsi="Amiri" w:eastAsia="Amiri" w:cs="Amiri"/>
          <w:color w:val="111111"/>
          <w:sz w:val="28"/>
          <w:sz w:val="28"/>
          <w:szCs w:val="28"/>
          <w:rtl w:val="true"/>
          <w:lang w:bidi="ar-SA"/>
        </w:rPr>
        <w:t>ينقل من فرض مقدر إلى فرض آخر مقدر يكون صاحب فرض من كل وجه، فيكون أقوى ممن ينقل من فرض مقدر إلى فرض آخر غير مقدر؛ لأنه صاحب فرض من وجه و عَصَبةٍ من وجه آخر، فإدخال النقص أو الحرمان عليه أولى؛ لأن ذوي الفروض مقدّمون على العصبات</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منه ظنٌّ و تخمين، فإنّه تعالى أعلم بالوجه و العلة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له الغنم فعليه الغرم، 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له الزيادة يكون عليه النقصان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الصورة المتقدمة لو مات زوج عن امرأة و أختين كان للمرأة الربع و الباقي لهما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ذوي السِّهام التي يَضيقُ عنها المال كالغُرماء في التركة التي تَقْصُرُ عن الوفاء قياسٌ لا نقول به، و مع الفارق، فإنّ أصحابَ الدُّيونَ مستوون في استيفاء أموالهم من تركة الميت، و ليس لأحدهم على الآخر مزيّة، فإذا ضاق المال تساهموه، و ليس كذلك مسائل العول؛ لأنَّ بَعْضَ الوَرَثةِ أولى بالنّقص من بعض، و أيضاً السِّهامُ في العَوْلِ مُتعلّقةٌ بأجزاءٍ مُسمّاة لا يُمكنُ أنْ تُستَوْفى مِنْ مالٍ واحدٍ و إنْ كَثُر، و الدُّيونُ إذا كَثُرَ المالُ أمكن استيفاؤها منه، فافترق الأمران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الأختينِ و نحوهما عندنا في مثل هذه الصورة إنّما يرثان بالقرابة دون الفرض؛ لأنّ الدليل الذي دّلَّ على أنَّ فرضهما الثلثان قَيَّدَتْ إطلاقَهُ السنةُ المتواترة بما إذا لم يكن معهما زوج، بل يكون لهما الباقي و ذلك بالقرابة، و على هذا يَزولُ الإشكالُ من أصله، و تعلم أنَّ كلام السائل لا وقع له، و إنّه كلامُ مَنْ لم يقف على معنى العول عند الشيعة، و لم يتأمَّلْ فيهِ، و القائلون بالعَوْل اجتهدوا و عملوا بالقياس، و لم يصل إليهم المخصِّص أو المقيِّد، ولكنّ ابن عباس لم يحتجَّ عليهم بالمخصِّص النقلي الذي وَقَفَ عليهِ و أخذَهُ مِنْ أهل الذكر، و الحُجج على العباد، بعد أنْ حكموا بالعول، و أفتوا به لأمورٍ لا تخفى، ولكنّه احتجّ عليهم بالمخصِّص العقلي، فإنّ العموماتِ و المطلقات، كما يُخصّصّها النقل يُخصِّصها العقل، فإنّ الذي أحصى رمل عالج لا يُعقل أنْ يَجْعَلَ في مالٍ واحدٍ نصفاً و ثلثين، فلا يشمل إطلاق الدليل و عمومه هذا المورد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العول فرعُ شمولِ العموم المستلزم لإلغاء المخصِّص العقليّ، بل للدليل نفسه، فإنّ كلَّ ذي فرضٍ على تقدير العول لم يأخذ فرضه، و لم يعمل بكتاب الله و لا في سهم واحد، و هذا هو الذي يُسمّيه السائل بالعول العادل، فإذا كان مثل هذا العدل الذي يتخيله الإنسان في بادئ النظر مُسوِّغاً لعدم العمل بكتاب الله، فليقسم المال بين الذكر و الأنثى من الأولاد على السَّواء قياساً على الذكر و الأنثى من الأبوين مع الولد، فإنّ لكلِّ واحدٍ منهما السُّدُس؛ لأنّه قسمةٌ عادلةٌ، و تلك قسمة جائرة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دينَ اللهِ لا يُصابُ بالعُقول و لا ينبغي أن يُعرِّج على ما في كلام هذا السائل من الفضول</w:t>
      </w:r>
      <w:r>
        <w:rPr>
          <w:rFonts w:eastAsia="Amiri" w:cs="Amiri" w:ascii="Amiri" w:hAnsi="Amiri"/>
          <w:color w:val="111111"/>
          <w:sz w:val="28"/>
          <w:szCs w:val="28"/>
          <w:rtl w:val="true"/>
          <w:lang w:bidi="ar-SA"/>
        </w:rPr>
        <w:t xml:space="preserve">. </w:t>
      </w:r>
      <w:bookmarkStart w:id="84" w:name="pg9737_97084"/>
    </w:p>
    <w:p>
      <w:pPr>
        <w:pStyle w:val="Heading3"/>
        <w:numPr>
          <w:ilvl w:val="2"/>
          <w:numId w:val="1"/>
        </w:numPr>
        <w:rPr/>
      </w:pPr>
      <w:bookmarkStart w:id="85" w:name="__RefHeading___Toc8798208_2870459653"/>
      <w:bookmarkStart w:id="86" w:name="_Toc31"/>
      <w:bookmarkEnd w:id="84"/>
      <w:bookmarkEnd w:id="85"/>
      <w:r>
        <w:rPr>
          <w:rtl w:val="true"/>
        </w:rPr>
        <w:t>المسألة الثالثة عشرة</w:t>
      </w:r>
      <w:r>
        <w:rPr>
          <w:rtl w:val="true"/>
        </w:rPr>
        <w:t>:</w:t>
      </w:r>
      <w:bookmarkEnd w:id="86"/>
    </w:p>
    <w:p>
      <w:pPr>
        <w:pStyle w:val="BookText"/>
        <w:rPr/>
      </w:pPr>
      <w:r>
        <w:rPr>
          <w:rFonts w:ascii="Amiri" w:hAnsi="Amiri" w:eastAsia="Amiri" w:cs="Amiri"/>
          <w:color w:val="111111"/>
          <w:sz w:val="28"/>
          <w:sz w:val="28"/>
          <w:szCs w:val="28"/>
          <w:rtl w:val="true"/>
          <w:lang w:bidi="ar-SA"/>
        </w:rPr>
        <w:t>يقول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الشيعة إذا تعصَّبت على المسألة فهي تُجازف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أرى أنّ المتعة كانت من بقايا الأنكحة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كلام لنا اليوم في رَدَّها و إنما كلامي الآن في أنَّ المتعة هل تثبت بالقرآن أو لا؟ كتب الشيعة تدّعي أنَّ المتعة نزل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أرى أنَّ أدب البيان يأبى، و عربيّة هذه الجملة المعجزة تأبى أنْ تكون هذه الجملة الكريمة قد نزلت فيها؛ لأنَّ تركيب هذه الجملة يفسد و نظم هذه الآية الكريمة تختلُّ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متعة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أرى و للمُجيب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و أرى، و كان عليه أنْ يذكر المصدر الذي اعتمد عليه و أخَذَ منه ما رآه من أنَّ المتعة من بقايا الأنكحة الجاهلية، فإنّا لم نقف على كتابٍ يُذكر فيه ذلك، و الذي نعلمه أنها إحدى المتعتين اللتين كانتا على عهد رسول الله صلى الله عليه و آله و سلم و عهد خليفته الأول و شطر من أيام خليفته الثاني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كونها من بقايا أنكحة الجاهلية، و إنه كان لهم زوجان دائم و مؤقت فلا مانع من أن يُحلِّلها الإسلام و يجيزها، كما أمضى جملة من معاملات الجاهلية و أجازها، فإنّ الإسلام لم يُبطل كُلّ ما كان عند الجاهلية من العقود و المعاملات و الأحكام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السويدي في سبائكه في الباب الذي ذكر فيه ديانات العرب قبل الإسلام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لهم أحكام يتديّنون بها جاءت الشريعة الإسلامية بإبقاء بعضها و إبطال بعض</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ثُمّ ذَكَرَ أموراً أبقتها الشّريعة و أموراً أبطلتها، و لم يتعرّض لهذا النّكاح بنفيٍ و 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هذا السائل أيضاً أنْ يُبيّنَ لنا الوجه فيما رآه ثانياً، فإنّا لا نعلم أنه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أدب البيان و عربيّةُ هذه الجملة أن تكون قد نزلت فيها؟ و لماذا يفسد تركيب هذه الجملة و يختل النظم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تركيبَ الجمل و نظمها إنما يختلُّ بالتصرف في موادّ ألفاظها أو هيئاتها أو بالزيادة فيها أو النقصان منها، و أمّا نفس المورد فلا تأثير له على النظم و التركيب بحالٍ من الأحوال، و لقد افترى على أدب البيان، و افترى على العربية، حيثُ نَسَبَ إليهما أمراً يبرآن منه براءةَ الذئب من دم يوسف، و لم يأت على ما افتراه عليهما حتّى و لا بدمٍ كذب، و كيف يختلُّ النظم و يفسُدُ التركيب و تمنع العربية و أدب البيان من كونها نزلت في المتعة؟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عدم ذلك كله مع التصريح بالمورد،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أُبيّ بن كعب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قرأ </w:t>
      </w:r>
      <w:bookmarkStart w:id="87" w:name="pg9737_97086"/>
    </w:p>
    <w:p>
      <w:pPr>
        <w:pStyle w:val="BookText"/>
        <w:rPr/>
      </w:pPr>
      <w:bookmarkEnd w:id="87"/>
      <w:r>
        <w:rPr>
          <w:rFonts w:ascii="Amiri" w:hAnsi="Amiri" w:eastAsia="Amiri" w:cs="Amiri"/>
          <w:color w:val="111111"/>
          <w:sz w:val="28"/>
          <w:sz w:val="28"/>
          <w:szCs w:val="28"/>
          <w:rtl w:val="true"/>
          <w:lang w:bidi="ar-SA"/>
        </w:rPr>
        <w:t>ابن عباس أيضاً، و الصَّحابة ما أنكروا هذه القراءة</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قرأ كما قرأ أبي بن كعب </w:t>
      </w:r>
      <w:r>
        <w:rPr>
          <w:rStyle w:val="FootnoteAnchor"/>
          <w:rtl w:val="true"/>
        </w:rPr>
        <w:footnoteReference w:id="51"/>
      </w:r>
      <w:r>
        <w:rPr>
          <w:rFonts w:ascii="Amiri" w:hAnsi="Amiri" w:eastAsia="Amiri" w:cs="Amiri"/>
          <w:color w:val="111111"/>
          <w:sz w:val="28"/>
          <w:sz w:val="28"/>
          <w:szCs w:val="28"/>
          <w:rtl w:val="true"/>
          <w:lang w:bidi="ar-SA"/>
        </w:rPr>
        <w:t>فلو كان الأمر كما ذكره السائل لأنكر هذه القراءة من سمعها من أهل ذلك الذين هم أعرف العرب بفصاحة الكلام و بلاغته، و أعلمهم بآداب البيان و عربية الجمل و للزموها بالضعف و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إلى بسط الكلام في هذه المسألة فإنها مسألة قديمة العهد، و قد تكلّم فيها الفريقان، و تعرَّضَ لها الشيعةُ في تفاسيرهم و كتبهم الفقهية، و في رسائل مستقلة، بما فيه غنى و كفاية لمن طلب الحق، فليرجع إليها من شاء</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798210_2870459653"/>
      <w:bookmarkStart w:id="89" w:name="_Toc32"/>
      <w:bookmarkEnd w:id="88"/>
      <w:r>
        <w:rPr>
          <w:rtl w:val="true"/>
        </w:rPr>
        <w:t>المسألة الرابعة عشرة</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السّائلُ حديثَ عَرْضِ النّبيِّ صلى الله عليه و آله و سلم إرثه لعِّمهِ العباس و ابن عمّهِ عليّ عليه السلام في الوافي 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يتسع الوقت الآن لمراجعة الحديث الذي نقله </w:t>
      </w:r>
    </w:p>
    <w:p>
      <w:pPr>
        <w:pStyle w:val="BookText"/>
        <w:rPr/>
      </w:pPr>
      <w:r>
        <w:rPr>
          <w:rFonts w:ascii="Amiri" w:hAnsi="Amiri" w:eastAsia="Amiri" w:cs="Amiri"/>
          <w:color w:val="111111"/>
          <w:sz w:val="28"/>
          <w:sz w:val="28"/>
          <w:szCs w:val="28"/>
          <w:rtl w:val="true"/>
          <w:lang w:bidi="ar-SA"/>
        </w:rPr>
        <w:t xml:space="preserve">عن الوافي </w:t>
      </w:r>
      <w:r>
        <w:rPr>
          <w:rStyle w:val="FootnoteAnchor"/>
          <w:rtl w:val="true"/>
        </w:rPr>
        <w:footnoteReference w:id="52"/>
      </w:r>
      <w:r>
        <w:rPr>
          <w:rFonts w:ascii="Amiri" w:hAnsi="Amiri" w:eastAsia="Amiri" w:cs="Amiri"/>
          <w:color w:val="111111"/>
          <w:sz w:val="28"/>
          <w:sz w:val="28"/>
          <w:szCs w:val="28"/>
          <w:rtl w:val="true"/>
          <w:lang w:bidi="ar-SA"/>
        </w:rPr>
        <w:t>ورملاحظة سنده، ورإنّه من أيّ أقسام الحديث؟ فإنّ فيه المقبول و المردود و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فليس فيه ما ينافي الأصول الشرعية المقررة، و ليس فيه قلب لأصول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منه على تقدير صحتّه و اعتباره أنّ النبي صلى الله عليه و آله و سلم أراد أن يملّك أحد الشخصين في حال حياته جميع ما يُخلِّفه بعد موته على شروط معينة معلومة بطريق الصلح الشرعي، و لا شكَّ أنّ لكلِّ أحدٍ أن يتصرَّفَ في أمواله على النحو المشروع، فإنّ الناس مسلطون على أموالهم بالطرق الشرعية، و عليه يتضح لك أنّ كلام هذا السائل لا واقع له، و إنه نشأ من قلة التدبر و عدم الروية، و ما تكلم به أخيراً أشبه شيء بالهذيان فلا ينبغي أن يعرج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إرثً لعَصَبَةٍ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مسألة التعصيب من المسائل المهمة التي وقع الخلافُ فيها بينَ الإمامية، و بين أهل السنة، و ذلك فيما لو زاد المال على السهام، فإنّ الردَّ على ذوي الفُروض عند الإمامية، و العَصَبَةُ بفيها التراب، و عند أهل السنة أنَّ الرّدَّ على العَصَبة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اجتمع عَمٌّ و ابِنُ عَمٍّ و بنت، كان المال كلُّه للبنتِ بالفرض و الرّد، و ليس للعمّ و ابن العم شيءٌ، و لو اجتمع عمٌّ و ابنُ عمِّ فالإرث للأقرب إلاَّ أنْ يكون ابنُ عمٍّ لأبوين مع عمٍّ لأب فإنَّ الإرث لابنِ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المسألة ذكرها الفريقان في زبرهم الفقهية فليرجع إليها من شاء و ذِكْرُ هذا السائل لها هنا في غير </w:t>
      </w:r>
    </w:p>
    <w:p>
      <w:pPr>
        <w:pStyle w:val="BookText"/>
        <w:rPr/>
      </w:pP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سيدنا العباس كان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من هذا الكلام توهين الحديث بذكر أمور اعتبارية تنافي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كان غنياً، و لا يخفى أنّ كونه غنياً مشغولاً بإصلاح أمواله يقضي بأنْ لا يقبل ما عرضه عليه صلى الله عليه و آله و سلم؛ لأنّ ذلك قد يفضيّ إلى التهاون بما يكلف به، فإنّ كثرة المال و كثرة العيال من أكبر الشواغل عن المبادرة إلى القيام بالتكاليف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أعقل وزأرفع من أنْ يَرُدَّ عرض النبي صلى الله عليه وزآله وزسلم بخلاً أو غفلة عن عظيم الشرف، و لا يخفى أنَّ رَدَّ العباس لم يكن بخلاً بنفسه و لا غفلة عن عظيم الشرف، و إنما رَدَّ ذلك بعد أنْ لم يكن بنحو الإلزام حُباً للنبي صلى الله عليه و آله و سلم و شفقةً عليه؛ لأنّ كبر سِنِّهِ و كثرة أمواله و عياله لا تدعه يقوم بما أريد منه كما يريد، و ابنُ أخيه أقوى منه بدناً وأقْدَرُ منه على السَّعي في إنجاز ما يريده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والشَّرَفُ الذي يكون لابن أخيه لم يَفُتْ منه، و لعلّه كان يعلم بميل رسول لله صلى الله عليه و آله و سلم إلى قيام ابن أخيه بالأمر، و إنّما عَرَضَ ذلك عليه؛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أعرض عنه و لم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أطوع أقربيه إليه، و لا يخفى أنّ عَدَمَ قبوله لما عرضه عليه لأعذار مقبولةٍ لا ينافي إطاعته له فيما يأمره به و يطلبه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 كتب الشيعة في أمِّ العَبّاسِ فيهِ شيء لا أرتضيه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هذهِ مَسألة تاريخية تذكرُها كتبُ التّاريخ، و كتب التاريخ أكثرها لأهل السنة و لعل كتب الشيعة ترويها عن كتبهم، و لم نقف على الكلام </w:t>
      </w:r>
      <w:bookmarkStart w:id="90" w:name="pg9737_97089"/>
    </w:p>
    <w:p>
      <w:pPr>
        <w:pStyle w:val="BookText"/>
        <w:rPr/>
      </w:pPr>
      <w:bookmarkEnd w:id="90"/>
      <w:r>
        <w:rPr>
          <w:rFonts w:ascii="Amiri" w:hAnsi="Amiri" w:eastAsia="Amiri" w:cs="Amiri"/>
          <w:color w:val="111111"/>
          <w:sz w:val="28"/>
          <w:sz w:val="28"/>
          <w:szCs w:val="28"/>
          <w:rtl w:val="true"/>
          <w:lang w:bidi="ar-SA"/>
        </w:rPr>
        <w:t>المشار إليه، و لا حاجة إلى تتبع مظانّه فإنّها مَسألةٌ لا أهمية لها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798212_2870459653"/>
      <w:bookmarkStart w:id="92" w:name="_Toc33"/>
      <w:bookmarkEnd w:id="91"/>
      <w:r>
        <w:rPr>
          <w:rtl w:val="true"/>
        </w:rPr>
        <w:t>المسألة الخامسة عشرة</w:t>
      </w:r>
      <w:r>
        <w:rPr>
          <w:rtl w:val="true"/>
        </w:rPr>
        <w:t>:</w:t>
      </w:r>
      <w:bookmarkEnd w:id="92"/>
    </w:p>
    <w:p>
      <w:pPr>
        <w:pStyle w:val="BookText"/>
        <w:rPr/>
      </w:pPr>
      <w:r>
        <w:rPr>
          <w:rFonts w:ascii="Amiri" w:hAnsi="Amiri" w:eastAsia="Amiri" w:cs="Amiri"/>
          <w:color w:val="111111"/>
          <w:sz w:val="28"/>
          <w:sz w:val="28"/>
          <w:szCs w:val="28"/>
          <w:rtl w:val="true"/>
          <w:lang w:bidi="ar-SA"/>
        </w:rPr>
        <w:t>هذه المسألة قد اشتملت على أقوالٍ وَ دَعاوى للسائل،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يَعْلَمُ أنَّ البيوت الأموية و الهاشمية و العباسية كان بينها تراتٍ و ثارات و عدوات قديمة و حديثة و لم تكن إلا خصائص بدوية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قبل الإسلام بين البيت الهاشمي و البيت الأموي تباغض و مقابلات، و بعد الإسلام وقعت أولاً بين البيت الهاشمي و البيت الأموي محاربات و خصومات كانت للدين و في الدين حقيقةً من البيت الهاشمي، و صورةً و تمويهاً من البيت الأموي، ثمّ بعد ذلك وَقَعَتْ المحاربة و العداء بين البيت العباسي و البيت الأموي، و كانت سياسة ملكية، و إنْ كان عليها طِلاءٌ ديني إسلامي فلم تكن خصائص بدوية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فيها إثم و لا أثر لأهل الإسلام و لا لأهل السنة، ليس الإثم إلّا لأهليها و هم البيتُ الأموي و البيتُ العَبَّاسي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الحروبَ التي وقعت في الإسلام منها حرب الجمل و حرب صفين و حرب كربلاء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إثم فيها لأهل الإسلام و لا لأهل السنة؟ و من أهل السنة إلا الفريقان المتحاربان، و عامة المسلمين في ذلك العصر بين قسمين، قسمٌ مع البيت الأموي، و قسم البيت مع البيت العباسي، و ما يلحق المبتدع من الإثم يلحق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أفراد قليلون اعتزلوا الفريقين و لم يتداخلوا معهما في خير و لا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يقع بين الصَّدِّيق و الفاروق و بين عليٍّ عليه السلام خلافٌ في الخلافة، و لم يقع عِداء أبداً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منه تجاهل؛ لأنَّ مَنْ له أدنى إلمام بالتاريخ و اطِّلاعٌ على مجريات الصَّدر الأول يعلم ما جرى من الخلاف في الخلافة بين المهاجرين و الأنصار أولاً، و بين المهاجرين ثانياً، و يعلم بتخلّف من تخلَّف عن بيعة أبي بكر من بني هاشم و أتباعهم، و إنَّ أمير المؤمنين عليه السلام ممن تخلَّف عن بيعَتهٍ مدّة من الزمان حتّى قهر و اضطر إلى بيعته بلا رضا منه و لا اختيار و لم يزل ساخطاً على مَنْ تقدم عليه ناقماً منه، و لا يرى أنَّ الحقَّ إلاَّ له، فإنّه الأولى بالخلافة، و خُطبَهُ تشهد بذلك، و أهل بيته و مواليه و أتباعه يعلمون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عليه السلام في مدة خلافة مَنْ تقدَّمَ عليه لم يُباشر عَمَلاً من أعمالهم، و لم يشهد حرباً من حروبهم، و لو كان يَرَى أنَّ من سبفه أحقّ بالخلافة لكان له كما كان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الخلاف في الخلافة مستمراً و لم ينلها مَنْ نالها إلاّ بالقهر و الغلبة و استعمال الوَسَائل غير المشروعة، و هذا أمرٌ لا غبار عليه و لا يخفى على أدنى مَنْ له خبرة و 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آية نزلت في الثناء على الأمة فهم أوّلُ داخل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أظهر الإسلام و لو بلسانه فهو داخل في الآية، و أفرادُ العام متساوية في الدخول تحت العام، و لا ترتيب في دخولها، ولكن خرج من تحت هذا العام أفراد كثيرة من المسلمين بما ارتكبوه من الأفعال و الأقوال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في كتب الشيعة من أخبار العداء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دعوى منه بلا برهان، على أنّ كثيراً من أخبار العداء توجد في كتب أهل السنة و الجماعة أيضاً، و كثير ما تكون مصادر ما ترويه الشيعة من ذلك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يوجد مؤمن يعادي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يوجد مؤمن ظاهراً و باطناً، ولكن يوجد في هذا العصر و في الأعصر السابقة ممن يتصفون بالإيمان، و يتسمون بالإسلام من يعادي أهل البيت و ينصب لهم العداء، و يستبيح سفك دمائهم، و كثيراً من أهل السنة الذين يظهرون حُبّ أهل البيت يعادون محبي أهل البيت و عدوّ المحب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الشأنُ كل الشأن فيمن يحبهم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يحبّون من أطاع الله و رسوله و والى أولياء الله و عادى أعداءه و يبغضون من عصى الله و رسوله و عادى أولياءه و والى أعداءه، و الشيعة قاطبة يُحبِّونَ من أحبَّ أهل البيت و يبغضون مَنْ يبغض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ليس اليوم من فائدة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لا يطعنون إلاّ بمن خالف أهل البيت و عاداهم، و لا يطعنون بالصحابة الموالين لأهل البيت، و الفائدة من الطعن بمن خالف أهل البيت الردع عن الاقتداء بهم، و الاتباع لهم في الأحكام الدينية ليهلك من هلك عن بينة ولتتم عليه الحجة، و أيّ فائدة أعظم من حفظ المؤمنين من الوقوع في المهالك و السقوط في المهاوي و المعاطب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حفصه أهل البيت بنصّ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93" w:name="pg9737_97092"/>
    </w:p>
    <w:p>
      <w:pPr>
        <w:pStyle w:val="BookText"/>
        <w:rPr/>
      </w:pPr>
      <w:bookmarkEnd w:id="93"/>
      <w:r>
        <w:rPr>
          <w:rFonts w:ascii="Amiri" w:hAnsi="Amiri" w:eastAsia="Amiri" w:cs="Amiri"/>
          <w:color w:val="111111"/>
          <w:sz w:val="28"/>
          <w:sz w:val="28"/>
          <w:szCs w:val="28"/>
          <w:rtl w:val="true"/>
          <w:lang w:bidi="ar-SA"/>
        </w:rPr>
        <w:t>أهل البيت في هذه الآية هم محمد صلى الله عليه و آله و سلم و علي و فاطمة و الحسن و الحسين كما جاءت به الرواية من الفريقين، و هم الذي أدخلهم رسول الله صلى الله عليه و آله و سلم تحت الكساء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أهل بيتي</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إيراد الأحاديث الدالة على التخصيص بمن ذكرناه يحتاج إلى بسط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الانتقال في آية التطهير إلى ضمير الخطاب المذكّر من المضمر المؤنث، ثمّ الانتقال منه إلى الضمير المؤنث صريحٌ في عدم دخول النساء في أهل البيت، كما لا يخفى</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8798214_2870459653"/>
      <w:bookmarkStart w:id="95" w:name="_Toc34"/>
      <w:bookmarkEnd w:id="94"/>
      <w:r>
        <w:rPr>
          <w:rtl w:val="true"/>
        </w:rPr>
        <w:t>المسألة السادسة عشرة</w:t>
      </w:r>
      <w:r>
        <w:rPr>
          <w:rtl w:val="true"/>
        </w:rPr>
        <w:t>:</w:t>
      </w:r>
      <w:bookmarkEnd w:id="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في الإسلامِ دَانَتْ بَولايَةِ إمامٍ جائر</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السائل أسند هذا القول إلى الباقر عليه السلام، و لا نعلم من أين نقله؟ و في أيّ كتابٍ وَجَدَه؟ لنعلم أنّ ذلك الكتاب من الكتب المعتبرة عند الشيعة أو </w:t>
      </w:r>
      <w:bookmarkStart w:id="96" w:name="pg9737_97093"/>
    </w:p>
    <w:p>
      <w:pPr>
        <w:pStyle w:val="BookText"/>
        <w:rPr/>
      </w:pPr>
      <w:bookmarkEnd w:id="96"/>
      <w:r>
        <w:rPr>
          <w:rFonts w:ascii="Amiri" w:hAnsi="Amiri" w:eastAsia="Amiri" w:cs="Amiri"/>
          <w:color w:val="111111"/>
          <w:sz w:val="28"/>
          <w:sz w:val="28"/>
          <w:szCs w:val="28"/>
          <w:rtl w:val="true"/>
          <w:lang w:bidi="ar-SA"/>
        </w:rPr>
        <w:t>الكتب التي لا تعتمد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اشتمل عليه هذا الحديث من أنَّ مَنْ دان بولاية الإمام الجائر فهو معذّب فمما لا شك فيه؛ لأنّه شريكُ الجائر في جوره و ظلمه؛ لأنه راضٍ بعمله فيكون مستحقّاً للعذاب، و كيف يكون بَرّاً تقياً حقيقة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برة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و أمّا العفو عَمَّنْ دان بولاية الإمام العادل فهو غير بعيد؛ لأنّ رحمة الله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كتابٍ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النقلُ يكون ذلك من الأحاديث القدسية التي تروى عن النبي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798216_2870459653"/>
      <w:bookmarkStart w:id="98" w:name="_Toc35"/>
      <w:bookmarkEnd w:id="97"/>
      <w:r>
        <w:rPr>
          <w:rtl w:val="true"/>
        </w:rPr>
        <w:t>المسألةُ السّابعةُ عشرة</w:t>
      </w:r>
      <w:r>
        <w:rPr>
          <w:rtl w:val="true"/>
        </w:rPr>
        <w:t>:</w:t>
      </w:r>
      <w:bookmarkEnd w:id="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النّسيءُ الذي هو زيادة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هذا السؤالُ على مسائل منها ما هو معلوم ذكرهُ المفسرون و اللُّغويّونَ،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يتعلَّقُ لنا غَرَضٌ في البحث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اعتراضه على الأئمة في اتخاذهم حساب الروم و شهورهم مع أنّ حساب </w:t>
      </w:r>
      <w:bookmarkStart w:id="99" w:name="pg9737_97094"/>
    </w:p>
    <w:p>
      <w:pPr>
        <w:pStyle w:val="BookText"/>
        <w:rPr/>
      </w:pPr>
      <w:bookmarkEnd w:id="99"/>
      <w:r>
        <w:rPr>
          <w:rFonts w:ascii="Amiri" w:hAnsi="Amiri" w:eastAsia="Amiri" w:cs="Amiri"/>
          <w:color w:val="111111"/>
          <w:sz w:val="28"/>
          <w:sz w:val="28"/>
          <w:szCs w:val="28"/>
          <w:rtl w:val="true"/>
          <w:lang w:bidi="ar-SA"/>
        </w:rPr>
        <w:t xml:space="preserve">العرب كان عربياً فلم يتسع لنا الوقت لمراجعة الوافي </w:t>
      </w:r>
      <w:r>
        <w:rPr>
          <w:rStyle w:val="FootnoteAnchor"/>
          <w:rtl w:val="true"/>
        </w:rPr>
        <w:footnoteReference w:id="56"/>
      </w:r>
      <w:r>
        <w:rPr>
          <w:rFonts w:ascii="IRNazanin" w:hAnsi="IRNazanin" w:eastAsia="IRNazanin"/>
          <w:color w:val="111111"/>
          <w:sz w:val="28"/>
          <w:sz w:val="28"/>
          <w:szCs w:val="28"/>
          <w:rtl w:val="true"/>
          <w:lang w:bidi="fa-IR"/>
        </w:rPr>
        <w:t>، و لعلّهم علیهم السلام كانوا يعتبرونها بحسب الفصول و لبعض الأمور، و إلا فجميع ما وَرَدَ عنهم من التوقيت فهو بحسب الشهور العربية، كما لا يخفى</w:t>
      </w:r>
      <w:r>
        <w:rPr>
          <w:rFonts w:eastAsia="IRNazanin" w:cs="IRNazanin"/>
          <w:color w:val="111111"/>
          <w:sz w:val="28"/>
          <w:szCs w:val="28"/>
          <w:rtl w:val="true"/>
          <w:lang w:bidi="fa-IR"/>
        </w:rPr>
        <w:t>.</w:t>
      </w:r>
    </w:p>
    <w:p>
      <w:pPr>
        <w:pStyle w:val="Heading3"/>
        <w:numPr>
          <w:ilvl w:val="2"/>
          <w:numId w:val="1"/>
        </w:numPr>
        <w:rPr/>
      </w:pPr>
      <w:bookmarkStart w:id="100" w:name="__RefHeading___Toc8798218_2870459653"/>
      <w:bookmarkStart w:id="101" w:name="_Toc36"/>
      <w:bookmarkEnd w:id="100"/>
      <w:r>
        <w:rPr>
          <w:rtl w:val="true"/>
        </w:rPr>
        <w:t>المسألة الثامنة عشرة و المسألة التاسعة عشرة تعرض فيها السائل</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 النبيّ صلى الله عليه و آله و سلم و لحجّ أمير المؤمنين عليه السلام و حجّ أبي بكر و نقل عن الصادق عليه السلام أنّ النبي حَجَّ مع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النقلُ فلا مانعَ مِنْ أنّ حَجَّ النبيّ صلى الله عليه و آله و سلم معهم ظاهراً ثمّ يؤدي فرض الحج في وقته مستتراً</w:t>
      </w:r>
      <w:r>
        <w:rPr>
          <w:rFonts w:eastAsia="Amiri" w:cs="Amiri" w:ascii="Amiri" w:hAnsi="Amiri"/>
          <w:color w:val="111111"/>
          <w:sz w:val="28"/>
          <w:szCs w:val="28"/>
          <w:rtl w:val="true"/>
          <w:lang w:bidi="ar-SA"/>
        </w:rPr>
        <w:t xml:space="preserve">. </w:t>
      </w:r>
      <w:bookmarkStart w:id="102" w:name="pg9737_97095"/>
    </w:p>
    <w:p>
      <w:pPr>
        <w:pStyle w:val="Heading3"/>
        <w:numPr>
          <w:ilvl w:val="2"/>
          <w:numId w:val="1"/>
        </w:numPr>
        <w:rPr/>
      </w:pPr>
      <w:bookmarkStart w:id="103" w:name="__RefHeading___Toc8798220_2870459653"/>
      <w:bookmarkStart w:id="104" w:name="_Toc37"/>
      <w:bookmarkEnd w:id="102"/>
      <w:bookmarkEnd w:id="103"/>
      <w:r>
        <w:rPr>
          <w:rtl w:val="true"/>
        </w:rPr>
        <w:t>المسألة العشرون</w:t>
      </w:r>
      <w:r>
        <w:rPr>
          <w:rtl w:val="true"/>
        </w:rPr>
        <w:t>:</w:t>
      </w:r>
      <w:bookmarkEnd w:id="104"/>
    </w:p>
    <w:p>
      <w:pPr>
        <w:pStyle w:val="BookText"/>
        <w:rPr/>
      </w:pPr>
      <w:r>
        <w:rPr>
          <w:rFonts w:ascii="Amiri" w:hAnsi="Amiri" w:eastAsia="Amiri" w:cs="Amiri"/>
          <w:color w:val="111111"/>
          <w:sz w:val="28"/>
          <w:sz w:val="28"/>
          <w:szCs w:val="28"/>
          <w:rtl w:val="true"/>
          <w:lang w:bidi="ar-SA"/>
        </w:rPr>
        <w:t>يقول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بينَ علماء الشيعة و لا بين أولاد الشيعة لا في العراق و لا في إيران من يحفظ القرآن و لا من يقيمه تمام الإقامة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السائل لا وقوفَ له على أحوالِ عُلماءِ الشيعة و عوامّهِمْ المتديّنين، و لا اطّلاع له على أوقات عباداتهم، و إنّما يرى و يعاشر أهلَ المقاهي و الهمج الرعاع، و الناشئة التي لا نصيب لها من الدين إلا الاسم، ولكنّهم على اختلاف طبقاتهم مجمعون على احترام القرآنِ الشَّريفِ و تقديسِهِ، وجُلُ خيارهم يتلونه حقَّ تلاوته آناء الليل و أطراف النهار، و يفضلون القراءة في نفس المصحف الشريف على القراءة على ظهر القلب؛ لروايةٍ يروونها عن أئمتهم أهل البيت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الزركشي في البرهان،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القراءَةُ في المصحف أفضل، أمْ على ظَهْرِ القلب، أمْ يختلف الحال؟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المصحف أفضل؛ لأن النظر فيه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القراءة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مختلف فيها عند الجميع من السنة و الشيعة فلم الوقاحة و تجريح الناس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شنشنة أعرفها</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النظر إليه عبادة ثانية، و لا يتجاهرون بالتلاوة في الشوارع و الطرقات</w:t>
      </w:r>
    </w:p>
    <w:p>
      <w:pPr>
        <w:pStyle w:val="BookText"/>
        <w:rPr/>
      </w:pPr>
      <w:r>
        <w:rPr>
          <w:rFonts w:ascii="Amiri" w:hAnsi="Amiri" w:eastAsia="Amiri" w:cs="Amiri"/>
          <w:color w:val="111111"/>
          <w:sz w:val="28"/>
          <w:sz w:val="28"/>
          <w:szCs w:val="28"/>
          <w:rtl w:val="true"/>
          <w:lang w:bidi="ar-SA"/>
        </w:rPr>
        <w:t>و المقاهي حذراً من الرياء، و يتلونه باللغة العربية، و يقيمونه بألسنتهم تمام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الشيعي غير العربي الذي لا يستطيع أن ينطق ببعض الأحرف الهجائية فيقرأ منه ما تيسر،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جملة من غير العرب اليوم يعدّون من أرقى المجودين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يتجنبون قراءته بألحان الغناء و طرائقه و ألحان أهل الملاهي و الفجور لحرمة الغناء في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السَّبَبُ في ذلك؟ هل هذا أثر عقيدة الشيعة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حفظهم القرآن على ظهر القلب، و ليس الأمر كذلك، و إنّما هو أثر عقيدةِ أنّ القراءة في نفس المصحف أفضل منها على ظهر القلب، و المقصد المهم من حفظهَ و الله العالمَ هو العمل به، و امتثال أوامره و نواهيه، و الشيعة الإمامية من أكثر المسلمين عَمَلاً بالقرآن و اتّباعاً له، حتّى جعل من شرائط الاجتهاد العلم بآيات الأحكام، فلا يكون الرجل فقيهاً ذا رأي متّبع حتّى يعرف الآيات التي تذكر فيها الأحكام الدينية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يقرأه الناس كما أنزله الله و كما جمعه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فرضنا اعتقاد الشيعة لهذا الأمر، و إنَّ القائم لا الذي وقع الاتفاق عليه بين أهل البيت و الأديان، و إنّه يظهر مصلح في آخر الزمان يقرأه كما أنزله و كما جمعه أمير المؤمنين، و ذلك من حيثُ كيفية القراءة و تفسير ما وقع الخطأ فيه بين المفسرين، و بيانُ الصَّحيح مّما اختلفوا فيه، </w:t>
      </w:r>
    </w:p>
    <w:p>
      <w:pPr>
        <w:pStyle w:val="BookText"/>
        <w:rPr/>
      </w:pPr>
      <w:r>
        <w:rPr>
          <w:rFonts w:ascii="Amiri" w:hAnsi="Amiri" w:eastAsia="Amiri" w:cs="Amiri"/>
          <w:color w:val="111111"/>
          <w:sz w:val="28"/>
          <w:sz w:val="28"/>
          <w:szCs w:val="28"/>
          <w:rtl w:val="true"/>
          <w:lang w:bidi="ar-SA"/>
        </w:rPr>
        <w:t>و لا صَرَاحَةَ في ذلك على ثبوتِ النُّقصان في القرآن الذي بأيدي الناس، و لا تقصير من النبي صلى الله عليه و آله و سلم في التبليغ و لا ينافي ذلك 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فإنّه محفوظ من التلف و من التغيير و التبديل و الزيادة و النقص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خَطَّهُ قَلَمُهُ الشَّريفُ و الحَمْدُ للهِ أوّلاً و آخِراً </w:t>
      </w:r>
      <w:bookmarkStart w:id="105" w:name="pg9737_97098"/>
    </w:p>
    <w:p>
      <w:pPr>
        <w:pStyle w:val="Heading2"/>
        <w:numPr>
          <w:ilvl w:val="1"/>
          <w:numId w:val="1"/>
        </w:numPr>
        <w:rPr/>
      </w:pPr>
      <w:bookmarkStart w:id="106" w:name="__RefHeading___Toc8798222_2870459653"/>
      <w:bookmarkStart w:id="107" w:name="_Toc38"/>
      <w:bookmarkEnd w:id="105"/>
      <w:bookmarkEnd w:id="106"/>
      <w:r>
        <w:rPr>
          <w:rtl w:val="true"/>
        </w:rPr>
        <w:t>مسائل موسى جار الله</w:t>
      </w:r>
      <w:bookmarkEnd w:id="107"/>
    </w:p>
    <w:p>
      <w:pPr>
        <w:pStyle w:val="Heading3"/>
        <w:numPr>
          <w:ilvl w:val="2"/>
          <w:numId w:val="1"/>
        </w:numPr>
        <w:rPr/>
      </w:pPr>
      <w:bookmarkStart w:id="108" w:name="__RefHeading___Toc8798224_2870459653"/>
      <w:bookmarkStart w:id="109" w:name="_Toc39"/>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الأمور التي أَعدُّها منكرة لا تتحملها الأمة، و لن يرتضيها الأئمة، و تنافي مصالح الأمة فهي مسائل عديدة منها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798226_2870459653"/>
      <w:bookmarkStart w:id="111" w:name="_Toc40"/>
      <w:bookmarkEnd w:id="110"/>
      <w:r>
        <w:rPr>
          <w:rtl w:val="true"/>
        </w:rPr>
        <w:t>المسألة الأولى</w:t>
      </w:r>
      <w:r>
        <w:rPr>
          <w:rtl w:val="true"/>
        </w:rPr>
        <w:t xml:space="preserve">: </w:t>
      </w:r>
      <w:r>
        <w:rPr>
          <w:rtl w:val="true"/>
        </w:rPr>
        <w:t>تكفيرُ الصحابة</w:t>
      </w:r>
      <w:bookmarkEnd w:id="111"/>
    </w:p>
    <w:p>
      <w:pPr>
        <w:pStyle w:val="BookText"/>
        <w:rPr/>
      </w:pPr>
      <w:r>
        <w:rPr>
          <w:rFonts w:ascii="Amiri" w:hAnsi="Amiri" w:eastAsia="Amiri" w:cs="Amiri"/>
          <w:color w:val="111111"/>
          <w:sz w:val="28"/>
          <w:sz w:val="28"/>
          <w:szCs w:val="28"/>
          <w:rtl w:val="true"/>
          <w:lang w:bidi="ar-SA"/>
        </w:rPr>
        <w:t>تكفيرُ عامَّة الصحابة كافَّة، لم يَنجُ سِوى قليل منهم لا تزيد عدّتهم على سبعة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798228_2870459653"/>
      <w:bookmarkStart w:id="113" w:name="_Toc41"/>
      <w:bookmarkEnd w:id="112"/>
      <w:r>
        <w:rPr>
          <w:rtl w:val="true"/>
        </w:rPr>
        <w:t>المسألة الثانية</w:t>
      </w:r>
      <w:r>
        <w:rPr>
          <w:rtl w:val="true"/>
        </w:rPr>
        <w:t xml:space="preserve">: </w:t>
      </w:r>
      <w:r>
        <w:rPr>
          <w:rtl w:val="true"/>
        </w:rPr>
        <w:t>تكفير الخليفة الأول و الثاني</w:t>
      </w:r>
      <w:bookmarkEnd w:id="113"/>
    </w:p>
    <w:p>
      <w:pPr>
        <w:pStyle w:val="BookText"/>
        <w:rPr/>
      </w:pPr>
      <w:r>
        <w:rPr>
          <w:rFonts w:ascii="Amiri" w:hAnsi="Amiri" w:eastAsia="Amiri" w:cs="Amiri"/>
          <w:color w:val="111111"/>
          <w:sz w:val="28"/>
          <w:sz w:val="28"/>
          <w:szCs w:val="28"/>
          <w:rtl w:val="true"/>
          <w:lang w:bidi="ar-SA"/>
        </w:rPr>
        <w:t>و للشيعة في تكفير الأول و الثاني صراحة شديدة و مجازفة طاغية، و في كتب الشيعة عن الباقر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 لا يزكيهم و 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ادّعى إمامةً ليست له، مَنْ جحد إماماً من عند الله، و مَنْ زعم أنَّ أبا بكر و عمر لهما نصيب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المجلد الثاني من كتاب الوافي 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بعدها كلماتٌ لا يقبلها الأدب و الدين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و الثاني رجسان ملعونان و هما الجبت و الطاغوت، و هما فرعونُ هذه الأمة و هامانُها، و هما من أشدّ أهل النفاق نفاقاً و عداءً للنبي صلى الله عليه و آله و سلم و ضَرَراً </w:t>
      </w:r>
      <w:bookmarkStart w:id="114" w:name="pg9737_97099"/>
    </w:p>
    <w:p>
      <w:pPr>
        <w:pStyle w:val="BookText"/>
        <w:rPr/>
      </w:pPr>
      <w:bookmarkEnd w:id="114"/>
      <w:r>
        <w:rPr>
          <w:rFonts w:ascii="Amiri" w:hAnsi="Amiri" w:eastAsia="Amiri" w:cs="Amiri"/>
          <w:color w:val="111111"/>
          <w:sz w:val="28"/>
          <w:sz w:val="28"/>
          <w:szCs w:val="28"/>
          <w:rtl w:val="true"/>
          <w:lang w:bidi="ar-SA"/>
        </w:rPr>
        <w:t>للإسلام، و إنّ أبا بكر أبا كُلِّ الشّرورِ، و لم يُسَمَّ صديقاً إلّا بعدَ أنْ رأى في الغار مُعجزاتٍ أدهشته، و حيّرته، فأضمَرَ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إنّك ساحرٌ عظيم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798230_2870459653"/>
      <w:bookmarkStart w:id="116" w:name="_Toc42"/>
      <w:bookmarkEnd w:id="115"/>
      <w:r>
        <w:rPr>
          <w:rtl w:val="true"/>
        </w:rPr>
        <w:t>المسألة الثالثة</w:t>
      </w:r>
      <w:r>
        <w:rPr>
          <w:rtl w:val="true"/>
        </w:rPr>
        <w:t xml:space="preserve">: </w:t>
      </w:r>
      <w:r>
        <w:rPr>
          <w:rtl w:val="true"/>
        </w:rPr>
        <w:t>في اللعنات</w:t>
      </w:r>
      <w:bookmarkEnd w:id="116"/>
    </w:p>
    <w:p>
      <w:pPr>
        <w:pStyle w:val="BookText"/>
        <w:rPr/>
      </w:pPr>
      <w:r>
        <w:rPr>
          <w:rFonts w:ascii="Amiri" w:hAnsi="Amiri" w:eastAsia="Amiri" w:cs="Amiri"/>
          <w:color w:val="111111"/>
          <w:sz w:val="28"/>
          <w:sz w:val="28"/>
          <w:szCs w:val="28"/>
          <w:rtl w:val="true"/>
          <w:lang w:bidi="ar-SA"/>
        </w:rPr>
        <w:t>اللعنات على أبي بكر و عمر و عائشة و حفصة و على العامة بعبارات ثقيلة شنيعة، و للشيعة في اللعن على الصحابة و على الأمة أدعية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الوافي في كتابه الثامن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طويل ثقيل يدل على أنّ دأب الشيعة في الكلام و المجالس الانبساط في اللعنات، و لم يدع الصادق أحداً ممن يجب أن يُلعن إلا لعنه و سمّاه، فأوّل من بدأ بأبي بكر و عمر و عثمان، ثم مرّ على الجماعة و لعن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للباقر و الصادق على حسب ما ترويه كتب الشيعة دبر كل صلاة مكتوبة لعنات على أربعة من الرجال، منهم الأول و الثاني، و على أربع من النساء منها عائشة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و الكافي أدعية مأثورة عند زيارة قبر علي أمير المؤمنين و قبور الأئمة صلوات الله عليهم في اللعن على كل الأمة و على العصر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وراء هذا العالم عوالم، سبعون ألف عالم، في كل عالم سبعون ألف أمة، أكثرها من الجن و الإنس، و لا هَمَّ لهم إلا اللعن على أبي بكر و عمر و عثمان، كل هذه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فائدة حَصَلَتْ من اللعن إلى اليوم، و أيُّ مصلحة تحدث من اللعن بعد اليوم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أصول الكافي أن اللعن و الطعن على أحد حرام يعود على صاحبه، </w:t>
      </w:r>
      <w:bookmarkStart w:id="117" w:name="pg9737_97100"/>
    </w:p>
    <w:p>
      <w:pPr>
        <w:pStyle w:val="BookText"/>
        <w:rPr/>
      </w:pPr>
      <w:bookmarkEnd w:id="117"/>
      <w:r>
        <w:rPr>
          <w:rFonts w:ascii="Amiri" w:hAnsi="Amiri" w:eastAsia="Amiri" w:cs="Amiri"/>
          <w:color w:val="111111"/>
          <w:sz w:val="28"/>
          <w:sz w:val="28"/>
          <w:szCs w:val="28"/>
          <w:rtl w:val="true"/>
          <w:lang w:bidi="ar-SA"/>
        </w:rPr>
        <w:t>فكيف طعن الشيعة و لعن الشيعة على الأول و الثاني و الثالث و على أكثر الصحابة و أمَّي المؤمنين عائشة و حفصة، و هما بنص القرآن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اللعن على العصر الأول لا يزيد في قلب اللاعن إلّا مرضاً على مرض، و اللاعن في قلبه على المؤمنين مرض كلما لعن زاد اللعن مرضا على مرض لا دواءَ له و لا زوال</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798232_2870459653"/>
      <w:bookmarkStart w:id="119" w:name="_Toc43"/>
      <w:bookmarkEnd w:id="118"/>
      <w:r>
        <w:rPr>
          <w:rtl w:val="true"/>
        </w:rPr>
        <w:t>المسألة الرابعة</w:t>
      </w:r>
      <w:r>
        <w:rPr>
          <w:rtl w:val="true"/>
        </w:rPr>
        <w:t xml:space="preserve">: </w:t>
      </w:r>
      <w:r>
        <w:rPr>
          <w:rtl w:val="true"/>
        </w:rPr>
        <w:t>في القول بتحريف القرآن</w:t>
      </w:r>
      <w:bookmarkEnd w:id="119"/>
    </w:p>
    <w:p>
      <w:pPr>
        <w:pStyle w:val="BookText"/>
        <w:rPr/>
      </w:pPr>
      <w:r>
        <w:rPr>
          <w:rFonts w:ascii="Amiri" w:hAnsi="Amiri" w:eastAsia="Amiri" w:cs="Amiri"/>
          <w:color w:val="111111"/>
          <w:sz w:val="28"/>
          <w:sz w:val="28"/>
          <w:szCs w:val="28"/>
          <w:rtl w:val="true"/>
          <w:lang w:bidi="ar-SA"/>
        </w:rPr>
        <w:t>بإسقاط كلمات وآيات وتغيير ترتيب الكلمات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أخبارُ التَّحريفِ مثل أخبار الإمامة متواترة</w:t>
      </w:r>
      <w:r>
        <w:rPr>
          <w:rStyle w:val="FootnoteAnchor"/>
          <w:rtl w:val="true"/>
        </w:rPr>
        <w:footnoteReference w:id="59"/>
      </w:r>
      <w:r>
        <w:rPr>
          <w:rFonts w:ascii="Amiri" w:hAnsi="Amiri" w:eastAsia="Amiri" w:cs="Amiri"/>
          <w:color w:val="111111"/>
          <w:sz w:val="28"/>
          <w:sz w:val="28"/>
          <w:szCs w:val="28"/>
          <w:rtl w:val="true"/>
          <w:lang w:bidi="ar-SA"/>
        </w:rPr>
        <w:t>، و للأئمّة مثل الباقر و الصادق في كتب الشيعة في تحريف الكتاب أيمان مؤكدة بالغة، و لهم في تكذيب ما ثبت في القرآن و المصاحف على التواتر كلمات شديدة، و الأحرف السَّبعة و الوجوه العديدة قد أتت في القرآن متواترة، و قد قال فيها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على الله أعداء الله لكنَّ القرآن نزل على حرف واحد من عند الله الواحد</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يروى الكافي عن الصادق عليه السلام أن القرآن </w:t>
      </w:r>
    </w:p>
    <w:p>
      <w:pPr>
        <w:pStyle w:val="BookText"/>
        <w:rPr/>
      </w:pPr>
      <w:r>
        <w:rPr>
          <w:rFonts w:ascii="Amiri" w:hAnsi="Amiri" w:eastAsia="Amiri" w:cs="Amiri"/>
          <w:color w:val="111111"/>
          <w:sz w:val="28"/>
          <w:sz w:val="28"/>
          <w:szCs w:val="28"/>
          <w:rtl w:val="true"/>
          <w:lang w:bidi="ar-SA"/>
        </w:rPr>
        <w:t xml:space="preserve">الذي نزل به جبرائيل على مُحمَّد سبعة آلاف آية، و التي بأيدينا من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فقط، و البواقي مخزون عند أهل البيت فيما جمعه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يخرج المصحف الذي كتبه علي، و إنّ المصحف غاب بغيبة القائم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أمور أربعة لا تتحملها الأمة، و على عقيدتي لا يرتضيها و لن يرتضيها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هذه الأمور الأربعة أو لو ثبتت إحداها لبطل القرآن و لبطل الدين من أصله، كما لو ثبت ما أسند إلى علي أمير المؤمنين في التيمي و العدوي لبطل القرآن و لبطل دين الإسلام </w:t>
      </w:r>
    </w:p>
    <w:p>
      <w:pPr>
        <w:pStyle w:val="BookText"/>
        <w:rPr/>
      </w:pPr>
      <w:r>
        <w:rPr>
          <w:rFonts w:ascii="Amiri" w:hAnsi="Amiri" w:eastAsia="Amiri" w:cs="Amiri"/>
          <w:color w:val="111111"/>
          <w:sz w:val="28"/>
          <w:sz w:val="28"/>
          <w:szCs w:val="28"/>
          <w:rtl w:val="true"/>
          <w:lang w:bidi="ar-SA"/>
        </w:rPr>
        <w:t>من أصله في المجلد الثاني من الوافي،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ثمّ إنهم فسّروا نزول الامر في ليلة القدر بنزول الأحكام الالهية على العباد و تقسيم الارزاق، و الإحياء و الإماتة و كلّ قضاء الله المبرم على عباده، مع ثبات كل هذه الأمور في اللوح المحفوظ منذ الازل و الى الأبد، فنزولها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إظهارها الى الملائكة الموكّلين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إطّلاع النبيّ عليها بل هو مطلع جزماً بنص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نعتقدُ بأنّ كلَّ ما ثبت لرسول الله ثابتٌ لعلي الا ما خرج بالدليل بنص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النبوة و ثبت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يثبتون تحديث الملائكة لعمر و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بماذا تحّدثه الملائكة؟ و هل تتحدث الملائكة لأحدٍ إلا بأمر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اخبر ببعض المغيبات و انكشف له الواقع مراراً، بل ينزل الوحي طبقاً لرأي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يبطل القرآن و الاسلام عند اطّلاع عمر و يبطلان عند اطلاع عليّ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في الرواية فقرة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فيكتب لهما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إنّ النبي لا يقرأ و لا يكتب، و هذه مسألة فيها كلام و لامجال لتحقيقها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سند أحاديث الباب كلّه و هي ثمانية أحاديث رَجُلٌ ضعيفٌ جداً هو الحَسَنُ بن العباّس بن الحريش قال النجاشي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الحريش الرازي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له كتاب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رَديءُ الحديثِ، مضطرب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ضعيف، و يمكن حمل بعض فقراته على معنىً صحيح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9737_97103"/>
    </w:p>
    <w:p>
      <w:pPr>
        <w:pStyle w:val="Heading3"/>
        <w:numPr>
          <w:ilvl w:val="2"/>
          <w:numId w:val="1"/>
        </w:numPr>
        <w:rPr/>
      </w:pPr>
      <w:bookmarkStart w:id="121" w:name="__RefHeading___Toc8798234_2870459653"/>
      <w:bookmarkStart w:id="122" w:name="_Toc44"/>
      <w:bookmarkEnd w:id="120"/>
      <w:bookmarkEnd w:id="121"/>
      <w:r>
        <w:rPr>
          <w:rtl w:val="true"/>
        </w:rPr>
        <w:t>المسألة الخامسة</w:t>
      </w:r>
      <w:r>
        <w:rPr>
          <w:rtl w:val="true"/>
        </w:rPr>
        <w:t xml:space="preserve">: </w:t>
      </w:r>
      <w:r>
        <w:rPr>
          <w:rtl w:val="true"/>
        </w:rPr>
        <w:t>في حكومات الدول الإسلامية و قضاتها</w:t>
      </w:r>
      <w:bookmarkEnd w:id="122"/>
    </w:p>
    <w:p>
      <w:pPr>
        <w:pStyle w:val="BookText"/>
        <w:rPr/>
      </w:pPr>
      <w:r>
        <w:rPr>
          <w:rFonts w:ascii="Amiri" w:hAnsi="Amiri" w:eastAsia="Amiri" w:cs="Amiri"/>
          <w:color w:val="111111"/>
          <w:sz w:val="28"/>
          <w:sz w:val="28"/>
          <w:szCs w:val="28"/>
          <w:rtl w:val="true"/>
          <w:lang w:bidi="ar-SA"/>
        </w:rPr>
        <w:t>و كل علمائها طواغيت، و مَنْ تحاكم إلى الطاغوت فحكم له الطاغوت، فإنْ أخذه فإنما أخَذَهُ سُحتاً، و إنْ كان حقه في الواقع ثابتاً له؛ لأنّه أخذه بحكم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الشيعة أن تتحاكم إلى الطاغوت، و كل راية ترفع قبل قيام القائم فصاحبها طاغوت يعبد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كتب الشيعة، فكيف يكون أساس الدول الإسلامية على وجه الأرض من أول الإسلام إلى يوم القيامة إنْ كانتْ عقيدة شعوبها و رعاياها هذه العقيدة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798236_2870459653"/>
      <w:bookmarkStart w:id="124" w:name="_Toc45"/>
      <w:bookmarkEnd w:id="123"/>
      <w:r>
        <w:rPr>
          <w:rtl w:val="true"/>
        </w:rPr>
        <w:t>المسألة السادسة</w:t>
      </w:r>
      <w:r>
        <w:rPr>
          <w:rtl w:val="true"/>
        </w:rPr>
        <w:t xml:space="preserve">: </w:t>
      </w:r>
      <w:r>
        <w:rPr>
          <w:rtl w:val="true"/>
        </w:rPr>
        <w:t>تكفير الفرق الإسلامية</w:t>
      </w:r>
      <w:bookmarkEnd w:id="124"/>
    </w:p>
    <w:p>
      <w:pPr>
        <w:pStyle w:val="BookText"/>
        <w:rPr/>
      </w:pPr>
      <w:r>
        <w:rPr>
          <w:rFonts w:ascii="Amiri" w:hAnsi="Amiri" w:eastAsia="Amiri" w:cs="Amiri"/>
          <w:color w:val="111111"/>
          <w:sz w:val="28"/>
          <w:sz w:val="28"/>
          <w:szCs w:val="28"/>
          <w:rtl w:val="true"/>
          <w:lang w:bidi="ar-SA"/>
        </w:rPr>
        <w:t>صرحت كتب الشيعة إنّ كل الفرق الإسلامية كلها كافرة ملعونة خالدة في النار، و المخالف شرٌّ من الكفار، و إنَّ دَمَ الناصب و ماله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الناصب من يقدم الأول و الثاني على عليّ أمير المؤمنين و من يعتقد إمامتهما الأول و الثاني، و إن الله قد نَصَبَ علياً علماً بينه و بين خلقه من أنكره كان كافراً، و من أشرك معه آخر كان مشركاً، و إنّ المخالفَ في الإمامة لا إيمان له هو للنار 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 في حكم المشرك و الكافر في جميع الأحكام، لكن أجرى الله زمن الهدنةِ حُكْمَ المسلمين عليهم رحمة للشيعة، و إذا ظهر قائم آل محمد أجرى على المخالف حكم المشرك و الكافر في جميع الأحكام، كل هذه في كتب الشيعة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نخاف عليكم أنْ يُقتَلَ رجل منكم برجل منهم، و الرجل منكم خير من مائة ألف رجل منهم لأمرناكم بقتلهم كلهم</w:t>
      </w:r>
      <w:r>
        <w:rPr>
          <w:rFonts w:eastAsia="Amiri" w:cs="Amiri" w:ascii="Amiri" w:hAnsi="Amiri"/>
          <w:color w:val="111111"/>
          <w:sz w:val="28"/>
          <w:szCs w:val="28"/>
          <w:rtl w:val="true"/>
          <w:lang w:bidi="ar-SA"/>
        </w:rPr>
        <w:t xml:space="preserve">. </w:t>
      </w:r>
      <w:bookmarkStart w:id="125" w:name="pg9737_97104"/>
    </w:p>
    <w:p>
      <w:pPr>
        <w:pStyle w:val="BookText"/>
        <w:rPr/>
      </w:pPr>
      <w:bookmarkEnd w:id="125"/>
      <w:r>
        <w:rPr>
          <w:rFonts w:ascii="Amiri" w:hAnsi="Amiri" w:eastAsia="Amiri" w:cs="Amiri"/>
          <w:color w:val="111111"/>
          <w:sz w:val="28"/>
          <w:sz w:val="28"/>
          <w:szCs w:val="28"/>
          <w:rtl w:val="true"/>
          <w:lang w:bidi="ar-SA"/>
        </w:rPr>
        <w:t>و يقول الإمام في أئمة المذاهب الأربعة من هذه الأمة لا تأتهم و لا تسمع منهم لعنهم الله و لعن الله مللهم المشركة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798238_2870459653"/>
      <w:bookmarkStart w:id="127" w:name="_Toc46"/>
      <w:bookmarkEnd w:id="126"/>
      <w:r>
        <w:rPr>
          <w:rtl w:val="true"/>
        </w:rPr>
        <w:t>المسألة السابعة</w:t>
      </w:r>
      <w:r>
        <w:rPr>
          <w:rtl w:val="true"/>
        </w:rPr>
        <w:t xml:space="preserve">: </w:t>
      </w:r>
      <w:r>
        <w:rPr>
          <w:rtl w:val="true"/>
        </w:rPr>
        <w:t>في الجهاد والشهادة</w:t>
      </w:r>
      <w:bookmarkEnd w:id="127"/>
    </w:p>
    <w:p>
      <w:pPr>
        <w:pStyle w:val="BookText"/>
        <w:rPr/>
      </w:pPr>
      <w:r>
        <w:rPr>
          <w:rFonts w:ascii="Amiri" w:hAnsi="Amiri" w:eastAsia="Amiri" w:cs="Amiri"/>
          <w:color w:val="111111"/>
          <w:sz w:val="28"/>
          <w:sz w:val="28"/>
          <w:szCs w:val="28"/>
          <w:rtl w:val="true"/>
          <w:lang w:bidi="ar-SA"/>
        </w:rPr>
        <w:t>جهاد الملل الإسلامية اليوم غير مشروع حتّى لو أوصى أحد في سبيل الله، و سبيل الله في عقيدته هو الجهاد جاز العدول عنه إلى فقراء الشيعة، و الجهاد مع غير الإمام المفترض طاعته حرام، مثل حرمة الميتة و حرمة الخنزير، و لا شهيد إلا الشيعة، و الشيعي شهيد و لو مات على فراشِهِ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مسائل ثلاث، عقيدة الشيعة منها يقين، فهل يبقى في توحيد الكلمة حكمة للمسلمين في عالم الإسلام من أمل؟ و هل يبقى بعد هذه المسائل لكلمة التوحيد في قلوب أهليها من أثر؟ و هل يمكن أنْ يكون للأمم الإسلامية في سبيل غلبة الإسلام في مستقبل الأيام من سعي؟</w:t>
      </w:r>
    </w:p>
    <w:p>
      <w:pPr>
        <w:pStyle w:val="Heading3"/>
        <w:numPr>
          <w:ilvl w:val="2"/>
          <w:numId w:val="1"/>
        </w:numPr>
        <w:rPr/>
      </w:pPr>
      <w:bookmarkStart w:id="128" w:name="__RefHeading___Toc8798240_2870459653"/>
      <w:bookmarkStart w:id="129" w:name="_Toc47"/>
      <w:bookmarkEnd w:id="128"/>
      <w:r>
        <w:rPr>
          <w:rtl w:val="true"/>
        </w:rPr>
        <w:t>المسألة الثامنة</w:t>
      </w:r>
      <w:r>
        <w:rPr>
          <w:rtl w:val="true"/>
        </w:rPr>
        <w:t xml:space="preserve">: </w:t>
      </w:r>
      <w:r>
        <w:rPr>
          <w:rtl w:val="true"/>
        </w:rPr>
        <w:t>إنكار كتب الشيعة أحاديث أئمة العامة</w:t>
      </w:r>
      <w:bookmarkEnd w:id="129"/>
    </w:p>
    <w:p>
      <w:pPr>
        <w:pStyle w:val="BookText"/>
        <w:rPr/>
      </w:pPr>
      <w:r>
        <w:rPr>
          <w:rFonts w:ascii="Amiri" w:hAnsi="Amiri" w:eastAsia="Amiri" w:cs="Amiri"/>
          <w:color w:val="111111"/>
          <w:sz w:val="28"/>
          <w:sz w:val="28"/>
          <w:szCs w:val="28"/>
          <w:rtl w:val="true"/>
          <w:lang w:bidi="ar-SA"/>
        </w:rPr>
        <w:t>إدعتْ كتبُ الشيعة أنّ الأئمة كانَتْ تُنكِرُ كلَّ حديث يرويه إمام من أئمة العامة، و الأخذُ بنقيض ما أخذته الأمة أسهل طريق في الإصابة فكُلُّ خَبَرٍ وافق العامّة باطل، و ما خالف العامَّةَ ففيه الرَّشاد، و إنْ وافق الكل يجب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الصادق يأمر بما فيه خلاف أهل السنة و الجماعة،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يكن يدين بدين إلا خالفته الأمة إلى غيره إبطالاً لأمر علي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دعوى الشيعة، و هذا أصل عظيم سهل من أصول الفقه عند الشيعة، و هي في بابها بديعة لم تكن لدين من الأديان و لم تكن مسلكاً لعلم من العلوم، و لم تُجعل مدركاً للحق و دليلاً للإصابة قبل وضع الشيعة</w:t>
      </w:r>
      <w:r>
        <w:rPr>
          <w:rFonts w:eastAsia="Amiri" w:cs="Amiri" w:ascii="Amiri" w:hAnsi="Amiri"/>
          <w:color w:val="111111"/>
          <w:sz w:val="28"/>
          <w:szCs w:val="28"/>
          <w:rtl w:val="true"/>
          <w:lang w:bidi="ar-SA"/>
        </w:rPr>
        <w:t xml:space="preserve">. </w:t>
      </w:r>
      <w:bookmarkStart w:id="130" w:name="pg9737_97105"/>
    </w:p>
    <w:p>
      <w:pPr>
        <w:pStyle w:val="BookText"/>
        <w:rPr/>
      </w:pPr>
      <w:bookmarkEnd w:id="130"/>
      <w:r>
        <w:rPr>
          <w:rFonts w:ascii="Amiri" w:hAnsi="Amiri" w:eastAsia="Amiri" w:cs="Amiri"/>
          <w:color w:val="111111"/>
          <w:sz w:val="28"/>
          <w:sz w:val="28"/>
          <w:szCs w:val="28"/>
          <w:rtl w:val="true"/>
          <w:lang w:bidi="ar-SA"/>
        </w:rPr>
        <w:t xml:space="preserve">و العامة أو الأمة إنْ علمت علم اليقين إنَّ أفضل قرون الإسلام قرن رسالته و قرن خلافته الراشدة فلم تكن لتخطئ، فما روته أئمة الأمة عن سنن قرني الرسالة و الخلافة الراشدة كان أرشد و أهدى و أقرب من الحق في الدين رشداً، فكونُ الوفاقِ سمة البطلان و كونُ الخلافِ دليلُ الإصابة غريبٌ بديع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8798242_2870459653"/>
      <w:bookmarkStart w:id="132" w:name="_Toc48"/>
      <w:bookmarkEnd w:id="131"/>
      <w:r>
        <w:rPr>
          <w:rtl w:val="true"/>
        </w:rPr>
        <w:t>المسألة التاسعة</w:t>
      </w:r>
      <w:r>
        <w:rPr>
          <w:rtl w:val="true"/>
        </w:rPr>
        <w:t xml:space="preserve">: </w:t>
      </w:r>
      <w:r>
        <w:rPr>
          <w:rtl w:val="true"/>
        </w:rPr>
        <w:t>في تأويل الآيات و تنزيلها</w:t>
      </w:r>
      <w:bookmarkEnd w:id="132"/>
    </w:p>
    <w:p>
      <w:pPr>
        <w:pStyle w:val="BookText"/>
        <w:rPr/>
      </w:pPr>
      <w:r>
        <w:rPr>
          <w:rFonts w:ascii="Amiri" w:hAnsi="Amiri" w:eastAsia="Amiri" w:cs="Amiri"/>
          <w:color w:val="111111"/>
          <w:sz w:val="28"/>
          <w:sz w:val="28"/>
          <w:szCs w:val="28"/>
          <w:rtl w:val="true"/>
          <w:lang w:bidi="ar-SA"/>
        </w:rPr>
        <w:t>في كتب الشيعة أبواب في آيات نزلت في الأئمة و الشيعة، و آيات نزلت في كفر أبي بكر و عمر و كفر من اتبعهما و الآيات تزيد على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رأيكم اليوم في تنزيل هذه الآيات و في تأويلاتها على حسب ما في كتب الشيعة، و في تنزيلاتها و تأويلاتها تعجيز لله، و تجهيل للنبي و آله و أعظم طعن على دين الأئمة و أدب آل محمد صلى الله عليه و آله و سلم و كيف تنجو هذه التأويلات من أن تكون ألعوبة يلعب بها من يستخف بالكتاب و الدين؟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8798244_2870459653"/>
      <w:bookmarkStart w:id="134" w:name="_Toc49"/>
      <w:bookmarkEnd w:id="133"/>
      <w:r>
        <w:rPr>
          <w:rtl w:val="true"/>
        </w:rPr>
        <w:t>المسألة العاشرة</w:t>
      </w:r>
      <w:r>
        <w:rPr>
          <w:rtl w:val="true"/>
        </w:rPr>
        <w:t xml:space="preserve">: </w:t>
      </w:r>
      <w:r>
        <w:rPr>
          <w:rtl w:val="true"/>
        </w:rPr>
        <w:t>في التقية</w:t>
      </w:r>
      <w:bookmarkEnd w:id="134"/>
    </w:p>
    <w:p>
      <w:pPr>
        <w:pStyle w:val="BookText"/>
        <w:rPr/>
      </w:pPr>
      <w:r>
        <w:rPr>
          <w:rFonts w:ascii="Amiri" w:hAnsi="Amiri" w:eastAsia="Amiri" w:cs="Amiri"/>
          <w:color w:val="111111"/>
          <w:sz w:val="28"/>
          <w:sz w:val="28"/>
          <w:szCs w:val="28"/>
          <w:rtl w:val="true"/>
          <w:lang w:bidi="ar-SA"/>
        </w:rPr>
        <w:t>و لكتب الشيعة في حيلة التقية غرام قد شغفها حباً حلية التقية، فكلما روى إمام حديثاً يوافق ما عليه الأمة أو عمل إمام عملاً يشبه عمل الأمة، فإنّ الشيعة تردُّها على أنَّها حيلة و على أنَّها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نجلّ الأئمة، و من عزة الإمام و أعظم شرفه أن يكون من الذين يُبلِّغونَ رسالات الله و يخشونه و لا يخشون أحداً إلا الله، و من الذين يجاهدون في سبيل الله و لا يخافون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التقية في سبيل حفظ حياته و شرفه و في حفظ ماله في حماية حقٍّ من حقوقه واجبة على كل أحد إماماً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التقية بالعبادة بأنْ يعمل الإمام عملا لم يقصد به وجه الله و إنّما أتاه خوفاً من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بالتبليغ بأن يسند الإمام إلى الشارع حكماً لم يكن من الشارع، فإنَّ مثل هذه التقية لا تقع أبداً أصلاً من إمام له دين، و يمتنع صدورها من إمام معصوم، و حمل رواية الإمام و عبادة الإمام على التقية طعن على عصمته و طعنٌ على دينه، و كل رواية يرويها عَدْلٌ فهي أداء أمانة و هي تبليغ، و حملها على التقية قولٌ بأنَّ العَدْلَ قد افتراها على الله و على الشّارع، و كادَ بها الأمة و كل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يعلم أنَّ خلاف الرواية السكوت، و الساكت آمن من كل شيء، و لم يقع قطُّ أنّ جائراً عاقَبَ السّاكِتَ، فحَمْلُ الرواية على التقية تسفيهٌ للراوي و تبليه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أمير المؤمنين عليه السلام كان يحافظ على الصلوات، و يراعي الأوقات، و يحضر الجماعات، و يصلّي المكتوبات، و يصلّي صلاَة الجمعة مقتدياً خلف الأول و الثاني و الثالث و خَلْفَ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يقصد بها وجه الله فقط، و لم يَكُنْ </w:t>
      </w:r>
      <w:bookmarkStart w:id="135" w:name="pg9737_97107"/>
    </w:p>
    <w:p>
      <w:pPr>
        <w:pStyle w:val="BookText"/>
        <w:rPr/>
      </w:pPr>
      <w:bookmarkEnd w:id="135"/>
      <w:r>
        <w:rPr>
          <w:rFonts w:ascii="Amiri" w:hAnsi="Amiri" w:eastAsia="Amiri" w:cs="Amiri"/>
          <w:color w:val="111111"/>
          <w:sz w:val="28"/>
          <w:sz w:val="28"/>
          <w:szCs w:val="28"/>
          <w:rtl w:val="true"/>
          <w:lang w:bidi="ar-SA"/>
        </w:rPr>
        <w:t>يُصلّي صلاةً إلّا تقرُّباً و تقوى و أداء، و لم يكن ينبغي لمثله أنْ يتَّقي بجميع عباداته أحداً غير الله، لم يكن يصلي صلاة إلاّ قربة و تقوى، و حَمْلُها على التقية طَعْنٌ في دينه و طَعْنٌ على عظيمِ فضلِهِ، و كلُّ إمامٍ بَعْدَهُ اقتدى بأبيهِ وَجَدِّهِ في الأمّة و الأئمة، و لم يقع من إمامٍ إلاّ تقوى و دين لم يقع حيلة و تقية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798246_2870459653"/>
      <w:bookmarkStart w:id="137" w:name="_Toc50"/>
      <w:bookmarkEnd w:id="136"/>
      <w:r>
        <w:rPr>
          <w:rtl w:val="true"/>
        </w:rPr>
        <w:t>المسألة الحادية عشر</w:t>
      </w:r>
      <w:r>
        <w:rPr>
          <w:rtl w:val="true"/>
        </w:rPr>
        <w:t xml:space="preserve">: </w:t>
      </w:r>
      <w:r>
        <w:rPr>
          <w:rtl w:val="true"/>
        </w:rPr>
        <w:t>في الأخبار الواردة في كتب الشيعة</w:t>
      </w:r>
      <w:bookmarkEnd w:id="137"/>
    </w:p>
    <w:p>
      <w:pPr>
        <w:pStyle w:val="BookText"/>
        <w:rPr/>
      </w:pPr>
      <w:r>
        <w:rPr>
          <w:rFonts w:ascii="Amiri" w:hAnsi="Amiri" w:eastAsia="Amiri" w:cs="Amiri"/>
          <w:color w:val="111111"/>
          <w:sz w:val="28"/>
          <w:sz w:val="28"/>
          <w:szCs w:val="28"/>
          <w:rtl w:val="true"/>
          <w:lang w:bidi="ar-SA"/>
        </w:rPr>
        <w:t xml:space="preserve">في كتب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أمير المؤمنين طَلَّقَ عائشة فخرجت من كونها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القائم إذا قام يُقيمُ الحَدَّ على عائشة انتقاماً لأمِّهِ ابنة النبيّ فاطمة الزهراء عليها و على ابنيها و أولادها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القائم إذا ظهر يهدم مساجد الإسلام منها مسجد المدينة، و يهدِمُ حُجرة النبي، و ينبش قبر صاحبيه و يخرجهما حيّين، و هما طَريّان و يصلبهما على خشبة و يحرقهما؛ لأنَّ جميع ما ارتكبه البشر من المظالم و الجنايات و الآثام من آدم إلى القيامة منهما، فأوزارها عليهما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يعلم إنّ الدين و الأدب براءٌ من أمثال هذه الأوهام، و ليس من حاجة إلى رَدّها و إنما ينكر وجودها في صحائف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أستبعدُ تمام الاستبعاد أنَّ عالماً كبيراً شيعياً يكتبها في كتابٍ، و لا يَجدُ من دينه و أدبه و عقله و إيمانه وازعاً يَزِعُهُ من أمثالِ هذه الأباطيل، و الكتب متداولة تتلوها الشيعة من غير إنكار، و يلقيها الخطيب في المحافل، و الجماعة تستمعها استماع الأذكار، فإنْ كان بين الشرور شرُّ يستعاذ بالله منه فأعظمُ شرِّ هو شَرُّ التَّعَصُبِ المذهبي، و شيطان التعصب المذهبي رأس الشياطين</w:t>
      </w:r>
      <w:r>
        <w:rPr>
          <w:rFonts w:eastAsia="Amiri" w:cs="Amiri" w:ascii="Amiri" w:hAnsi="Amiri"/>
          <w:color w:val="111111"/>
          <w:sz w:val="28"/>
          <w:szCs w:val="28"/>
          <w:rtl w:val="true"/>
          <w:lang w:bidi="ar-SA"/>
        </w:rPr>
        <w:t xml:space="preserve">. </w:t>
      </w:r>
      <w:bookmarkStart w:id="138" w:name="pg9737_97108"/>
    </w:p>
    <w:p>
      <w:pPr>
        <w:pStyle w:val="Heading3"/>
        <w:numPr>
          <w:ilvl w:val="2"/>
          <w:numId w:val="1"/>
        </w:numPr>
        <w:rPr/>
      </w:pPr>
      <w:bookmarkStart w:id="139" w:name="__RefHeading___Toc8798248_2870459653"/>
      <w:bookmarkStart w:id="140" w:name="_Toc51"/>
      <w:bookmarkEnd w:id="138"/>
      <w:bookmarkEnd w:id="139"/>
      <w:r>
        <w:rPr>
          <w:rtl w:val="true"/>
        </w:rPr>
        <w:t>المسألة الثانية عشرة</w:t>
      </w:r>
      <w:r>
        <w:rPr>
          <w:rtl w:val="true"/>
        </w:rPr>
        <w:t xml:space="preserve">: </w:t>
      </w:r>
      <w:r>
        <w:rPr>
          <w:rtl w:val="true"/>
        </w:rPr>
        <w:t>في تحريم المسكر و الربا و العول</w:t>
      </w:r>
      <w:bookmarkEnd w:id="140"/>
    </w:p>
    <w:p>
      <w:pPr>
        <w:pStyle w:val="BookText"/>
        <w:rPr/>
      </w:pPr>
      <w:r>
        <w:rPr>
          <w:rFonts w:ascii="Amiri" w:hAnsi="Amiri" w:eastAsia="Amiri" w:cs="Amiri"/>
          <w:color w:val="111111"/>
          <w:sz w:val="28"/>
          <w:sz w:val="28"/>
          <w:szCs w:val="28"/>
          <w:rtl w:val="true"/>
          <w:lang w:bidi="ar-SA"/>
        </w:rPr>
        <w:t>أعجبني دين الشيعة في تحريم كل شراب يسكر كثيره قليله حرام، حتى أنَّ المضطر لا يشرب الخمر ساعة إلا اضطراراً لأنها قاتلة، و استحسنت كل الاستحسان مذهب الشيعة الإمامية في مسائل الطلاق، و بعض ما تراه الشيعة في أصول المواريث، و لم يعجبني فتاواهم في جزئيات مسائل الربا، و وجدت في ما طالعته في كتب الشيعة مقصّرة في بيان مسائل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الشيعة و إنْ رَدَّتْ القول بالعول و أنكرت على الأمة إعالة الفرائض إلا أنها لم تنجُ من إشكال ابن عباس و الإمام الباقر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أحصى رمل عالج لم يجعل في مالٍ نصفاً و ثلثين و لا نصفاً و نصفاً و ثلثاً مثلاً، فإنَّ إدخال النقص في المؤخر أخذ بقسم كبير من العول و لا يدفع أصل الإشكال، فإنَّ التسمية في الكتاب باقية كما كانت في زوج و أم و أختين مثلاً، فالزوج فرضه بتسمية القرآن النصف، و الأختان لهما بتسمية القرآن الثلثان، و الأم لها في حكم القرآن الثلث أو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السهام في تسمية القرآن الكريم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في جميع السهام و هو العول العادل، أو في سهم المؤخر فقط، و هو العول الجائر ضروري اقتسمته الأمة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قسم المال و سمّى السهام هو الذي أحصى رمل عالج، بل جميع ذرات جميع الكائنات، و يغلب على ظني أنّ القول بأنْ لا عَوْلَ عند الشيعة قولٌ ظاهري، قيل ببادئ الرأي عند بيان الاختلاف ردّاً لمذهب الأمة، فإنَّ العول هو النقص، فإنْ كان النقص في جميع السهام بنسبةٍ متناسبة فهو العول العادل أخذت به الأمة، و قد حافظت على نصوص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النقص في أسهم المؤخر فقط فهو </w:t>
      </w:r>
      <w:bookmarkStart w:id="141" w:name="pg9737_97109"/>
    </w:p>
    <w:p>
      <w:pPr>
        <w:pStyle w:val="BookText"/>
        <w:rPr/>
      </w:pPr>
      <w:bookmarkEnd w:id="141"/>
      <w:r>
        <w:rPr>
          <w:rFonts w:ascii="Amiri" w:hAnsi="Amiri" w:eastAsia="Amiri" w:cs="Amiri"/>
          <w:color w:val="111111"/>
          <w:sz w:val="28"/>
          <w:sz w:val="28"/>
          <w:szCs w:val="28"/>
          <w:rtl w:val="true"/>
          <w:lang w:bidi="ar-SA"/>
        </w:rPr>
        <w:t>العول الجائر أخذت به الشيعة، و خالفت به نصوص الكتاب، و الإشكال الذي تحيّر فيه ابن عباس و انتحله الإمام الباقر ثابت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أريد اليوم كما أراد ابن عباس في يومه أن ابتهل أو أباهل في المسألة أحداً و إنّما أريد أنْ تعلّموني مما عُلِّمتم في إزالة الإشكال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مجتهدي النجف الأشرف في أصل الإشكال و في دفعه؟</w:t>
      </w:r>
    </w:p>
    <w:p>
      <w:pPr>
        <w:pStyle w:val="Heading3"/>
        <w:numPr>
          <w:ilvl w:val="2"/>
          <w:numId w:val="1"/>
        </w:numPr>
        <w:rPr/>
      </w:pPr>
      <w:bookmarkStart w:id="142" w:name="__RefHeading___Toc8798250_2870459653"/>
      <w:bookmarkStart w:id="143" w:name="_Toc52"/>
      <w:bookmarkEnd w:id="142"/>
      <w:r>
        <w:rPr>
          <w:rtl w:val="true"/>
        </w:rPr>
        <w:t>المسألة الثالثة عشرة</w:t>
      </w:r>
      <w:r>
        <w:rPr>
          <w:rtl w:val="true"/>
        </w:rPr>
        <w:t xml:space="preserve">: </w:t>
      </w:r>
      <w:r>
        <w:rPr>
          <w:rtl w:val="true"/>
        </w:rPr>
        <w:t>في المتعة</w:t>
      </w:r>
      <w:bookmarkEnd w:id="143"/>
    </w:p>
    <w:p>
      <w:pPr>
        <w:pStyle w:val="BookText"/>
        <w:rPr/>
      </w:pPr>
      <w:r>
        <w:rPr>
          <w:rFonts w:ascii="Amiri" w:hAnsi="Amiri" w:eastAsia="Amiri" w:cs="Amiri"/>
          <w:color w:val="111111"/>
          <w:sz w:val="28"/>
          <w:sz w:val="28"/>
          <w:szCs w:val="28"/>
          <w:rtl w:val="true"/>
          <w:lang w:bidi="ar-SA"/>
        </w:rPr>
        <w:t>إنّ كتب الشيعة إذا تعصَّبَتْ على المسألة فهي تُجازف في الكلام و تتجاوز الحدود في التشدُّد مثل ما رُويت في البداء و المتعة و البراءة و تحريم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الباقر و الصادق يبالغان في المتعة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يستحلّ متعتنا و لمْ يقل برجعتنا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يجعلها علماء الشيعة شارة أهل البيت و شعار الأئمة، و للأمة في المتعة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أرى أنّ المتعة كانت من بقايا الأنكحة الجاهلية، و يمكن أنها وقعت من بعض الناس في صدر الإسلام، و يمكن أنَّ الشارع قد أقرَّها في بعض الأحوال من باب ما نزل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أمراً تاريخيا لا حكماً شرعياً بإذن من الشارع و إنْ ادّعى مُدَّعٍ أنَّ المتعة كانت حلالاً بإذن الشارع فلتكن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لا بأس فيها و لا كلام لنا اليوم في ردّها، و إنّما كلامي الآن في أنّ المتعة هل تثبت بالقرآن أوْلا؟ كتب الشيعة تَدَّعي أنّ المتعة نزل فيها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44" w:name="pg9737_97110"/>
    </w:p>
    <w:p>
      <w:pPr>
        <w:pStyle w:val="BookText"/>
        <w:rPr/>
      </w:pPr>
      <w:bookmarkEnd w:id="144"/>
      <w:r>
        <w:rPr>
          <w:rFonts w:ascii="Amiri" w:hAnsi="Amiri" w:eastAsia="Amiri" w:cs="Amiri"/>
          <w:color w:val="111111"/>
          <w:sz w:val="28"/>
          <w:sz w:val="28"/>
          <w:szCs w:val="28"/>
          <w:rtl w:val="true"/>
          <w:lang w:bidi="ar-SA"/>
        </w:rPr>
        <w:t>و أرى أنّ أدبَ البيان يأبى، و عربيةُ هذه الجملة المعجزة تأبى أنْ تكون هذه الجملة الكريمة قد نزلت فيها؛ لأنَّ تركيب هذه الجملة يفسد، و نظم هذه الآية الكريمة يختل لو قلنا إنّها نزلت في متعة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أستمع و أنْ أقرأ إفادات مجتهدي النجف الأشرف فما قولكم أيها السادة في تنزيل هذه الجملة الكريمة المعجزة المباركة؟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798252_2870459653"/>
      <w:bookmarkStart w:id="146" w:name="_Toc53"/>
      <w:bookmarkEnd w:id="145"/>
      <w:r>
        <w:rPr>
          <w:rtl w:val="true"/>
        </w:rPr>
        <w:t>المسألة الرابعة عشرة</w:t>
      </w:r>
      <w:r>
        <w:rPr>
          <w:rtl w:val="true"/>
        </w:rPr>
        <w:t xml:space="preserve">: </w:t>
      </w:r>
      <w:r>
        <w:rPr>
          <w:rtl w:val="true"/>
        </w:rPr>
        <w:t>في عرض النبي إرثه</w:t>
      </w:r>
      <w:bookmarkEnd w:id="146"/>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النبيُّ صلى الله على محمد و آل محمد و على صحب محمد و سلم إرثه لعمِّهِ سيدنا العباس و ابن عمه علي أمير المؤمنين في الوافي عن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صلى الله عليه و آله و سلم عمَّهُ العبَّاسُ و علياً قبيل وفاته، فقال لعمه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تأخذ تراث محمد و تقضي دينه و تنجز عداته؟ فردَّ العباس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كثير العيال قليل المال، ثم قال النبي عليه الصلاة و السلام سأعطيها من يأخذها بحقها،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أتنجز عداة محمد و تقضي دينه و تقبض تراثه؟ حديث مهم جليل لم أره في غير كتب الشيعة، عددته إذ رأيته كنزاً غنياً يستخرج منه أصول في أبواب الفقه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عرض الإرث إن صحَّ لكان له شأن جليل، فإنَّ ذلك يقلب أصول الإرث في الإسلام قلباً يمكن أنْ يكون فيه صلاح و حكمة اجتماعية، فإنَّ الإرث عند الفقهاء خلافه في الملك، فالحقوق ليس فيها لا للمورث و لا للوارث اختيار الوارث يكون خليفة في ملك الميت و حقوقه، عَرَضَ المورث أوْلا شاء الوارث أو أبى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الإرثُ نقلٌ يتوقف على إرادة المورّث انتقالاً لا يكون إلا بقبول الوارث، فيه لأهل العلم و علماء الحقوق أقوال و أنظار، و لأجل ذلك أعدَّ حديث عرض الإرث كنزاً فيه علوم و أصول لو صحَّ لكان له شأنُ جليل، إلا أنّ راويه قد فسده إفساداً بحديث عفير </w:t>
      </w:r>
      <w:r>
        <w:rPr>
          <w:rStyle w:val="FootnoteAnchor"/>
          <w:rtl w:val="true"/>
        </w:rPr>
        <w:footnoteReference w:id="65"/>
      </w:r>
      <w:r>
        <w:rPr>
          <w:rFonts w:ascii="Amiri" w:hAnsi="Amiri" w:eastAsia="Amiri" w:cs="Amiri"/>
          <w:color w:val="111111"/>
          <w:sz w:val="28"/>
          <w:sz w:val="28"/>
          <w:szCs w:val="28"/>
          <w:rtl w:val="true"/>
          <w:lang w:bidi="ar-SA"/>
        </w:rPr>
        <w:t>عن أبيه عن جده عن نوح صاحب السفينة التي استوت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إرث للعصبة عند الشيعة، أمّا عند فقهاء الأمة، فإنّ ابن العم لا يرث عند وجود العم، و حَرْمُ الوارث ليس في اختيار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قولكم أيُّها الأساتذة السادة في حديث العرض؟ و في أصل الإرث؟ و كيف يكون قول الشيعة في التعصْيب، و سيدنا العباس كان غنياً، و كان أعقل و أرفع من أنْ يَرُدَّ عَرْضَ النبي صلى الله عليه و آله و سلم بخلاً أو غفلة عن عظيم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سيّدُنا العّباسُ كانَ أشرف قريشٍ و أنفذَهم نظراً، و النبيّ كان يكرم العباس إكرام أبيه، و كان العباس للنبي أطوع أقربيه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العباس عمّه لأبيه، و كان سيدنا أبو طالب عمُّه لأبيه و أمه، و لنا أن نقدّم أولاد سيدنا أبي طالب على عمّ النبي لا بأس فيه، بل هو الغالب، لأنّ سيدنا أبا طالب قد قام مقام عبد الله بعد عبد المطلب، فأولاده أخوة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هذا كاف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 كتب الشيعة في أمِّ العَّباسِ فيه شيءٌ لا أرتضيه، و هذه قد عادَتْ لها </w:t>
      </w:r>
      <w:bookmarkStart w:id="147" w:name="pg9737_97112"/>
    </w:p>
    <w:p>
      <w:pPr>
        <w:pStyle w:val="BookText"/>
        <w:rPr/>
      </w:pPr>
      <w:bookmarkEnd w:id="147"/>
      <w:r>
        <w:rPr>
          <w:rFonts w:ascii="Amiri" w:hAnsi="Amiri" w:eastAsia="Amiri" w:cs="Amiri"/>
          <w:color w:val="111111"/>
          <w:sz w:val="28"/>
          <w:sz w:val="28"/>
          <w:szCs w:val="28"/>
          <w:rtl w:val="true"/>
          <w:lang w:bidi="ar-SA"/>
        </w:rPr>
        <w:t xml:space="preserve">عادَةٌ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8798254_2870459653"/>
      <w:bookmarkStart w:id="149" w:name="_Toc54"/>
      <w:bookmarkEnd w:id="148"/>
      <w:r>
        <w:rPr>
          <w:rtl w:val="true"/>
        </w:rPr>
        <w:t>المسألة الخامسة عشرة</w:t>
      </w:r>
      <w:r>
        <w:rPr>
          <w:rtl w:val="true"/>
        </w:rPr>
        <w:t xml:space="preserve">: </w:t>
      </w:r>
      <w:r>
        <w:rPr>
          <w:rtl w:val="true"/>
        </w:rPr>
        <w:t>في الخلاف بين علي و الصحابة </w:t>
      </w:r>
      <w:bookmarkEnd w:id="149"/>
    </w:p>
    <w:p>
      <w:pPr>
        <w:pStyle w:val="BookText"/>
        <w:rPr/>
      </w:pPr>
      <w:r>
        <w:rPr>
          <w:rFonts w:ascii="Amiri" w:hAnsi="Amiri" w:eastAsia="Amiri" w:cs="Amiri"/>
          <w:color w:val="111111"/>
          <w:sz w:val="28"/>
          <w:sz w:val="28"/>
          <w:szCs w:val="28"/>
          <w:rtl w:val="true"/>
          <w:lang w:bidi="ar-SA"/>
        </w:rPr>
        <w:t>كل يعلم و كلنا يعلم أنّ البيوتَ الأموية و الهاشمية و العباسية كانَ بينها ترات و ثارات و عداوات قديمة و حديثة، و لم تكن إلاّ خصائص بدوية عربية، قد كانت، و ضرّت الإسلام، ثم زالت بزوال أهليها، و وقعت بها فقط في تاريخ الإسلام أمور منكرة لم تقع في غيره، و ليس فيها إثم و لا أثر لأهل الإسلام و لا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الإثم إلا لأهليها، و هم البيتُ الأمويُّ و البيتُ العبّاسي، و الله يفصل بينهم يوم القيامة، و لم يقع بين الصدّيق و الفاروق و بين عليّ خلافٌ في الخلافة، و لم يقع بين هؤلاء الصحابة الكرام الأئمة الأجلة عداء أبداً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اللهُ من صدورهم غلاً كان فيها، و كلّ آية نزلت في الثناء على الأمة فهم أول داخل فيها، و كل في ما كتب الشيعة من أخبار العداء بين هؤلاء الأئمة فكلها موضوع بلسان الدعاة، لو ثبت لكان فيها نقص كبير للإمام أمير المؤمنين علي و لأهل البيت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الأمة هم أولى الناس بأهل البيت و الأئمة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الولاية الصادقة بالمعنى الصحيح الذي يرتضيه أهل البيت لا توجد اليوم إلا عند أهل السنة و الجماعة، و هم عامة الأمة</w:t>
      </w:r>
      <w:r>
        <w:rPr>
          <w:rFonts w:eastAsia="Amiri" w:cs="Amiri" w:ascii="Amiri" w:hAnsi="Amiri"/>
          <w:color w:val="111111"/>
          <w:sz w:val="28"/>
          <w:szCs w:val="28"/>
          <w:rtl w:val="true"/>
          <w:lang w:bidi="ar-SA"/>
        </w:rPr>
        <w:t xml:space="preserve">. </w:t>
      </w:r>
      <w:bookmarkStart w:id="150" w:name="pg9737_97113"/>
    </w:p>
    <w:p>
      <w:pPr>
        <w:pStyle w:val="BookText"/>
        <w:rPr/>
      </w:pPr>
      <w:bookmarkEnd w:id="150"/>
      <w:r>
        <w:rPr>
          <w:rFonts w:ascii="Amiri" w:hAnsi="Amiri" w:eastAsia="Amiri" w:cs="Amiri"/>
          <w:color w:val="111111"/>
          <w:sz w:val="28"/>
          <w:sz w:val="28"/>
          <w:szCs w:val="28"/>
          <w:rtl w:val="true"/>
          <w:lang w:bidi="ar-SA"/>
        </w:rPr>
        <w:t>و ليس الشأن كل الشأن في ولايتنا و حبنا لأهل البيت، إذ لا يوجد مؤمن يعادي أهل البيت، و إنما الشأن كل الشأن فيمن يحبهم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أرى أنّ علياً و أولاده الأئمة و أهل البيت يحبون من يعادي الصديق و الفاروق، أو يحبون من يعادي العصر الأول و يلعن العصر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أرى أنْ ليس اليوم من فائدةٍ للشيعة و لا لأهل الإسلام في تكفير عامة الصحابة، و في الطعن على الصّدّيق و الفاروق، و اللعن و الطعن على عائشة و حفصة، و هما أهل البيت بنصّ الكتاب، و هذا هو الطريق الوحيد لتوحيد كلمة الإسلام اليوم، فما قولكم أيها الأساتذة السادة؟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8798256_2870459653"/>
      <w:bookmarkStart w:id="152" w:name="_Toc55"/>
      <w:bookmarkEnd w:id="151"/>
      <w:r>
        <w:rPr>
          <w:rtl w:val="true"/>
        </w:rPr>
        <w:t>المسألة السادسة عشرة</w:t>
      </w:r>
      <w:r>
        <w:rPr>
          <w:rtl w:val="true"/>
        </w:rPr>
        <w:t xml:space="preserve">: </w:t>
      </w:r>
      <w:r>
        <w:rPr>
          <w:rtl w:val="true"/>
        </w:rPr>
        <w:t>في ولاية الإمام</w:t>
      </w:r>
      <w:bookmarkEnd w:id="152"/>
    </w:p>
    <w:p>
      <w:pPr>
        <w:pStyle w:val="BookText"/>
        <w:rPr/>
      </w:pPr>
      <w:r>
        <w:rPr>
          <w:rFonts w:ascii="Amiri" w:hAnsi="Amiri" w:eastAsia="Amiri" w:cs="Amiri"/>
          <w:color w:val="111111"/>
          <w:sz w:val="28"/>
          <w:sz w:val="28"/>
          <w:szCs w:val="28"/>
          <w:rtl w:val="true"/>
          <w:lang w:bidi="ar-SA"/>
        </w:rPr>
        <w:t>يقول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في الإسلام دانت بولايةِ إمامٍ جائر و لا أستحي و إن كانت الرَّعيَّةُ في كلِّ أعمالها برَّة تقية، و لأعفوَنَّ عن كلّ رَعيّةٍ في الإسلام دانت بولاية إمام عادل من الله و لا أستحي و إن كانت الرعية ظالمة مسيئة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و إنْ كانت لها أمانة و صدق و وفاء لا تكون مؤمنة لإنكارها الولاية، و إنَّ الشيعة و إنْ لم يكن عندها شيءٌ من الدين لا عتب عليها لأنّها تدين بولاية إمام عادل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الفائدة من أمثال هذه الكلمات؟ و في أيِّ كتابٍ يقولُ الله هذه الكلمات؟</w:t>
      </w:r>
      <w:r>
        <w:rPr>
          <w:rFonts w:eastAsia="Amiri" w:cs="Amiri" w:ascii="Amiri" w:hAnsi="Amiri"/>
          <w:color w:val="111111"/>
          <w:sz w:val="28"/>
          <w:szCs w:val="28"/>
          <w:rtl w:val="true"/>
          <w:lang w:bidi="ar-SA"/>
        </w:rPr>
        <w:t xml:space="preserve">. </w:t>
      </w:r>
      <w:bookmarkStart w:id="153" w:name="pg9737_97114"/>
    </w:p>
    <w:p>
      <w:pPr>
        <w:pStyle w:val="Heading3"/>
        <w:numPr>
          <w:ilvl w:val="2"/>
          <w:numId w:val="1"/>
        </w:numPr>
        <w:rPr/>
      </w:pPr>
      <w:bookmarkStart w:id="154" w:name="__RefHeading___Toc8798258_2870459653"/>
      <w:bookmarkStart w:id="155" w:name="_Toc56"/>
      <w:bookmarkEnd w:id="153"/>
      <w:bookmarkEnd w:id="154"/>
      <w:r>
        <w:rPr>
          <w:rtl w:val="true"/>
        </w:rPr>
        <w:t>المسألة السابعة عشرة</w:t>
      </w:r>
      <w:r>
        <w:rPr>
          <w:rtl w:val="true"/>
        </w:rPr>
        <w:t xml:space="preserve">: </w:t>
      </w:r>
      <w:r>
        <w:rPr>
          <w:rtl w:val="true"/>
        </w:rPr>
        <w:t>في النسيء</w:t>
      </w:r>
      <w:bookmarkEnd w:id="155"/>
    </w:p>
    <w:p>
      <w:pPr>
        <w:pStyle w:val="BookText"/>
        <w:rPr/>
      </w:pPr>
      <w:r>
        <w:rPr>
          <w:rFonts w:ascii="Amiri" w:hAnsi="Amiri" w:eastAsia="Amiri" w:cs="Amiri"/>
          <w:color w:val="111111"/>
          <w:sz w:val="28"/>
          <w:sz w:val="28"/>
          <w:szCs w:val="28"/>
          <w:rtl w:val="true"/>
          <w:lang w:bidi="ar-SA"/>
        </w:rPr>
        <w:t>ما النسيء الذي هو زيادة في الكفر؟ و هل كان له عند العرب قبل الإسلام نظامٌ يدورُ عليه حساب السنين؟ و سنوّ عمر النبي صلى الله عليه و آله و سلم عُدّت على وفق نظام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للعرب تقويمٌ خالٍ عن النسيء به كان يُعَدُّ عمر الإنسان؟</w:t>
      </w:r>
    </w:p>
    <w:p>
      <w:pPr>
        <w:pStyle w:val="BookText"/>
        <w:rPr/>
      </w:pPr>
      <w:r>
        <w:rPr>
          <w:rFonts w:ascii="Amiri" w:hAnsi="Amiri" w:eastAsia="Amiri" w:cs="Amiri"/>
          <w:color w:val="111111"/>
          <w:sz w:val="28"/>
          <w:sz w:val="28"/>
          <w:szCs w:val="28"/>
          <w:rtl w:val="true"/>
          <w:lang w:bidi="ar-SA"/>
        </w:rPr>
        <w:t xml:space="preserve">قد ذكر الوافي في الكتاب الخامس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 الشهور عند الأئمة كان رومياً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اتّخاذِ الأئمة حِسَابَ الرُّومِ و شهورِهِم و سنيَّهم و حساب العرب و تاريخ الهجرة كانَ عَربياً؟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8798260_2870459653"/>
      <w:bookmarkStart w:id="157" w:name="_Toc57"/>
      <w:bookmarkEnd w:id="156"/>
      <w:r>
        <w:rPr>
          <w:rtl w:val="true"/>
        </w:rPr>
        <w:t>المسألة الثامنة عشرة</w:t>
      </w:r>
      <w:r>
        <w:rPr>
          <w:rtl w:val="true"/>
        </w:rPr>
        <w:t xml:space="preserve">: </w:t>
      </w:r>
      <w:r>
        <w:rPr>
          <w:rtl w:val="true"/>
        </w:rPr>
        <w:t>في حج النبي صلى الله عليه و آله و سلم</w:t>
      </w:r>
      <w:bookmarkEnd w:id="157"/>
    </w:p>
    <w:p>
      <w:pPr>
        <w:pStyle w:val="BookText"/>
        <w:rPr/>
      </w:pPr>
      <w:r>
        <w:rPr>
          <w:rFonts w:ascii="Amiri" w:hAnsi="Amiri" w:eastAsia="Amiri" w:cs="Amiri"/>
          <w:color w:val="111111"/>
          <w:sz w:val="28"/>
          <w:sz w:val="28"/>
          <w:szCs w:val="28"/>
          <w:rtl w:val="true"/>
          <w:lang w:bidi="ar-SA"/>
        </w:rPr>
        <w:t>حَجَّ النبيُّ صلى الله عليه و آله و سلم بعد الهجرة حَجَّةً واحدة؛ و يقول الإمام الباقر و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النبيُّ بمكَّةَ مع قومه حجّات عشرين حجة كلها مستترة لأجل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يحضر في مواسم الحج مع الناس؟</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8798262_2870459653"/>
      <w:bookmarkStart w:id="159" w:name="_Toc58"/>
      <w:bookmarkEnd w:id="158"/>
      <w:r>
        <w:rPr>
          <w:rtl w:val="true"/>
        </w:rPr>
        <w:t>المسألة التاسعة عشرة</w:t>
      </w:r>
      <w:r>
        <w:rPr>
          <w:rtl w:val="true"/>
        </w:rPr>
        <w:t xml:space="preserve">: </w:t>
      </w:r>
      <w:r>
        <w:rPr>
          <w:rtl w:val="true"/>
        </w:rPr>
        <w:t>في حج السنة التاسعة</w:t>
      </w:r>
      <w:bookmarkEnd w:id="159"/>
    </w:p>
    <w:p>
      <w:pPr>
        <w:pStyle w:val="BookText"/>
        <w:rPr/>
      </w:pPr>
      <w:r>
        <w:rPr>
          <w:rFonts w:ascii="Amiri" w:hAnsi="Amiri" w:eastAsia="Amiri" w:cs="Amiri"/>
          <w:color w:val="111111"/>
          <w:sz w:val="28"/>
          <w:sz w:val="28"/>
          <w:szCs w:val="28"/>
          <w:rtl w:val="true"/>
          <w:lang w:bidi="ar-SA"/>
        </w:rPr>
        <w:t>حَجَّ أبو بكر و عليّ أمير المؤمنين مع الناس في السنة التاسعة، و تقول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 التاسعة كان في ذي القعدة في دور النسيء، و كيف يصحُّ ذلك و الكتابُ سمَّاهُ بيومِ الحَجِّ الأكبر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 الشيرواني في حواشيه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الخادِم في حج أبي بكر في التاسعة كان في ذي القعدة لأجل النسيء، و كان بتقريرٍ من الشرع، ثم نسخه بحجة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الشيرواني،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البهيقي في السنن الكبرى،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فكانوا يحجون في كل سنة في كل شهر عامين حتى وافقت حجّة أبي بكر رضي الله عنه الآخر من العامين في ذي القعدة قبل حجة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أحمد بن حنبل يحكى عن مجاهد كما في مجمع البيان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لأحكام القران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9737_97115"/>
    </w:p>
    <w:p>
      <w:pPr>
        <w:pStyle w:val="Heading3"/>
        <w:numPr>
          <w:ilvl w:val="2"/>
          <w:numId w:val="1"/>
        </w:numPr>
        <w:rPr/>
      </w:pPr>
      <w:bookmarkStart w:id="161" w:name="__RefHeading___Toc8798264_2870459653"/>
      <w:bookmarkStart w:id="162" w:name="_Toc59"/>
      <w:bookmarkEnd w:id="160"/>
      <w:bookmarkEnd w:id="161"/>
      <w:r>
        <w:rPr>
          <w:rtl w:val="true"/>
        </w:rPr>
        <w:t>المسألة العشرون</w:t>
      </w:r>
      <w:r>
        <w:rPr>
          <w:rtl w:val="true"/>
        </w:rPr>
        <w:t xml:space="preserve">: </w:t>
      </w:r>
      <w:r>
        <w:rPr>
          <w:rtl w:val="true"/>
        </w:rPr>
        <w:t>في حفظ الشيعة للقرآن و الاختلاف في المصاحف</w:t>
      </w:r>
      <w:bookmarkEnd w:id="162"/>
    </w:p>
    <w:p>
      <w:pPr>
        <w:pStyle w:val="BookText"/>
        <w:rPr/>
      </w:pPr>
      <w:r>
        <w:rPr>
          <w:rFonts w:ascii="Amiri" w:hAnsi="Amiri" w:eastAsia="Amiri" w:cs="Amiri"/>
          <w:color w:val="111111"/>
          <w:sz w:val="28"/>
          <w:sz w:val="28"/>
          <w:szCs w:val="28"/>
          <w:rtl w:val="true"/>
          <w:lang w:bidi="ar-SA"/>
        </w:rPr>
        <w:t>لم أر بين علماء الشيعة و لا بين أولاد الشيعة لا في العراق و لا في إيران من يحفظ القرآن و لا من يقيمه تمام الإقامة بلسانه، و لا من يعرف وجوه القرآن اللغوية و الأدائية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السَّبَبُ في ذلك؟ هل هذا أثر عقيدة الشيعة في القرآن أو أثر انتظار الشيعة مصحف علي الذي غاب بيد قائم آل محمد بغيبته؟</w:t>
      </w:r>
    </w:p>
    <w:p>
      <w:pPr>
        <w:pStyle w:val="BookText"/>
        <w:rPr/>
      </w:pPr>
      <w:r>
        <w:rPr>
          <w:rFonts w:ascii="Amiri" w:hAnsi="Amiri" w:eastAsia="Amiri" w:cs="Amiri"/>
          <w:color w:val="111111"/>
          <w:sz w:val="28"/>
          <w:sz w:val="28"/>
          <w:szCs w:val="28"/>
          <w:rtl w:val="true"/>
          <w:lang w:bidi="ar-SA"/>
        </w:rPr>
        <w:t>و أخفّ ما رأيته للشيعة في القرآن الكريم إنّ جميع ما بين الدفتين كلام الله إلا بعض ما نزل، و إذا قام القائم يقرأه الناس كما أنزله الله، و كما جمعه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 ما في هذا الكلام من المفاسد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التقصير إلى النبي في التبليغ، فقد بلغه إلى علي فقط، فغاب، و لو بلّغه إلى الأمة لما غاب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الله بخلاف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فإنَّ الله ما استحفظ أحداً ولكنه بوعده هو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على العصر الأول بأنّه ردَّ بعض ما نزل و هو كثير، و رَدُّ البعض و لو كان حرفاً كفرٌ في عقيدة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يعلم أنَّ الصَّحَابة نسخت المصاحف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زمن الصدّيق، و مرّة زمن عثمان، و علي أمير المؤمنين رأسُ الكَتَبَةِ زَمَنَ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يقع لا بين كبار الصّحابة و لا بين صحابي و صحابي اختلاف و خلاف في أمر المصاحف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إلا اختلاف في وجوه الأداء و في الوجوه اللغوية و النحوية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كمال اهتمامهم في الحفظ كان قد يقع بينهم الكلام إذا رأوا الاختلاف في الوجوه الأدائية 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أمير المؤمنين علي مثل كثير من سائر الصحابة كان يكتب لنفسه كل آية ساعة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و من هذا اجتمعت عند ستة أو سبعة من الصحابة سور و آيات على ترتيب نزولها، و كان هذا من الاهتمام لا من الاختلاف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الذي كان يكتبه كَتَبَةُ الوحي للنبي صلى الله عليه و آله و سلم بأمر النبي و تعليم النبي كان </w:t>
      </w:r>
    </w:p>
    <w:p>
      <w:pPr>
        <w:pStyle w:val="BookText"/>
        <w:rPr/>
      </w:pPr>
      <w:r>
        <w:rPr>
          <w:rFonts w:ascii="Amiri" w:hAnsi="Amiri" w:eastAsia="Amiri" w:cs="Amiri"/>
          <w:color w:val="111111"/>
          <w:sz w:val="28"/>
          <w:sz w:val="28"/>
          <w:szCs w:val="28"/>
          <w:rtl w:val="true"/>
          <w:lang w:bidi="ar-SA"/>
        </w:rPr>
        <w:t>سوره و كلُّ آياته مترتبة على هذا الترتيب الذي نراه اليوم في المصاحف بأيدينا، و على هذا المصحف بهذا الترتيب نزل أعظم قسم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فتفضّلوا أيُّها الأساتذة السادة بالإفادة حتى يتّحِدَ الإسلامُ و تجتمع كلمة المسلمين حول كتاب الله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هذه المسائل لأساتذة النجف الأشرف بيد الاحترام، بأمل الاستفادة بقلب سليم رغبةً في تأليف عالمي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أهل السنة و الجماعة، و عالم الشيعة الطائفة المحقة الشيعة الإمامية</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بالنجف الأشرف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الاربعاء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موسى جار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فی اللّعن و فضل العَلَویّین</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Amiri" w:hAnsi="Amiri" w:eastAsia="Amiri" w:cs="Amiri"/>
          <w:color w:val="111111"/>
          <w:sz w:val="28"/>
          <w:sz w:val="28"/>
          <w:szCs w:val="28"/>
          <w:rtl w:val="true"/>
          <w:lang w:bidi="ar-SA"/>
        </w:rPr>
        <w:t>الشَّیخ هادي کَاشِف الغِطَاءِ</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مؤسّسة کاشِف الغِطَاءِ العامَّةُ</w:t>
      </w:r>
    </w:p>
    <w:p>
      <w:pPr>
        <w:pStyle w:val="BookText"/>
        <w:rPr/>
      </w:pPr>
      <w:r>
        <w:rPr>
          <w:rFonts w:ascii="IRNazanin" w:hAnsi="IRNazanin" w:eastAsia="IRNazanin"/>
          <w:color w:val="111111"/>
          <w:sz w:val="28"/>
          <w:sz w:val="28"/>
          <w:szCs w:val="28"/>
          <w:rtl w:val="true"/>
          <w:lang w:bidi="fa-IR"/>
        </w:rPr>
        <w:t>کریمُ الکمولي</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9737_97120"/>
      <w:bookmarkStart w:id="164" w:name="pg9737_97120"/>
      <w:bookmarkEnd w:id="164"/>
    </w:p>
    <w:p>
      <w:pPr>
        <w:pStyle w:val="BookText"/>
        <w:rPr/>
      </w:pPr>
      <w:bookmarkStart w:id="165" w:name="pg9737_97120"/>
      <w:bookmarkEnd w:id="16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6" w:name="__RefHeading___Toc8798266_2870459653"/>
      <w:bookmarkStart w:id="167" w:name="_Toc60"/>
      <w:bookmarkEnd w:id="166"/>
      <w:r>
        <w:rPr>
          <w:rtl w:val="true"/>
        </w:rPr>
        <w:t>رسالة في لعن يزيد بن معاوية</w:t>
      </w:r>
      <w:bookmarkEnd w:id="167"/>
    </w:p>
    <w:p>
      <w:pPr>
        <w:pStyle w:val="Heading3"/>
        <w:numPr>
          <w:ilvl w:val="2"/>
          <w:numId w:val="1"/>
        </w:numPr>
        <w:rPr/>
      </w:pPr>
      <w:bookmarkStart w:id="168" w:name="__RefHeading___Toc8798268_2870459653"/>
      <w:bookmarkStart w:id="169" w:name="_Toc61"/>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الحمْدُ للهِ الذي مَنّ علينا بموالاة أوليائه، و معاداة أعدائه، و الصلاة و السلام على أشرف أنبيائه و آله حفظة الشرع و أمنائه، و لعنة الله على أعداء الله و أعداء أصفيائه، اللهم العن الظالمين و الفاسقين في مستتر السر و ظاهر العلانية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علينا سؤال حاصله و مآله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قولكم أيُّها العلماءُ الرّبّانيون في لعن يزيد بن معاوية بن أبي سفيان صخر بن حرب بن أمية هل هو جائز مشروع أم لا؟ و ما الدليل على جوازه؟ و ما الذي يحتج به المانع منه؟ أفتونا بجميع ذلك مفصلاً؟ و نأمل أن تكون أدلة الجواز جارية على أصول أهل السنة و الجماعة و قواعدهم لا على أصول الإمامية، و لكم الأجر و الثواب إن شاء الله تعالى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اللهُ أمرك، و أصلح سرَّك و جهرك، و وفقك و جميع المسلمين للرقي و للسداد و الفوز و النجاح ، إنّه بالعزيز علينا، و على الرُّغم منا أنْ تشتغلَ ناشئةُ العصر، و شبّانُ العلم و كهولُ المعارف بمثل هذه الأباطيل و السفاسف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طرح مثل هذه الموضوعات في ميدان البحث و المناظرة و الردّ و النقد مما لا فائدة فيه، و لا عائدة، و لا رُقيّ، و لا عرفان منفعة، كمسألةِ 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قدمه و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غيرها من المسائل البائدة، و التي لا وقع لبعثها، و لا نفع لنشرها، فليس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إضاعة الوقت، و إتلاف الحبر و الورق، و الاشتغال بما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 العواطف، و إثارة الإحن و التفرقة بين المسلمين، و مناوأة الحق و التعصب للباطل، و قيل و قال و مراء و جدال و تعصب و تحزب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وصَمْتُ مَنْ نشر أمثال هذه 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للناشئة العزيزة، و النجم الغض، و الزهر المكمّم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و السَّفَهِ، بل الجنون و الماليخوليا لما كنت ملوماً، ولكان ذاك بذلك جديراً حقيقياً، ولكنّي أقول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الغربيين ينالون الشهرة و السمعة، و يكون لهم الصوت و الصيت بما يبتكرونه من الأعمال، و ما يخترعونه من الصنائع التي تنفع عموم البشر، و إنّ بعض الجهلة من الشرقيين ممن صبغ نفسه بصبغة الإسلام يعمد إلى أمور خرافية منسية بائدة كاسدة فيروِّجها و يتعصَّبُ لها، و يجعلُها أساطير تتلى، و زبراً على منصّة التدريس تجلى، لينال بذلك شهرة و سمعة بين أهل عصره؛ ليقال من ذا قالها؟</w:t>
      </w:r>
    </w:p>
    <w:p>
      <w:pPr>
        <w:pStyle w:val="BookText"/>
        <w:rPr/>
      </w:pPr>
      <w:r>
        <w:rPr>
          <w:rFonts w:ascii="Amiri" w:hAnsi="Amiri" w:eastAsia="Amiri" w:cs="Amiri"/>
          <w:color w:val="111111"/>
          <w:sz w:val="28"/>
          <w:sz w:val="28"/>
          <w:szCs w:val="28"/>
          <w:rtl w:val="true"/>
          <w:lang w:bidi="ar-SA"/>
        </w:rPr>
        <w:t>و إنا لنعجب ممن ينشر مثل هذه الأمور، و لمن يقرؤها و يضعها في موضع النظر و النقد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سؤالك أيها العزيز عن هذا الموضوع بعنوان الاستفتاء و طلب معرفة الحكم الشرعي لا من حيث الوجهة التاريخية و معرفة نسب ذلك الفاسق الملحد </w:t>
      </w:r>
    </w:p>
    <w:p>
      <w:pPr>
        <w:pStyle w:val="BookText"/>
        <w:rPr/>
      </w:pPr>
      <w:r>
        <w:rPr>
          <w:rFonts w:ascii="Amiri" w:hAnsi="Amiri" w:eastAsia="Amiri" w:cs="Amiri"/>
          <w:color w:val="111111"/>
          <w:sz w:val="28"/>
          <w:sz w:val="28"/>
          <w:szCs w:val="28"/>
          <w:rtl w:val="true"/>
          <w:lang w:bidi="ar-SA"/>
        </w:rPr>
        <w:t>و حسبه لَما أجبناك عن ذلك، فلذا نعلمك على سبيل الإيجاز حجج المانعين و أدلة المجوزين و بعد الإحاطة بذلك يتضح لك كمال الاتضاح مشروعية لعنه و استحبابه فضلاً عن جوازه و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التزمنا بإيراد ما نورده على أصول أهل السنة و الجماعة، و لا نورد على ذلك دليلاً من الأدلة التي انفردتْ بها الشيعة الإمامية، و أجمعت على صحتها و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حاجة إلى أن نعلمك بما يذهبون إليه و يعتقدونه فيه من أنّه كافر مرتّد، و فاسق زنديق، و إنّ لعنَهُ و سَبهُ و شتمهُ و البراءة منه و ممن نصره و وازره و دافع عنه و رضي بفعله عادة يتقربون بها إلى الله، و إنه من المخلدين في النار لا تناله شفاعة و لا عفو و لا رحمة و لا مغفرة لا لقصورٍ في سَعَة الرَّحْمَة، بل لعدم قابلية المحل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على هذه المسألة يقعُ في مقامين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الخاتمة في فضل العلويين من بني هاشم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 فيقع الكلام فيه في فصلين</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737_97124"/>
      <w:bookmarkStart w:id="171" w:name="pg9737_97124"/>
      <w:bookmarkEnd w:id="171"/>
    </w:p>
    <w:p>
      <w:pPr>
        <w:pStyle w:val="Heading3"/>
        <w:numPr>
          <w:ilvl w:val="2"/>
          <w:numId w:val="1"/>
        </w:numPr>
        <w:rPr/>
      </w:pPr>
      <w:bookmarkStart w:id="172" w:name="pg9737_97124"/>
      <w:bookmarkStart w:id="173" w:name="__RefHeading___Toc8798270_2870459653"/>
      <w:bookmarkStart w:id="174" w:name="_Toc62"/>
      <w:bookmarkEnd w:id="172"/>
      <w:bookmarkEnd w:id="173"/>
      <w:r>
        <w:rPr>
          <w:rtl w:val="true"/>
        </w:rPr>
        <w:t>الفصل الأول</w:t>
      </w:r>
      <w:r>
        <w:rPr>
          <w:rtl w:val="true"/>
        </w:rPr>
        <w:t xml:space="preserve">: </w:t>
      </w:r>
      <w:r>
        <w:rPr>
          <w:rtl w:val="true"/>
        </w:rPr>
        <w:t>رأي الغزالي في منع لعن يزيد</w:t>
      </w:r>
      <w:bookmarkEnd w:id="174"/>
    </w:p>
    <w:p>
      <w:pPr>
        <w:pStyle w:val="BookText"/>
        <w:rPr/>
      </w:pPr>
      <w:r>
        <w:rPr>
          <w:rFonts w:ascii="Amiri" w:hAnsi="Amiri" w:eastAsia="Amiri" w:cs="Amiri"/>
          <w:color w:val="111111"/>
          <w:sz w:val="28"/>
          <w:sz w:val="28"/>
          <w:szCs w:val="28"/>
          <w:rtl w:val="true"/>
          <w:lang w:bidi="ar-SA"/>
        </w:rPr>
        <w:t xml:space="preserve">و حاصلُ حُجَّتِهِ على ذلك أنّه لم يثبت أنَّهُ قاتلُ الحسين، أو أنَّه آمر بقتله، فلا تجوزُ نسبةُ ذلك إليه فضلاً عن لعنه؛ لأنّه لا تجوز نسبة مسلم إلى كبيرة من غير تحقيق </w:t>
      </w:r>
      <w:r>
        <w:rPr>
          <w:rStyle w:val="FootnoteAnchor"/>
          <w:rtl w:val="true"/>
        </w:rPr>
        <w:footnoteReference w:id="71"/>
      </w:r>
      <w:r>
        <w:rPr>
          <w:rFonts w:ascii="Amiri" w:hAnsi="Amiri" w:eastAsia="Amiri" w:cs="Amiri"/>
          <w:color w:val="111111"/>
          <w:sz w:val="28"/>
          <w:sz w:val="28"/>
          <w:szCs w:val="28"/>
          <w:rtl w:val="true"/>
          <w:lang w:bidi="ar-SA"/>
        </w:rPr>
        <w:t>و لأنّ النَّبيَّ صلى الله عليه و آله و سلم نَهَى عن سبِّ الأموات، قال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احفظوني في أصحابي و إخواني و أصهاري و لا تسبّوهم أيها الناس، إذا مات الميت فاذكروا منه خيرا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مَنَع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لعنه الله على الإطلاق، و إنما الجائز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الحُسين إنْ ماتَ قبل التوبَةِ لَعَنَهُ الله </w:t>
      </w:r>
      <w:r>
        <w:rPr>
          <w:rStyle w:val="FootnoteAnchor"/>
          <w:rtl w:val="true"/>
        </w:rPr>
        <w:footnoteReference w:id="73"/>
      </w:r>
      <w:r>
        <w:rPr>
          <w:rFonts w:ascii="Amiri" w:hAnsi="Amiri" w:eastAsia="Amiri" w:cs="Amiri"/>
          <w:color w:val="111111"/>
          <w:sz w:val="28"/>
          <w:sz w:val="28"/>
          <w:szCs w:val="28"/>
          <w:rtl w:val="true"/>
          <w:lang w:bidi="ar-SA"/>
        </w:rPr>
        <w:t>، ثم ذكر وحشياً قاتل حمزة، و إنه لتوبته لا يجوز 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يُقيَّد بالتوبة كان فيه خطر و ليس في السّكوتِ خَطَر فهو أولى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أنْ يُطلِقَ اللسان باللعنة إلاّ على مَنْ ماتَ على الكفر أو على الأجناسِ المعروفينَ بأوصافهم دونَ الأشخاص المعينين، فالاشتغال بذكر الله أولى، فإن لم يكن ففي السكوت سلامة</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جميع ما ذكره مما يمكن أنْ يُحتَجَّ به للمنع من لعن يزيد و هو كما ترى، تارة ينكر الضروريات و المتواترات، فإنَّ كتب السِّيَر و التواريخ قد اتفقت على أنَّ قتل الحسين إنّما هو بأمره و بسلطانه و سيفه، و لم نرَ و لم نسمع بمن نسب قتل الحسين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من المدينة خائفاً من عامله على نفسه، مستجيراً بحرم الله تعالى ملتجئاً إليه، و لّما لم يأمن على نفسِهِ و هو في مكة خرج منها متوجّهاً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لم يقتل الحسين و لم يأمر بقتله، و الحال أنّ قتله كان في أيّام دولته و سلطانه، و المباشرون لقتله عساكره و جنوده و أمراؤه، و كانت الكتب و الرسل بينه و بين آمره على الكوفة عبيد الله متواصلة متواترة متصلة، و كان يكتب له بالأخبار اليومية مع بريده، و كيف يُقْدم عبيد الله على هذا الأمر العظيم بدون أمرٍ و رضاً من ولي نعمته و حكم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يَصِحُّ في الأفهامِ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pStyle w:val="BookText"/>
        <w:rPr/>
      </w:pPr>
      <w:r>
        <w:rPr>
          <w:rFonts w:ascii="Amiri" w:hAnsi="Amiri" w:eastAsia="Amiri" w:cs="Amiri"/>
          <w:color w:val="111111"/>
          <w:sz w:val="28"/>
          <w:sz w:val="28"/>
          <w:szCs w:val="28"/>
          <w:rtl w:val="true"/>
          <w:lang w:bidi="ar-SA"/>
        </w:rPr>
        <w:t>و أمّا النّهي عن السَّبِّ و اللعن للأحياء و الأموات فذلك فيمن لم يُعْلَمْ فسقه، و لم يُعْلم ظلمه فضلاً عن كفرِهِ و 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وحشي قاتل حمزة فقد أسلم و الإسلام يَجبّ ما قبله، و لم يُعلَم أنْ يزيد تاب، فيُستصحبُ ما ثَبَتَ و تَحقَّقَ من ظلمه و فسقه و فجوره إلى حين موته، فهو ممَنْ ماتَ على الظلم و الفسق، و لا شبهة في جواز لعن مَنْ ماتَ عليهما، أو مات على الكفر، مع أنَّ قبول توبته غير معلوم؛ لِما سيأتي من ثبوتِ كفره و ارتداده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السكوت عن لعن الفسقة و الظلمة و أعداء الله تعالى سلامة، بل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خُسر و ندامة، بل لا يبعد أنّ في ذلك نوع من الموالاة لأعداء الله و احترام لنا على المعاصي و المنكرات، فإنّ لعن مثل هؤلاء من أنحاء الأمرِ بالمعروفِ و النَّهي عن المنكر، كما لا يخفى عن مّنْ أبْصَرَ و تدبر</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9737_97128"/>
      <w:bookmarkStart w:id="176" w:name="pg9737_97128"/>
      <w:bookmarkEnd w:id="176"/>
    </w:p>
    <w:p>
      <w:pPr>
        <w:pStyle w:val="Heading3"/>
        <w:numPr>
          <w:ilvl w:val="2"/>
          <w:numId w:val="1"/>
        </w:numPr>
        <w:rPr/>
      </w:pPr>
      <w:bookmarkStart w:id="177" w:name="pg9737_97128"/>
      <w:bookmarkStart w:id="178" w:name="__RefHeading___Toc8798272_2870459653"/>
      <w:bookmarkStart w:id="179" w:name="_Toc63"/>
      <w:bookmarkEnd w:id="177"/>
      <w:bookmarkEnd w:id="178"/>
      <w:r>
        <w:rPr>
          <w:rtl w:val="true"/>
        </w:rPr>
        <w:t>الفصل الثاني</w:t>
      </w:r>
      <w:r>
        <w:rPr>
          <w:rtl w:val="true"/>
        </w:rPr>
        <w:t xml:space="preserve">: </w:t>
      </w:r>
      <w:r>
        <w:rPr>
          <w:rtl w:val="true"/>
        </w:rPr>
        <w:t>رأيُ ابن تيمية في منع لعن يزيد</w:t>
      </w:r>
      <w:bookmarkEnd w:id="179"/>
    </w:p>
    <w:p>
      <w:pPr>
        <w:pStyle w:val="BookText"/>
        <w:rPr/>
      </w:pPr>
      <w:r>
        <w:rPr>
          <w:rFonts w:ascii="Amiri" w:hAnsi="Amiri" w:eastAsia="Amiri" w:cs="Amiri"/>
          <w:color w:val="111111"/>
          <w:sz w:val="28"/>
          <w:sz w:val="28"/>
          <w:szCs w:val="28"/>
          <w:rtl w:val="true"/>
          <w:lang w:bidi="ar-SA"/>
        </w:rPr>
        <w:t>قال ابنُ تيمية في كتابه الذي سمّاه 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غاية يزيد وأمثاله من الملوك أن يكونوا فسّاقاً، فلعنة الفاسق المعيّن ليست مأموراً بها إنما جاءت السنة بلعن الأنواع</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نزاع الناس في لعن الفاسق المعيَّن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جائز كما قال ذلك طائفة من أصحاب أحمد و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كما قال ذلك طائفة أخرى من أصحاب أحمد و غيرهم، و المعروف عن أحمد كراهة لعن المعيّن كالحَجَّاجِ و أمثاله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على عدم جواز لعن المعيّن بما 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كان يدعى حماراً و كان يَشْرب الخمر، و كان يؤتى به إلى النبي صلى الله عليه و آله و سلم فيضربه فأُتي به إليه مرّة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ما أكثر ما يؤتى به إلى النبي صلى الله عليه و آله و سلم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تلعنه فإنه يحب الله و رسوله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فقد نهى صلى الله عليه و آله و سلم عن لعنة هذا المعيّن مع أنه صلى الله عليه و آله و سلم لعن شارب الخمر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ذلك على أنّهُ يجوز أنْ يلعن المطلق و لا يجوز لعنةُ المعيّن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الحديث صريحٌ في أنَّ النهي عن لعنه لا لأنه مُعيّن بل لأنه يحب الله و رسوله كما هو قضية فاء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النهي كما ذكر لقال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 شخصاً بعينه أو ما أدى هذا المنعى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لا ينبغي التشكيكُ في أنّ الحكمَ على الجميع حُكْمٌ على كُلَّ فردٍ فرد،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الفُسّاقَ و العنهم فلا معنى له إلاّ إهانة كل فرد،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دالٌ على جواز الاستغفار للجميع و الأفراد، كما لا يخفى على كلَّ ذي خبرة باللسان و لا يقتصر على الجميع مع الدليل، و ما ذكره من الحديث غير صريحٍ في مُدَّعَاهُ و إلى ما ذكرنا ذهب جماعة من محقّقي أهل السنة و الجماعة، فإنّهم قالوا بجواز لعن المعيَّن و جواز الصلاة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تفسير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الخلافُ في لعن أقوامٍ بأعيانهم ممّن وَرَدَ لعن أنواعهمَ كشارب خمر مُعَيَّن مثلاً مشهورٌ، و النّووَي على جوازه استدلالاً بما ورد أنه صلى الله عليه و آله و سلم مَرّ بحمارٍ وُسِمَ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فَعَلَ هذا، أو بما صَحَّ أنّ الملائكة تلعنُ مَنْ خَرَجَتْ من بيتها بغير إذن زوجها، 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اللعن هناك للجنس الداخل فيه الشخص أيضاً، و اعتُرض بأنَّه خلافُ الظاهر، كتأويل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الاحتياط لا يخفى</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أنّ كلَّ مؤمنٍ لاُبدَّ أن يُحبَّ اللهَ و رسوله، ولكن في المظهرين للإسلام مَنْ هم منافقون، فأولئك ملعونون لا يحبون الله و رسوله</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الفاسق و الظالم و مرتكب الكبائر المصرّ على ذلك و إنْ أظهر الإسلام و التدين به لساناً فهو لا يحبُّ اللهَ و لا رسوله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 في الزَّمَانِ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لا شُبهةَ في أنَّ يزيد ممن لا يحُبُ اللهَ و لا يحُبُّ رَسوله، لإصراره على الظُّلْمِ و الفِسْق و الفجور و قتله ريحانة رسول الله، و هتكه حرم الله و حرم رسوله، و هل يبلغ أعدى أعداء الله و أعدى أعداء رسوله في قبح الصنيع و البغي و الفساد ما بلغه هذا الفاجر الأثيم؟ و هذا مقام يطول شرحه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من أنه قد استفاضت السنن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يخرج من النار قوم بالشفاعة و يخرج منها من كان في قلبه مثقال ذرة من إيمان، فالذي يجوز لعنةِ يزيد و أمثاله يحتاج إلى شيئين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هذا الأصلٍ لا دخل له بمسألة مَنْ يجوز لعنه و لا ربط أصلاً، فإنّ الفاسقين يجوزُ لعنهم قطعاً سواء أُخرجوا من النار بالشفاعة أو لأن في </w:t>
      </w:r>
    </w:p>
    <w:p>
      <w:pPr>
        <w:pStyle w:val="BookText"/>
        <w:rPr/>
      </w:pPr>
      <w:r>
        <w:rPr>
          <w:rFonts w:ascii="Amiri" w:hAnsi="Amiri" w:eastAsia="Amiri" w:cs="Amiri"/>
          <w:color w:val="111111"/>
          <w:sz w:val="28"/>
          <w:sz w:val="28"/>
          <w:szCs w:val="28"/>
          <w:rtl w:val="true"/>
          <w:lang w:bidi="ar-SA"/>
        </w:rPr>
        <w:t>قلوبهم ذّرة من إيمان أو لا،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الشيئان اللذان يحتاج إليهما المجوّز فقد أشار إلى الأول منهما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ثبوت أنه كان من الفسّاق الظالمين الذين تُباحُ لعنتهم، و أنّه ماتَ مُصِّراً على ذلك</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سبحان الله ما كنت أعلم أنَ يزيدياً يبلغ في اليزيدية ما بلغه هذا الشيخ الضَّالُّ المضِلُّ، فإنّا لم نجَد في أولياء يزيد مَنْ شَكَّ في فسقِهِ أو في ظُلْمِهِ و فُجُورِهِ كهذا 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أنّه مات مَصِّراً على ذلك فهو ثابت بالاستصحاب، و لو كان ممن تاب عن الفسق و الظلم لَظَهَرَ منهُ ذلك قبل موته، و لَنُقِلَ ذلك عنه، و مِن مُحَّققات التوبة إظهارُ الندم و رَدُّ المظالم إلى أهلها حَسْب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كونه من الفساق، و أنّ ما فعله من أكبر المعاصي و أعظم الكبائر، و إنه مات على ذلك من أوضح الواضحات، و لا مجال للمنازع أن ينازع في هذه المقدمة، إلا إذا جَوَّزنا النزاع في وجود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لعنة المعيّن مِن هؤلاء جائزة و المنازع يطعن في المقدمتين لا سيما الأولى</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المعيّن مما لا إشكال في جوازه بعد وضوح اندراجه في النوع الملعون، على أنّه سيأتي ما يدلُّ على جواز لعن يزيد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عامة كآيات الوعيد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 هذا يقتضي أنّ هذا الذنب سببُ اللعن و العذاب، لكن قد يرتفع موجبه لعارض راجح، إمّا توبة، و إمّا حسنات ماحية، و إمّا مصائب مكفّرة، فمن أين يعلم الإنسان أنّ يزيد أو غيره من الظَلَمَة لم يَتُبْ من هذه، أو لم تكن له حسناتَ ماحية تمحو ظلمه، و لم يُبْتَلَ بمصائب تكفّر عنه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في هذا الكلام إنَّ الظُلْمَ سَبَبُ اللعن و موجب له، و لا نزاع في أنّ هذا قد يرتفع بمزيلٍ و رافع أقوى منه، ولكنَّ الكلاَم في ثبوتِ المعارض و تحقّقه، فإنّ مجرد احتمال وقوعه غير كاف في الحكم بزواله، بل اللازم ترتيب آثار وجوده حتى يحصل اليقين بارتفاعه، فإنّ مَنْ ثَبَتَ فسقُه لا تُقبل شهادتُه و إنْ جَوَّزنا زواله حتى يحصل القطع بزواله، و هذا أمر غير قابلٍ للتشكيك و عليه تجري أحكاُم الشّرعِ، و أحكام العقلاء، بل هُو أمرٌ ضَروريّ مرتكِزٌ حتَّى في طباع الحيوانات و البهائم، و المشكَّكُ في ذلك يُوشكُ أنْ يكون من الجمادات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ثبت في صحيح البخاري عن ابن عمر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p>
    <w:p>
      <w:pPr>
        <w:pStyle w:val="BookText"/>
        <w:rPr/>
      </w:pPr>
      <w:r>
        <w:rPr>
          <w:rFonts w:ascii="Amiri" w:hAnsi="Amiri" w:eastAsia="Amiri" w:cs="Amiri"/>
          <w:color w:val="111111"/>
          <w:sz w:val="28"/>
          <w:sz w:val="28"/>
          <w:szCs w:val="28"/>
          <w:rtl w:val="true"/>
          <w:lang w:bidi="ar-SA"/>
        </w:rPr>
        <w:t>جيش يغزو القسطنطينية مغفور لهم، و أول جيشٍ غزاها كان أميرُهُم يزيد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إلى آخر ما سطره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المذكور فالذي وجدناه في الصحيح المذكور أنّه مروي بإسناده إلى عُمير ابن الأسود العنسي عن أُمّ حرام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جيش من أمتي يغزونَ مدينة قيصر مغفور لهم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إلى آخر الحديث الذي لا يتعلق الغرض فيه بنقل ما قبل هذه الفقرة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إرشاد الساري للقسطلاني في أنّها هي القسطنطينية، و ليس في سند الحديث المذكور ابن عمر، و الحديث المذكور مروي في باب ما قيل في قتال الروم </w:t>
      </w:r>
      <w:r>
        <w:rPr>
          <w:rStyle w:val="FootnoteAnchor"/>
          <w:rtl w:val="true"/>
        </w:rPr>
        <w:footnoteReference w:id="91"/>
      </w:r>
      <w:r>
        <w:rPr>
          <w:rFonts w:ascii="Amiri" w:hAnsi="Amiri" w:eastAsia="Amiri" w:cs="Amiri"/>
          <w:color w:val="111111"/>
          <w:sz w:val="28"/>
          <w:sz w:val="28"/>
          <w:szCs w:val="28"/>
          <w:rtl w:val="true"/>
          <w:lang w:bidi="ar-SA"/>
        </w:rPr>
        <w:t xml:space="preserve">، و لعلّه مروي في موضع آخر بسندٍ فيه ابن عمر </w:t>
      </w:r>
      <w:r>
        <w:rPr>
          <w:rStyle w:val="FootnoteAnchor"/>
          <w:rtl w:val="true"/>
        </w:rPr>
        <w:footnoteReference w:id="92"/>
      </w:r>
      <w:r>
        <w:rPr>
          <w:rFonts w:ascii="Amiri" w:hAnsi="Amiri" w:eastAsia="Amiri" w:cs="Amiri"/>
          <w:color w:val="111111"/>
          <w:sz w:val="28"/>
          <w:sz w:val="28"/>
          <w:szCs w:val="28"/>
          <w:rtl w:val="true"/>
          <w:lang w:bidi="ar-SA"/>
        </w:rPr>
        <w:t>، و على أيَّ حالٍ، فالجواب عن الحديث المذكور من وجوه لا يخفى بعضها على أقلّ أهل العلم و المعرفة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و تفتح عند خروج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ينقله عن الطيبي – هي مدينة مشهورة من أعظم مدائن الروم فتحت زمن الصحابة و تفتح عند خروج الدجال قاله </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يزيد ولد في أيّام عُثمان، و كان عند قتل عثمان ابن ست أو سبعُ فلا يكون في ذلك الجيش الذي هو أوّل جيش 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المؤرخون أنه كان في جيشٍ غزا القسطنطينية كما سيأتي نقل ذلك و لعلّ تلك غزوة أخرى في جيشٍ ليس أوّل 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الأثير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في هذه السنة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معاويةُ جيشاً كثيفاً إلى بلاد الروم للغزاة، و جعل عليهم سفيان بن عوف، و أمر ابنه يزيد بالغزاة معهم، فتثاقل و اعتلّ، فأمسك عنه أبوه، فأصاب الناس في غزاتهم جوع و مرض شديد،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بالفَرْقَدَوْنَةِ من حُمَّىً ومِنْ مُومِ</w:t>
      </w:r>
    </w:p>
    <w:p>
      <w:pPr>
        <w:pStyle w:val="BookText"/>
        <w:rPr/>
      </w:pPr>
      <w:r>
        <w:rPr>
          <w:rFonts w:ascii="Amiri" w:hAnsi="Amiri" w:eastAsia="Amiri" w:cs="Amiri"/>
          <w:color w:val="111111"/>
          <w:sz w:val="28"/>
          <w:sz w:val="28"/>
          <w:szCs w:val="28"/>
          <w:rtl w:val="true"/>
          <w:lang w:bidi="ar-SA"/>
        </w:rPr>
        <w:t xml:space="preserve">إذا اَّتكَأتُ على الأنماطِ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كلثوم امرأته، فبلغ معاوية شعره، فأقسم عليه ليلحقَنَّ بسفيان في أرض الروم، ليصيبه ما أصاب الناس، فسار و معه جَمْعٌ كثير أضافَهُم إليه أبوه</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بمقتضى هذا النقل أنّ يزيداً قد امتنع عن الغزو و الجهاد في سبيل الله، و إنّ أباه قد قَهَرَهُ على ذلك، فقد أَثِمَ و عصى في الامتناع عن القيام بهذه الفريضة العظيمة، و إنّه لا أجْرَ له و لا ثوابَ في مسيره أخيراً؛ لأنّه مُكْرَهٌ و مقهور عليه، لم يأتي بداعي أمر الله، فلا قربة و لا إخلاص على أن مسيره كان في الجيش الثاني، فالجيش الذي سار فيه ليس أوّل جيش، مضافاً أن شِعْرَهُ مما يظهر منه الشَّماتة بالمسلمين، و عدم المبالاة مما يصيب المؤمنين، و لو كانت في قلبه ذرة من الإيمان لما صدر منه هذان البيتان، و إن جميع ما يصيب المسلمين لا يقابل عنده هذه الشهوة الحيوانية و اللذة الفانية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عن الكامل ينافي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إنّ يزيداً إنّما غزا القسطنطينية لأجل هذا الحديث</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أدري إنّ هذا القول في أيَّ كتابٍ قيل؟ و أيّ شخصٍ كان ذلك القائل؟ و متى كان يزيد ذلك الشّابُّ المغرور المنهمك بالمعاصي و الفجور و الشهوات و الغفلات المغمور بالنعم و الملاهي يتتبع الأحاديث النبوية و السنن المأثورة فيعمل بها؟</w:t>
      </w:r>
    </w:p>
    <w:p>
      <w:pPr>
        <w:pStyle w:val="BookText"/>
        <w:rPr/>
      </w:pPr>
      <w:r>
        <w:rPr>
          <w:rFonts w:ascii="Amiri" w:hAnsi="Amiri" w:eastAsia="Amiri" w:cs="Amiri"/>
          <w:color w:val="111111"/>
          <w:sz w:val="28"/>
          <w:sz w:val="28"/>
          <w:szCs w:val="28"/>
          <w:rtl w:val="true"/>
          <w:lang w:bidi="ar-SA"/>
        </w:rPr>
        <w:t>و هلا اتبع الأحاديث المشهورة، و الآيات المسطورة الواردة في حرمة شرب الخمر، و حرمة الزنا و الفجور و المعاصي و الملاهي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 أعلم أنَّ حُبَّكَ الشيءَ يُعمي و يَصُمّ إلى مثل هذه الدرجة، و إلى مثل هذه المرتبة بلغها الشيخ بحبه ليزيد، أو بغضه لأهل البيت أعداء يزيد </w:t>
      </w:r>
    </w:p>
    <w:p>
      <w:pPr>
        <w:pStyle w:val="BookText"/>
        <w:rPr/>
      </w:pPr>
      <w:r>
        <w:rPr>
          <w:rFonts w:ascii="Amiri" w:hAnsi="Amiri" w:eastAsia="Amiri" w:cs="Amiri"/>
          <w:color w:val="111111"/>
          <w:sz w:val="28"/>
          <w:sz w:val="28"/>
          <w:szCs w:val="28"/>
          <w:rtl w:val="true"/>
          <w:lang w:bidi="ar-SA"/>
        </w:rPr>
        <w:t>و محاربيه، و لا أظنُ أنَّ عبيد الله بن زياد بلغت محبّته ليزيد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يزيداً لمّا بَعَثَ إلى عُبيد الله يأمُرُه بالمسير إلى المدينة المنوَّرة و محاصرة ابن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جمعتهما للفَاسق، قتلُ ابن رسول الله و غزو الكعبة، ثم أرسل إليه يعتذر</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فهذا عبيد الله سمّاه الفاسق، و هذا الشيخ الضَّال ادّعى أنّه من الأبرار الذين قاموا بالفرائض، ثمّ صار يتتبعون ما ورد عن النبي صلى الله عليه و آله و سلم في أهل الإطاعات و القربات؛ ليكونوا منهم، فما أكذب هذا القول لو كان له قائل، و تصديقُ الشيّخ به دليلٌ على شِدَّةِ جهله و عدم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نظير ما ورد في أهل بدر، فإنَّ قوله صلى الله عليه و آله و سلم فيهم على فرض صحته مشروطٌ بسلامة العاقبة و عدم ارتكاب المعاصي، فإنه لا يجوز عقلاً على الحكيم أنْ يخُبر عن غيرِ المعصوم بأنّه لا عقاب عليه، فليفعل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البَدْرِيَّ إذا سَرَق تُقْطَعُ يدُه، و إذا زنى يُجلد، سواء كان من المهاجرين أو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الذنوب المغفورة هي الذنوب السابقة، فالجيش مغفور له ما تقّدم من ذنوبه بسبب هذه الغزوة، فهي لهم كالإسلام الذي يَجُبُّ ما قبله، و لا دخل لها بغفران مِا يَتَجَدَّدُ من الذنوب و المعاصي، كما لا يخفى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لنختم هذه الوجوه بما ذكره أبو الثناء الآلوسي مفتي الحنفية في عصره و صاحب روح المعاني و غيره من المصنفات الباهرة، قال في غرائب الاغتراب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الكلام في لعنة الأموات أعظم من لعنة الحي فإنه قد ثبت في الصحيح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الأمواتَ فإنّهم قد أفضوا إلى ما قدموا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حتى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أمواتنا فتؤذوا أحياءنا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لما كان قوم يسبون أبا جهل و نحوه من الكفار الذين أسلم أقاربهم، فإذا سبوا ذلك آذوا قرابته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أولاً أنه لا شبهة في أنّ لعن الميّت الذي لا يستحق اللعن أعظم إثماً من لعن الحي الذي لا يستحق اللعن، و كذلك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استحق اللعن حياً فإنّه يُلَعُن مَيتاً؛ لأنه إذا سقط احترامه حيّاً سَقَطَ ميتاً، اللهم إلاّ أنْ يلزم من ذلك إيذاء الأحياء من المسلمين، و حينئذٍ فيجوز سبُّه سراً بحيث لا يبلغ الأحياء فيؤذيهم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الحديث دلالةٌ على أنّ الطاعة إذا أدَّتْ إلى معصيةٍ راجحةٍ عليها </w:t>
      </w:r>
    </w:p>
    <w:p>
      <w:pPr>
        <w:pStyle w:val="BookText"/>
        <w:rPr/>
      </w:pPr>
      <w:r>
        <w:rPr>
          <w:rFonts w:ascii="Amiri" w:hAnsi="Amiri" w:eastAsia="Amiri" w:cs="Amiri"/>
          <w:color w:val="111111"/>
          <w:sz w:val="28"/>
          <w:sz w:val="28"/>
          <w:szCs w:val="28"/>
          <w:rtl w:val="true"/>
          <w:lang w:bidi="ar-SA"/>
        </w:rPr>
        <w:t>وَجَبَ تركُها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يسبّون آلهةَ الكّفار، فنُهُوا؛ لئّلا يكون سبّهم سبباً لسبّ الله تعالى، فإنّ ما يؤدي إلى الشرِّ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نقولُ في لَعْنِ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إذا استلزم معصيةً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 هو الشَّتْمَ لا دخل له باللعن، فإنّ سَبَّ الشّخص، هُو ذكرُهُ بما فيه من القبائح و النقائص و العيوب، و أينَ هذا من اللعن، الذي هو دعاء على الشخص بالإبعاد عن الرحمة؟</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 قد يستلزم إثبات القبائح للملعون فيكون سبّاً في المعنى و لا يكون عداوةً فتأمل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السَّبَّ بمعنى اللعن،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ليسَ عن سبَّ الأمواتِ مُطلقاً؛ بل إذا استلزم معصيةً، كإيذاء المسلمين</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9737_97140"/>
      <w:bookmarkStart w:id="181" w:name="pg9737_97140"/>
      <w:bookmarkEnd w:id="181"/>
    </w:p>
    <w:p>
      <w:pPr>
        <w:pStyle w:val="Heading2"/>
        <w:numPr>
          <w:ilvl w:val="1"/>
          <w:numId w:val="1"/>
        </w:numPr>
        <w:rPr/>
      </w:pPr>
      <w:bookmarkStart w:id="182" w:name="pg9737_97140"/>
      <w:bookmarkStart w:id="183" w:name="__RefHeading___Toc8798274_2870459653"/>
      <w:bookmarkStart w:id="184" w:name="_Toc64"/>
      <w:bookmarkEnd w:id="182"/>
      <w:bookmarkEnd w:id="183"/>
      <w:r>
        <w:rPr>
          <w:rtl w:val="true"/>
        </w:rPr>
        <w:t>أدلة جواز اللعن</w:t>
      </w:r>
      <w:bookmarkEnd w:id="184"/>
    </w:p>
    <w:p>
      <w:pPr>
        <w:pStyle w:val="Heading3"/>
        <w:numPr>
          <w:ilvl w:val="2"/>
          <w:numId w:val="1"/>
        </w:numPr>
        <w:rPr/>
      </w:pPr>
      <w:bookmarkStart w:id="185" w:name="__RefHeading___Toc8798276_2870459653"/>
      <w:bookmarkStart w:id="186" w:name="_Toc65"/>
      <w:bookmarkEnd w:id="185"/>
      <w:r>
        <w:rPr>
          <w:rtl w:val="true"/>
        </w:rPr>
        <w:t>و أما أدلة الجواز ففيها مقامان</w:t>
      </w:r>
      <w:r>
        <w:rPr>
          <w:rtl w:val="true"/>
        </w:rPr>
        <w:t>:</w:t>
      </w:r>
      <w:bookmarkEnd w:id="186"/>
    </w:p>
    <w:p>
      <w:pPr>
        <w:pStyle w:val="Heading4"/>
        <w:numPr>
          <w:ilvl w:val="3"/>
          <w:numId w:val="1"/>
        </w:numPr>
        <w:rPr/>
      </w:pPr>
      <w:bookmarkStart w:id="187" w:name="__RefHeading___Toc8798278_2870459653"/>
      <w:bookmarkStart w:id="188" w:name="_Toc66"/>
      <w:bookmarkEnd w:id="187"/>
      <w:r>
        <w:rPr>
          <w:rtl w:val="true"/>
        </w:rPr>
        <w:t>المقام الأول</w:t>
      </w:r>
      <w:r>
        <w:rPr>
          <w:rtl w:val="true"/>
        </w:rPr>
        <w:t xml:space="preserve">: </w:t>
      </w:r>
      <w:r>
        <w:rPr>
          <w:rtl w:val="true"/>
        </w:rPr>
        <w:t>في جواز لعن المستحق و مشروعيته و استحبابه و مندوبيته</w:t>
      </w:r>
      <w:bookmarkEnd w:id="188"/>
    </w:p>
    <w:p>
      <w:pPr>
        <w:pStyle w:val="BookText"/>
        <w:rPr/>
      </w:pPr>
      <w:r>
        <w:rPr>
          <w:rFonts w:ascii="Amiri" w:hAnsi="Amiri" w:eastAsia="Amiri" w:cs="Amiri"/>
          <w:color w:val="111111"/>
          <w:sz w:val="28"/>
          <w:sz w:val="28"/>
          <w:szCs w:val="28"/>
          <w:rtl w:val="true"/>
          <w:lang w:bidi="ar-SA"/>
        </w:rPr>
        <w:t>و قد ذهب جماعةٌ كالغّزالي و أبي المعالي الجويني و من تبعهما إلى مرجوحيته و كراهته، بل المنع منه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الذي أوَجَبَ علينا أنْ نَلْعَنَ أحداً من المسلمين؟ و أيُّ ثوابٍ في اللّعنة؟ و اللهُ تعالى لا يقول يوم القيامة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و لو جَعَلَ عِوَض اللعنةِ استغفاراً لكان خيراً له، و قد نَهَى رَسُولُ الله صلى الله عليه و آله و سلم عَمَّا شَجَرَ بين صحابته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أصحابي</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يجوز للعامة أنْ تُدْخِلَ أنفسها في أمور الخاصة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البصري أنّه ذُكِرَ عندَهْ واقعةُ الجمل و صفّين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دماء طهّر اللهُ منها أسيافنا، فلا نُلطّخ بها ألسنتنا، و قد كان معاوية صِهْراً لرسول اللهُ فمِنَ الأدب أنْ تحُفَظَ أمُّ حَبيب أمُّ المؤمنين في أخيها، و أنْ يحُفَظَ رسول الله في صِهرِه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أمثال هذه الكلمات و التلفيقات و الخرافات التي تُروَّجُ عند الطغام و تُقبل عند الغوغاء و العوام، الذين هم كالأنعام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معاداة أعداء الله و البراءة منهم كموالاة أوليائه واجبةٌ عقلاً و نقلاً كتاباً و سنة، و أمّا اللعنُ لمن يستحق فقد أمَرَ اللهُ بهِ و أوجبه،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مُسلمٍ لا يوالي مَن والى الله، و لا يعادي مَن عادى الله، و لا يلعن من لعنه الله، و لا يتبرأ ممن تبرأ منه الله؟ أفيلعن اللهُ إنساناً و لا يكون لنا أن نلعنه، و يَسُبُّ شخصاً و ليس لنا أنْ نَسُبَّه؟ و يُهينُه و ليس لنا أنْ نُهينَهُ؟ إنّ هذا ما لا يجوز في العقل، كما أنه إذا أحبَّ إنساناً كانَ علينا أنْ نُحبّه، و إذا أكرمه كان علينا أنْ نكرمه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ثوابٍ في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جاهلٍ لا يدري ما يقول، فإنَّ اللعن طاعة و عبادة، و ربّما دخل في الدّعاء إذا فُعِلَ على وجهه، و هو لعن مستحقّهِ للهِ و في الله، لا في العصبية و الهوى، و قد نطق به القرآن في موارد كثيرة، و جاء به </w:t>
      </w:r>
    </w:p>
    <w:p>
      <w:pPr>
        <w:pStyle w:val="BookText"/>
        <w:rPr/>
      </w:pPr>
      <w:r>
        <w:rPr>
          <w:rFonts w:ascii="Amiri" w:hAnsi="Amiri" w:eastAsia="Amiri" w:cs="Amiri"/>
          <w:color w:val="111111"/>
          <w:sz w:val="28"/>
          <w:sz w:val="28"/>
          <w:szCs w:val="28"/>
          <w:rtl w:val="true"/>
          <w:lang w:bidi="ar-SA"/>
        </w:rPr>
        <w:t>الشرع في اللَّعانِ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يقول للمكلّف لِمَ تلعن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خالٍ من التحصيل، فإنّ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يسألُ عن التّولي كذلك يسأل عن التبّري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إنَّ الرأيَ عَنْكَ لعَازِبُ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تَبْرَ 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في محَّبتِهِ ثَوابُ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مَوَدَّةَ عدوَّ اللهِ خُروجٌ عن ولاية ولّيه، فلا يجتمعان، و إذا بطلت مودة العدو لم تبق إلاّ البراءة منه؛ إذ لا يجوز أنْ يبقى الإنسان في حالة متوسطة مع أعداء الله، لا ولاية و لا براءة، تنتفي هذه الواسطة بإجماع من المسلمين، بل الأخبار الواردة في جوامع الشيعة عن أهل البيت أنّ جميع الأعمال و العبادات إذا كانت بدون ولاية وليّ الله فهي باطلة لا تُقبل، و قد نطق الكتاب المجيد ببراءة الله و رسوله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المكلَّفُ عِوَضَ لَعنِهِ استغفاراً لكانَ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 على إطلاقه؛ لأنّ الاستغفار بدون لعن أعداء الله و البراءة منهم أو اعتقاد وجوب ذلك لا ينفع و لا يقبل؛ لأنّ الإمساك عَمَّنْ أوَجَبَ اللهُ لعنَهُ و البراءة منه معصية، و المصِرُّ على المعصية لا ينفعه الاستغفار بل لا معنى له مع الإصرار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يعيش عمره و لا يلعن إبليس فإن، كان لا يعتقد وجوبَ لعنه فهو </w:t>
      </w:r>
    </w:p>
    <w:p>
      <w:pPr>
        <w:pStyle w:val="BookText"/>
        <w:rPr/>
      </w:pPr>
      <w:r>
        <w:rPr>
          <w:rFonts w:ascii="Amiri" w:hAnsi="Amiri" w:eastAsia="Amiri" w:cs="Amiri"/>
          <w:color w:val="111111"/>
          <w:sz w:val="28"/>
          <w:sz w:val="28"/>
          <w:szCs w:val="28"/>
          <w:rtl w:val="true"/>
          <w:lang w:bidi="ar-SA"/>
        </w:rPr>
        <w:t>كافر، و إن كان يعتقده و لا يفعله فهو مخطئ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الفرق بين إبليس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من رؤوس الضَّلال في هذه الأمة واضح، فإنَّ تَرْكَ لعنهم و الأمرَ بالإمساك عنه يُورِثُ الشُّبْهَةَ في الدَّين بخلافِ الإمساك عن لعن إبليس، و يَجِبُ تجنُّبُ ما يورث الشبهة في الدين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حفظ رسول الله صلى الله عليه و آله و سلم واجباً فيمن يَمَتُّ إليه بسَبَبٍ أو نسب و لو كان عاصياً للهِ مُخالِفاً لرسول الله لمَاَ لَعَنَتْ الصَّحابة بعضها بعضاً حَسُبَما أدَّى إليه اجتهادُهم في ذلك، فقد كان كثيرٌ من الصَّحابة يَلْعَنُ عثُمَانَ و هو من الخلفاء الراشدين، و مِنْ أولئكَ عائشة، فإنّها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لَعَنَ اللهُ نعثلاً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 منهم عبد الله بن مسعود </w:t>
      </w:r>
      <w:r>
        <w:rPr>
          <w:rStyle w:val="FootnoteAnchor"/>
          <w:rtl w:val="true"/>
        </w:rPr>
        <w:footnoteReference w:id="108"/>
      </w:r>
      <w:r>
        <w:rPr>
          <w:rFonts w:ascii="Amiri" w:hAnsi="Amiri" w:eastAsia="Amiri" w:cs="Amiri"/>
          <w:color w:val="111111"/>
          <w:sz w:val="28"/>
          <w:sz w:val="28"/>
          <w:szCs w:val="28"/>
          <w:rtl w:val="true"/>
          <w:lang w:bidi="ar-SA"/>
        </w:rPr>
        <w:t xml:space="preserve">، و قد لَعًن معاويةُ علياً و حسناً و حسيناً و هم أحياء على منابره في الشَّام </w:t>
      </w:r>
      <w:r>
        <w:rPr>
          <w:rStyle w:val="FootnoteAnchor"/>
          <w:rtl w:val="true"/>
        </w:rPr>
        <w:footnoteReference w:id="109"/>
      </w:r>
      <w:r>
        <w:rPr>
          <w:rFonts w:ascii="Amiri" w:hAnsi="Amiri" w:eastAsia="Amiri" w:cs="Amiri"/>
          <w:color w:val="111111"/>
          <w:sz w:val="28"/>
          <w:sz w:val="28"/>
          <w:szCs w:val="28"/>
          <w:rtl w:val="true"/>
          <w:lang w:bidi="ar-SA"/>
        </w:rPr>
        <w:t xml:space="preserve">، و يَقْنُتْ عليهم في الصّلوات، و قد </w:t>
      </w:r>
    </w:p>
    <w:p>
      <w:pPr>
        <w:pStyle w:val="BookText"/>
        <w:rPr/>
      </w:pPr>
      <w:r>
        <w:rPr>
          <w:rFonts w:ascii="Amiri" w:hAnsi="Amiri" w:eastAsia="Amiri" w:cs="Amiri"/>
          <w:color w:val="111111"/>
          <w:sz w:val="28"/>
          <w:sz w:val="28"/>
          <w:szCs w:val="28"/>
          <w:rtl w:val="true"/>
          <w:lang w:bidi="ar-SA"/>
        </w:rPr>
        <w:t xml:space="preserve">لَعَنَ أبو بكر و عمر سعد بن عبادة </w:t>
      </w:r>
      <w:r>
        <w:rPr>
          <w:rStyle w:val="FootnoteAnchor"/>
          <w:rtl w:val="true"/>
        </w:rPr>
        <w:footnoteReference w:id="110"/>
      </w:r>
      <w:r>
        <w:rPr>
          <w:rFonts w:ascii="Amiri" w:hAnsi="Amiri" w:eastAsia="Amiri" w:cs="Amiri"/>
          <w:color w:val="111111"/>
          <w:sz w:val="28"/>
          <w:sz w:val="28"/>
          <w:szCs w:val="28"/>
          <w:rtl w:val="true"/>
          <w:lang w:bidi="ar-SA"/>
        </w:rPr>
        <w:t xml:space="preserve">، و لعن عمر خالد بن الوليد لما قتل مالك بن نويرة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زال اللعن فاشياً بين المسلمين إذا علموا من الإنسان معصيةً توجب اللعن و البراءة، و فعْلُ المسلمين حجة على جواز لعن المعّين، إذا كان من نوع يستحق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يجب أنْ يحفظ شخص لأجل شخص، كأنْ يحُفَظُ معاويةُ في يزيد، و أمُّ حبيب في معاوية، فلا يلعن لَوَجَب أنْ تُحْفَظَ الصَّحَاَبَةُ في أولادهم فلا يُلْعَنوا لأجل آبائهم، و أنْ لا يَلْعَنَ الصَّحابةُ بعَضَهُم بعضاً، و ليس الأمر كذلك، فإنّ رسولَ الله صلى الله عليه و آله و سلم إنمّا أوجب محبَّةَ صحابته و موالاتهم ما داموا مُطيعين لله، فإذا عَصَوا الله فليس لهم عند رسولالله صلى الله عليه و آله و سلم منزلة و لو كانوا من عترته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الخطأ و ارتكاب المحرمات جائز على الصحابة كما يجوز على غيرهم من الناس، و قد كانت تَصْدُرُ منهم المعاصي، و تُقام عليهم الحدود، كما تقام على غيرهم، و كان بعضُهم يطعنُ في بعض، و يَرُدُّ روايَتَهَ و شهادته، و يُنكِرُ </w:t>
      </w:r>
    </w:p>
    <w:p>
      <w:pPr>
        <w:pStyle w:val="BookText"/>
        <w:rPr/>
      </w:pPr>
      <w:r>
        <w:rPr>
          <w:rFonts w:ascii="Amiri" w:hAnsi="Amiri" w:eastAsia="Amiri" w:cs="Amiri"/>
          <w:color w:val="111111"/>
          <w:sz w:val="28"/>
          <w:sz w:val="28"/>
          <w:szCs w:val="28"/>
          <w:rtl w:val="true"/>
          <w:lang w:bidi="ar-SA"/>
        </w:rPr>
        <w:t>رأيَهُ و يخَّطئه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جملة الصحابة الحكم بن العاص عَدُّو رسول الله </w:t>
      </w:r>
      <w:r>
        <w:rPr>
          <w:rStyle w:val="FootnoteAnchor"/>
          <w:rtl w:val="true"/>
        </w:rPr>
        <w:footnoteReference w:id="112"/>
      </w:r>
      <w:r>
        <w:rPr>
          <w:rFonts w:ascii="Amiri" w:hAnsi="Amiri" w:eastAsia="Amiri" w:cs="Amiri"/>
          <w:color w:val="111111"/>
          <w:sz w:val="28"/>
          <w:sz w:val="28"/>
          <w:szCs w:val="28"/>
          <w:rtl w:val="true"/>
          <w:lang w:bidi="ar-SA"/>
        </w:rPr>
        <w:t xml:space="preserve">، و الوليد بن عقبة الفاسق بنصّ الكتاب </w:t>
      </w:r>
      <w:r>
        <w:rPr>
          <w:rStyle w:val="FootnoteAnchor"/>
          <w:rtl w:val="true"/>
        </w:rPr>
        <w:footnoteReference w:id="113"/>
      </w:r>
      <w:r>
        <w:rPr>
          <w:rFonts w:ascii="Amiri" w:hAnsi="Amiri" w:eastAsia="Amiri" w:cs="Amiri"/>
          <w:color w:val="111111"/>
          <w:sz w:val="28"/>
          <w:sz w:val="28"/>
          <w:szCs w:val="28"/>
          <w:rtl w:val="true"/>
          <w:lang w:bidi="ar-SA"/>
        </w:rPr>
        <w:t xml:space="preserve">، و حبيب بن مسلم </w:t>
      </w:r>
      <w:r>
        <w:rPr>
          <w:rStyle w:val="FootnoteAnchor"/>
          <w:rtl w:val="true"/>
        </w:rPr>
        <w:footnoteReference w:id="114"/>
      </w:r>
      <w:r>
        <w:rPr>
          <w:rFonts w:ascii="Amiri" w:hAnsi="Amiri" w:eastAsia="Amiri" w:cs="Amiri"/>
          <w:color w:val="111111"/>
          <w:sz w:val="28"/>
          <w:sz w:val="28"/>
          <w:szCs w:val="28"/>
          <w:rtl w:val="true"/>
          <w:lang w:bidi="ar-SA"/>
        </w:rPr>
        <w:t xml:space="preserve">، و بُسْر بن أرطأة </w:t>
      </w:r>
      <w:r>
        <w:rPr>
          <w:rStyle w:val="FootnoteAnchor"/>
          <w:rtl w:val="true"/>
        </w:rPr>
        <w:footnoteReference w:id="115"/>
      </w:r>
      <w:r>
        <w:rPr>
          <w:rFonts w:ascii="Amiri" w:hAnsi="Amiri" w:eastAsia="Amiri" w:cs="Amiri"/>
          <w:color w:val="111111"/>
          <w:sz w:val="28"/>
          <w:sz w:val="28"/>
          <w:szCs w:val="28"/>
          <w:rtl w:val="true"/>
          <w:lang w:bidi="ar-SA"/>
        </w:rPr>
        <w:t>، و غيرهم، فهؤلاء ليسوا من أصحابه الذين هم كالنجوم؛ لأنَّ مَنْ عَصَى الله فهو ليس من أصحابه صلى الله عليه و آله و سلم لأنَّ صاحبه مَنْ أطاع الله و سلمت عاقبته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ذكرناه ملخص مما ذكره أبي الحديد في شرح النهج ص</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الرابع </w:t>
      </w:r>
      <w:r>
        <w:rPr>
          <w:rStyle w:val="FootnoteAnchor"/>
          <w:rtl w:val="true"/>
        </w:rPr>
        <w:footnoteReference w:id="116"/>
      </w:r>
      <w:r>
        <w:rPr>
          <w:rFonts w:ascii="Amiri" w:hAnsi="Amiri" w:eastAsia="Amiri" w:cs="Amiri"/>
          <w:color w:val="111111"/>
          <w:sz w:val="28"/>
          <w:sz w:val="28"/>
          <w:szCs w:val="28"/>
          <w:rtl w:val="true"/>
          <w:lang w:bidi="ar-SA"/>
        </w:rPr>
        <w:t>، فإذا أردتَ التفصيل فراجعه، تجد فيه ما يشفي الغليل، و يغني عن تكلف الدليل</w:t>
      </w:r>
      <w:r>
        <w:rPr>
          <w:rFonts w:eastAsia="Amiri" w:cs="Amiri" w:ascii="Amiri" w:hAnsi="Amiri"/>
          <w:color w:val="111111"/>
          <w:sz w:val="28"/>
          <w:szCs w:val="28"/>
          <w:rtl w:val="true"/>
          <w:lang w:bidi="ar-SA"/>
        </w:rPr>
        <w:t xml:space="preserve">. </w:t>
      </w:r>
      <w:bookmarkStart w:id="189" w:name="pg9737_97146"/>
    </w:p>
    <w:p>
      <w:pPr>
        <w:pStyle w:val="Heading4"/>
        <w:numPr>
          <w:ilvl w:val="3"/>
          <w:numId w:val="1"/>
        </w:numPr>
        <w:rPr/>
      </w:pPr>
      <w:bookmarkStart w:id="190" w:name="__RefHeading___Toc8798280_2870459653"/>
      <w:bookmarkStart w:id="191" w:name="_Toc67"/>
      <w:bookmarkEnd w:id="189"/>
      <w:bookmarkEnd w:id="190"/>
      <w:r>
        <w:rPr>
          <w:rtl w:val="true"/>
        </w:rPr>
        <w:t>المقام الثاني</w:t>
      </w:r>
      <w:r>
        <w:rPr>
          <w:rtl w:val="true"/>
        </w:rPr>
        <w:t xml:space="preserve">: </w:t>
      </w:r>
      <w:r>
        <w:rPr>
          <w:rtl w:val="true"/>
        </w:rPr>
        <w:t>في أدَّلة جواز لعن يزيد بخصوصه</w:t>
      </w:r>
      <w:bookmarkEnd w:id="191"/>
    </w:p>
    <w:p>
      <w:pPr>
        <w:pStyle w:val="BookText"/>
        <w:rPr/>
      </w:pPr>
      <w:r>
        <w:rPr>
          <w:rFonts w:ascii="Amiri" w:hAnsi="Amiri" w:eastAsia="Amiri" w:cs="Amiri"/>
          <w:color w:val="111111"/>
          <w:sz w:val="28"/>
          <w:sz w:val="28"/>
          <w:szCs w:val="28"/>
          <w:rtl w:val="true"/>
          <w:lang w:bidi="ar-SA"/>
        </w:rPr>
        <w:t>و أمّا لعنه في الأنواع فلا شُبْهَةَ في جوازه و لا خلاف، بَعْدَ فَرْضِ اندراجه في كلَّ نوعِ منها؛ إذ قَلّ ما تجد نوعاً من الأنواع المستحقة للّعن حتى المشركين إلاّ و هو إنْ لَمْ يَكُنْ مِن أظهر تلك الأفراد فهو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تقدم جواز لعن المعيَّن بخصوصه، و إنَّ عَمَلَ المسلمينَ في زمن الصَّحَابَةِ إلى يومِكَ هذا، كما قد عرفت جَوازَ لعْنِ الميّت إذا كان فَرداً لأحدِ الأنواع المستحقّة لذلك؛ لتناول العام لجميع أفراده من الأحياء و الأموات، و إنّه إذا جازَ لعنُهُ حياً جازَ لعنه ميتاً، كما مرّ بيان ذلك، و بيانُ أنّ لعن المستحق و البراءة منه واجب نطقاً و اعتقاداً، و هذا المقام معقود لبيان ما يدلُّ على مشروعّيةِ لَعْنِ يزيد بذاته تصريحاً لا ضمناً و لا تلويحاً و الدليل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توبةُ قاتِلِ المؤمن عَمْداً، و خَصَّصَ ذلك عكرمة </w:t>
      </w:r>
    </w:p>
    <w:p>
      <w:pPr>
        <w:pStyle w:val="BookText"/>
        <w:rPr/>
      </w:pPr>
      <w:r>
        <w:rPr>
          <w:rFonts w:ascii="Amiri" w:hAnsi="Amiri" w:eastAsia="Amiri" w:cs="Amiri"/>
          <w:color w:val="111111"/>
          <w:sz w:val="28"/>
          <w:sz w:val="28"/>
          <w:szCs w:val="28"/>
          <w:rtl w:val="true"/>
          <w:lang w:bidi="ar-SA"/>
        </w:rPr>
        <w:t xml:space="preserve">و جماعَةٌ بالمستحِلّ لذلك </w:t>
      </w:r>
      <w:r>
        <w:rPr>
          <w:rStyle w:val="FootnoteAnchor"/>
          <w:rtl w:val="true"/>
        </w:rPr>
        <w:footnoteReference w:id="118"/>
      </w:r>
      <w:r>
        <w:rPr>
          <w:rFonts w:ascii="Amiri" w:hAnsi="Amiri" w:eastAsia="Amiri" w:cs="Amiri"/>
          <w:color w:val="111111"/>
          <w:sz w:val="28"/>
          <w:sz w:val="28"/>
          <w:szCs w:val="28"/>
          <w:rtl w:val="true"/>
          <w:lang w:bidi="ar-SA"/>
        </w:rPr>
        <w:t>، و خصَّصَهُ الجمهور بمن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ثَبَتَ و تَجَلَّى كالشَّمْسِ في رابعة النهار أنّ يزيداً قد قتل من المؤمنين و الصحابة و التابعين الأبرار الأخيار خلقاً كثيراً، فيهم سادات المؤمنين و علمائهم و أشرافهم، و ذلك في واقعَةِ كربلاء و واقعةِ الحُرَّة و واقعة مكة،</w:t>
      </w:r>
    </w:p>
    <w:p>
      <w:pPr>
        <w:pStyle w:val="BookText"/>
        <w:rPr/>
      </w:pPr>
      <w:r>
        <w:rPr>
          <w:rFonts w:ascii="Amiri" w:hAnsi="Amiri" w:eastAsia="Amiri" w:cs="Amiri"/>
          <w:color w:val="111111"/>
          <w:sz w:val="28"/>
          <w:sz w:val="28"/>
          <w:szCs w:val="28"/>
          <w:rtl w:val="true"/>
          <w:lang w:bidi="ar-SA"/>
        </w:rPr>
        <w:t>أمّا واقعة كربلاء فناهيك بمن قتله فيها إيماناً و إسلاماً و تقوى و شرفاً و فضيلة و قداسة و عبادة و زهادة، و لو لم يكن صدر منه إلاّ قتلُ سيّد الشهداء، و سيّد شَبَابِ أهل الجنة، و ريحانة رسول الله، و سبطُهُ لَكَفَاهُ ذلك مُوجباً للعن و العذاب و الخلود في النار و غضب المليك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قتله مُستَحِّلاً لقتله غيرُ نادمٍ على فعله، و لَمْ تَظْهر عليه إلى أنْ هلك إمارة إقلاع و لا ندم و لا رهبة و لا توبة و لا خوف من الله و لا خشية، و لو كان لذلك رسم أو أثر لتمَسَّكَ به اليزيديون لتَشَبَّثَ به المانعون، و ما احتاجوا إلى ارتكاب إنكارِ ما تواتر به خبر و روته أهل التواريخ و السير من قتله سيد الشهداء، و إمام أهلِ النَّجدة و الإباء، و خامس أصحاب الكساء الذين أذهب الله عنهم الأرجاس و طهرهم من الأدناس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إنكارَ ذلك و دعوى وقوعه بدون أمرِهِ و رضاه بدَيهيُّ البُطلان، و لا يخفى على ذي وجدان، فراجع كتب الأخبار و التواريخ، و اقرأ ما كتبه ابن عباس إلى يزيد جواباً عن كتابه إليه على ما رواى ذلك صاحب الكامل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كتابِ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أن أُحَبَّبَ الناسَ إليكَ، و أُبغِضَهُم لابن الزبير فلا و لا سروَر و لا كرامة،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قتلتَ حُسيناً و فتيانَ عبد المطلب، مصابيح الهدى، و نجوم الأعلام، غادَرَتُهُمْ خُيولُكَ بأمرك في صعيدٍ واحد، مُرَمَّلينَ بالدَّماء، مَسلوبين بالعراء مقتولين بالظماء</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أنس من الأشياء فلستُ بناسٍ إطرادَكَ حُسيناً من حَرَمِ رسول الله صلى الله عليه و آله و سلم إلى حَرَمِ الله، و تسييرَكَ الخُيولَ إليه، فما زِلْتَ بذلكَ حتَّى أشخَصْتَهُ إلى العراقِ، فخرج خائفاً يترقب، فنزلت بهِ خيلُك عداوةً منك لله و لرسوله، و لأهل بيته، الذين أذهبَ الله عنهم الرجس و طهّرهم تطهيرا فطَلَبَ إليكم الموادعة و سألكم الرجعة فاغتنمتم قلة أنصاره و استئصال أهل بيته و تعاونتم عليه كأنكم قتلتم أهل بيت من الترك و الكفر فلا شيء أعجب عندي من طلبتك ودي و قد قتلت ولد أبي و سيفك يقطر من دمي</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بتأمل فقراته و كلماته و تعرف منه ما صدر من يزيد و أن الحسين عليه السلام لم يخرج عليه طلبا للإمارة و إنما توجه من مكة إلى العراق خوفا على نفسه النفيسة، و حفظاً لها من الهلكة، و تحرزا من انتهاك حرمة الحرم الإلهي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وقعتُ الحَّرة فهي من الوقائع المشهورة التي هتك فيها حرم رسول الله و حرمته، و سفكت فيها دماء خيار المؤمنين، و هتكت أعراضهم و انتهبت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اعتذر عن ذلك ابن تيمية في كتابه 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عامله مسرف بن عقبة لعنة الله عليه لم يقتل جميع الأشراف، و لا بلغ عدد القتلى عشرة آلاف، و لا وصلت الدماء إلى قبر النبي صلى الله عليه و آله و سلم، و لا إلى الروضة، و لا كان القتل في المسجد و إنه إنما أرسل إليهم مسلم بن عقبة لعنه الله و أمره إذا ظهر عليهم أن يبيح المدينة ثلاثة أيام لأنهم امتنعوا عن إطاعته و خلعوه إلى آخره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واقعة حرق الكعبة و حصار مكة و ضرب الكعبة الشريفة بالمنجنيق و رميها بالنار و الحجارة فهو أيضا مشهور لا يمكن إنكاره، و قد اعتذر عن ذلك أيضا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نائب يزيد إنما قصد حصار ابن الزبير، و الضرب بالمنجنيق كان له لا للكعبة، و يزيد لم يهدم الكعبة، و لم يقصد إحراقها لا هو و لا نوابه باتفاق المسلمين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هذا العذر البارد السخيف، فإنَّ رمي ابن الزبير و إحراقه إذا كان يستلزم رمي الكعبة و إحراقها كان من الواجب تركُهُ و الإعراض عنه، فإنّ إهانة الكعبة الشريفة محُرَّمَةٌ بالإجماع سواء قُصِدَتْ أولاً و بالذّات أو ثانياً و بالعرض، </w:t>
      </w:r>
    </w:p>
    <w:p>
      <w:pPr>
        <w:pStyle w:val="BookText"/>
        <w:rPr/>
      </w:pPr>
      <w:r>
        <w:rPr>
          <w:rFonts w:ascii="Amiri" w:hAnsi="Amiri" w:eastAsia="Amiri" w:cs="Amiri"/>
          <w:color w:val="111111"/>
          <w:sz w:val="28"/>
          <w:sz w:val="28"/>
          <w:szCs w:val="28"/>
          <w:rtl w:val="true"/>
          <w:lang w:bidi="ar-SA"/>
        </w:rPr>
        <w:t>بل لَعَلَّ ذلكَ من موجباتِ الكُفر و الارتداد، كإهانة المصحف الشريف و إحراقه، و لا فرق في ذلك بين الفاعل و الآمر بل السَّبَبُ هنا أقوى من المباشر؛ لأنه الفاعل حقيقةً، و المباشرون بمنزلة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أصَرَّ ابنُ تيميّة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لم يتمكن أحدٌ من إهانتها لا قبل الإسلام و لا بعده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غَرَضُهُ من هذه الدعوى هو الذَّبُّ عَمَّا يُنسَبُ إلى يزيد من هدمها و إحراقها بقصد إهانتها، ثم ذكر أنّ النار كانت قد أصابت بعض ستائرها، و أورد ما في صحيح مسلم عن عطاء بن أبي رباح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أُحترق البيتُ زَمَنَ يزيد بن معاوية حين غزاُه أهلُ الشام فكان من أمره ما كان تركه ابن الزبير حتَّى قدمَ النَّاسُ الموسمَ يُريدُ أنْ يُجَرّئهَم على أهل الشام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أطال في المقام بما هو خارج عن المرام و الحديث، و كتب السير و التواريخ حُجّةٌ عليه، فإنّها صَرَّحَتْ بأنَّ جُندَ يزيد و جيوشه قد أحرقت الكعبة و هدمتها، و لم تكتَفِ بغيرِ هذه الوسيلةِ من وسائل الفتح و التغلّب، مع عدم انحصار فتح البلد برمي المنجنيق خصوصاً الكعبة، و بهدمها و إحراقها، فإنَّ هناك للفتح و سائل أُخر يمكن التوصل بها إليه، مع المحافظة على حرمة البيت و إحرامه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روى البخاري في صحيحه بحذف الإسناد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حَرَّمَها اللهُ و لم يُحِّرمها الناس فلا يحلُّ لامرئ يؤمنُ بالله و اليوم الآخر أنْ يسفك بها دماً و لا يَعْضُدَ بها شجراً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صلى الله عليه و آله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مكَّةَ فلم تَحِلَّ لأحدٍ قبلي و لا تحلّ لأحدٍ بعدي و إنمّا أحلت لي ساعةً من نهار لا يختلى خلاها و لا يعضد شجرها و لا ينفّرُ صيدها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عنه أيضاً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بلدُ حَرَّمَهُ اللهُ يوم خلق السموات و الأرض و هو حرام بحرمة الله إلى يوم القيامة، و إنّه لم يحلّ القتالُ فيه لأحدٍ قبلي و لم يحلّ لي إلاّ ساعةً من نهار، فهو حرام بحرمة الله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لا شَكَّ في أنّ يزيد من المفسدين في الأرض، و ممّن قطّعوا أرحامهم، فإنَّ بني هاشمٍ و بني أمية يَجْمَعُهما جدٌّ واحد و هو عبد مناف و ولداه هاشم و عبد 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 أحمد بن حنبل أنّه لعن يزيد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ألْعَنُ مَنْ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بالآية المذكورة </w:t>
      </w:r>
      <w:r>
        <w:rPr>
          <w:rStyle w:val="FootnoteAnchor"/>
          <w:rtl w:val="true"/>
        </w:rPr>
        <w:footnoteReference w:id="129"/>
      </w:r>
      <w:r>
        <w:rPr>
          <w:rFonts w:ascii="Amiri" w:hAnsi="Amiri" w:eastAsia="Amiri" w:cs="Amiri"/>
          <w:color w:val="111111"/>
          <w:sz w:val="28"/>
          <w:sz w:val="28"/>
          <w:szCs w:val="28"/>
          <w:rtl w:val="true"/>
          <w:lang w:bidi="ar-SA"/>
        </w:rPr>
        <w:t>،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رواية منقطعة ليست ثابتة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رواها عنه جماعة عن ولده صالح عن أبيه أحمد، و إنكارُ ابن تيمية لها غيرُ مُجدٍ له؛ لأنَّ يزيد من المفسدين القاطعين للرحم، فهو من أظهر مصاديق الآية الشريفة، سواء ثبت استدلالُ ابن حنبل بها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قطيعة رحم كقطيعته؟ إن هل فُعِلَ بأمرِهِ و ما بلغه من الفعل و لم يُنكره و لم يعاقب عليه أمرٌ عظيم مخالف للإنسانية و الغيرة و الحمية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يرضى إنسان ذو شعور و إدراك فضلاً عن أن يكون مَلكاً عربياً ذا فُتوَّةٍ و شهامة و إباء و زعامة أنْ يُفعل بنساءٍ مُخَدَّراتِ مَصوناتٍ تَنتسِبُ إليه و تُعَدَّ من قبيلته و من بني عمومته، و بأطفال لم تبلغ الحلم؟ كما رَضي بذلك يزيد، و لم يغضب لما فعله الأوباش و السفلة بتلك الحرائر، من الهتك و الضرب و الترويع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كان له أدنى شرف أو أدنى مروءة فضلاً عن أنْ يكون له ذرّة من الإيمان أو الإسلام، و كانت تلك النساء الشريفات و البيوتات الرفيعات لم تجتمع </w:t>
      </w:r>
    </w:p>
    <w:p>
      <w:pPr>
        <w:pStyle w:val="BookText"/>
        <w:rPr/>
      </w:pPr>
      <w:r>
        <w:rPr>
          <w:rFonts w:ascii="Amiri" w:hAnsi="Amiri" w:eastAsia="Amiri" w:cs="Amiri"/>
          <w:color w:val="111111"/>
          <w:sz w:val="28"/>
          <w:sz w:val="28"/>
          <w:szCs w:val="28"/>
          <w:rtl w:val="true"/>
          <w:lang w:bidi="ar-SA"/>
        </w:rPr>
        <w:t>معه بنسب، و كانت من الروم أو الترك لمَا جاز في شرع المعروف و الإنسانية أنْ يرضى بما فعله معهم مَن هو أقلّ و أحقرُ من أن يكون من خُدّامهم أو مِن عبيدهم،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صحيح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النُّعمْانِ حدثنا ثابت بن زيد حدثنا عاصم أبو عبد الرحمن الأحول عن أنس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من كذا إلى كذا لا يقطع شجرها و لا يحدث فيها حدث، مَن أحدث فيها حدثاً أو آوى مُحدِثاً فعليه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مِا أحْدَثَه يزيدُ فيها، و أيُّ حَدَثِ أعظَمُ من سفك دماء الأبرياء، و هتك أعراض الأولياء، و سلب أموالهم، و إخافة أهل الإيمان و إزعاجهم و إيذائهم، فقد وقع كل ذلك في وقعة الحرة، بأشدّ ما يكون و أعظم ما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البخاري أنّ أبا هريرة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الظباء بالمدينة ترتع ما ذعرتها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لا بتيها حرام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فكيف بمن ذَعَرَ الأولياء و الأبرياء و المعصومين أشدَّ الذُّعْرَ و سَفَكَ دمائَهمُ، و فَعَل بهم ما فعل؟ اللهم العنه لعناً وبيلا، و عَذّبهُ عذاباً أليماً، و يَرحم اللهُ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 مُرتَدُّ و لا شبهة في جواز لعن الكافر بخصوصه بعد تحقق كفره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كفره فهو و إنْ شكَّ فيه جماعة و نَفَاهُ آخرون، إلا أنَّ الأدلة الدالة عليه كثيرة، و المُتَبَع هو الدليل لا ما يقال أو قيل، و سنورد منها ما فيه إقناع للمنصف و إذعان لغير المقتصد، و من الشَّاكّينَ في كُفرِهِ و إنْ لم يُشكّك في لعنه شاعرُ عصره الفاروقي حيث قال من قصيدة 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يَزيد دُونَ إبليس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اللَّعْنُ انتمى و انتسبا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نَقْطَعُ في تكفِيره إِنْ صَحَّ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للغُرابِ لمَاَّ نَعَبَا</w:t>
      </w:r>
    </w:p>
    <w:p>
      <w:pPr>
        <w:pStyle w:val="BookText"/>
        <w:rPr/>
      </w:pPr>
      <w:r>
        <w:rPr>
          <w:rFonts w:ascii="Amiri" w:hAnsi="Amiri" w:eastAsia="Amiri" w:cs="Amiri"/>
          <w:color w:val="111111"/>
          <w:sz w:val="28"/>
          <w:sz w:val="28"/>
          <w:szCs w:val="28"/>
          <w:rtl w:val="true"/>
          <w:lang w:bidi="ar-SA"/>
        </w:rPr>
        <w:t>و مراده ما نسب إليه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الظُّعونُ و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على رُبى جَيْرونِ</w:t>
      </w:r>
    </w:p>
    <w:p>
      <w:pPr>
        <w:pStyle w:val="BookText"/>
        <w:rPr/>
      </w:pPr>
      <w:r>
        <w:rPr>
          <w:rFonts w:ascii="Amiri" w:hAnsi="Amiri" w:eastAsia="Amiri" w:cs="Amiri"/>
          <w:color w:val="111111"/>
          <w:sz w:val="28"/>
          <w:sz w:val="28"/>
          <w:szCs w:val="28"/>
          <w:rtl w:val="true"/>
          <w:lang w:bidi="ar-SA"/>
        </w:rPr>
        <w:t xml:space="preserve">نَعَقَ الغُرابُ فَقُلْتُ نُحْ أو لا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و مثل هذا القول لا يصدر ممّن يؤمنُ بالله و رسوله و إنمّا يَصْدُرُ منِ جاهليًّ مُعادٍ لرسولِ الله يَطْلُبُ بثارات مَنْ قتله من مشايخِهِ الكَفَرة مِنْ بنَي أميَّة في بدرٍ و غيرها، و لعلّه أراد ما ينسب إليه أيضاً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pStyle w:val="BookText"/>
        <w:rPr/>
      </w:pPr>
      <w:r>
        <w:rPr>
          <w:rFonts w:ascii="Amiri" w:hAnsi="Amiri" w:eastAsia="Amiri" w:cs="Amiri"/>
          <w:color w:val="111111"/>
          <w:sz w:val="28"/>
          <w:sz w:val="28"/>
          <w:szCs w:val="28"/>
          <w:rtl w:val="true"/>
          <w:lang w:bidi="ar-SA"/>
        </w:rPr>
        <w:t>إلى آخر الأبيات اللاتي نقلهاف، ولكن الأظهر أنْ يكون مراده بذلك هو البيتان هذا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من عدم قطع الفاروقي في تكفير يزيد و إنْ لم يثبت كفرُ ما </w:t>
      </w:r>
    </w:p>
    <w:p>
      <w:pPr>
        <w:pStyle w:val="BookText"/>
        <w:rPr/>
      </w:pPr>
      <w:r>
        <w:rPr>
          <w:rFonts w:ascii="Amiri" w:hAnsi="Amiri" w:eastAsia="Amiri" w:cs="Amiri"/>
          <w:color w:val="111111"/>
          <w:sz w:val="28"/>
          <w:sz w:val="28"/>
          <w:szCs w:val="28"/>
          <w:rtl w:val="true"/>
          <w:lang w:bidi="ar-SA"/>
        </w:rPr>
        <w:t>قالَهُ للغُراب مع أنّه يقول في القصيدة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بَكَتْ السَّماُء أجْدَاث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أبْكَوا على فَقْدِ الحُسَينِ زَينبا</w:t>
      </w:r>
    </w:p>
    <w:p>
      <w:pPr>
        <w:pStyle w:val="BookText"/>
        <w:rPr/>
      </w:pPr>
      <w:r>
        <w:rPr>
          <w:rFonts w:ascii="Amiri" w:hAnsi="Amiri" w:eastAsia="Amiri" w:cs="Amiri"/>
          <w:color w:val="111111"/>
          <w:sz w:val="28"/>
          <w:sz w:val="28"/>
          <w:szCs w:val="28"/>
          <w:rtl w:val="true"/>
          <w:lang w:bidi="ar-SA"/>
        </w:rPr>
        <w:t xml:space="preserve">ماذا يقولُنَّ غَدَاً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إذا عَاتَبَهُم وأنَّبَا</w:t>
      </w:r>
    </w:p>
    <w:p>
      <w:pPr>
        <w:pStyle w:val="BookText"/>
        <w:rPr/>
      </w:pPr>
      <w:r>
        <w:rPr>
          <w:rFonts w:ascii="Amiri" w:hAnsi="Amiri" w:eastAsia="Amiri" w:cs="Amiri"/>
          <w:color w:val="111111"/>
          <w:sz w:val="28"/>
          <w:sz w:val="28"/>
          <w:szCs w:val="28"/>
          <w:rtl w:val="true"/>
          <w:lang w:bidi="ar-SA"/>
        </w:rPr>
        <w:t xml:space="preserve">تاللهِ ما يَفْعَلُ هذا 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حَشْرَهُ غَدَاً و كَذّبَا</w:t>
      </w:r>
    </w:p>
    <w:p>
      <w:pPr>
        <w:pStyle w:val="BookText"/>
        <w:rPr/>
      </w:pPr>
      <w:r>
        <w:rPr>
          <w:rFonts w:ascii="Amiri" w:hAnsi="Amiri" w:eastAsia="Amiri" w:cs="Amiri"/>
          <w:color w:val="111111"/>
          <w:sz w:val="28"/>
          <w:sz w:val="28"/>
          <w:szCs w:val="28"/>
          <w:rtl w:val="true"/>
          <w:lang w:bidi="ar-SA"/>
        </w:rPr>
        <w:t>لأنّ الكفر كما يثبتُ بإنكار النبوة يثبتُ بإنكار المعاد و إنكار الحشر و النشر، و لا فرق في إنكار ذلك بالقول و اللسان، و بين إنكارِهِ بالأفعال و الأعمال، بل لَعَلَّهُ في الثاني أظهر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كفره أنّه كان يفعل ما يفعل من الكبائر الفظيعة مستحلاً لذلك غيرُ مكترثٍ بحرمةٍ و لاُ متحرَّج من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 يحكمون بكفر مانع الزكاة و رِدَّتِهِ و يحللّونَ قتاله و استباحة عرضه و ماله و لا يحكمونَ بكُفر قاتل سبط رسول الله و ريحانته، و سيد شباب أهل الجنة، و غازي الحرمين الشريفين، و مُستحلّ حُرمَتهما و إراقة دماء المسلمين و الأبرياء فيهما، و لا يجُيزون لعنه، و لازم ذلك أنَّهم يتولَّونَهُ و لا يتبرَّونَ منه، و مما يَدُلُّ على كُفْرِهِ تمثُّله بشعر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مَيْلَ بَدْر فاعتَدَلْ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أنْ يكون تمثّله بذلك في واقعة الحرّة، إلاّ أنّه رُويَ بطريقٍ آخر أنّه لما أُدخل ثقل الحسين و نساؤه و مَنْ تخلَّفَ من أهل بيته على يزيد و هم مقرّنون بالحبال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يزيد بقضيبِ خَيزُران فجعل ينكت به ثنايا الحسين، </w:t>
      </w:r>
    </w:p>
    <w:p>
      <w:pPr>
        <w:pStyle w:val="BookText"/>
        <w:rPr/>
      </w:pPr>
      <w:r>
        <w:rPr>
          <w:rFonts w:ascii="Amiri" w:hAnsi="Amiri" w:eastAsia="Amiri" w:cs="Amiri"/>
          <w:color w:val="111111"/>
          <w:sz w:val="28"/>
          <w:sz w:val="28"/>
          <w:szCs w:val="28"/>
          <w:rtl w:val="true"/>
          <w:lang w:bidi="ar-SA"/>
        </w:rPr>
        <w:t>فأقَبلَ عليه أبو بَرزة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أتنكت ثغرَ الحسين، أشهدُ لقد رأيتُ النَّبيَّ يرشُفُ ثناياه و ثنايا أخيه الحسن،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فقَتَلَ اللهُ قاتلكُما و لعَنَهُ و أعَدَّ له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أمَرَ بإخراجه، فأُخرج سَحْباً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يزيدُ يتمثَّل بأبيات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الأسَلْ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لو رَأوهُ لاستهلّوا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 يؤيد هذا ما روي من فقراتٍ تَضَمّنتها خُطبة السّيدةِ العقيلة زينب و هي قولها خطاباً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 تُشَلْ </w:t>
      </w:r>
      <w:r>
        <w:rPr>
          <w:rStyle w:val="FootnoteAnchor"/>
          <w:rtl w:val="true"/>
        </w:rPr>
        <w:footnoteReference w:id="13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تهتفُ بأشياخِكَ زَعَمْتَ أنَّك تنُاديهم فَلَتَردَنَّ وَشيكاً مَوْردَهُم و لَتَودَّنّ أنَّكَ شُلِلْتَ و بَكُمْتَ و لم تكن فَعَلْتَ ما فَعَلْتَ و قُلْتَ ما قُلتَ</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النَّوْحَ على النَّوائحْ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فيما سطرنا أدلة ظاهرة على كفره و ارتداده و عناده و قساوة قلبه و عدم حيائه و عدم غيرته و تدينه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 للهِ و رسوله، و لا ريب أنَّ مَنْ كان عدواً لله و رسوله تجب عداوته و البراءة منه و يجب لعنه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عدواته لله تعالى فقد أعلن بها و أظهرها، بما فعَلَهُ من غزو الكعبة و هدمها و إحراقها، و عدم احترام البيت الحرام و الحرم، و قتل أولياءِ الله و عباده الصالحين، و ارتكابه المعاصي و الكبائر و المحّرمات بلا مبالاة و لا خشية، </w:t>
      </w:r>
    </w:p>
    <w:p>
      <w:pPr>
        <w:pStyle w:val="BookText"/>
        <w:rPr/>
      </w:pPr>
      <w:r>
        <w:rPr>
          <w:rFonts w:ascii="Amiri" w:hAnsi="Amiri" w:eastAsia="Amiri" w:cs="Amiri"/>
          <w:color w:val="111111"/>
          <w:sz w:val="28"/>
          <w:sz w:val="28"/>
          <w:szCs w:val="28"/>
          <w:rtl w:val="true"/>
          <w:lang w:bidi="ar-SA"/>
        </w:rPr>
        <w:t>و استحلاله المحرمات المحرمة بالضرورة من الدين، و غير ذلك من الأفعال التي لا يقدم عليها إلا من حارب الله و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عداوته لرسوله فقد ظهرت بسفكه دماء ذريته، و قتل ريحانته و سبطه و حبيبه و فرخه، و غزوه مدينته المشَّرفة، و هتكه حرمتها و حريمها، و استباحته قتل الأولياء و المؤمنين المجاورين لمرقده الشريف اللائذين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 ذلك طَلباً للملك و الرئاسة لا لعداوة النبي صلى الله عليه و آله و سلم لو سلمناه معصيةٌ أيضاً و كبيرةٌ لا تُوجِبُ رضا النبيّ، بل توجب سخطه و غضبه لذلك </w:t>
      </w:r>
      <w:r>
        <w:rPr>
          <w:rStyle w:val="FootnoteAnchor"/>
          <w:rtl w:val="true"/>
        </w:rPr>
        <w:footnoteReference w:id="137"/>
      </w:r>
      <w:r>
        <w:rPr>
          <w:rFonts w:ascii="IRNazanin" w:hAnsi="IRNazanin" w:eastAsia="IRNazanin"/>
          <w:color w:val="111111"/>
          <w:sz w:val="28"/>
          <w:sz w:val="28"/>
          <w:szCs w:val="28"/>
          <w:rtl w:val="true"/>
          <w:lang w:bidi="fa-IR"/>
        </w:rPr>
        <w:t>، و من أغضبه فقد أغضب الله</w:t>
      </w:r>
      <w:r>
        <w:rPr>
          <w:rFonts w:eastAsia="IRNazanin" w:cs="IRNazanin"/>
          <w:color w:val="111111"/>
          <w:sz w:val="28"/>
          <w:szCs w:val="28"/>
          <w:rtl w:val="true"/>
          <w:lang w:bidi="fa-IR"/>
        </w:rPr>
        <w:t xml:space="preserve">. </w:t>
      </w:r>
      <w:bookmarkStart w:id="192" w:name="pg9737_97159"/>
    </w:p>
    <w:p>
      <w:pPr>
        <w:pStyle w:val="Heading2"/>
        <w:numPr>
          <w:ilvl w:val="1"/>
          <w:numId w:val="1"/>
        </w:numPr>
        <w:rPr/>
      </w:pPr>
      <w:bookmarkStart w:id="193" w:name="__RefHeading___Toc8798282_2870459653"/>
      <w:bookmarkStart w:id="194" w:name="_Toc68"/>
      <w:bookmarkEnd w:id="192"/>
      <w:bookmarkEnd w:id="193"/>
      <w:r>
        <w:rPr>
          <w:rtl w:val="true"/>
        </w:rPr>
        <w:t>خاتمة في فضل العلويين من بني هاشم</w:t>
      </w:r>
      <w:bookmarkEnd w:id="194"/>
    </w:p>
    <w:p>
      <w:pPr>
        <w:pStyle w:val="BookText"/>
        <w:rPr/>
      </w:pPr>
      <w:r>
        <w:rPr>
          <w:rFonts w:ascii="Amiri" w:hAnsi="Amiri" w:eastAsia="Amiri" w:cs="Amiri"/>
          <w:color w:val="111111"/>
          <w:sz w:val="28"/>
          <w:sz w:val="28"/>
          <w:szCs w:val="28"/>
          <w:rtl w:val="true"/>
          <w:lang w:bidi="ar-SA"/>
        </w:rPr>
        <w:t>قد كنّا عازمين على أنْ نذكر فضل العلويين من بني هاشم و مناقبهم و ما منحهم الله تعالى من الشرف و الفضائل، و الكرم و العلم و الشجاعة و الإباء و الوفاء و التقوى و الزهد و مكارم الأخلاق، و ما خصَّهُمُ اللهُ من النبوَّة و الإمامة، و غير ذلك من المناقب، ولكّنا عدلنا عن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ذلك، و تجلّيه لمَن راجع كتبَ التّواريخ و السَّيَر و التراجم و كتب الأخلاق و الأخبار، فهو غني عن البيان لا يحتاج إلى دليل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يذكره فإنمّا يذكره بقصد المفاخرة و المناظرة، و نحنُ نرى أنّا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القبيلة أشرف من غيرها كنّا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خير من العصا، و اللؤلؤ أبهى من الحصى، و البَحْرُ أكثُر من القطرة، و الدّرَّةُ خير من الآجرّة، بل نقول كما قال الشاعر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قَديمِ الفَخْرِ مُفْتَخَرُ</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وَطَأتْ نعِالُهُمْ مِنْ 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صَخْر و آلِ صَخْرِ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هذه الرسالة لم تؤلّف لما يدخل في فن التاريخ و السير، و إنمّا ألّفت لبيان الحكم الشرعي الذي خاطب به عامَّة المكلّفين، فلذا كان الأجْدَرُ أنْ تُجْعَلَ </w:t>
      </w:r>
    </w:p>
    <w:p>
      <w:pPr>
        <w:pStyle w:val="BookText"/>
        <w:rPr/>
      </w:pPr>
      <w:r>
        <w:rPr>
          <w:rFonts w:ascii="Amiri" w:hAnsi="Amiri" w:eastAsia="Amiri" w:cs="Amiri"/>
          <w:color w:val="111111"/>
          <w:sz w:val="28"/>
          <w:sz w:val="28"/>
          <w:szCs w:val="28"/>
          <w:rtl w:val="true"/>
          <w:lang w:bidi="ar-SA"/>
        </w:rPr>
        <w:t>هذهِ في بيانِ وُجوبُ موالاةِ أهْلِ البَيتِ و ذُرّيَتَهُم الطاهرين، و وجوب مودتهم و حبّهم و البَرَاءة من أعدائهم و جاحديهم و غاصبي حقوقهم، و هذا أيضاً حكمٌ واضحَ من أحكام شريعة الإسلام غيُر خفيٍ على العلماء بالكِتاب و السُنَّة النبوية، اللهم إلاّ مَنْ على قلوبهم أكَّنةً و على أبصارهم غشاوة، قال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و قال الفرزدق من قصيدته المشهورة في مدح الإمام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 قُرْبُهُم مَنْجَىً و مُعْتَصَمُ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قال الشّيخ شمس الدين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أهْلِ البُعْدِ يُورثُني القُرْبَى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في هذين البيتين و في أول البيتين المنسوبين في الصواعق و غيرها إلى الشافعي إلى قوله تعالى 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w:t>
      </w:r>
    </w:p>
    <w:p>
      <w:pPr>
        <w:pStyle w:val="BookText"/>
        <w:rPr/>
      </w:pP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بسط الكلام في هذه الآية الشريفة ابن حجر في صواعقه، و نكتفي بإيراد بعض ما أورده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البزار و الطبراني عن الحسن من طرق بعضها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خطبة 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عرفني فقد عرفني، و من لم يعرفني فأنا الحسن بن محمد ثم تلا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آبَائِي إِبْرَاهِيمَ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أنا ابن النذير،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أهل البيت الذين افترض الله عز و جل مودتهم و موالاتهم فقال فيما أنزل على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افترض اللهُ مودتهم على كل مسلم و أنزل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اقتراف الحسنات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صحيحة ما بَالُ أقوامٍ يَتَحدَّثون فإذا رأوا الرجل من أهل بيتي قطعوا حديثهم و الله لا يدخل قلبَ رَجُلٍ الإيمانُ حتّى يحُبَّهم الله و لقرابتهم </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آذى علياً فقد آذاني أخرجه أحمد </w:t>
      </w:r>
      <w:r>
        <w:rPr>
          <w:rStyle w:val="FootnoteAnchor"/>
          <w:rtl w:val="true"/>
        </w:rPr>
        <w:footnoteReference w:id="146"/>
      </w:r>
      <w:r>
        <w:rPr>
          <w:rFonts w:ascii="Amiri" w:hAnsi="Amiri" w:eastAsia="Amiri" w:cs="Amiri"/>
          <w:color w:val="111111"/>
          <w:sz w:val="28"/>
          <w:sz w:val="28"/>
          <w:szCs w:val="28"/>
          <w:rtl w:val="true"/>
          <w:lang w:bidi="ar-SA"/>
        </w:rPr>
        <w:t xml:space="preserve">، زاد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 مَنْ أبغَضَ علياً فقد أبغضني و مَنْ آذى علياً فقد آذاني و 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في المقصد الثالث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 أحمد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أخرج هو و الترمذي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المنافقين إلا ببغضهم علياً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علم من الأحاديث السابقة وجوب محبة أهل البيت، و تحريمُ بغضهم التحريمَ الغليظ، و بلزوم محّبتهم، صَّرحَ البيهقي و البغوي و غيره أنها من </w:t>
      </w:r>
    </w:p>
    <w:p>
      <w:pPr>
        <w:pStyle w:val="BookText"/>
        <w:rPr/>
      </w:pPr>
      <w:r>
        <w:rPr>
          <w:rFonts w:ascii="Amiri" w:hAnsi="Amiri" w:eastAsia="Amiri" w:cs="Amiri"/>
          <w:color w:val="111111"/>
          <w:sz w:val="28"/>
          <w:sz w:val="28"/>
          <w:szCs w:val="28"/>
          <w:rtl w:val="true"/>
          <w:lang w:bidi="ar-SA"/>
        </w:rPr>
        <w:t xml:space="preserve">فرائض الدين </w:t>
      </w:r>
      <w:r>
        <w:rPr>
          <w:rStyle w:val="FootnoteAnchor"/>
          <w:rtl w:val="true"/>
        </w:rPr>
        <w:footnoteReference w:id="151"/>
      </w:r>
      <w:r>
        <w:rPr>
          <w:rFonts w:ascii="Amiri" w:hAnsi="Amiri" w:eastAsia="Amiri" w:cs="Amiri"/>
          <w:color w:val="111111"/>
          <w:sz w:val="28"/>
          <w:sz w:val="28"/>
          <w:szCs w:val="28"/>
          <w:rtl w:val="true"/>
          <w:lang w:bidi="ar-SA"/>
        </w:rPr>
        <w:t>، بل نصّ عليه الشافعي فيما حكي عنه من قوله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مما ينسب للشافعي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إنّي رافضي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إليهِ وَسيلَتي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فقد أشار به إلى ما صَحّ عنه صلى الله عليه و آله و سلم في أحاديث متعددة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w:t>
      </w:r>
    </w:p>
    <w:p>
      <w:pPr>
        <w:pStyle w:val="BookText"/>
        <w:rPr/>
      </w:pP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قد علمنا كيف نسلَّمُ عليكَ فكيف نصلي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فدلّ على أنَّ الصلاة عليهم من جملة المأمور به، و إنه أقامهم في ذلك نفسه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 على محمد و تمسكون بل قولوا 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نُصَلّي عليك إذا نحن صلينا عليك في صلاتنا؟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صليتم علي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النَّوَوَي نقل كراهية إفراد الصلاة و السلام عليه عن العلماء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أنّه يظهر من جملة الأحاديث وجوب الصلاة على الآل كما هو قول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نفيٌ لصحَّةِ الصَّلاةِ لا لكمالها؛ لأنَّ ذلك مُقتضى قوله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أنَّ هذه الآية و هي آية المودة صريحةُ الدّلالة على وجوب حبَّهم </w:t>
      </w:r>
    </w:p>
    <w:p>
      <w:pPr>
        <w:pStyle w:val="BookText"/>
        <w:rPr/>
      </w:pPr>
      <w:r>
        <w:rPr>
          <w:rFonts w:ascii="IRNazanin" w:hAnsi="IRNazanin" w:eastAsia="IRNazanin"/>
          <w:color w:val="111111"/>
          <w:sz w:val="28"/>
          <w:sz w:val="28"/>
          <w:szCs w:val="28"/>
          <w:rtl w:val="true"/>
          <w:lang w:bidi="fa-IR"/>
        </w:rPr>
        <w:t>و موالاتهم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الآية الثانية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الدليمي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مسؤلون عن ولاية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هذا هو مراد الواحدي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و أهل البيت؛ لأنَّ اللهَ أمرَ نبيَّهُ صلى الله عليه و آله و سلم أنْ يُعَّرف الخلق أنّه لا يسألهَم على تبليغ الرسالة أجراً إلاّ المودة في القربى، و المعنى أنَّهم يسألون هل وَ الَوْهُم حَقَّ المولاة كما أوصاهم النبي صلى الله عليه و آله و سلم، أو أضاعوها و أهملوها، فتكون عليهم المطالبة و التبعة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قال ثابت البناني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اهتدى إلى ولاية أهل بيته صلى الله عليه و آله و سلم، و جاء ذلك عن أبي جعفر الباقر أيضاً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الثعلبي في تفسير هذه الآية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موضعٌ عالٍ من الصراط عليه العّباس و حمزة و علي بن أبي طالب و جعفر ذو </w:t>
      </w:r>
    </w:p>
    <w:p>
      <w:pPr>
        <w:pStyle w:val="BookText"/>
        <w:rPr/>
      </w:pPr>
      <w:r>
        <w:rPr>
          <w:rFonts w:ascii="Amiri" w:hAnsi="Amiri" w:eastAsia="Amiri" w:cs="Amiri"/>
          <w:color w:val="111111"/>
          <w:sz w:val="28"/>
          <w:sz w:val="28"/>
          <w:szCs w:val="28"/>
          <w:rtl w:val="true"/>
          <w:lang w:bidi="ar-SA"/>
        </w:rPr>
        <w:t>الجناحين، يعرفون محبّيهم ببياضِ الوجوهِ، و مبغضيهم بسواد الوجوه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نكتفي من الكتاب الشريف بهذه الآيات، فإنّا لو أردنا استقصاء ما نزل في حق أهل البيت من آية المباهلة و آية التطهير و غيرهما لاحتجنا إلى كتاب ضخم لا يتسع الوقت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الدالة على وجوب موالاتهم و حبهم فهي كثيرة منها ما رواه الترمذي و الحاكم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به من نعمة و أحبوني لحب اللهِ و أحبّوا أهل بيتي لحبي</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أيضاً، و ابن ماجة و ابن حبان و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أخرجه الترمذي و أحمد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الأحاديث التي ذكر منها في الصواعق أربعاً و أربعين </w:t>
      </w:r>
    </w:p>
    <w:p>
      <w:pPr>
        <w:pStyle w:val="BookText"/>
        <w:rPr/>
      </w:pPr>
      <w:r>
        <w:rPr>
          <w:rFonts w:ascii="Amiri" w:hAnsi="Amiri" w:eastAsia="Amiri" w:cs="Amiri"/>
          <w:color w:val="111111"/>
          <w:sz w:val="28"/>
          <w:sz w:val="28"/>
          <w:szCs w:val="28"/>
          <w:rtl w:val="true"/>
          <w:lang w:bidi="ar-SA"/>
        </w:rPr>
        <w:t>حديثاً في فضل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ذلك أحاديث وردت في بُغض أهل البيت كقوله صلى الله عليه و آله و سلم فيما أخرجه الترمذي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وابنا ابنتي اللهم إنّي أُحُبُّهما فأحبَّهما و أحبَّ مَنْ يحُبُهُما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خطّه قلمُه الشريف و الحمد لله أولاً و آخراً</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9737_97169"/>
      <w:bookmarkStart w:id="196" w:name="pg9737_97169"/>
      <w:bookmarkEnd w:id="196"/>
    </w:p>
    <w:p>
      <w:pPr>
        <w:pStyle w:val="Heading2"/>
        <w:numPr>
          <w:ilvl w:val="1"/>
          <w:numId w:val="1"/>
        </w:numPr>
        <w:rPr/>
      </w:pPr>
      <w:bookmarkStart w:id="197" w:name="pg9737_97169"/>
      <w:bookmarkStart w:id="198" w:name="__RefHeading___Toc8798284_2870459653"/>
      <w:bookmarkStart w:id="199" w:name="_Toc69"/>
      <w:bookmarkEnd w:id="197"/>
      <w:bookmarkEnd w:id="198"/>
      <w:r>
        <w:rPr>
          <w:rtl w:val="true"/>
        </w:rPr>
        <w:t>المصادر</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حامد محمد بن محمد بن محمد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الوهبیة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الساري لشرح صحیح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التریاق الفاروقي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عبد الباقي العمري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النعمان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للإمام الرازي فخر الدین ابن العلامة ضیاء الدین عمر المشتهر بخطیب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العامرة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النیسابوري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القمي النیسابوري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البیان في تأویل آي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مصطفی البابي الحلبي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طبعه دار الفکر للطباعة لتحقیق صدر في جمیل العطار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و حققه و علق علیه زهدي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الریحاني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تفسیر القرآن العظیم و السبع 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شهاب الدین السید محمود الآسي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الطباعة المنیریة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سبائك الذهب في معرفة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البغدادي الشهیر بالسویدي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إیلیا الحاوي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خایفة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السید الشریف الجرجاني في علم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في الرد علی أهل البدع و الندقة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 حمد بن حجر الهیتي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محمد بن یعقوب الفیروز 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عن مبهمات الشریعة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الأکبر الشیخ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عن حقائق التنزیل و عیون الأقاویل في وجوه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بن عمر الزمخشري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مصطفی البابي الحلبي و أولاده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أبي الحسن علي بن أبي الکرم محمد بن محمد بن عبد الکریم بن عبد الواحد الشیباني المعروف بابن الأثیر الجزري الملقب بعز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المنیریة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بحار الأنوار في غرائب التنزیل و لطائف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المطبع العالي المنشي نول کشور ذي العالي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علي الفضل بن الحسن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الموسوي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الإسلامیة و مخزن الأمیني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السنة النبویة في نقض کلام الشیعة و القدریة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w:t>
      </w:r>
    </w:p>
    <w:p>
      <w:pPr>
        <w:pStyle w:val="BookText"/>
        <w:rPr/>
      </w:pPr>
      <w:r>
        <w:rPr>
          <w:rFonts w:ascii="IRNazanin" w:hAnsi="IRNazanin" w:eastAsia="IRNazanin"/>
          <w:color w:val="111111"/>
          <w:sz w:val="28"/>
          <w:sz w:val="28"/>
          <w:szCs w:val="28"/>
          <w:rtl w:val="true"/>
          <w:lang w:bidi="fa-IR"/>
        </w:rPr>
        <w:t xml:space="preserve">أحمد ابن تیمیة الحراني الدمشقي 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الکبری الأمیریة ببولاق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المحرر الوجيز في تفسير الكتاب العزيز – ابن عطية الاندلسي – تحقيق عبد السلام عبد الشافي محمد – دار الكتب العلمية – بيروت ط الاولى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 محمد باقر المجلسي – تحقيق هاشم الرسولي – دار الكتب الاسلامية طهران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ابراهيم بن جعفر الكاتب المعروف بابن أبي زينب – منشورات أنوار الهدى – قم – تحقيق فارس 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الامام أحمد و بهامشه 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أوفسيت دار الفكر للطباعة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ابن بلبان الفارسي تحقيق شعيب الارنؤوط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ط الثانية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 – تحقيق حسين سليم أسد – دار المأمون للتراث – ط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 ابن أبي الحديد – تحقيق محمد أبو الفضل ابراهيم – دار إحياء الكتب العربية عيسى البابي الحلبي – ط الاولى –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 الجامع الصحيح – للإمام أبي الحسن مسلم بن الحجاح – اوفسين 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 الجامع الصحيح – تحقيق – عبد الوهاب عبد اللطيف – دار الفكر بيروت – ط الثانية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 أبي عبد الله الحاكم النيسابوري و بذيله تلخيص الذهبي – طبع باشراف الدكتور يوسف عبد الرحمن المرعشلي –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 شهابُ الدّين ابنُ حجر العسقلاني –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الاقناع في حَلّ ألفاظ أبِي شجاع – شمس الدين محمد بن احمد الشربيني – دار المعرفة للطباعة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مغني المحتاج الى معرفة معاني ألفاظ المنهاج – شرح الشيخ محمد الشربيني – دار احياء التراث العربي – أوفسيت – طبعة مصطفى البابي الحلبي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 بدر الدين محمد بن عبد الله الزركشي – تحقيق أبو الفضل ابراهيم – دار إحياء الكتب العربية – عيسى البابي الحلبي – ط الاولى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 نجاح الساعي – أحمد بن فهد الحلي – تصحيح أحمد الموحّدي القمي – مكتبة وجداني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الاتقان فيُ علوم القرآن – جلالُ الدّين السيوطي – تحقيق سعيد المندوب دار الفكر بيروت – ط الاولى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شرح صحيح البخاري – العيني – دار احياء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 محب الدين أبي فيض السيد محمد مرتضى الزبيدي الحسيني دراسة و تحقيق – علي شيري – دار الفكر للطباعة بيروت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لأبي الفضل جمال الدين محمد بن مكرم ابن منظور الافريقي المصري – نشر أدب الحوزة – قم ايران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شافية ابن الحاجب – للشيخ رضي الدين محمد بن الحسن الاسترابادي – و شرح شواهده لعبد القادر البغدادي تحقيق – محمد محي الدين عبد الحميد و رفاقه – دار الكتب العلمية بيروت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في الكتاب و السنة و الأدب – للشيخ عبد الحسين أحمد </w:t>
      </w:r>
    </w:p>
    <w:p>
      <w:pPr>
        <w:pStyle w:val="BookText"/>
        <w:rPr/>
      </w:pPr>
      <w:r>
        <w:rPr>
          <w:rFonts w:ascii="Amiri" w:hAnsi="Amiri" w:eastAsia="Amiri" w:cs="Amiri"/>
          <w:color w:val="111111"/>
          <w:sz w:val="28"/>
          <w:sz w:val="28"/>
          <w:szCs w:val="28"/>
          <w:rtl w:val="true"/>
          <w:lang w:bidi="ar-SA"/>
        </w:rPr>
        <w:t xml:space="preserve">الأمين النجفي – دار الكتاب العربي بيروت الطبعة الرابعة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مسائل موسى جار الله – موسوعة السيد عبد الحسين شرف الدين – إعداد و تحقيق مركز العلوم و الثقافة الاسلامية قسم إحياء التراث الإسلامي الجزءُ الرابع دار المؤرخ بيروت – ط الاولى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المتعلمين في أحكام الدين – الإمام جمال الدين حسن يوسف بن المطهر المعروف بالعلامة الحلي – تحقيق الشيخ هادي اليوسفي و السيد أحمد الحسيني – انتشارات فقيه – طهران – ط الاولى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القاضي العضد على مختصر ابن الحاجب – عضد الدين 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الفحول الى تحقيق الحق من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عزوّ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 ثقةُ الاسلام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الامام امير المؤمنين العامة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ضياء الدين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و 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في أحاديث البشر النذير – 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لأحياء التراث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الرازي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الانصاري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عبد العليم البردوني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حواشي الشيرواني و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بشرح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غرائب الاغتراب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الشابندر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أمين و رفاقه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 نصوص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الامير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نخبة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أبو القاسم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مختصر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غريغوريوس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الميسرة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الاسلام و وفيات المشاهير و الأعلام – 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طه محمد الزيني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الحلبي و شركائه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قتيبه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ثروت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الانوار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طاهر أحمد الزّاوي و محمود محمّد 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اسماعيليان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عن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بن عاشور تدقيق نظير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محمد حميد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المخطوطات لجامعة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يوسف بن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ط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التنزيل و اسرار التأويل المعروف بتفسير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عبد الله بن عمر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 و تقديم محمد عبد الرحمن </w:t>
      </w:r>
    </w:p>
    <w:p>
      <w:pPr>
        <w:pStyle w:val="BookText"/>
        <w:rPr/>
      </w:pPr>
      <w:r>
        <w:rPr>
          <w:rFonts w:ascii="Amiri" w:hAnsi="Amiri" w:eastAsia="Amiri" w:cs="Amiri"/>
          <w:color w:val="111111"/>
          <w:sz w:val="28"/>
          <w:sz w:val="28"/>
          <w:szCs w:val="28"/>
          <w:rtl w:val="true"/>
          <w:lang w:bidi="ar-SA"/>
        </w:rPr>
        <w:t>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الاندلسي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عادل أحمد عبد الموجود و رفاقه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على طبعه كاظم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بالنجف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ابن أبي طاهر الشهير بابن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على 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الألفي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الحيدرية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محمد بن يعوّض الله و عادل احمد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درر السمطين في فضائل المصطفى و المرتضى و البتول و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الزرندي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مكتبة الامام امير </w:t>
      </w:r>
    </w:p>
    <w:p>
      <w:pPr>
        <w:pStyle w:val="BookText"/>
        <w:rPr/>
      </w:pPr>
      <w:r>
        <w:rPr>
          <w:rFonts w:ascii="Amiri" w:hAnsi="Amiri" w:eastAsia="Amiri" w:cs="Amiri"/>
          <w:color w:val="111111"/>
          <w:sz w:val="28"/>
          <w:sz w:val="28"/>
          <w:szCs w:val="28"/>
          <w:rtl w:val="true"/>
          <w:lang w:bidi="ar-SA"/>
        </w:rPr>
        <w:t xml:space="preserve">المؤمنين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طارق بن عوض الله و عبد الحسن ابراهيم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العقبي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احمد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خالد عبد الرحمن العك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المعروف بابن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ابي شيبة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سعيد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9737_97182"/>
      <w:bookmarkStart w:id="201" w:name="pg9737_97182"/>
      <w:bookmarkEnd w:id="201"/>
    </w:p>
    <w:p>
      <w:pPr>
        <w:pStyle w:val="Heading2"/>
        <w:numPr>
          <w:ilvl w:val="1"/>
          <w:numId w:val="1"/>
        </w:numPr>
        <w:rPr/>
      </w:pPr>
      <w:bookmarkStart w:id="202" w:name="pg9737_97182"/>
      <w:bookmarkStart w:id="203" w:name="__RefHeading___Toc8798286_2870459653"/>
      <w:bookmarkStart w:id="204" w:name="_Toc70"/>
      <w:bookmarkEnd w:id="202"/>
      <w:bookmarkEnd w:id="203"/>
      <w:r>
        <w:rPr>
          <w:rtl w:val="true"/>
        </w:rPr>
        <w:t>محتویات الکتاب</w:t>
      </w:r>
      <w:bookmarkEnd w:id="204"/>
    </w:p>
    <w:p>
      <w:pPr>
        <w:pStyle w:val="BookText"/>
        <w:rPr/>
      </w:pPr>
      <w:r>
        <w:rPr>
          <w:rFonts w:ascii="Amiri" w:hAnsi="Amiri" w:eastAsia="Amiri" w:cs="Amiri"/>
          <w:color w:val="111111"/>
          <w:sz w:val="28"/>
          <w:sz w:val="28"/>
          <w:szCs w:val="28"/>
          <w:rtl w:val="true"/>
          <w:lang w:bidi="ar-SA"/>
        </w:rPr>
        <w:t xml:space="preserve">مقدمة ناشر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الردّ على مسائل موسى جار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كتاب مسائل موسى جار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دروسه</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ترجمة السائل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نسخ المخطوطات</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أجوبة سماحة الشيخ هادي كاشف الغطاء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الثامنة عشرة و المسألة التاسعة عشرة تعرض فيها السائل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مسائل موسى جار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رسالة في لعن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الغزالي في منع لعن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ابن تيمية في منع لعن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أدلة جواز اللعن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أدلة الجواز ففيها مقامان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لعن المستحق و مشروعيته و استحبابه و مندوبيته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جواز لعن يزيد بخصوصه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خاتمة في فضل العلويين من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محمد بن إسماعیل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اوفیست ط العامرة بإسطنبول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محمد بن إسماعیل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باب إذا التقی المسلمان بسیفیها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الطویل لمضاف بن عمرو الجرهمي في شرح الشافعیة،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البیت لابنه الحارث او الحفیده، عمرو في اللسان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الوافر لأبي الحسن الناشئ الصغیر، کما في 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النیسابوري، الحسن بن محمد النیسابوري،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الأحزاب ایة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الزمخشري،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الشیخ جعفر کاشف الغطاء،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 نفسه،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احراق المصاحف أيّام عثمان ذكرها البخاري بما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نسخوا الصُحُفَ في المصاحفِ رَدَّ عثمانُ الصُحُفَ الى حفصة، فأرسل الى كُلّ أفقٍ بمصحفٍ مما نسخوا، و أمَرَ بما سواهُ من القرآنِ في كلّ صحيفةٍ أو مصحفٍ أن يحُرَق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جمع القرآن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 الأمة بعد النبي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للاستزادة ما كتبه السيد عبد الحسين شرف الدين في ردّه على مسائل موسى جار الله، موسوعة الامام عبد الحسين شرف الدين،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أطال موضّحاً، وقد نقل نكتاً مما قال أئمة المذاهب بعضهم في بعض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الشيخ جعفر كاشف الغطاء،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في أحكام الدين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 المستحق للزكاة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القاضي العضد على مختصر ابن الحاجب،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الترجيح الصنف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الترجيح بحسب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مطبوع ببولاق مصر ط الاولى سنة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نقله الشوكاني في ارشاد الفحول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الآلوسي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سورة الاحزاب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سورة ال عمران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السيد الشريف الجرجاني،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الشيخ الحر العاملي،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الارشاد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إلقاء العول و من يدخل،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أردتَ أن تلقي العول فإنمّا يدخلُ النقصان على الذين لهم الزيادة من الولد و الإخوة من الأب، و أمّا الزوجُ و الإخوة من الأمّ فإنّهم لا ينقصون مما سُمّي لهم شيئاً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السويدي،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الحسن بن محمد النيسابوري،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أحكام القرآن للجصّاص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المحرّر الوجيز لابن عطية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الفخر الرازي،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أي القرآن للطبري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نضرة، قال سألتُ ابن عباس عن متعة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تقرأ سورة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تقرأ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استمتعتم به منهنّ الى اجلٍ مُسمّى؟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ما عند الأئمة من سلاحِ رسول الله صلى الله عليه و اله و متاعه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في مرأة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أخره مرسل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مستفيض عند أهل السنة فأنظره في 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واثلة ابن الاسقع، و 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و كذلك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رضي الله عنها، و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استغربه الترمذي، و 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استغربه، و 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شهر بن حوشب عن أم سلمة و قال عنه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بطريقين يمكن قال عن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على شرط البخاري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على شرط مسلم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عند الشيعة متواتر فلا داعي لذكر مصادره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كتاب الغيبة لابن ابي زينب،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آمالي الشيخ الطوسي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 الحديث مختلفة و معناها واحد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المعنى يتجلّى بوضوحٍ في قولة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فالركون الى الظَلَمَةِ كافٍ في استحقاق النار، و هذا معنى الحديث الذي نسبه الى الباقر عليه السلام، ولكنّ جار الله و أمثاله على قلوبهم أكنة أن يفقهوه، فاطلاق الآية الشريفة واضح بلا مراء، فنفس الركون للظلم موجب لمس النار بلا نظر الى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محو أعمال العاملين ثابت في القران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استبشعَ حديث الباقر علیه السلام في تبديد أعمال من يتوالى الظالم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اضطُررتْ لمراجعة الوافي الطبعة الحجرية مجلّد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فيها ما يفيد غير الحديث عبد الله بن سنان عن الامام الصَّادق في باب معرفة الزوال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تزول الشمس في النصف من حزيران على نصف قدم، و في النصف من تُموّز على قدم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الوافي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في مقام بيان مسألة زوال الشمس و الأقرب لها شهور الروم لأنها مُرَتّبة على الشمس، أما شهور العرب فمرتبة على القمر، و هو أبعد ما يكون عن مسألة زوال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فتوضيحُ الامام المسألة الزوال بالشهور الرومية هو المطابق لمقتضى الحال، و نفس هذا التوضيح لا يدلُّ على اتخاذ الامام شهور الروم، فانّ كتب الحديث الشيعية مشحونة بمئات الروايات بثبوت الهلال في شهر رمضان أو هلال العيد أو هلال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لا مانع من استعمال شهور الروم في التأريخ و حياة المسلمين و دولهم و مكاتباتهم و دواوين جيوشهم طوالَ القرن العشرين، مبنية على تاريخ الروم حتى أنّ المؤلفّ كتب التاريخ آخر كتابه بالرومي و الهجري معاً، ولكن حياة المسلمين و عباداتهم و صومهم و حجهم و أعيادهم كلها مبنيّةٌ على الشهور القمرية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هذا فالنسيءُ، فالتي كُان يقدِّمُ شُهورَ الحجِّ و يؤخّرُها، و هذا غيرُ حادث في أيامنا قطعاً، ولكنّ الرجل لا يَحْسُنُ التمييز بين المسألتين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عدّة الداعي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عنه في البحار،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القراءة عن ظهر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الباري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 الروايات التي تفضّل القراءة في المصحف على القراءة عن ظهر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ضعّفها سنداً و قوّى روايات القراءة عن ظهر القلب، و ما يهمنا هو أنّ الشيعة لم ينفردوا بالمسألة و هناك من وافقهم فقد قال الشربيني في الامتناع في حلّ ألفاظ أبي شجاع،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القراءة نظراً في المصحف أفضل منها عن ظهر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استثنى حالةً هي أن تكون القراءة عن ظهر القلب تزيد الخشوع فهي أفْضَلُ من قراءته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كرر هذا البحث في 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محض افتراء لا واقع له، فإنّ لدى كلِّ من الفريقين رواياتٍ يستظهرُ منها الفريق الأخر القول بالتحريف، و قد زيّف السيد مرتضى العسكري في كتاب كبير من ثلاث مجلدات ضخمة اسمه القرآن و روايات المدرستين، كحل تلك الروايات و فصلها واحدة عند الشيعة و السنة، و ردّها جميعاً، فأنها بين روايات الفلاة، و روايات ضعيفة الاسناد، و روايات تحمل على معاني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كتب أهل السنة أكثر من الف رواية يظهر منها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أريد الحديث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إذا كان القرآن نزل بسبع قراءات فكيف يكون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قالوا بأنه كلام الله و كفى، و كيف يتكلم تعالى بكلامٍ واحد سبع مرات كل مرّة تصاغ عباراته بطريقةٍ فالتغيير الطارئ على هذا الكلام ينافي كونه قديماً فوجب كون كلام الله تعالى واحداً حتى يصير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يدعونهم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التغيير في ألفاظ القرآن من غير الله وقعت الطامة العظمى فإنه التحريف الذي يرمون به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بعد القول بالتحريف الا التخريف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أخرى التغير الطارئ على ألفاظ القرآن يسبب تفرد القراءات إما من الله تعالى أو من غيره، على الأول يلزم كون كلام الله محدثاً لا قديماً و هو خلاف دعواهم، و على الثاني يلزم التحريف حتماً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دليل جهل الرجل فإن تقسيم القران الى آيات توقيفي عندهم و اختلفوا في ما زاد على ستة الاف، بعض قال ستة الاف فقط و بعض زاد عليها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الزركشي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يبيّن لنا كيف يكون توقيفياً و كيف يختلف العدّ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السيوطي نقل العدد في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الرواية في العرافي،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خير إذا كان العدد سبقه آلاف عند الشيعة فقد اختلف عندهم فليجعلونا معهم، بأنّ لنا عدداً خاصاً، ثم إن اختلاف العدد لا يعني زيادة آياتٍ و كلماتٍ و حروفٍ، بل اختلاف الوقف المبني على اختلاف المعنى المفهوم يؤدي إلى اختلاف الوقف المبني على اختلاف المعنى المفهوم يؤدي إلى اختلاف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رواية الكافي إن القائم يخرج المصحف الذي كتبه علي عليه السلام فلا دخل لها بمسألتنا، فمصحف عليّ مكتوب حسب التسلسل الزمني لا أنه مصحف فيه زيادة على هذا الذي بين أيدينا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شأن إنّا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اله كان يقرأ سورة القدر و عليٌّ عنده و ابو بكر و عمر، فيسألهما عن نزول الأمر بعد رحيله صلى الله عليه و اله و سلم أيكون؟ فيقولان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فيسألهما على مَن؟ ينزل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يأخذ برأس عليّ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 شعري ماذا فهم المؤلف من نزول الأمر على عليّ بعد رحيل النبي صلى الله عليه و اله و سلم الى الرفيق الاعلى حتى يحكم ببطلان القرآن و دين الإسلام هل فهم إنه نزول الوحي على عليّ بعد وفاة النبي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سذاجة فهم فهذه كتب الشيعة تصدح بأنّ النبيّ عليه الصلاة و السلام خاتم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الشيعة يقولون بإجماعهم بانقطاع الوحي بعد رحيل النبي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خطابي لا قيمة له فإذا كان قرن الرسالة الأول خير القرون و جرت فيه معارك طاحنه كالجمل و صفيّن راح ضحيتها عشرات الالاف من المسلمين بينهم مبشرون بالجنة كعّمار بن ياسر، و اذا كان خير القرون و قُتل فيه الخليفة عثمان وسط عاصمة الخلافة و لم يسرع أحد من الصحابة للموت دون أو لنصرته على أقل التقادير، مع طول حصار دار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قرن الخلافة الأول يقتل الحسين و يُطاف برأسه الشريف من بلد 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 القرون يباع الخمر في الشام بعلم الوالي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خير القرون خرجت الخوارج تقطع طريق المسلمين تبقر بطون الحوامل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خير القرون تنتهك الكعبة مرتين و تضرب المدينة و تباح لجيش الخليفة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بقيت أُعدّد لَسوّدتُ مئات الصفحات، فكيف يكون شرُّ القرون؟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عفير هو حمارٌ كان لرسول الله، و ذيل الرواية إنَّ الحمار يحُدّثُ النبيَّ، و الحديث مع ضعفه مرسل الآخر، كما قال العلاّمة المجلسي في 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في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سند و لا نسبة لواحدٍ من أهل البيت، و قال عن العلامة المجلسي في 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الثاني و السبعون و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يخالف مباني الإمامية من طهارة جميع أجداد النبيّ صلى الله عليه و اله، و هذا الخبر يمسّ جدّ رسول الله عبد المطّلب، فالخبرُ ساقط عن الاعتبار جزماً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الكشاف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عدة الشهور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وافقت حجة الوداع ذا الحجة، و كانت حجة أبي بكر رضي الله عنه قبلها في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عنه العيني في عمدة القاري،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يعلَّق عليها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يبدوا ان المؤلف لم يسمع بأنّ عبد الله بن مسعود كان يحكُّ المعّوذتًين من القرآن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الغزالي،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الغزالي،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 المطبعة الاميرية ببولاق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الجاري،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يشرب الخمر، و أبن تيمية لم ينقل الحديث نصاً بل عَبَثَ ببعض ألفاظه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عَلَيْهِمْ لَعْنَةَ اللَّهِ وَالْمَلَائِكَةِ وَالنَّاسِ أَجْمَعِينَ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الكامل، مختلف في نسبتهما بين محمد بن الحسن الوراق و بين الامام الشافعي و بين الامام الباقر عليه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إسماعيل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قيل في قتال الروم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 القسطلاني،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حُسْن خُلُق الشيخ و الا فهذا الحديث مرويٌ بهذا الطريق فقط في البخاري و قد انفرد البخاري بذكره دون بقية الستة، و لا ذكر لابن عمر في الحديث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بحار الأنوار، الشيخ محمد طاهر،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علامات خروج الرجال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صادر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وقعة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يُنهى من سبّ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باب سكرات الموت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من اللّطمة،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النص في كتاب غرائب الاغتراب للآلوسي، و لم ألمح معناه في تفسير الالوسي، و الاشكال في أنّ هذا الكلام مخالفٌ لمبنى الالوسي في اللعن، فإنه 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صراحة باسمه مراراً فانظر غرائب الاغتراب،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الطريد 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من الله ما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انظره في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 رأي الالوسي في اللعن إن كن أحدث في الإسلام أحدثاً عظاماً يجوز لعنه مطلقاً، و غيره ممن يستحقون اللعن يُدارى في لعنهم حذراً من إيذاء أقاربهم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أعرف مصدر نقل الشيخ لهذا الكلام عن الآلوسي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أنهم جميعاً نقلوا نصّ ما في الايضاح للفضل بن شاذان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للعتّابي، في العقد الفريد،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ربيع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لأبي الحسن الناشئ الصغير، في الغدير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و تجارب الأمم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سروش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امامي، و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مختصر الدول لابن العبري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طه الزيني ،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علي شيري، و كتاب الفتوح لابن أعثم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الحلبية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 في غريب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كابَرَ الالوسي في تفسيره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كَذّبَ الخبر و كَذّب ابن قتيبة و اتّهمه بالافتراء و ابن اعثم و السمساطي، و نسيَ أنَّ الحادثة مشهورة حتى لا كتها ألسن الشعراء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الغدير أول الجزء التاسع فقد ذكر هناك ما جرى بين عبد الله بن مسعود و عثمان بتمام التفاصيل و من أدق المصادر مع تحرّي الدقة في الضبط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واقعة السقيفة في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كيف يحرّض الصحابة بعضهم على بعض و كيف يهدّد بعضهم بمقاتلة البعض، و لا أدري هل سمعتم قول عمر للزبير في حادثة دار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لخالد في هذه الحادثة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عدوَّ الله قتلتَ امرءاً مسلماً ثمّ نزوتَ على امرأته لأرجمنّك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مقارب جدا لما في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الاغاني،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فتنبّه لكلام الخليفة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تقريعاً لخالد وسعياً به عند أبي بكر لرجمه بالزنا، ثم إنّ عمر أسَرَّها بنفسه حتّى صار خليفة، فأوّل فعله عُزَل خالد عن قيادة جند الشام و أمًّرَ عليهم أبا عُبيدة أبن الجرّاح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دار المعارف تحقيق أحمد حميد الله،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تعالى في سورة السجدة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نزلت في علي عليه السلام و في الوليد، فانظر الحادثة في تفسير الطبري،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مسلم او ابن مسلمة الضهري اختلف فيه؟ هل له صحبة أو لا؟ كان من رجالات معاوية في صنفين طبقات 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حبيب هذا هو الذي سعى عند معاوية بأبي ذر انظر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أطاة انظر ترجمة في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بحث طويل في إيراد كلام أبي المعالي الجويني،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عباس و تخصيص عكرمة و الجمهور نقله البيَضاوي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يَقْتُلْ مُؤْمِنًا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و تجد بعضها في 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قد قدَّم الشيخ المؤلف و أخَّرَ بعض كلمات ابن تيمية و ذلك لا يغيرّ بالمعنى، و بدّل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 ابن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 أن أوّل من دوَّن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في طبقاته و تبعه ابن حبيب في بعض كتبه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جملة من جمل ابن تيمية يستعملها دائماً للتغرير و التدليس على القراء، فكل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 أو اجماع أو بلا خلاف أو أهل العلم أو جماعة من العلماء، أو كثير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كلمات ابن تيمية على القارئ التوقف عندها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إحدى أشهر الطرق للتدليس عند ابن تيمية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نقض الكعبة، و لاحظ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احترق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عبارته يقصد بها ابهام الفاعل عمداً محاولة لتضييع الحقيقة ثم بعد 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من أمره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نكره مبهمة و لماذا كل هذا الغموض يا امام المحدّثين؟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إسماعيل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الاذخر و الحشيش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يحل القتال بمكة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اثم الغادر للبّرّ و الفاجر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ابن تيمية،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الرواية عن أحمد فنقلها في تذكرة الخواص،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عن جدّه عن القاضي أبي يعلى الفراء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الى صالح بن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نقلها أبو حيان الاندلسي في البحر المحيط،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ابنه سأله هل يُلْعَن؟ و ذكر شخصاً 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كيف حذف أبو حيّان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تفسير البقرة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إسماعيل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حرم المدينة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الفاروقي، عبد الباقي العمري،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حدثني الوليد بن مسلم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برأس الحسين على يزيد بن معاوية و أدخل أهله الخضراء بدمشق تصايحن بناتُ معاوية و نساؤه فجعل يزيد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صيحةً 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قضى الله أمراً كان مفعولاً قد كنّا نرضى من طاعة هؤلاء بدون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أدخل عليّ بن الحسين على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 إنّ أباك قطعَ رحمي و ظلمني فصنَعَ اللهُ به ما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فوات الوفيات لابن شاكر،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أتي برأس الحسين رضي الله عنه صاح بناتُ معاوية و عيالهم، و سمعهم يزيد فذرفت عيناه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قض اللهُ و رسولُهُ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نرضى من أهل العراق بدون قتل الحسين، و عُرض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فأراد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كيف أنَّ الروايات تدفع بعضها، بل صدر الرواية يدفع ذيلها، و ذيلها يردّ صدرها، ففي الاولى كيف يقول نرضى من طاعة هؤلاء بدون هذا ثمّ آخرها يشمت بعلىّ بن الحسين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ترى صنع الله به ما رأيت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كيف يريد قتله أخر الرواية الثانية، و يقول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الأولى، ثم في الثانية كيف ذرفت عيناه و كيف يُريد قتل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يرضى من أهل العراق بدون قتل الحسين، ثم بعد لحظة يريد قتل ابنه، أمّا بكاءُ نساءِ يزيد فنَعَم هناك رواياتٌ من طرقنا تثبت ذلك و إنّ إحدى نساء يزيد كانت جارية في بيت علي عليه السلام في المدينة، و في طرقنا إنّه قال هذا البيت لمّا قرّعته السيدة زينب بخطبتها، انظر اللهوف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قمنا بإصلاحها و إجراء التغييرات عليها لأنّ نصّها في المطبوع غير واضح بل مضطرب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 محمد بن إدريس الشافعي،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البيتين الى الشافعي لا كلام فيها، فإنَّ البهيقي رواهما عنه كما في نفحة الرياحين على ما بذهني، و في نظم درر السمطين،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الفرزدق، إيليا الحاوي،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ديوان ابن عربي و لم أرَه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الطالبيين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الاوسط للطبراني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العقبى،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الحاكم في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رجال أحمد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يعلى الموصلي في مسنده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أبي يعلى رجال الصحيح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للأمام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الله محمد عباس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الترمذي في سننه عن أبي سعيد الخدري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استغر به، و فضائل الصحابه للأمام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البغوي في تفسيره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لأنّ مودة النبي صلى الله عليه و اله و سلم و كفّ الاذى عنه و مودة أقاربه و التقّرب الى الله بالطاعة و العمل الصالح من فرائض الدين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 محمد بن إدريس الشافعي،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 محمد بن إدريس الشافعي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الاسلام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 محمد بن إدريس الشافعي،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باب قوله إنّ الله و ملائكته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على شرط مسلم و لم يخرجاه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عن تفسير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للثعلبي،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 بيت النبيّ حديث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حسن غريب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فضل فاطمة مع اختلاف ضعيف طفيف في اللفظ، و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 و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 و الحسين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و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ابي محمد الحسن حديث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لابن أبي شيبة،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الحسن و الحسين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 و الحسين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30396</Words>
  <Characters>120453</Characters>
  <CharactersWithSpaces>149913</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2026-08-20T19:20:55Z</dcterms:created>
  <dc:creator>ghaemiyeh.com</dc:creator>
  <dc:description/>
  <dc:language>en-US</dc:language>
  <cp:lastModifiedBy/>
  <dcterms:modified xsi:type="dcterms:W3CDTF">2026-08-20T22:50:59Z</dcterms:modified>
  <cp:revision>1</cp:revision>
  <dc:subject/>
  <dc:title>أجوبة مسائل موسى جار الله ورسالة فی اللعن وفضل العلویین</dc:title>
</cp:coreProperties>
</file>

<file path=docProps/custom.xml><?xml version="1.0" encoding="utf-8"?>
<Properties xmlns="http://schemas.openxmlformats.org/officeDocument/2006/custom-properties" xmlns:vt="http://schemas.openxmlformats.org/officeDocument/2006/docPropsVTypes"/>
</file>