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الاصلاح الحسینی </w:t>
      </w:r>
      <w:r>
        <w:rPr/>
        <w:t>8</w:t>
      </w:r>
      <w:r>
        <w:rPr>
          <w:rtl w:val="true"/>
        </w:rPr>
        <w:t xml:space="preserve"> </w:t>
      </w:r>
      <w:r>
        <w:rPr>
          <w:rtl w:val="true"/>
        </w:rPr>
        <w:t>مجلة فصلیة متخصصة فی النهضة و تعنی بالدراسات الدینیة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8716_2870459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288718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288720_2870459653">
            <w:r>
              <w:rPr>
                <w:webHidden/>
                <w:rStyle w:val="IndexLink"/>
                <w:rtl w:val="true"/>
              </w:rPr>
              <w:t>هوية المجلّة</w:t>
            </w:r>
            <w:r>
              <w:rPr>
                <w:rStyle w:val="IndexLink"/>
                <w:rtl w:val="true"/>
              </w:rPr>
              <w:t>:</w:t>
              <w:tab/>
            </w:r>
            <w:r>
              <w:rPr>
                <w:rStyle w:val="IndexLink"/>
              </w:rPr>
              <w:t>14</w:t>
            </w:r>
          </w:hyperlink>
        </w:p>
        <w:p>
          <w:pPr>
            <w:pStyle w:val="Contents2"/>
            <w:tabs>
              <w:tab w:val="clear" w:pos="8743"/>
              <w:tab w:val="right" w:pos="9026" w:leader="dot"/>
            </w:tabs>
            <w:rPr/>
          </w:pPr>
          <w:hyperlink w:anchor="__RefHeading___Toc8288722_2870459653">
            <w:r>
              <w:rPr>
                <w:webHidden/>
                <w:rStyle w:val="IndexLink"/>
                <w:rtl w:val="true"/>
              </w:rPr>
              <w:t>المحتویات</w:t>
            </w:r>
            <w:r>
              <w:rPr>
                <w:rStyle w:val="IndexLink"/>
                <w:rtl w:val="true"/>
              </w:rPr>
              <w:tab/>
            </w:r>
            <w:r>
              <w:rPr>
                <w:rStyle w:val="IndexLink"/>
              </w:rPr>
              <w:t>18</w:t>
            </w:r>
          </w:hyperlink>
        </w:p>
        <w:p>
          <w:pPr>
            <w:pStyle w:val="Contents2"/>
            <w:tabs>
              <w:tab w:val="clear" w:pos="8743"/>
              <w:tab w:val="right" w:pos="9026" w:leader="dot"/>
            </w:tabs>
            <w:rPr/>
          </w:pPr>
          <w:hyperlink w:anchor="__RefHeading___Toc8288724_2870459653">
            <w:r>
              <w:rPr>
                <w:webHidden/>
                <w:rStyle w:val="IndexLink"/>
                <w:rtl w:val="true"/>
              </w:rPr>
              <w:t>مقال التحرير</w:t>
            </w:r>
            <w:r>
              <w:rPr>
                <w:rStyle w:val="IndexLink"/>
                <w:rtl w:val="true"/>
              </w:rPr>
              <w:tab/>
            </w:r>
            <w:r>
              <w:rPr>
                <w:rStyle w:val="IndexLink"/>
              </w:rPr>
              <w:t>21</w:t>
            </w:r>
          </w:hyperlink>
        </w:p>
        <w:p>
          <w:pPr>
            <w:pStyle w:val="Contents2"/>
            <w:tabs>
              <w:tab w:val="clear" w:pos="8743"/>
              <w:tab w:val="right" w:pos="9026" w:leader="dot"/>
            </w:tabs>
            <w:rPr/>
          </w:pPr>
          <w:hyperlink w:anchor="__RefHeading___Toc8288726_2870459653">
            <w:r>
              <w:rPr>
                <w:webHidden/>
                <w:rStyle w:val="IndexLink"/>
                <w:rtl w:val="true"/>
              </w:rPr>
              <w:t>الحكومة الإسلاميّة وولاية الفقيه في ظلّ المبادئ السياسيّة للنهضة الحسينيّة</w:t>
            </w:r>
            <w:r>
              <w:rPr>
                <w:rStyle w:val="IndexLink"/>
                <w:rtl w:val="true"/>
              </w:rPr>
              <w:tab/>
            </w:r>
            <w:r>
              <w:rPr>
                <w:rStyle w:val="IndexLink"/>
              </w:rPr>
              <w:t>23</w:t>
            </w:r>
          </w:hyperlink>
        </w:p>
        <w:p>
          <w:pPr>
            <w:pStyle w:val="Contents2"/>
            <w:tabs>
              <w:tab w:val="clear" w:pos="8743"/>
              <w:tab w:val="right" w:pos="9026" w:leader="dot"/>
            </w:tabs>
            <w:rPr/>
          </w:pPr>
          <w:hyperlink w:anchor="__RefHeading___Toc8288728_2870459653">
            <w:r>
              <w:rPr>
                <w:webHidden/>
                <w:rStyle w:val="IndexLink"/>
                <w:rtl w:val="true"/>
              </w:rPr>
              <w:t>الشيخ قيصر التميمي</w:t>
            </w:r>
            <w:r>
              <w:rPr>
                <w:rStyle w:val="IndexLink"/>
                <w:rtl w:val="true"/>
              </w:rPr>
              <w:tab/>
            </w:r>
            <w:r>
              <w:rPr>
                <w:rStyle w:val="IndexLink"/>
              </w:rPr>
              <w:t>23</w:t>
            </w:r>
          </w:hyperlink>
        </w:p>
        <w:p>
          <w:pPr>
            <w:pStyle w:val="Contents2"/>
            <w:tabs>
              <w:tab w:val="clear" w:pos="8743"/>
              <w:tab w:val="right" w:pos="9026" w:leader="dot"/>
            </w:tabs>
            <w:rPr/>
          </w:pPr>
          <w:hyperlink w:anchor="__RefHeading___Toc8288730_2870459653">
            <w:r>
              <w:rPr>
                <w:webHidden/>
                <w:rStyle w:val="IndexLink"/>
                <w:rtl w:val="true"/>
              </w:rPr>
              <w:t xml:space="preserve">الفصل بين القيادتين الدينيّة والسياسيّة في عصر الغَيّبة </w:t>
            </w:r>
            <w:r>
              <w:rPr>
                <w:rStyle w:val="IndexLink"/>
                <w:rtl w:val="true"/>
              </w:rPr>
              <w:t>(</w:t>
            </w:r>
            <w:r>
              <w:rPr>
                <w:rStyle w:val="IndexLink"/>
                <w:rtl w:val="true"/>
              </w:rPr>
              <w:t>أسباب زمكانيّة</w:t>
            </w:r>
            <w:r>
              <w:rPr>
                <w:rStyle w:val="IndexLink"/>
                <w:rtl w:val="true"/>
              </w:rPr>
              <w:t>)</w:t>
              <w:tab/>
            </w:r>
            <w:r>
              <w:rPr>
                <w:rStyle w:val="IndexLink"/>
              </w:rPr>
              <w:t>24</w:t>
            </w:r>
          </w:hyperlink>
        </w:p>
        <w:p>
          <w:pPr>
            <w:pStyle w:val="Contents2"/>
            <w:tabs>
              <w:tab w:val="clear" w:pos="8743"/>
              <w:tab w:val="right" w:pos="9026" w:leader="dot"/>
            </w:tabs>
            <w:rPr/>
          </w:pPr>
          <w:hyperlink w:anchor="__RefHeading___Toc8288732_2870459653">
            <w:r>
              <w:rPr>
                <w:webHidden/>
                <w:rStyle w:val="IndexLink"/>
              </w:rPr>
              <w:t>1</w:t>
            </w:r>
            <w:r>
              <w:rPr>
                <w:rStyle w:val="IndexLink"/>
                <w:rtl w:val="true"/>
              </w:rPr>
              <w:t xml:space="preserve">- </w:t>
            </w:r>
            <w:r>
              <w:rPr>
                <w:rStyle w:val="IndexLink"/>
                <w:rtl w:val="true"/>
              </w:rPr>
              <w:t>فكرة فصل الاختصاص الديني عن المنهج السياسي</w:t>
            </w:r>
            <w:r>
              <w:rPr>
                <w:rStyle w:val="IndexLink"/>
                <w:rtl w:val="true"/>
              </w:rPr>
              <w:tab/>
            </w:r>
            <w:r>
              <w:rPr>
                <w:rStyle w:val="IndexLink"/>
              </w:rPr>
              <w:t>25</w:t>
            </w:r>
          </w:hyperlink>
        </w:p>
        <w:p>
          <w:pPr>
            <w:pStyle w:val="Contents2"/>
            <w:tabs>
              <w:tab w:val="clear" w:pos="8743"/>
              <w:tab w:val="right" w:pos="9026" w:leader="dot"/>
            </w:tabs>
            <w:rPr/>
          </w:pPr>
          <w:hyperlink w:anchor="__RefHeading___Toc8288734_2870459653">
            <w:r>
              <w:rPr>
                <w:webHidden/>
                <w:rStyle w:val="IndexLink"/>
              </w:rPr>
              <w:t>2</w:t>
            </w:r>
            <w:r>
              <w:rPr>
                <w:rStyle w:val="IndexLink"/>
                <w:rtl w:val="true"/>
              </w:rPr>
              <w:t xml:space="preserve">- </w:t>
            </w:r>
            <w:r>
              <w:rPr>
                <w:rStyle w:val="IndexLink"/>
                <w:rtl w:val="true"/>
              </w:rPr>
              <w:t>خصائص العصمة والإمامة</w:t>
            </w:r>
            <w:r>
              <w:rPr>
                <w:rStyle w:val="IndexLink"/>
                <w:rtl w:val="true"/>
              </w:rPr>
              <w:tab/>
            </w:r>
            <w:r>
              <w:rPr>
                <w:rStyle w:val="IndexLink"/>
              </w:rPr>
              <w:t>26</w:t>
            </w:r>
          </w:hyperlink>
        </w:p>
        <w:p>
          <w:pPr>
            <w:pStyle w:val="Contents2"/>
            <w:tabs>
              <w:tab w:val="clear" w:pos="8743"/>
              <w:tab w:val="right" w:pos="9026" w:leader="dot"/>
            </w:tabs>
            <w:rPr/>
          </w:pPr>
          <w:hyperlink w:anchor="__RefHeading___Toc8288736_2870459653">
            <w:r>
              <w:rPr>
                <w:webHidden/>
                <w:rStyle w:val="IndexLink"/>
              </w:rPr>
              <w:t>3</w:t>
            </w:r>
            <w:r>
              <w:rPr>
                <w:rStyle w:val="IndexLink"/>
                <w:rtl w:val="true"/>
              </w:rPr>
              <w:t xml:space="preserve">- </w:t>
            </w:r>
            <w:r>
              <w:rPr>
                <w:rStyle w:val="IndexLink"/>
                <w:rtl w:val="true"/>
              </w:rPr>
              <w:t>كُلّ راية تُرفع قبل قيام المهدي فهي راية ضلال</w:t>
            </w:r>
            <w:r>
              <w:rPr>
                <w:rStyle w:val="IndexLink"/>
                <w:rtl w:val="true"/>
              </w:rPr>
              <w:tab/>
            </w:r>
            <w:r>
              <w:rPr>
                <w:rStyle w:val="IndexLink"/>
              </w:rPr>
              <w:t>27</w:t>
            </w:r>
          </w:hyperlink>
        </w:p>
        <w:p>
          <w:pPr>
            <w:pStyle w:val="Contents2"/>
            <w:tabs>
              <w:tab w:val="clear" w:pos="8743"/>
              <w:tab w:val="right" w:pos="9026" w:leader="dot"/>
            </w:tabs>
            <w:rPr/>
          </w:pPr>
          <w:hyperlink w:anchor="__RefHeading___Toc8288738_2870459653">
            <w:r>
              <w:rPr>
                <w:webHidden/>
                <w:rStyle w:val="IndexLink"/>
              </w:rPr>
              <w:t>4</w:t>
            </w:r>
            <w:r>
              <w:rPr>
                <w:rStyle w:val="IndexLink"/>
                <w:rtl w:val="true"/>
              </w:rPr>
              <w:t xml:space="preserve">- </w:t>
            </w:r>
            <w:r>
              <w:rPr>
                <w:rStyle w:val="IndexLink"/>
                <w:rtl w:val="true"/>
              </w:rPr>
              <w:t>الروايات الآمرة بالجلوس والناهية عن الخروج على السلطات الظالمة</w:t>
            </w:r>
            <w:r>
              <w:rPr>
                <w:rStyle w:val="IndexLink"/>
                <w:rtl w:val="true"/>
              </w:rPr>
              <w:tab/>
            </w:r>
            <w:r>
              <w:rPr>
                <w:rStyle w:val="IndexLink"/>
              </w:rPr>
              <w:t>28</w:t>
            </w:r>
          </w:hyperlink>
        </w:p>
        <w:p>
          <w:pPr>
            <w:pStyle w:val="Contents2"/>
            <w:tabs>
              <w:tab w:val="clear" w:pos="8743"/>
              <w:tab w:val="right" w:pos="9026" w:leader="dot"/>
            </w:tabs>
            <w:rPr/>
          </w:pPr>
          <w:hyperlink w:anchor="__RefHeading___Toc8288740_2870459653">
            <w:r>
              <w:rPr>
                <w:webHidden/>
                <w:rStyle w:val="IndexLink"/>
              </w:rPr>
              <w:t>5</w:t>
            </w:r>
            <w:r>
              <w:rPr>
                <w:rStyle w:val="IndexLink"/>
                <w:rtl w:val="true"/>
              </w:rPr>
              <w:t xml:space="preserve">- </w:t>
            </w:r>
            <w:r>
              <w:rPr>
                <w:rStyle w:val="IndexLink"/>
                <w:rtl w:val="true"/>
              </w:rPr>
              <w:t>سيرة المعصومين علیهم السلام بعد الحسين علیه السلام على ترك السعي لإقامة حكومة إسلامية</w:t>
            </w:r>
            <w:r>
              <w:rPr>
                <w:rStyle w:val="IndexLink"/>
                <w:rtl w:val="true"/>
              </w:rPr>
              <w:tab/>
            </w:r>
            <w:r>
              <w:rPr>
                <w:rStyle w:val="IndexLink"/>
              </w:rPr>
              <w:t>31</w:t>
            </w:r>
          </w:hyperlink>
        </w:p>
        <w:p>
          <w:pPr>
            <w:pStyle w:val="Contents2"/>
            <w:tabs>
              <w:tab w:val="clear" w:pos="8743"/>
              <w:tab w:val="right" w:pos="9026" w:leader="dot"/>
            </w:tabs>
            <w:rPr/>
          </w:pPr>
          <w:hyperlink w:anchor="__RefHeading___Toc8288742_2870459653">
            <w:r>
              <w:rPr>
                <w:webHidden/>
                <w:rStyle w:val="IndexLink"/>
                <w:rtl w:val="true"/>
              </w:rPr>
              <w:t>الإجابة عن هذه الإشكاليّة</w:t>
            </w:r>
            <w:r>
              <w:rPr>
                <w:rStyle w:val="IndexLink"/>
                <w:rtl w:val="true"/>
              </w:rPr>
              <w:tab/>
            </w:r>
            <w:r>
              <w:rPr>
                <w:rStyle w:val="IndexLink"/>
              </w:rPr>
              <w:t>32</w:t>
            </w:r>
          </w:hyperlink>
        </w:p>
        <w:p>
          <w:pPr>
            <w:pStyle w:val="Contents2"/>
            <w:tabs>
              <w:tab w:val="clear" w:pos="8743"/>
              <w:tab w:val="right" w:pos="9026" w:leader="dot"/>
            </w:tabs>
            <w:rPr/>
          </w:pPr>
          <w:hyperlink w:anchor="__RefHeading___Toc8288744_2870459653">
            <w:r>
              <w:rPr>
                <w:webHidden/>
                <w:rStyle w:val="IndexLink"/>
                <w:rtl w:val="true"/>
              </w:rPr>
              <w:t>أوّلاً</w:t>
            </w:r>
            <w:r>
              <w:rPr>
                <w:rStyle w:val="IndexLink"/>
                <w:rtl w:val="true"/>
              </w:rPr>
              <w:t xml:space="preserve">: </w:t>
            </w:r>
            <w:r>
              <w:rPr>
                <w:rStyle w:val="IndexLink"/>
                <w:rtl w:val="true"/>
              </w:rPr>
              <w:t>نظرية الحكومة الإسلاميّة وولاية الفقيه المطلقة</w:t>
            </w:r>
            <w:r>
              <w:rPr>
                <w:rStyle w:val="IndexLink"/>
                <w:rtl w:val="true"/>
              </w:rPr>
              <w:tab/>
            </w:r>
            <w:r>
              <w:rPr>
                <w:rStyle w:val="IndexLink"/>
              </w:rPr>
              <w:t>32</w:t>
            </w:r>
          </w:hyperlink>
        </w:p>
        <w:p>
          <w:pPr>
            <w:pStyle w:val="Contents2"/>
            <w:tabs>
              <w:tab w:val="clear" w:pos="8743"/>
              <w:tab w:val="right" w:pos="9026" w:leader="dot"/>
            </w:tabs>
            <w:rPr/>
          </w:pPr>
          <w:hyperlink w:anchor="__RefHeading___Toc8288746_2870459653">
            <w:r>
              <w:rPr>
                <w:webHidden/>
                <w:rStyle w:val="IndexLink"/>
                <w:rtl w:val="true"/>
              </w:rPr>
              <w:t>ثانياً</w:t>
            </w:r>
            <w:r>
              <w:rPr>
                <w:rStyle w:val="IndexLink"/>
                <w:rtl w:val="true"/>
              </w:rPr>
              <w:t xml:space="preserve">: </w:t>
            </w:r>
            <w:r>
              <w:rPr>
                <w:rStyle w:val="IndexLink"/>
                <w:rtl w:val="true"/>
              </w:rPr>
              <w:t xml:space="preserve">فكرة المشاركة السياسيّة والاجتماعيّة </w:t>
            </w:r>
            <w:r>
              <w:rPr>
                <w:rStyle w:val="IndexLink"/>
                <w:rtl w:val="true"/>
              </w:rPr>
              <w:t>(</w:t>
            </w:r>
            <w:r>
              <w:rPr>
                <w:rStyle w:val="IndexLink"/>
                <w:rtl w:val="true"/>
              </w:rPr>
              <w:t>الولاية الحسبية</w:t>
            </w:r>
            <w:r>
              <w:rPr>
                <w:rStyle w:val="IndexLink"/>
                <w:rtl w:val="true"/>
              </w:rPr>
              <w:t>)</w:t>
              <w:tab/>
            </w:r>
            <w:r>
              <w:rPr>
                <w:rStyle w:val="IndexLink"/>
              </w:rPr>
              <w:t>34</w:t>
            </w:r>
          </w:hyperlink>
        </w:p>
        <w:p>
          <w:pPr>
            <w:pStyle w:val="Contents2"/>
            <w:tabs>
              <w:tab w:val="clear" w:pos="8743"/>
              <w:tab w:val="right" w:pos="9026" w:leader="dot"/>
            </w:tabs>
            <w:rPr/>
          </w:pPr>
          <w:hyperlink w:anchor="__RefHeading___Toc8288748_2870459653">
            <w:r>
              <w:rPr>
                <w:webHidden/>
                <w:rStyle w:val="IndexLink"/>
                <w:rtl w:val="true"/>
              </w:rPr>
              <w:t>ثالثاً</w:t>
            </w:r>
            <w:r>
              <w:rPr>
                <w:rStyle w:val="IndexLink"/>
                <w:rtl w:val="true"/>
              </w:rPr>
              <w:t xml:space="preserve">: </w:t>
            </w:r>
            <w:r>
              <w:rPr>
                <w:rStyle w:val="IndexLink"/>
                <w:rtl w:val="true"/>
              </w:rPr>
              <w:t>الحضور الحسيني المتميّز في الأوضاع الراهنة</w:t>
            </w:r>
            <w:r>
              <w:rPr>
                <w:rStyle w:val="IndexLink"/>
                <w:rtl w:val="true"/>
              </w:rPr>
              <w:tab/>
            </w:r>
            <w:r>
              <w:rPr>
                <w:rStyle w:val="IndexLink"/>
              </w:rPr>
              <w:t>39</w:t>
            </w:r>
          </w:hyperlink>
        </w:p>
        <w:p>
          <w:pPr>
            <w:pStyle w:val="Contents2"/>
            <w:tabs>
              <w:tab w:val="clear" w:pos="8743"/>
              <w:tab w:val="right" w:pos="9026" w:leader="dot"/>
            </w:tabs>
            <w:rPr/>
          </w:pPr>
          <w:hyperlink w:anchor="__RefHeading___Toc8288750_2870459653">
            <w:r>
              <w:rPr>
                <w:webHidden/>
                <w:rStyle w:val="IndexLink"/>
                <w:rtl w:val="true"/>
              </w:rPr>
              <w:t>رابعاً</w:t>
            </w:r>
            <w:r>
              <w:rPr>
                <w:rStyle w:val="IndexLink"/>
                <w:rtl w:val="true"/>
              </w:rPr>
              <w:t xml:space="preserve">: </w:t>
            </w:r>
            <w:r>
              <w:rPr>
                <w:rStyle w:val="IndexLink"/>
                <w:rtl w:val="true"/>
              </w:rPr>
              <w:t>مناقشة شواهد ونصوص الإشكاليّة</w:t>
            </w:r>
            <w:r>
              <w:rPr>
                <w:rStyle w:val="IndexLink"/>
                <w:rtl w:val="true"/>
              </w:rPr>
              <w:tab/>
            </w:r>
            <w:r>
              <w:rPr>
                <w:rStyle w:val="IndexLink"/>
              </w:rPr>
              <w:t>40</w:t>
            </w:r>
          </w:hyperlink>
        </w:p>
        <w:p>
          <w:pPr>
            <w:pStyle w:val="Contents2"/>
            <w:tabs>
              <w:tab w:val="clear" w:pos="8743"/>
              <w:tab w:val="right" w:pos="9026" w:leader="dot"/>
            </w:tabs>
            <w:rPr/>
          </w:pPr>
          <w:hyperlink w:anchor="__RefHeading___Toc8288752_2870459653">
            <w:r>
              <w:rPr>
                <w:webHidden/>
                <w:rStyle w:val="IndexLink"/>
                <w:rtl w:val="true"/>
              </w:rPr>
              <w:t>دراسات في آفاق النهضة الحسينية</w:t>
            </w:r>
            <w:r>
              <w:rPr>
                <w:rStyle w:val="IndexLink"/>
                <w:rtl w:val="true"/>
              </w:rPr>
              <w:tab/>
            </w:r>
            <w:r>
              <w:rPr>
                <w:rStyle w:val="IndexLink"/>
              </w:rPr>
              <w:t>47</w:t>
            </w:r>
          </w:hyperlink>
        </w:p>
        <w:p>
          <w:pPr>
            <w:pStyle w:val="Contents3"/>
            <w:tabs>
              <w:tab w:val="clear" w:pos="8459"/>
              <w:tab w:val="right" w:pos="9026" w:leader="dot"/>
            </w:tabs>
            <w:rPr/>
          </w:pPr>
          <w:hyperlink w:anchor="__RefHeading___Toc8288754_2870459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8288756_2870459653">
            <w:r>
              <w:rPr>
                <w:webHidden/>
                <w:rStyle w:val="IndexLink"/>
                <w:rtl w:val="true"/>
              </w:rPr>
              <w:t>النهضة الحسينية بين نظرية الشهادة وإقامة الحكومة</w:t>
            </w:r>
            <w:r>
              <w:rPr>
                <w:rStyle w:val="IndexLink"/>
                <w:rtl w:val="true"/>
              </w:rPr>
              <w:tab/>
            </w:r>
            <w:r>
              <w:rPr>
                <w:rStyle w:val="IndexLink"/>
              </w:rPr>
              <w:t>49</w:t>
            </w:r>
          </w:hyperlink>
        </w:p>
        <w:p>
          <w:pPr>
            <w:pStyle w:val="Contents3"/>
            <w:tabs>
              <w:tab w:val="clear" w:pos="8459"/>
              <w:tab w:val="right" w:pos="9026" w:leader="dot"/>
            </w:tabs>
            <w:rPr/>
          </w:pPr>
          <w:hyperlink w:anchor="__RefHeading___Toc8288758_2870459653">
            <w:r>
              <w:rPr>
                <w:webHidden/>
                <w:rStyle w:val="IndexLink"/>
                <w:rtl w:val="true"/>
              </w:rPr>
              <w:t>آية الله الشيخ محمد جواد اللنكراني</w:t>
            </w:r>
            <w:r>
              <w:rPr>
                <w:rStyle w:val="IndexLink"/>
                <w:rtl w:val="true"/>
              </w:rPr>
              <w:tab/>
            </w:r>
            <w:r>
              <w:rPr>
                <w:rStyle w:val="IndexLink"/>
              </w:rPr>
              <w:t>49</w:t>
            </w:r>
          </w:hyperlink>
        </w:p>
        <w:p>
          <w:pPr>
            <w:pStyle w:val="Contents3"/>
            <w:tabs>
              <w:tab w:val="clear" w:pos="8459"/>
              <w:tab w:val="right" w:pos="9026" w:leader="dot"/>
            </w:tabs>
            <w:rPr/>
          </w:pPr>
          <w:hyperlink w:anchor="__RefHeading___Toc8288760_2870459653">
            <w:r>
              <w:rPr>
                <w:webHidden/>
                <w:rStyle w:val="IndexLink"/>
                <w:rtl w:val="true"/>
              </w:rPr>
              <w:t>المقدّمة</w:t>
            </w:r>
            <w:r>
              <w:rPr>
                <w:rStyle w:val="IndexLink"/>
                <w:rtl w:val="true"/>
              </w:rPr>
              <w:tab/>
            </w:r>
            <w:r>
              <w:rPr>
                <w:rStyle w:val="IndexLink"/>
              </w:rPr>
              <w:t>49</w:t>
            </w:r>
          </w:hyperlink>
        </w:p>
        <w:p>
          <w:pPr>
            <w:pStyle w:val="Contents3"/>
            <w:tabs>
              <w:tab w:val="clear" w:pos="8459"/>
              <w:tab w:val="right" w:pos="9026" w:leader="dot"/>
            </w:tabs>
            <w:rPr/>
          </w:pPr>
          <w:hyperlink w:anchor="__RefHeading___Toc8288762_2870459653">
            <w:r>
              <w:rPr>
                <w:webHidden/>
                <w:rStyle w:val="IndexLink"/>
                <w:rtl w:val="true"/>
              </w:rPr>
              <w:t>الاتجاهات في تفسير هدف الثورة الحسينية</w:t>
            </w:r>
            <w:r>
              <w:rPr>
                <w:rStyle w:val="IndexLink"/>
                <w:rtl w:val="true"/>
              </w:rPr>
              <w:tab/>
            </w:r>
            <w:r>
              <w:rPr>
                <w:rStyle w:val="IndexLink"/>
              </w:rPr>
              <w:t>50</w:t>
            </w:r>
          </w:hyperlink>
        </w:p>
        <w:p>
          <w:pPr>
            <w:pStyle w:val="Contents3"/>
            <w:tabs>
              <w:tab w:val="clear" w:pos="8459"/>
              <w:tab w:val="right" w:pos="9026" w:leader="dot"/>
            </w:tabs>
            <w:rPr/>
          </w:pPr>
          <w:hyperlink w:anchor="__RefHeading___Toc8288764_2870459653">
            <w:r>
              <w:rPr>
                <w:webHidden/>
                <w:rStyle w:val="IndexLink"/>
                <w:rtl w:val="true"/>
              </w:rPr>
              <w:t>نظرية الشهادة</w:t>
            </w:r>
            <w:r>
              <w:rPr>
                <w:rStyle w:val="IndexLink"/>
                <w:rtl w:val="true"/>
              </w:rPr>
              <w:tab/>
            </w:r>
            <w:r>
              <w:rPr>
                <w:rStyle w:val="IndexLink"/>
              </w:rPr>
              <w:t>52</w:t>
            </w:r>
          </w:hyperlink>
        </w:p>
        <w:p>
          <w:pPr>
            <w:pStyle w:val="Contents3"/>
            <w:tabs>
              <w:tab w:val="clear" w:pos="8459"/>
              <w:tab w:val="right" w:pos="9026" w:leader="dot"/>
            </w:tabs>
            <w:rPr/>
          </w:pPr>
          <w:hyperlink w:anchor="__RefHeading___Toc8288766_2870459653">
            <w:r>
              <w:rPr>
                <w:webHidden/>
                <w:rStyle w:val="IndexLink"/>
                <w:rtl w:val="true"/>
              </w:rPr>
              <w:t>أدلّة نظرية الشهادة</w:t>
            </w:r>
            <w:r>
              <w:rPr>
                <w:rStyle w:val="IndexLink"/>
                <w:rtl w:val="true"/>
              </w:rPr>
              <w:tab/>
            </w:r>
            <w:r>
              <w:rPr>
                <w:rStyle w:val="IndexLink"/>
              </w:rPr>
              <w:t>54</w:t>
            </w:r>
          </w:hyperlink>
        </w:p>
        <w:p>
          <w:pPr>
            <w:pStyle w:val="Contents3"/>
            <w:tabs>
              <w:tab w:val="clear" w:pos="8459"/>
              <w:tab w:val="right" w:pos="9026" w:leader="dot"/>
            </w:tabs>
            <w:rPr/>
          </w:pPr>
          <w:hyperlink w:anchor="__RefHeading___Toc8288768_2870459653">
            <w:r>
              <w:rPr>
                <w:webHidden/>
                <w:rStyle w:val="IndexLink"/>
                <w:rtl w:val="true"/>
              </w:rPr>
              <w:t>تحليل نظرية الشهادة</w:t>
            </w:r>
            <w:r>
              <w:rPr>
                <w:rStyle w:val="IndexLink"/>
                <w:rtl w:val="true"/>
              </w:rPr>
              <w:tab/>
            </w:r>
            <w:r>
              <w:rPr>
                <w:rStyle w:val="IndexLink"/>
              </w:rPr>
              <w:t>57</w:t>
            </w:r>
          </w:hyperlink>
        </w:p>
        <w:p>
          <w:pPr>
            <w:pStyle w:val="Contents3"/>
            <w:tabs>
              <w:tab w:val="clear" w:pos="8459"/>
              <w:tab w:val="right" w:pos="9026" w:leader="dot"/>
            </w:tabs>
            <w:rPr/>
          </w:pPr>
          <w:hyperlink w:anchor="__RefHeading___Toc8288770_2870459653">
            <w:r>
              <w:rPr>
                <w:webHidden/>
                <w:rStyle w:val="IndexLink"/>
                <w:rtl w:val="true"/>
              </w:rPr>
              <w:t>نتائج نظرية الشهادة</w:t>
            </w:r>
            <w:r>
              <w:rPr>
                <w:rStyle w:val="IndexLink"/>
                <w:rtl w:val="true"/>
              </w:rPr>
              <w:tab/>
            </w:r>
            <w:r>
              <w:rPr>
                <w:rStyle w:val="IndexLink"/>
              </w:rPr>
              <w:t>60</w:t>
            </w:r>
          </w:hyperlink>
        </w:p>
        <w:p>
          <w:pPr>
            <w:pStyle w:val="Contents3"/>
            <w:tabs>
              <w:tab w:val="clear" w:pos="8459"/>
              <w:tab w:val="right" w:pos="9026" w:leader="dot"/>
            </w:tabs>
            <w:rPr/>
          </w:pPr>
          <w:hyperlink w:anchor="__RefHeading___Toc8288772_2870459653">
            <w:r>
              <w:rPr>
                <w:webHidden/>
                <w:rStyle w:val="IndexLink"/>
                <w:rtl w:val="true"/>
              </w:rPr>
              <w:t>نظرية إقامة الحكومة</w:t>
            </w:r>
            <w:r>
              <w:rPr>
                <w:rStyle w:val="IndexLink"/>
                <w:rtl w:val="true"/>
              </w:rPr>
              <w:tab/>
            </w:r>
            <w:r>
              <w:rPr>
                <w:rStyle w:val="IndexLink"/>
              </w:rPr>
              <w:t>62</w:t>
            </w:r>
          </w:hyperlink>
        </w:p>
        <w:p>
          <w:pPr>
            <w:pStyle w:val="Contents3"/>
            <w:tabs>
              <w:tab w:val="clear" w:pos="8459"/>
              <w:tab w:val="right" w:pos="9026" w:leader="dot"/>
            </w:tabs>
            <w:rPr/>
          </w:pPr>
          <w:hyperlink w:anchor="__RefHeading___Toc8288774_2870459653">
            <w:r>
              <w:rPr>
                <w:webHidden/>
                <w:rStyle w:val="IndexLink"/>
                <w:rtl w:val="true"/>
              </w:rPr>
              <w:t>أدلّة نظرية الحكومة</w:t>
            </w:r>
            <w:r>
              <w:rPr>
                <w:rStyle w:val="IndexLink"/>
                <w:rtl w:val="true"/>
              </w:rPr>
              <w:tab/>
            </w:r>
            <w:r>
              <w:rPr>
                <w:rStyle w:val="IndexLink"/>
              </w:rPr>
              <w:t>62</w:t>
            </w:r>
          </w:hyperlink>
        </w:p>
        <w:p>
          <w:pPr>
            <w:pStyle w:val="Contents3"/>
            <w:tabs>
              <w:tab w:val="clear" w:pos="8459"/>
              <w:tab w:val="right" w:pos="9026" w:leader="dot"/>
            </w:tabs>
            <w:rPr/>
          </w:pPr>
          <w:hyperlink w:anchor="__RefHeading___Toc8288776_2870459653">
            <w:r>
              <w:rPr>
                <w:webHidden/>
                <w:rStyle w:val="IndexLink"/>
                <w:rtl w:val="true"/>
              </w:rPr>
              <w:t>مناقشة أدلّة نظرية الحكومة</w:t>
            </w:r>
            <w:r>
              <w:rPr>
                <w:rStyle w:val="IndexLink"/>
                <w:rtl w:val="true"/>
              </w:rPr>
              <w:tab/>
            </w:r>
            <w:r>
              <w:rPr>
                <w:rStyle w:val="IndexLink"/>
              </w:rPr>
              <w:t>64</w:t>
            </w:r>
          </w:hyperlink>
        </w:p>
        <w:p>
          <w:pPr>
            <w:pStyle w:val="Contents3"/>
            <w:tabs>
              <w:tab w:val="clear" w:pos="8459"/>
              <w:tab w:val="right" w:pos="9026" w:leader="dot"/>
            </w:tabs>
            <w:rPr/>
          </w:pPr>
          <w:hyperlink w:anchor="__RefHeading___Toc8288778_2870459653">
            <w:r>
              <w:rPr>
                <w:webHidden/>
                <w:rStyle w:val="IndexLink"/>
                <w:rtl w:val="true"/>
              </w:rPr>
              <w:t>منطلقات النهضة الحسينية وخلفياتها</w:t>
            </w:r>
            <w:r>
              <w:rPr>
                <w:rStyle w:val="IndexLink"/>
                <w:rtl w:val="true"/>
              </w:rPr>
              <w:tab/>
            </w:r>
            <w:r>
              <w:rPr>
                <w:rStyle w:val="IndexLink"/>
              </w:rPr>
              <w:t>67</w:t>
            </w:r>
          </w:hyperlink>
        </w:p>
        <w:p>
          <w:pPr>
            <w:pStyle w:val="Contents3"/>
            <w:tabs>
              <w:tab w:val="clear" w:pos="8459"/>
              <w:tab w:val="right" w:pos="9026" w:leader="dot"/>
            </w:tabs>
            <w:rPr/>
          </w:pPr>
          <w:hyperlink w:anchor="__RefHeading___Toc8288780_2870459653">
            <w:r>
              <w:rPr>
                <w:webHidden/>
                <w:rStyle w:val="IndexLink"/>
                <w:rtl w:val="true"/>
              </w:rPr>
              <w:t xml:space="preserve">القسم الرابع </w:t>
            </w:r>
            <w:r>
              <w:rPr>
                <w:rStyle w:val="IndexLink"/>
                <w:rtl w:val="true"/>
              </w:rPr>
              <w:t>(</w:t>
            </w:r>
            <w:r>
              <w:rPr>
                <w:rStyle w:val="IndexLink"/>
                <w:rtl w:val="true"/>
              </w:rPr>
              <w:t>تعبئة الأُمة وإعدادها</w:t>
            </w:r>
            <w:r>
              <w:rPr>
                <w:rStyle w:val="IndexLink"/>
                <w:rtl w:val="true"/>
              </w:rPr>
              <w:t>)</w:t>
              <w:tab/>
            </w:r>
            <w:r>
              <w:rPr>
                <w:rStyle w:val="IndexLink"/>
              </w:rPr>
              <w:t>67</w:t>
            </w:r>
          </w:hyperlink>
        </w:p>
        <w:p>
          <w:pPr>
            <w:pStyle w:val="Contents3"/>
            <w:tabs>
              <w:tab w:val="clear" w:pos="8459"/>
              <w:tab w:val="right" w:pos="9026" w:leader="dot"/>
            </w:tabs>
            <w:rPr/>
          </w:pPr>
          <w:hyperlink w:anchor="__RefHeading___Toc8288782_2870459653">
            <w:r>
              <w:rPr>
                <w:webHidden/>
                <w:rStyle w:val="IndexLink"/>
                <w:rtl w:val="true"/>
              </w:rPr>
              <w:t>السيّد محمّد الشوكي</w:t>
            </w:r>
            <w:r>
              <w:rPr>
                <w:rStyle w:val="IndexLink"/>
                <w:rtl w:val="true"/>
              </w:rPr>
              <w:tab/>
            </w:r>
            <w:r>
              <w:rPr>
                <w:rStyle w:val="IndexLink"/>
              </w:rPr>
              <w:t>67</w:t>
            </w:r>
          </w:hyperlink>
        </w:p>
        <w:p>
          <w:pPr>
            <w:pStyle w:val="Contents3"/>
            <w:tabs>
              <w:tab w:val="clear" w:pos="8459"/>
              <w:tab w:val="right" w:pos="9026" w:leader="dot"/>
            </w:tabs>
            <w:rPr/>
          </w:pPr>
          <w:hyperlink w:anchor="__RefHeading___Toc8288784_2870459653">
            <w:r>
              <w:rPr>
                <w:webHidden/>
                <w:rStyle w:val="IndexLink"/>
                <w:rtl w:val="true"/>
              </w:rPr>
              <w:t>المقدّمة</w:t>
            </w:r>
            <w:r>
              <w:rPr>
                <w:rStyle w:val="IndexLink"/>
                <w:rtl w:val="true"/>
              </w:rPr>
              <w:tab/>
            </w:r>
            <w:r>
              <w:rPr>
                <w:rStyle w:val="IndexLink"/>
              </w:rPr>
              <w:t>67</w:t>
            </w:r>
          </w:hyperlink>
        </w:p>
        <w:p>
          <w:pPr>
            <w:pStyle w:val="Contents3"/>
            <w:tabs>
              <w:tab w:val="clear" w:pos="8459"/>
              <w:tab w:val="right" w:pos="9026" w:leader="dot"/>
            </w:tabs>
            <w:rPr/>
          </w:pPr>
          <w:hyperlink w:anchor="__RefHeading___Toc8288786_2870459653">
            <w:r>
              <w:rPr>
                <w:webHidden/>
                <w:rStyle w:val="IndexLink"/>
                <w:rtl w:val="true"/>
              </w:rPr>
              <w:t>الإعداد للمرحلة القادمة</w:t>
            </w:r>
            <w:r>
              <w:rPr>
                <w:rStyle w:val="IndexLink"/>
                <w:rtl w:val="true"/>
              </w:rPr>
              <w:tab/>
            </w:r>
            <w:r>
              <w:rPr>
                <w:rStyle w:val="IndexLink"/>
              </w:rPr>
              <w:t>68</w:t>
            </w:r>
          </w:hyperlink>
        </w:p>
        <w:p>
          <w:pPr>
            <w:pStyle w:val="Contents3"/>
            <w:tabs>
              <w:tab w:val="clear" w:pos="8459"/>
              <w:tab w:val="right" w:pos="9026" w:leader="dot"/>
            </w:tabs>
            <w:rPr/>
          </w:pPr>
          <w:hyperlink w:anchor="__RefHeading___Toc8288788_2870459653">
            <w:r>
              <w:rPr>
                <w:webHidden/>
                <w:rStyle w:val="IndexLink"/>
                <w:rtl w:val="true"/>
              </w:rPr>
              <w:t>مؤتمر مكّة</w:t>
            </w:r>
            <w:r>
              <w:rPr>
                <w:rStyle w:val="IndexLink"/>
                <w:rtl w:val="true"/>
              </w:rPr>
              <w:tab/>
            </w:r>
            <w:r>
              <w:rPr>
                <w:rStyle w:val="IndexLink"/>
              </w:rPr>
              <w:t>70</w:t>
            </w:r>
          </w:hyperlink>
        </w:p>
        <w:p>
          <w:pPr>
            <w:pStyle w:val="Contents3"/>
            <w:tabs>
              <w:tab w:val="clear" w:pos="8459"/>
              <w:tab w:val="right" w:pos="9026" w:leader="dot"/>
            </w:tabs>
            <w:rPr/>
          </w:pPr>
          <w:hyperlink w:anchor="__RefHeading___Toc8288790_2870459653">
            <w:r>
              <w:rPr>
                <w:webHidden/>
                <w:rStyle w:val="IndexLink"/>
                <w:rtl w:val="true"/>
              </w:rPr>
              <w:t>نقاط مهمّة</w:t>
            </w:r>
            <w:r>
              <w:rPr>
                <w:rStyle w:val="IndexLink"/>
                <w:rtl w:val="true"/>
              </w:rPr>
              <w:tab/>
            </w:r>
            <w:r>
              <w:rPr>
                <w:rStyle w:val="IndexLink"/>
              </w:rPr>
              <w:t>77</w:t>
            </w:r>
          </w:hyperlink>
        </w:p>
        <w:p>
          <w:pPr>
            <w:pStyle w:val="Contents3"/>
            <w:tabs>
              <w:tab w:val="clear" w:pos="8459"/>
              <w:tab w:val="right" w:pos="9026" w:leader="dot"/>
            </w:tabs>
            <w:rPr/>
          </w:pPr>
          <w:hyperlink w:anchor="__RefHeading___Toc8288792_2870459653">
            <w:r>
              <w:rPr>
                <w:webHidden/>
                <w:rStyle w:val="IndexLink"/>
                <w:rtl w:val="true"/>
              </w:rPr>
              <w:t>معاوية في أيّامه الأخيرة</w:t>
            </w:r>
            <w:r>
              <w:rPr>
                <w:rStyle w:val="IndexLink"/>
                <w:rtl w:val="true"/>
              </w:rPr>
              <w:tab/>
            </w:r>
            <w:r>
              <w:rPr>
                <w:rStyle w:val="IndexLink"/>
              </w:rPr>
              <w:t>80</w:t>
            </w:r>
          </w:hyperlink>
        </w:p>
        <w:p>
          <w:pPr>
            <w:pStyle w:val="Contents3"/>
            <w:tabs>
              <w:tab w:val="clear" w:pos="8459"/>
              <w:tab w:val="right" w:pos="9026" w:leader="dot"/>
            </w:tabs>
            <w:rPr/>
          </w:pPr>
          <w:hyperlink w:anchor="__RefHeading___Toc8288794_2870459653">
            <w:r>
              <w:rPr>
                <w:webHidden/>
                <w:rStyle w:val="IndexLink"/>
                <w:rtl w:val="true"/>
              </w:rPr>
              <w:t>الانتقال السلس للسُلطة</w:t>
            </w:r>
            <w:r>
              <w:rPr>
                <w:rStyle w:val="IndexLink"/>
                <w:rtl w:val="true"/>
              </w:rPr>
              <w:tab/>
            </w:r>
            <w:r>
              <w:rPr>
                <w:rStyle w:val="IndexLink"/>
              </w:rPr>
              <w:t>82</w:t>
            </w:r>
          </w:hyperlink>
        </w:p>
        <w:p>
          <w:pPr>
            <w:pStyle w:val="Contents3"/>
            <w:tabs>
              <w:tab w:val="clear" w:pos="8459"/>
              <w:tab w:val="right" w:pos="9026" w:leader="dot"/>
            </w:tabs>
            <w:rPr/>
          </w:pPr>
          <w:hyperlink w:anchor="__RefHeading___Toc8288796_2870459653">
            <w:r>
              <w:rPr>
                <w:webHidden/>
                <w:rStyle w:val="IndexLink"/>
                <w:rtl w:val="true"/>
              </w:rPr>
              <w:t>فلسفة البكاء على الإمام الحسين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8288798_2870459653">
            <w:r>
              <w:rPr>
                <w:webHidden/>
                <w:rStyle w:val="IndexLink"/>
                <w:rtl w:val="true"/>
              </w:rPr>
              <w:t>د</w:t>
            </w:r>
            <w:r>
              <w:rPr>
                <w:rStyle w:val="IndexLink"/>
                <w:rtl w:val="true"/>
              </w:rPr>
              <w:t xml:space="preserve">. </w:t>
            </w:r>
            <w:r>
              <w:rPr>
                <w:rStyle w:val="IndexLink"/>
                <w:rtl w:val="true"/>
              </w:rPr>
              <w:t>الشيخ مهدي رستم نجاد</w:t>
            </w:r>
            <w:r>
              <w:rPr>
                <w:rStyle w:val="IndexLink"/>
                <w:rtl w:val="true"/>
              </w:rPr>
              <w:tab/>
            </w:r>
            <w:r>
              <w:rPr>
                <w:rStyle w:val="IndexLink"/>
              </w:rPr>
              <w:t>85</w:t>
            </w:r>
          </w:hyperlink>
        </w:p>
        <w:p>
          <w:pPr>
            <w:pStyle w:val="Contents3"/>
            <w:tabs>
              <w:tab w:val="clear" w:pos="8459"/>
              <w:tab w:val="right" w:pos="9026" w:leader="dot"/>
            </w:tabs>
            <w:rPr/>
          </w:pPr>
          <w:hyperlink w:anchor="__RefHeading___Toc8288800_2870459653">
            <w:r>
              <w:rPr>
                <w:webHidden/>
                <w:rStyle w:val="IndexLink"/>
                <w:rtl w:val="true"/>
              </w:rPr>
              <w:t>المقدمة</w:t>
            </w:r>
            <w:r>
              <w:rPr>
                <w:rStyle w:val="IndexLink"/>
                <w:rtl w:val="true"/>
              </w:rPr>
              <w:tab/>
            </w:r>
            <w:r>
              <w:rPr>
                <w:rStyle w:val="IndexLink"/>
              </w:rPr>
              <w:t>85</w:t>
            </w:r>
          </w:hyperlink>
        </w:p>
        <w:p>
          <w:pPr>
            <w:pStyle w:val="Contents3"/>
            <w:tabs>
              <w:tab w:val="clear" w:pos="8459"/>
              <w:tab w:val="right" w:pos="9026" w:leader="dot"/>
            </w:tabs>
            <w:rPr/>
          </w:pPr>
          <w:hyperlink w:anchor="__RefHeading___Toc8288802_2870459653">
            <w:r>
              <w:rPr>
                <w:webHidden/>
                <w:rStyle w:val="IndexLink"/>
                <w:rtl w:val="true"/>
              </w:rPr>
              <w:t>تحليلات في فلسفة البكاء</w:t>
            </w:r>
            <w:r>
              <w:rPr>
                <w:rStyle w:val="IndexLink"/>
                <w:rtl w:val="true"/>
              </w:rPr>
              <w:tab/>
            </w:r>
            <w:r>
              <w:rPr>
                <w:rStyle w:val="IndexLink"/>
              </w:rPr>
              <w:t>85</w:t>
            </w:r>
          </w:hyperlink>
        </w:p>
        <w:p>
          <w:pPr>
            <w:pStyle w:val="Contents3"/>
            <w:tabs>
              <w:tab w:val="clear" w:pos="8459"/>
              <w:tab w:val="right" w:pos="9026" w:leader="dot"/>
            </w:tabs>
            <w:rPr/>
          </w:pPr>
          <w:hyperlink w:anchor="__RefHeading___Toc8288804_2870459653">
            <w:r>
              <w:rPr>
                <w:webHidden/>
                <w:rStyle w:val="IndexLink"/>
              </w:rPr>
              <w:t>1</w:t>
            </w:r>
            <w:r>
              <w:rPr>
                <w:rStyle w:val="IndexLink"/>
                <w:rtl w:val="true"/>
              </w:rPr>
              <w:t xml:space="preserve">- </w:t>
            </w:r>
            <w:r>
              <w:rPr>
                <w:rStyle w:val="IndexLink"/>
                <w:rtl w:val="true"/>
              </w:rPr>
              <w:t>نيل الثواب وشفاعة أهل البيت علیهم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8288806_2870459653">
            <w:r>
              <w:rPr>
                <w:webHidden/>
                <w:rStyle w:val="IndexLink"/>
              </w:rPr>
              <w:t>2</w:t>
            </w:r>
            <w:r>
              <w:rPr>
                <w:rStyle w:val="IndexLink"/>
                <w:rtl w:val="true"/>
              </w:rPr>
              <w:t xml:space="preserve">- </w:t>
            </w:r>
            <w:r>
              <w:rPr>
                <w:rStyle w:val="IndexLink"/>
                <w:rtl w:val="true"/>
              </w:rPr>
              <w:t>شُكر الإمام الحسين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8288808_2870459653">
            <w:r>
              <w:rPr>
                <w:webHidden/>
                <w:rStyle w:val="IndexLink"/>
              </w:rPr>
              <w:t>3</w:t>
            </w:r>
            <w:r>
              <w:rPr>
                <w:rStyle w:val="IndexLink"/>
                <w:rtl w:val="true"/>
              </w:rPr>
              <w:t xml:space="preserve">- </w:t>
            </w:r>
            <w:r>
              <w:rPr>
                <w:rStyle w:val="IndexLink"/>
                <w:rtl w:val="true"/>
              </w:rPr>
              <w:t>الحُسن الذاتي للبكاء</w:t>
            </w:r>
            <w:r>
              <w:rPr>
                <w:rStyle w:val="IndexLink"/>
                <w:rtl w:val="true"/>
              </w:rPr>
              <w:tab/>
            </w:r>
            <w:r>
              <w:rPr>
                <w:rStyle w:val="IndexLink"/>
              </w:rPr>
              <w:t>87</w:t>
            </w:r>
          </w:hyperlink>
        </w:p>
        <w:p>
          <w:pPr>
            <w:pStyle w:val="Contents3"/>
            <w:tabs>
              <w:tab w:val="clear" w:pos="8459"/>
              <w:tab w:val="right" w:pos="9026" w:leader="dot"/>
            </w:tabs>
            <w:rPr/>
          </w:pPr>
          <w:hyperlink w:anchor="__RefHeading___Toc8288810_2870459653">
            <w:r>
              <w:rPr>
                <w:webHidden/>
                <w:rStyle w:val="IndexLink"/>
                <w:rtl w:val="true"/>
              </w:rPr>
              <w:t>التحليل الصحيح لفلسفة البكاء</w:t>
            </w:r>
            <w:r>
              <w:rPr>
                <w:rStyle w:val="IndexLink"/>
                <w:rtl w:val="true"/>
              </w:rPr>
              <w:tab/>
            </w:r>
            <w:r>
              <w:rPr>
                <w:rStyle w:val="IndexLink"/>
              </w:rPr>
              <w:t>89</w:t>
            </w:r>
          </w:hyperlink>
        </w:p>
        <w:p>
          <w:pPr>
            <w:pStyle w:val="Contents3"/>
            <w:tabs>
              <w:tab w:val="clear" w:pos="8459"/>
              <w:tab w:val="right" w:pos="9026" w:leader="dot"/>
            </w:tabs>
            <w:rPr/>
          </w:pPr>
          <w:hyperlink w:anchor="__RefHeading___Toc8288812_2870459653">
            <w:r>
              <w:rPr>
                <w:webHidden/>
                <w:rStyle w:val="IndexLink"/>
              </w:rPr>
              <w:t>1</w:t>
            </w:r>
            <w:r>
              <w:rPr>
                <w:rStyle w:val="IndexLink"/>
                <w:rtl w:val="true"/>
              </w:rPr>
              <w:t xml:space="preserve">- </w:t>
            </w:r>
            <w:r>
              <w:rPr>
                <w:rStyle w:val="IndexLink"/>
                <w:rtl w:val="true"/>
              </w:rPr>
              <w:t>الثناء على جهاد الإمام علیه السلام وتعظيم الشعائر</w:t>
            </w:r>
            <w:r>
              <w:rPr>
                <w:rStyle w:val="IndexLink"/>
                <w:rtl w:val="true"/>
              </w:rPr>
              <w:tab/>
            </w:r>
            <w:r>
              <w:rPr>
                <w:rStyle w:val="IndexLink"/>
              </w:rPr>
              <w:t>89</w:t>
            </w:r>
          </w:hyperlink>
        </w:p>
        <w:p>
          <w:pPr>
            <w:pStyle w:val="Contents3"/>
            <w:tabs>
              <w:tab w:val="clear" w:pos="8459"/>
              <w:tab w:val="right" w:pos="9026" w:leader="dot"/>
            </w:tabs>
            <w:rPr/>
          </w:pPr>
          <w:hyperlink w:anchor="__RefHeading___Toc8288814_2870459653">
            <w:r>
              <w:rPr>
                <w:webHidden/>
                <w:rStyle w:val="IndexLink"/>
              </w:rPr>
              <w:t>2</w:t>
            </w:r>
            <w:r>
              <w:rPr>
                <w:rStyle w:val="IndexLink"/>
                <w:rtl w:val="true"/>
              </w:rPr>
              <w:t xml:space="preserve">- </w:t>
            </w:r>
            <w:r>
              <w:rPr>
                <w:rStyle w:val="IndexLink"/>
                <w:rtl w:val="true"/>
              </w:rPr>
              <w:t>حفظ مدرسة أهل البيت علیهم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8288816_2870459653">
            <w:r>
              <w:rPr>
                <w:webHidden/>
                <w:rStyle w:val="IndexLink"/>
                <w:rtl w:val="true"/>
              </w:rPr>
              <w:t>اعتراف غير المسلمين بهذا الأمر</w:t>
            </w:r>
            <w:r>
              <w:rPr>
                <w:rStyle w:val="IndexLink"/>
                <w:rtl w:val="true"/>
              </w:rPr>
              <w:tab/>
            </w:r>
            <w:r>
              <w:rPr>
                <w:rStyle w:val="IndexLink"/>
              </w:rPr>
              <w:t>91</w:t>
            </w:r>
          </w:hyperlink>
        </w:p>
        <w:p>
          <w:pPr>
            <w:pStyle w:val="Contents3"/>
            <w:tabs>
              <w:tab w:val="clear" w:pos="8459"/>
              <w:tab w:val="right" w:pos="9026" w:leader="dot"/>
            </w:tabs>
            <w:rPr/>
          </w:pPr>
          <w:hyperlink w:anchor="__RefHeading___Toc8288818_2870459653">
            <w:r>
              <w:rPr>
                <w:webHidden/>
                <w:rStyle w:val="IndexLink"/>
              </w:rPr>
              <w:t>3</w:t>
            </w:r>
            <w:r>
              <w:rPr>
                <w:rStyle w:val="IndexLink"/>
                <w:rtl w:val="true"/>
              </w:rPr>
              <w:t xml:space="preserve">- </w:t>
            </w:r>
            <w:r>
              <w:rPr>
                <w:rStyle w:val="IndexLink"/>
                <w:rtl w:val="true"/>
              </w:rPr>
              <w:t>تعبئة المسلمين</w:t>
            </w:r>
            <w:r>
              <w:rPr>
                <w:rStyle w:val="IndexLink"/>
                <w:rtl w:val="true"/>
              </w:rPr>
              <w:tab/>
            </w:r>
            <w:r>
              <w:rPr>
                <w:rStyle w:val="IndexLink"/>
              </w:rPr>
              <w:t>92</w:t>
            </w:r>
          </w:hyperlink>
        </w:p>
        <w:p>
          <w:pPr>
            <w:pStyle w:val="Contents3"/>
            <w:tabs>
              <w:tab w:val="clear" w:pos="8459"/>
              <w:tab w:val="right" w:pos="9026" w:leader="dot"/>
            </w:tabs>
            <w:rPr/>
          </w:pPr>
          <w:hyperlink w:anchor="__RefHeading___Toc8288820_2870459653">
            <w:r>
              <w:rPr>
                <w:webHidden/>
                <w:rStyle w:val="IndexLink"/>
              </w:rPr>
              <w:t>4</w:t>
            </w:r>
            <w:r>
              <w:rPr>
                <w:rStyle w:val="IndexLink"/>
                <w:rtl w:val="true"/>
              </w:rPr>
              <w:t xml:space="preserve">- </w:t>
            </w:r>
            <w:r>
              <w:rPr>
                <w:rStyle w:val="IndexLink"/>
                <w:rtl w:val="true"/>
              </w:rPr>
              <w:t xml:space="preserve">التَّزكية والتهذيب </w:t>
            </w:r>
            <w:r>
              <w:rPr>
                <w:rStyle w:val="IndexLink"/>
                <w:rtl w:val="true"/>
              </w:rPr>
              <w:t>(</w:t>
            </w:r>
            <w:r>
              <w:rPr>
                <w:rStyle w:val="IndexLink"/>
                <w:rtl w:val="true"/>
              </w:rPr>
              <w:t>الاقتداء</w:t>
            </w:r>
            <w:r>
              <w:rPr>
                <w:rStyle w:val="IndexLink"/>
                <w:rtl w:val="true"/>
              </w:rPr>
              <w:t>)</w:t>
              <w:tab/>
            </w:r>
            <w:r>
              <w:rPr>
                <w:rStyle w:val="IndexLink"/>
              </w:rPr>
              <w:t>94</w:t>
            </w:r>
          </w:hyperlink>
        </w:p>
        <w:p>
          <w:pPr>
            <w:pStyle w:val="Contents3"/>
            <w:tabs>
              <w:tab w:val="clear" w:pos="8459"/>
              <w:tab w:val="right" w:pos="9026" w:leader="dot"/>
            </w:tabs>
            <w:rPr/>
          </w:pPr>
          <w:hyperlink w:anchor="__RefHeading___Toc8288822_2870459653">
            <w:r>
              <w:rPr>
                <w:webHidden/>
                <w:rStyle w:val="IndexLink"/>
                <w:rtl w:val="true"/>
              </w:rPr>
              <w:t>المؤسسة الشعائرية</w:t>
            </w:r>
            <w:r>
              <w:rPr>
                <w:rStyle w:val="IndexLink"/>
                <w:rtl w:val="true"/>
              </w:rPr>
              <w:tab/>
            </w:r>
            <w:r>
              <w:rPr>
                <w:rStyle w:val="IndexLink"/>
              </w:rPr>
              <w:t>97</w:t>
            </w:r>
          </w:hyperlink>
        </w:p>
        <w:p>
          <w:pPr>
            <w:pStyle w:val="Contents3"/>
            <w:tabs>
              <w:tab w:val="clear" w:pos="8459"/>
              <w:tab w:val="right" w:pos="9026" w:leader="dot"/>
            </w:tabs>
            <w:rPr/>
          </w:pPr>
          <w:hyperlink w:anchor="__RefHeading___Toc8288824_2870459653">
            <w:r>
              <w:rPr>
                <w:webHidden/>
                <w:rStyle w:val="IndexLink"/>
                <w:rtl w:val="true"/>
              </w:rPr>
              <w:t>القسم الأول</w:t>
            </w:r>
            <w:r>
              <w:rPr>
                <w:rStyle w:val="IndexLink"/>
                <w:rtl w:val="true"/>
              </w:rPr>
              <w:t>:(</w:t>
            </w:r>
            <w:r>
              <w:rPr>
                <w:rStyle w:val="IndexLink"/>
                <w:rtl w:val="true"/>
              </w:rPr>
              <w:t>التأسيس والسيرورة</w:t>
            </w:r>
            <w:r>
              <w:rPr>
                <w:rStyle w:val="IndexLink"/>
                <w:rtl w:val="true"/>
              </w:rPr>
              <w:t>)</w:t>
              <w:tab/>
            </w:r>
            <w:r>
              <w:rPr>
                <w:rStyle w:val="IndexLink"/>
              </w:rPr>
              <w:t>97</w:t>
            </w:r>
          </w:hyperlink>
        </w:p>
        <w:p>
          <w:pPr>
            <w:pStyle w:val="Contents3"/>
            <w:tabs>
              <w:tab w:val="clear" w:pos="8459"/>
              <w:tab w:val="right" w:pos="9026" w:leader="dot"/>
            </w:tabs>
            <w:rPr/>
          </w:pPr>
          <w:hyperlink w:anchor="__RefHeading___Toc8288826_2870459653">
            <w:r>
              <w:rPr>
                <w:webHidden/>
                <w:rStyle w:val="IndexLink"/>
                <w:rtl w:val="true"/>
              </w:rPr>
              <w:t>الشيخ عامر الجابري</w:t>
            </w:r>
            <w:r>
              <w:rPr>
                <w:rStyle w:val="IndexLink"/>
                <w:rtl w:val="true"/>
              </w:rPr>
              <w:tab/>
            </w:r>
            <w:r>
              <w:rPr>
                <w:rStyle w:val="IndexLink"/>
              </w:rPr>
              <w:t>97</w:t>
            </w:r>
          </w:hyperlink>
        </w:p>
        <w:p>
          <w:pPr>
            <w:pStyle w:val="Contents3"/>
            <w:tabs>
              <w:tab w:val="clear" w:pos="8459"/>
              <w:tab w:val="right" w:pos="9026" w:leader="dot"/>
            </w:tabs>
            <w:rPr/>
          </w:pPr>
          <w:hyperlink w:anchor="__RefHeading___Toc8288828_2870459653">
            <w:r>
              <w:rPr>
                <w:webHidden/>
                <w:rStyle w:val="IndexLink"/>
                <w:rtl w:val="true"/>
              </w:rPr>
              <w:t>مقدمة</w:t>
            </w:r>
            <w:r>
              <w:rPr>
                <w:rStyle w:val="IndexLink"/>
                <w:rtl w:val="true"/>
              </w:rPr>
              <w:tab/>
            </w:r>
            <w:r>
              <w:rPr>
                <w:rStyle w:val="IndexLink"/>
              </w:rPr>
              <w:t>97</w:t>
            </w:r>
          </w:hyperlink>
        </w:p>
        <w:p>
          <w:pPr>
            <w:pStyle w:val="Contents3"/>
            <w:tabs>
              <w:tab w:val="clear" w:pos="8459"/>
              <w:tab w:val="right" w:pos="9026" w:leader="dot"/>
            </w:tabs>
            <w:rPr/>
          </w:pPr>
          <w:hyperlink w:anchor="__RefHeading___Toc8288830_2870459653">
            <w:r>
              <w:rPr>
                <w:webHidden/>
                <w:rStyle w:val="IndexLink"/>
                <w:rtl w:val="true"/>
              </w:rPr>
              <w:t>القسم الأول</w:t>
            </w:r>
            <w:r>
              <w:rPr>
                <w:rStyle w:val="IndexLink"/>
                <w:rtl w:val="true"/>
              </w:rPr>
              <w:tab/>
            </w:r>
            <w:r>
              <w:rPr>
                <w:rStyle w:val="IndexLink"/>
              </w:rPr>
              <w:t>99</w:t>
            </w:r>
          </w:hyperlink>
        </w:p>
        <w:p>
          <w:pPr>
            <w:pStyle w:val="Contents3"/>
            <w:tabs>
              <w:tab w:val="clear" w:pos="8459"/>
              <w:tab w:val="right" w:pos="9026" w:leader="dot"/>
            </w:tabs>
            <w:rPr/>
          </w:pPr>
          <w:hyperlink w:anchor="__RefHeading___Toc8288832_2870459653">
            <w:r>
              <w:rPr>
                <w:webHidden/>
                <w:rStyle w:val="IndexLink"/>
                <w:rtl w:val="true"/>
              </w:rPr>
              <w:t xml:space="preserve">المؤسسة الشعائرية </w:t>
            </w:r>
            <w:r>
              <w:rPr>
                <w:rStyle w:val="IndexLink"/>
                <w:rtl w:val="true"/>
              </w:rPr>
              <w:t>(</w:t>
            </w:r>
            <w:r>
              <w:rPr>
                <w:rStyle w:val="IndexLink"/>
                <w:rtl w:val="true"/>
              </w:rPr>
              <w:t>التأسيس والسيرورة</w:t>
            </w:r>
            <w:r>
              <w:rPr>
                <w:rStyle w:val="IndexLink"/>
                <w:rtl w:val="true"/>
              </w:rPr>
              <w:t>)</w:t>
              <w:tab/>
            </w:r>
            <w:r>
              <w:rPr>
                <w:rStyle w:val="IndexLink"/>
              </w:rPr>
              <w:t>99</w:t>
            </w:r>
          </w:hyperlink>
        </w:p>
        <w:p>
          <w:pPr>
            <w:pStyle w:val="Contents3"/>
            <w:tabs>
              <w:tab w:val="clear" w:pos="8459"/>
              <w:tab w:val="right" w:pos="9026" w:leader="dot"/>
            </w:tabs>
            <w:rPr/>
          </w:pPr>
          <w:hyperlink w:anchor="__RefHeading___Toc8288834_2870459653">
            <w:r>
              <w:rPr>
                <w:webHidden/>
                <w:rStyle w:val="IndexLink"/>
                <w:rtl w:val="true"/>
              </w:rPr>
              <w:t>المبحث الأول</w:t>
            </w:r>
            <w:r>
              <w:rPr>
                <w:rStyle w:val="IndexLink"/>
                <w:rtl w:val="true"/>
              </w:rPr>
              <w:t xml:space="preserve">: </w:t>
            </w:r>
            <w:r>
              <w:rPr>
                <w:rStyle w:val="IndexLink"/>
                <w:rtl w:val="true"/>
              </w:rPr>
              <w:t>مؤسسة المأتم الحسيني</w:t>
            </w:r>
            <w:r>
              <w:rPr>
                <w:rStyle w:val="IndexLink"/>
                <w:rtl w:val="true"/>
              </w:rPr>
              <w:tab/>
            </w:r>
            <w:r>
              <w:rPr>
                <w:rStyle w:val="IndexLink"/>
              </w:rPr>
              <w:t>100</w:t>
            </w:r>
          </w:hyperlink>
        </w:p>
        <w:p>
          <w:pPr>
            <w:pStyle w:val="Contents3"/>
            <w:tabs>
              <w:tab w:val="clear" w:pos="8459"/>
              <w:tab w:val="right" w:pos="9026" w:leader="dot"/>
            </w:tabs>
            <w:rPr/>
          </w:pPr>
          <w:hyperlink w:anchor="__RefHeading___Toc8288836_2870459653">
            <w:r>
              <w:rPr>
                <w:webHidden/>
                <w:rStyle w:val="IndexLink"/>
                <w:rtl w:val="true"/>
              </w:rPr>
              <w:t>الإمام السجاد علیه السلام واضع بذرة المأتم الحسيني</w:t>
            </w:r>
            <w:r>
              <w:rPr>
                <w:rStyle w:val="IndexLink"/>
                <w:rtl w:val="true"/>
              </w:rPr>
              <w:tab/>
            </w:r>
            <w:r>
              <w:rPr>
                <w:rStyle w:val="IndexLink"/>
              </w:rPr>
              <w:t>100</w:t>
            </w:r>
          </w:hyperlink>
        </w:p>
        <w:p>
          <w:pPr>
            <w:pStyle w:val="Contents3"/>
            <w:tabs>
              <w:tab w:val="clear" w:pos="8459"/>
              <w:tab w:val="right" w:pos="9026" w:leader="dot"/>
            </w:tabs>
            <w:rPr/>
          </w:pPr>
          <w:hyperlink w:anchor="__RefHeading___Toc8288838_2870459653">
            <w:r>
              <w:rPr>
                <w:webHidden/>
                <w:rStyle w:val="IndexLink"/>
                <w:rtl w:val="true"/>
              </w:rPr>
              <w:t>مؤسسة المأتم الحسيني في عهد الإمام الباقر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8288840_2870459653">
            <w:r>
              <w:rPr>
                <w:webHidden/>
                <w:rStyle w:val="IndexLink"/>
                <w:rtl w:val="true"/>
              </w:rPr>
              <w:t>الإمام الصادق علیه السلام والعصر الذهبي لمؤسسة المأتم الحسيني</w:t>
            </w:r>
            <w:r>
              <w:rPr>
                <w:rStyle w:val="IndexLink"/>
                <w:rtl w:val="true"/>
              </w:rPr>
              <w:tab/>
            </w:r>
            <w:r>
              <w:rPr>
                <w:rStyle w:val="IndexLink"/>
              </w:rPr>
              <w:t>105</w:t>
            </w:r>
          </w:hyperlink>
        </w:p>
        <w:p>
          <w:pPr>
            <w:pStyle w:val="Contents3"/>
            <w:tabs>
              <w:tab w:val="clear" w:pos="8459"/>
              <w:tab w:val="right" w:pos="9026" w:leader="dot"/>
            </w:tabs>
            <w:rPr/>
          </w:pPr>
          <w:hyperlink w:anchor="__RefHeading___Toc8288842_2870459653">
            <w:r>
              <w:rPr>
                <w:webHidden/>
                <w:rStyle w:val="IndexLink"/>
                <w:rtl w:val="true"/>
              </w:rPr>
              <w:t>النقطة الأُولى</w:t>
            </w:r>
            <w:r>
              <w:rPr>
                <w:rStyle w:val="IndexLink"/>
                <w:rtl w:val="true"/>
              </w:rPr>
              <w:t xml:space="preserve">: </w:t>
            </w:r>
            <w:r>
              <w:rPr>
                <w:rStyle w:val="IndexLink"/>
                <w:rtl w:val="true"/>
              </w:rPr>
              <w:t>حثّه على البكاء والإبكاء على الحسين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8288844_2870459653">
            <w:r>
              <w:rPr>
                <w:webHidden/>
                <w:rStyle w:val="IndexLink"/>
                <w:rtl w:val="true"/>
              </w:rPr>
              <w:t>النقطة الثانية</w:t>
            </w:r>
            <w:r>
              <w:rPr>
                <w:rStyle w:val="IndexLink"/>
                <w:rtl w:val="true"/>
              </w:rPr>
              <w:t xml:space="preserve">: </w:t>
            </w:r>
            <w:r>
              <w:rPr>
                <w:rStyle w:val="IndexLink"/>
                <w:rtl w:val="true"/>
              </w:rPr>
              <w:t>حث الإمام الصادق علیه السلام على نظم الشعر في الإمام الحسين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8288846_2870459653">
            <w:r>
              <w:rPr>
                <w:webHidden/>
                <w:rStyle w:val="IndexLink"/>
                <w:rtl w:val="true"/>
              </w:rPr>
              <w:t>النقطة الثالثة</w:t>
            </w:r>
            <w:r>
              <w:rPr>
                <w:rStyle w:val="IndexLink"/>
                <w:rtl w:val="true"/>
              </w:rPr>
              <w:t xml:space="preserve">: </w:t>
            </w:r>
            <w:r>
              <w:rPr>
                <w:rStyle w:val="IndexLink"/>
                <w:rtl w:val="true"/>
              </w:rPr>
              <w:t>دعمه علیه السلام للمنشدين الحسينيين</w:t>
            </w:r>
            <w:r>
              <w:rPr>
                <w:rStyle w:val="IndexLink"/>
                <w:rtl w:val="true"/>
              </w:rPr>
              <w:tab/>
            </w:r>
            <w:r>
              <w:rPr>
                <w:rStyle w:val="IndexLink"/>
              </w:rPr>
              <w:t>107</w:t>
            </w:r>
          </w:hyperlink>
        </w:p>
        <w:p>
          <w:pPr>
            <w:pStyle w:val="Contents3"/>
            <w:tabs>
              <w:tab w:val="clear" w:pos="8459"/>
              <w:tab w:val="right" w:pos="9026" w:leader="dot"/>
            </w:tabs>
            <w:rPr/>
          </w:pPr>
          <w:hyperlink w:anchor="__RefHeading___Toc8288848_2870459653">
            <w:r>
              <w:rPr>
                <w:webHidden/>
                <w:rStyle w:val="IndexLink"/>
                <w:rtl w:val="true"/>
              </w:rPr>
              <w:t>النقطة الرابعة</w:t>
            </w:r>
            <w:r>
              <w:rPr>
                <w:rStyle w:val="IndexLink"/>
                <w:rtl w:val="true"/>
              </w:rPr>
              <w:t xml:space="preserve">: </w:t>
            </w:r>
            <w:r>
              <w:rPr>
                <w:rStyle w:val="IndexLink"/>
                <w:rtl w:val="true"/>
              </w:rPr>
              <w:t>تشجيعه علیه السلام للقُصّاص الحسينيين</w:t>
            </w:r>
            <w:r>
              <w:rPr>
                <w:rStyle w:val="IndexLink"/>
                <w:rtl w:val="true"/>
              </w:rPr>
              <w:tab/>
            </w:r>
            <w:r>
              <w:rPr>
                <w:rStyle w:val="IndexLink"/>
              </w:rPr>
              <w:t>108</w:t>
            </w:r>
          </w:hyperlink>
        </w:p>
        <w:p>
          <w:pPr>
            <w:pStyle w:val="Contents3"/>
            <w:tabs>
              <w:tab w:val="clear" w:pos="8459"/>
              <w:tab w:val="right" w:pos="9026" w:leader="dot"/>
            </w:tabs>
            <w:rPr/>
          </w:pPr>
          <w:hyperlink w:anchor="__RefHeading___Toc8288850_2870459653">
            <w:r>
              <w:rPr>
                <w:webHidden/>
                <w:rStyle w:val="IndexLink"/>
                <w:rtl w:val="true"/>
              </w:rPr>
              <w:t>النقطة الخامسة</w:t>
            </w:r>
            <w:r>
              <w:rPr>
                <w:rStyle w:val="IndexLink"/>
                <w:rtl w:val="true"/>
              </w:rPr>
              <w:t xml:space="preserve">: </w:t>
            </w:r>
            <w:r>
              <w:rPr>
                <w:rStyle w:val="IndexLink"/>
                <w:rtl w:val="true"/>
              </w:rPr>
              <w:t>تأكيده علیه السلام على إحياء يوم عاشوراء</w:t>
            </w:r>
            <w:r>
              <w:rPr>
                <w:rStyle w:val="IndexLink"/>
                <w:rtl w:val="true"/>
              </w:rPr>
              <w:tab/>
            </w:r>
            <w:r>
              <w:rPr>
                <w:rStyle w:val="IndexLink"/>
              </w:rPr>
              <w:t>110</w:t>
            </w:r>
          </w:hyperlink>
        </w:p>
        <w:p>
          <w:pPr>
            <w:pStyle w:val="Contents3"/>
            <w:tabs>
              <w:tab w:val="clear" w:pos="8459"/>
              <w:tab w:val="right" w:pos="9026" w:leader="dot"/>
            </w:tabs>
            <w:rPr/>
          </w:pPr>
          <w:hyperlink w:anchor="__RefHeading___Toc8288852_2870459653">
            <w:r>
              <w:rPr>
                <w:webHidden/>
                <w:rStyle w:val="IndexLink"/>
                <w:rtl w:val="true"/>
              </w:rPr>
              <w:t>النقطة السادسة</w:t>
            </w:r>
            <w:r>
              <w:rPr>
                <w:rStyle w:val="IndexLink"/>
                <w:rtl w:val="true"/>
              </w:rPr>
              <w:t xml:space="preserve">: </w:t>
            </w:r>
            <w:r>
              <w:rPr>
                <w:rStyle w:val="IndexLink"/>
                <w:rtl w:val="true"/>
              </w:rPr>
              <w:t>ضبط وتقنين مسألة الشعائر</w:t>
            </w:r>
            <w:r>
              <w:rPr>
                <w:rStyle w:val="IndexLink"/>
                <w:rtl w:val="true"/>
              </w:rPr>
              <w:tab/>
            </w:r>
            <w:r>
              <w:rPr>
                <w:rStyle w:val="IndexLink"/>
              </w:rPr>
              <w:t>111</w:t>
            </w:r>
          </w:hyperlink>
        </w:p>
        <w:p>
          <w:pPr>
            <w:pStyle w:val="Contents3"/>
            <w:tabs>
              <w:tab w:val="clear" w:pos="8459"/>
              <w:tab w:val="right" w:pos="9026" w:leader="dot"/>
            </w:tabs>
            <w:rPr/>
          </w:pPr>
          <w:hyperlink w:anchor="__RefHeading___Toc8288854_2870459653">
            <w:r>
              <w:rPr>
                <w:webHidden/>
                <w:rStyle w:val="IndexLink"/>
              </w:rPr>
              <w:t>1</w:t>
            </w:r>
            <w:r>
              <w:rPr>
                <w:rStyle w:val="IndexLink"/>
                <w:rtl w:val="true"/>
              </w:rPr>
              <w:t xml:space="preserve">- </w:t>
            </w:r>
            <w:r>
              <w:rPr>
                <w:rStyle w:val="IndexLink"/>
                <w:rtl w:val="true"/>
              </w:rPr>
              <w:t>الإبكاء</w:t>
            </w:r>
            <w:r>
              <w:rPr>
                <w:rStyle w:val="IndexLink"/>
                <w:rtl w:val="true"/>
              </w:rPr>
              <w:tab/>
            </w:r>
            <w:r>
              <w:rPr>
                <w:rStyle w:val="IndexLink"/>
              </w:rPr>
              <w:t>111</w:t>
            </w:r>
          </w:hyperlink>
        </w:p>
        <w:p>
          <w:pPr>
            <w:pStyle w:val="Contents3"/>
            <w:tabs>
              <w:tab w:val="clear" w:pos="8459"/>
              <w:tab w:val="right" w:pos="9026" w:leader="dot"/>
            </w:tabs>
            <w:rPr/>
          </w:pPr>
          <w:hyperlink w:anchor="__RefHeading___Toc8288856_2870459653">
            <w:r>
              <w:rPr>
                <w:webHidden/>
                <w:rStyle w:val="IndexLink"/>
              </w:rPr>
              <w:t>2</w:t>
            </w:r>
            <w:r>
              <w:rPr>
                <w:rStyle w:val="IndexLink"/>
                <w:rtl w:val="true"/>
              </w:rPr>
              <w:t xml:space="preserve">- </w:t>
            </w:r>
            <w:r>
              <w:rPr>
                <w:rStyle w:val="IndexLink"/>
                <w:rtl w:val="true"/>
              </w:rPr>
              <w:t>الجزع</w:t>
            </w:r>
            <w:r>
              <w:rPr>
                <w:rStyle w:val="IndexLink"/>
                <w:rtl w:val="true"/>
              </w:rPr>
              <w:tab/>
            </w:r>
            <w:r>
              <w:rPr>
                <w:rStyle w:val="IndexLink"/>
              </w:rPr>
              <w:t>112</w:t>
            </w:r>
          </w:hyperlink>
        </w:p>
        <w:p>
          <w:pPr>
            <w:pStyle w:val="Contents3"/>
            <w:tabs>
              <w:tab w:val="clear" w:pos="8459"/>
              <w:tab w:val="right" w:pos="9026" w:leader="dot"/>
            </w:tabs>
            <w:rPr/>
          </w:pPr>
          <w:hyperlink w:anchor="__RefHeading___Toc8288858_2870459653">
            <w:r>
              <w:rPr>
                <w:webHidden/>
                <w:rStyle w:val="IndexLink"/>
              </w:rPr>
              <w:t>3</w:t>
            </w:r>
            <w:r>
              <w:rPr>
                <w:rStyle w:val="IndexLink"/>
                <w:rtl w:val="true"/>
              </w:rPr>
              <w:t xml:space="preserve">- </w:t>
            </w:r>
            <w:r>
              <w:rPr>
                <w:rStyle w:val="IndexLink"/>
                <w:rtl w:val="true"/>
              </w:rPr>
              <w:t>إحياء أمر أهل البيت علیهم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8288860_2870459653">
            <w:r>
              <w:rPr>
                <w:webHidden/>
                <w:rStyle w:val="IndexLink"/>
                <w:rtl w:val="true"/>
              </w:rPr>
              <w:t>مؤسسة المأتم الحسيني في عصر الأئمة من ذرية الإمام الصادق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8288862_2870459653">
            <w:r>
              <w:rPr>
                <w:webHidden/>
                <w:rStyle w:val="IndexLink"/>
                <w:rtl w:val="true"/>
              </w:rPr>
              <w:t>المبحث الثاني</w:t>
            </w:r>
            <w:r>
              <w:rPr>
                <w:rStyle w:val="IndexLink"/>
                <w:rtl w:val="true"/>
              </w:rPr>
              <w:t xml:space="preserve">: </w:t>
            </w:r>
            <w:r>
              <w:rPr>
                <w:rStyle w:val="IndexLink"/>
                <w:rtl w:val="true"/>
              </w:rPr>
              <w:t>مؤسسة زيارة الإمام الحسين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8288864_2870459653">
            <w:r>
              <w:rPr>
                <w:webHidden/>
                <w:rStyle w:val="IndexLink"/>
                <w:rtl w:val="true"/>
              </w:rPr>
              <w:t>التوافد والتعاهد العفوي لقبر الإمام الحسين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8288866_2870459653">
            <w:r>
              <w:rPr>
                <w:webHidden/>
                <w:rStyle w:val="IndexLink"/>
                <w:rtl w:val="true"/>
              </w:rPr>
              <w:t>الإمام الباقر علیه السلام واضع البذرة الأُولى لمؤسسة الزيارة</w:t>
            </w:r>
            <w:r>
              <w:rPr>
                <w:rStyle w:val="IndexLink"/>
                <w:rtl w:val="true"/>
              </w:rPr>
              <w:tab/>
            </w:r>
            <w:r>
              <w:rPr>
                <w:rStyle w:val="IndexLink"/>
              </w:rPr>
              <w:t>119</w:t>
            </w:r>
          </w:hyperlink>
        </w:p>
        <w:p>
          <w:pPr>
            <w:pStyle w:val="Contents3"/>
            <w:tabs>
              <w:tab w:val="clear" w:pos="8459"/>
              <w:tab w:val="right" w:pos="9026" w:leader="dot"/>
            </w:tabs>
            <w:rPr/>
          </w:pPr>
          <w:hyperlink w:anchor="__RefHeading___Toc8288868_2870459653">
            <w:r>
              <w:rPr>
                <w:webHidden/>
                <w:rStyle w:val="IndexLink"/>
                <w:rtl w:val="true"/>
              </w:rPr>
              <w:t>مؤسسة الزيارة في عصر الإمام الصادق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8288870_2870459653">
            <w:r>
              <w:rPr>
                <w:webHidden/>
                <w:rStyle w:val="IndexLink"/>
                <w:rtl w:val="true"/>
              </w:rPr>
              <w:t>مؤسسة الزيارة بعد عصر الإمام الصادق علیه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8288872_2870459653">
            <w:r>
              <w:rPr>
                <w:webHidden/>
                <w:rStyle w:val="IndexLink"/>
                <w:rtl w:val="true"/>
              </w:rPr>
              <w:t>دراسات في تاريخ وتراث النهضة الحسينية</w:t>
            </w:r>
            <w:r>
              <w:rPr>
                <w:rStyle w:val="IndexLink"/>
                <w:rtl w:val="true"/>
              </w:rPr>
              <w:tab/>
            </w:r>
            <w:r>
              <w:rPr>
                <w:rStyle w:val="IndexLink"/>
              </w:rPr>
              <w:t>133</w:t>
            </w:r>
          </w:hyperlink>
        </w:p>
        <w:p>
          <w:pPr>
            <w:pStyle w:val="Contents3"/>
            <w:tabs>
              <w:tab w:val="clear" w:pos="8459"/>
              <w:tab w:val="right" w:pos="9026" w:leader="dot"/>
            </w:tabs>
            <w:rPr/>
          </w:pPr>
          <w:hyperlink w:anchor="__RefHeading___Toc8288874_2870459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8288876_2870459653">
            <w:r>
              <w:rPr>
                <w:webHidden/>
                <w:rStyle w:val="IndexLink"/>
                <w:rtl w:val="true"/>
              </w:rPr>
              <w:t>حجاجية السؤال في خطاب الإمام الحسين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8288878_2870459653">
            <w:r>
              <w:rPr>
                <w:webHidden/>
                <w:rStyle w:val="IndexLink"/>
                <w:rtl w:val="true"/>
              </w:rPr>
              <w:t>د</w:t>
            </w:r>
            <w:r>
              <w:rPr>
                <w:rStyle w:val="IndexLink"/>
                <w:rtl w:val="true"/>
              </w:rPr>
              <w:t xml:space="preserve">. </w:t>
            </w:r>
            <w:r>
              <w:rPr>
                <w:rStyle w:val="IndexLink"/>
                <w:rtl w:val="true"/>
              </w:rPr>
              <w:t>خالد حويِّر</w:t>
            </w:r>
            <w:r>
              <w:rPr>
                <w:rStyle w:val="IndexLink"/>
                <w:rtl w:val="true"/>
              </w:rPr>
              <w:tab/>
            </w:r>
            <w:r>
              <w:rPr>
                <w:rStyle w:val="IndexLink"/>
              </w:rPr>
              <w:t>135</w:t>
            </w:r>
          </w:hyperlink>
        </w:p>
        <w:p>
          <w:pPr>
            <w:pStyle w:val="Contents3"/>
            <w:tabs>
              <w:tab w:val="clear" w:pos="8459"/>
              <w:tab w:val="right" w:pos="9026" w:leader="dot"/>
            </w:tabs>
            <w:rPr/>
          </w:pPr>
          <w:hyperlink w:anchor="__RefHeading___Toc8288880_2870459653">
            <w:r>
              <w:rPr>
                <w:webHidden/>
                <w:rStyle w:val="IndexLink"/>
                <w:rtl w:val="true"/>
              </w:rPr>
              <w:t>المقدمة</w:t>
            </w:r>
            <w:r>
              <w:rPr>
                <w:rStyle w:val="IndexLink"/>
                <w:rtl w:val="true"/>
              </w:rPr>
              <w:tab/>
            </w:r>
            <w:r>
              <w:rPr>
                <w:rStyle w:val="IndexLink"/>
              </w:rPr>
              <w:t>135</w:t>
            </w:r>
          </w:hyperlink>
        </w:p>
        <w:p>
          <w:pPr>
            <w:pStyle w:val="Contents3"/>
            <w:tabs>
              <w:tab w:val="clear" w:pos="8459"/>
              <w:tab w:val="right" w:pos="9026" w:leader="dot"/>
            </w:tabs>
            <w:rPr/>
          </w:pPr>
          <w:hyperlink w:anchor="__RefHeading___Toc8288882_2870459653">
            <w:r>
              <w:rPr>
                <w:webHidden/>
                <w:rStyle w:val="IndexLink"/>
                <w:rtl w:val="true"/>
              </w:rPr>
              <w:t>المحور الأول</w:t>
            </w:r>
            <w:r>
              <w:rPr>
                <w:rStyle w:val="IndexLink"/>
                <w:rtl w:val="true"/>
              </w:rPr>
              <w:t xml:space="preserve">: </w:t>
            </w:r>
            <w:r>
              <w:rPr>
                <w:rStyle w:val="IndexLink"/>
                <w:rtl w:val="true"/>
              </w:rPr>
              <w:t>معنى الحجاج والخطاب</w:t>
            </w:r>
            <w:r>
              <w:rPr>
                <w:rStyle w:val="IndexLink"/>
                <w:rtl w:val="true"/>
              </w:rPr>
              <w:tab/>
            </w:r>
            <w:r>
              <w:rPr>
                <w:rStyle w:val="IndexLink"/>
              </w:rPr>
              <w:t>136</w:t>
            </w:r>
          </w:hyperlink>
        </w:p>
        <w:p>
          <w:pPr>
            <w:pStyle w:val="Contents3"/>
            <w:tabs>
              <w:tab w:val="clear" w:pos="8459"/>
              <w:tab w:val="right" w:pos="9026" w:leader="dot"/>
            </w:tabs>
            <w:rPr/>
          </w:pPr>
          <w:hyperlink w:anchor="__RefHeading___Toc8288884_2870459653">
            <w:r>
              <w:rPr>
                <w:webHidden/>
                <w:rStyle w:val="IndexLink"/>
              </w:rPr>
              <w:t>1</w:t>
            </w:r>
            <w:r>
              <w:rPr>
                <w:rStyle w:val="IndexLink"/>
                <w:rtl w:val="true"/>
              </w:rPr>
              <w:t xml:space="preserve">- </w:t>
            </w:r>
            <w:r>
              <w:rPr>
                <w:rStyle w:val="IndexLink"/>
                <w:rtl w:val="true"/>
              </w:rPr>
              <w:t>معنى الحجاج</w:t>
            </w:r>
            <w:r>
              <w:rPr>
                <w:rStyle w:val="IndexLink"/>
                <w:rtl w:val="true"/>
              </w:rPr>
              <w:tab/>
            </w:r>
            <w:r>
              <w:rPr>
                <w:rStyle w:val="IndexLink"/>
              </w:rPr>
              <w:t>136</w:t>
            </w:r>
          </w:hyperlink>
        </w:p>
        <w:p>
          <w:pPr>
            <w:pStyle w:val="Contents3"/>
            <w:tabs>
              <w:tab w:val="clear" w:pos="8459"/>
              <w:tab w:val="right" w:pos="9026" w:leader="dot"/>
            </w:tabs>
            <w:rPr/>
          </w:pPr>
          <w:hyperlink w:anchor="__RefHeading___Toc8288886_2870459653">
            <w:r>
              <w:rPr>
                <w:webHidden/>
                <w:rStyle w:val="IndexLink"/>
                <w:rtl w:val="true"/>
              </w:rPr>
              <w:t>إرهاصات النظرية لدى اليونان والمسلمين</w:t>
            </w:r>
            <w:r>
              <w:rPr>
                <w:rStyle w:val="IndexLink"/>
                <w:rtl w:val="true"/>
              </w:rPr>
              <w:tab/>
            </w:r>
            <w:r>
              <w:rPr>
                <w:rStyle w:val="IndexLink"/>
              </w:rPr>
              <w:t>139</w:t>
            </w:r>
          </w:hyperlink>
        </w:p>
        <w:p>
          <w:pPr>
            <w:pStyle w:val="Contents3"/>
            <w:tabs>
              <w:tab w:val="clear" w:pos="8459"/>
              <w:tab w:val="right" w:pos="9026" w:leader="dot"/>
            </w:tabs>
            <w:rPr/>
          </w:pPr>
          <w:hyperlink w:anchor="__RefHeading___Toc8288888_2870459653">
            <w:r>
              <w:rPr>
                <w:webHidden/>
                <w:rStyle w:val="IndexLink"/>
              </w:rPr>
              <w:t>2</w:t>
            </w:r>
            <w:r>
              <w:rPr>
                <w:rStyle w:val="IndexLink"/>
                <w:rtl w:val="true"/>
              </w:rPr>
              <w:t xml:space="preserve">- </w:t>
            </w:r>
            <w:r>
              <w:rPr>
                <w:rStyle w:val="IndexLink"/>
                <w:rtl w:val="true"/>
              </w:rPr>
              <w:t>مفهوم الخطاب مطلقا</w:t>
            </w:r>
            <w:r>
              <w:rPr>
                <w:rStyle w:val="IndexLink"/>
                <w:rtl w:val="true"/>
              </w:rPr>
              <w:tab/>
            </w:r>
            <w:r>
              <w:rPr>
                <w:rStyle w:val="IndexLink"/>
              </w:rPr>
              <w:t>145</w:t>
            </w:r>
          </w:hyperlink>
        </w:p>
        <w:p>
          <w:pPr>
            <w:pStyle w:val="Contents3"/>
            <w:tabs>
              <w:tab w:val="clear" w:pos="8459"/>
              <w:tab w:val="right" w:pos="9026" w:leader="dot"/>
            </w:tabs>
            <w:rPr/>
          </w:pPr>
          <w:hyperlink w:anchor="__RefHeading___Toc8288890_2870459653">
            <w:r>
              <w:rPr>
                <w:webHidden/>
                <w:rStyle w:val="IndexLink"/>
                <w:rtl w:val="true"/>
              </w:rPr>
              <w:t>الخطاب الحسيني</w:t>
            </w:r>
            <w:r>
              <w:rPr>
                <w:rStyle w:val="IndexLink"/>
                <w:rtl w:val="true"/>
              </w:rPr>
              <w:tab/>
            </w:r>
            <w:r>
              <w:rPr>
                <w:rStyle w:val="IndexLink"/>
              </w:rPr>
              <w:t>147</w:t>
            </w:r>
          </w:hyperlink>
        </w:p>
        <w:p>
          <w:pPr>
            <w:pStyle w:val="Contents3"/>
            <w:tabs>
              <w:tab w:val="clear" w:pos="8459"/>
              <w:tab w:val="right" w:pos="9026" w:leader="dot"/>
            </w:tabs>
            <w:rPr/>
          </w:pPr>
          <w:hyperlink w:anchor="__RefHeading___Toc8288892_2870459653">
            <w:r>
              <w:rPr>
                <w:webHidden/>
                <w:rStyle w:val="IndexLink"/>
                <w:rtl w:val="true"/>
              </w:rPr>
              <w:t>المحور الثاني</w:t>
            </w:r>
            <w:r>
              <w:rPr>
                <w:rStyle w:val="IndexLink"/>
                <w:rtl w:val="true"/>
              </w:rPr>
              <w:t xml:space="preserve">: </w:t>
            </w:r>
            <w:r>
              <w:rPr>
                <w:rStyle w:val="IndexLink"/>
                <w:rtl w:val="true"/>
              </w:rPr>
              <w:t>أدوات السؤال الحجاجي في الخطاب الحُسيني</w:t>
            </w:r>
            <w:r>
              <w:rPr>
                <w:rStyle w:val="IndexLink"/>
                <w:rtl w:val="true"/>
              </w:rPr>
              <w:tab/>
            </w:r>
            <w:r>
              <w:rPr>
                <w:rStyle w:val="IndexLink"/>
              </w:rPr>
              <w:t>150</w:t>
            </w:r>
          </w:hyperlink>
        </w:p>
        <w:p>
          <w:pPr>
            <w:pStyle w:val="Contents3"/>
            <w:tabs>
              <w:tab w:val="clear" w:pos="8459"/>
              <w:tab w:val="right" w:pos="9026" w:leader="dot"/>
            </w:tabs>
            <w:rPr/>
          </w:pPr>
          <w:hyperlink w:anchor="__RefHeading___Toc8288894_2870459653">
            <w:r>
              <w:rPr>
                <w:webHidden/>
                <w:rStyle w:val="IndexLink"/>
              </w:rPr>
              <w:t>1</w:t>
            </w:r>
            <w:r>
              <w:rPr>
                <w:rStyle w:val="IndexLink"/>
                <w:rtl w:val="true"/>
              </w:rPr>
              <w:t xml:space="preserve">- </w:t>
            </w:r>
            <w:r>
              <w:rPr>
                <w:rStyle w:val="IndexLink"/>
                <w:rtl w:val="true"/>
              </w:rPr>
              <w:t>حرفا الاستفهام</w:t>
            </w:r>
            <w:r>
              <w:rPr>
                <w:rStyle w:val="IndexLink"/>
                <w:rtl w:val="true"/>
              </w:rPr>
              <w:tab/>
            </w:r>
            <w:r>
              <w:rPr>
                <w:rStyle w:val="IndexLink"/>
              </w:rPr>
              <w:t>150</w:t>
            </w:r>
          </w:hyperlink>
        </w:p>
        <w:p>
          <w:pPr>
            <w:pStyle w:val="Contents4"/>
            <w:tabs>
              <w:tab w:val="clear" w:pos="8176"/>
              <w:tab w:val="right" w:pos="9026" w:leader="dot"/>
            </w:tabs>
            <w:rPr/>
          </w:pPr>
          <w:hyperlink w:anchor="__RefHeading___Toc8288896_2870459653">
            <w:r>
              <w:rPr>
                <w:webHidden/>
                <w:rStyle w:val="IndexLink"/>
                <w:rtl w:val="true"/>
              </w:rPr>
              <w:t>أ</w:t>
            </w:r>
            <w:r>
              <w:rPr>
                <w:rStyle w:val="IndexLink"/>
                <w:rtl w:val="true"/>
              </w:rPr>
              <w:t xml:space="preserve">) </w:t>
            </w:r>
            <w:r>
              <w:rPr>
                <w:rStyle w:val="IndexLink"/>
                <w:rtl w:val="true"/>
              </w:rPr>
              <w:t>الهمزة</w:t>
            </w:r>
            <w:r>
              <w:rPr>
                <w:rStyle w:val="IndexLink"/>
                <w:rtl w:val="true"/>
              </w:rPr>
              <w:tab/>
            </w:r>
            <w:r>
              <w:rPr>
                <w:rStyle w:val="IndexLink"/>
              </w:rPr>
              <w:t>150</w:t>
            </w:r>
          </w:hyperlink>
        </w:p>
        <w:p>
          <w:pPr>
            <w:pStyle w:val="Contents4"/>
            <w:tabs>
              <w:tab w:val="clear" w:pos="8176"/>
              <w:tab w:val="right" w:pos="9026" w:leader="dot"/>
            </w:tabs>
            <w:rPr/>
          </w:pPr>
          <w:hyperlink w:anchor="__RefHeading___Toc8288898_2870459653">
            <w:r>
              <w:rPr>
                <w:webHidden/>
                <w:rStyle w:val="IndexLink"/>
                <w:rtl w:val="true"/>
              </w:rPr>
              <w:t>ب</w:t>
            </w:r>
            <w:r>
              <w:rPr>
                <w:rStyle w:val="IndexLink"/>
                <w:rtl w:val="true"/>
              </w:rPr>
              <w:t xml:space="preserve">) </w:t>
            </w:r>
            <w:r>
              <w:rPr>
                <w:rStyle w:val="IndexLink"/>
                <w:rtl w:val="true"/>
              </w:rPr>
              <w:t xml:space="preserve">حرف الاستفهام </w:t>
            </w:r>
            <w:r>
              <w:rPr>
                <w:rStyle w:val="IndexLink"/>
                <w:rtl w:val="true"/>
              </w:rPr>
              <w:t>(</w:t>
            </w:r>
            <w:r>
              <w:rPr>
                <w:rStyle w:val="IndexLink"/>
                <w:rtl w:val="true"/>
              </w:rPr>
              <w:t>هل</w:t>
            </w:r>
            <w:r>
              <w:rPr>
                <w:rStyle w:val="IndexLink"/>
                <w:rtl w:val="true"/>
              </w:rPr>
              <w:t>)</w:t>
              <w:tab/>
            </w:r>
            <w:r>
              <w:rPr>
                <w:rStyle w:val="IndexLink"/>
              </w:rPr>
              <w:t>153</w:t>
            </w:r>
          </w:hyperlink>
        </w:p>
        <w:p>
          <w:pPr>
            <w:pStyle w:val="Contents3"/>
            <w:tabs>
              <w:tab w:val="clear" w:pos="8459"/>
              <w:tab w:val="right" w:pos="9026" w:leader="dot"/>
            </w:tabs>
            <w:rPr/>
          </w:pPr>
          <w:hyperlink w:anchor="__RefHeading___Toc8288900_2870459653">
            <w:r>
              <w:rPr>
                <w:webHidden/>
                <w:rStyle w:val="IndexLink"/>
              </w:rPr>
              <w:t>2</w:t>
            </w:r>
            <w:r>
              <w:rPr>
                <w:rStyle w:val="IndexLink"/>
                <w:rtl w:val="true"/>
              </w:rPr>
              <w:t xml:space="preserve">- </w:t>
            </w:r>
            <w:r>
              <w:rPr>
                <w:rStyle w:val="IndexLink"/>
                <w:rtl w:val="true"/>
              </w:rPr>
              <w:t>أسماء الاستفهام</w:t>
            </w:r>
            <w:r>
              <w:rPr>
                <w:rStyle w:val="IndexLink"/>
                <w:rtl w:val="true"/>
              </w:rPr>
              <w:tab/>
            </w:r>
            <w:r>
              <w:rPr>
                <w:rStyle w:val="IndexLink"/>
              </w:rPr>
              <w:t>155</w:t>
            </w:r>
          </w:hyperlink>
        </w:p>
        <w:p>
          <w:pPr>
            <w:pStyle w:val="Contents3"/>
            <w:tabs>
              <w:tab w:val="clear" w:pos="8459"/>
              <w:tab w:val="right" w:pos="9026" w:leader="dot"/>
            </w:tabs>
            <w:rPr/>
          </w:pPr>
          <w:hyperlink w:anchor="__RefHeading___Toc8288902_2870459653">
            <w:r>
              <w:rPr>
                <w:webHidden/>
                <w:rStyle w:val="IndexLink"/>
                <w:rtl w:val="true"/>
              </w:rPr>
              <w:t>الشعر الحسيني في الدراسات الأدبية الحديثة</w:t>
            </w:r>
            <w:r>
              <w:rPr>
                <w:rStyle w:val="IndexLink"/>
                <w:rtl w:val="true"/>
              </w:rPr>
              <w:tab/>
            </w:r>
            <w:r>
              <w:rPr>
                <w:rStyle w:val="IndexLink"/>
              </w:rPr>
              <w:t>161</w:t>
            </w:r>
          </w:hyperlink>
        </w:p>
        <w:p>
          <w:pPr>
            <w:pStyle w:val="Contents3"/>
            <w:tabs>
              <w:tab w:val="clear" w:pos="8459"/>
              <w:tab w:val="right" w:pos="9026" w:leader="dot"/>
            </w:tabs>
            <w:rPr/>
          </w:pPr>
          <w:hyperlink w:anchor="__RefHeading___Toc8288904_2870459653">
            <w:r>
              <w:rPr>
                <w:webHidden/>
                <w:rStyle w:val="IndexLink"/>
                <w:rtl w:val="true"/>
              </w:rPr>
              <w:t xml:space="preserve">قراءة في كتاب </w:t>
            </w:r>
            <w:r>
              <w:rPr>
                <w:rStyle w:val="IndexLink"/>
                <w:rtl w:val="true"/>
              </w:rPr>
              <w:t>(</w:t>
            </w:r>
            <w:r>
              <w:rPr>
                <w:rStyle w:val="IndexLink"/>
                <w:rtl w:val="true"/>
              </w:rPr>
              <w:t>كربلاء بين شعراء الشعوب الإسلاميّة</w:t>
            </w:r>
            <w:r>
              <w:rPr>
                <w:rStyle w:val="IndexLink"/>
                <w:rtl w:val="true"/>
              </w:rPr>
              <w:t>)</w:t>
              <w:tab/>
            </w:r>
            <w:r>
              <w:rPr>
                <w:rStyle w:val="IndexLink"/>
              </w:rPr>
              <w:t>161</w:t>
            </w:r>
          </w:hyperlink>
        </w:p>
        <w:p>
          <w:pPr>
            <w:pStyle w:val="Contents3"/>
            <w:tabs>
              <w:tab w:val="clear" w:pos="8459"/>
              <w:tab w:val="right" w:pos="9026" w:leader="dot"/>
            </w:tabs>
            <w:rPr/>
          </w:pPr>
          <w:hyperlink w:anchor="__RefHeading___Toc8288906_2870459653">
            <w:r>
              <w:rPr>
                <w:webHidden/>
                <w:rStyle w:val="IndexLink"/>
                <w:rtl w:val="true"/>
              </w:rPr>
              <w:t>د</w:t>
            </w:r>
            <w:r>
              <w:rPr>
                <w:rStyle w:val="IndexLink"/>
                <w:rtl w:val="true"/>
              </w:rPr>
              <w:t xml:space="preserve">. </w:t>
            </w:r>
            <w:r>
              <w:rPr>
                <w:rStyle w:val="IndexLink"/>
                <w:rtl w:val="true"/>
              </w:rPr>
              <w:t>علي مجيد البديري</w:t>
            </w:r>
            <w:r>
              <w:rPr>
                <w:rStyle w:val="IndexLink"/>
                <w:rtl w:val="true"/>
              </w:rPr>
              <w:tab/>
            </w:r>
            <w:r>
              <w:rPr>
                <w:rStyle w:val="IndexLink"/>
              </w:rPr>
              <w:t>161</w:t>
            </w:r>
          </w:hyperlink>
        </w:p>
        <w:p>
          <w:pPr>
            <w:pStyle w:val="Contents3"/>
            <w:tabs>
              <w:tab w:val="clear" w:pos="8459"/>
              <w:tab w:val="right" w:pos="9026" w:leader="dot"/>
            </w:tabs>
            <w:rPr/>
          </w:pPr>
          <w:hyperlink w:anchor="__RefHeading___Toc8288908_2870459653">
            <w:r>
              <w:rPr>
                <w:webHidden/>
                <w:rStyle w:val="IndexLink"/>
                <w:rtl w:val="true"/>
              </w:rPr>
              <w:t>مقدمة</w:t>
            </w:r>
            <w:r>
              <w:rPr>
                <w:rStyle w:val="IndexLink"/>
                <w:rtl w:val="true"/>
              </w:rPr>
              <w:tab/>
            </w:r>
            <w:r>
              <w:rPr>
                <w:rStyle w:val="IndexLink"/>
              </w:rPr>
              <w:t>161</w:t>
            </w:r>
          </w:hyperlink>
        </w:p>
        <w:p>
          <w:pPr>
            <w:pStyle w:val="Contents3"/>
            <w:tabs>
              <w:tab w:val="clear" w:pos="8459"/>
              <w:tab w:val="right" w:pos="9026" w:leader="dot"/>
            </w:tabs>
            <w:rPr/>
          </w:pPr>
          <w:hyperlink w:anchor="__RefHeading___Toc8288910_2870459653">
            <w:r>
              <w:rPr>
                <w:webHidden/>
                <w:rStyle w:val="IndexLink"/>
                <w:rtl w:val="true"/>
              </w:rPr>
              <w:t>المحور الأول</w:t>
            </w:r>
            <w:r>
              <w:rPr>
                <w:rStyle w:val="IndexLink"/>
                <w:rtl w:val="true"/>
              </w:rPr>
              <w:t xml:space="preserve">: </w:t>
            </w:r>
            <w:r>
              <w:rPr>
                <w:rStyle w:val="IndexLink"/>
                <w:rtl w:val="true"/>
              </w:rPr>
              <w:t>مؤلف الكتاب</w:t>
            </w:r>
            <w:r>
              <w:rPr>
                <w:rStyle w:val="IndexLink"/>
                <w:rtl w:val="true"/>
              </w:rPr>
              <w:tab/>
            </w:r>
            <w:r>
              <w:rPr>
                <w:rStyle w:val="IndexLink"/>
              </w:rPr>
              <w:t>163</w:t>
            </w:r>
          </w:hyperlink>
        </w:p>
        <w:p>
          <w:pPr>
            <w:pStyle w:val="Contents3"/>
            <w:tabs>
              <w:tab w:val="clear" w:pos="8459"/>
              <w:tab w:val="right" w:pos="9026" w:leader="dot"/>
            </w:tabs>
            <w:rPr/>
          </w:pPr>
          <w:hyperlink w:anchor="__RefHeading___Toc8288912_2870459653">
            <w:r>
              <w:rPr>
                <w:webHidden/>
                <w:rStyle w:val="IndexLink"/>
                <w:rtl w:val="true"/>
              </w:rPr>
              <w:t>المحور الثاني</w:t>
            </w:r>
            <w:r>
              <w:rPr>
                <w:rStyle w:val="IndexLink"/>
                <w:rtl w:val="true"/>
              </w:rPr>
              <w:t xml:space="preserve">: </w:t>
            </w:r>
            <w:r>
              <w:rPr>
                <w:rStyle w:val="IndexLink"/>
                <w:rtl w:val="true"/>
              </w:rPr>
              <w:t>جولة تأمّلية في كتابه</w:t>
            </w:r>
            <w:r>
              <w:rPr>
                <w:rStyle w:val="IndexLink"/>
                <w:rtl w:val="true"/>
              </w:rPr>
              <w:tab/>
            </w:r>
            <w:r>
              <w:rPr>
                <w:rStyle w:val="IndexLink"/>
              </w:rPr>
              <w:t>164</w:t>
            </w:r>
          </w:hyperlink>
        </w:p>
        <w:p>
          <w:pPr>
            <w:pStyle w:val="Contents3"/>
            <w:tabs>
              <w:tab w:val="clear" w:pos="8459"/>
              <w:tab w:val="right" w:pos="9026" w:leader="dot"/>
            </w:tabs>
            <w:rPr/>
          </w:pPr>
          <w:hyperlink w:anchor="__RefHeading___Toc8288914_2870459653">
            <w:r>
              <w:rPr>
                <w:webHidden/>
                <w:rStyle w:val="IndexLink"/>
                <w:rtl w:val="true"/>
              </w:rPr>
              <w:t>وقفة عامة مع الكتاب</w:t>
            </w:r>
            <w:r>
              <w:rPr>
                <w:rStyle w:val="IndexLink"/>
                <w:rtl w:val="true"/>
              </w:rPr>
              <w:tab/>
            </w:r>
            <w:r>
              <w:rPr>
                <w:rStyle w:val="IndexLink"/>
              </w:rPr>
              <w:t>164</w:t>
            </w:r>
          </w:hyperlink>
        </w:p>
        <w:p>
          <w:pPr>
            <w:pStyle w:val="Contents3"/>
            <w:tabs>
              <w:tab w:val="clear" w:pos="8459"/>
              <w:tab w:val="right" w:pos="9026" w:leader="dot"/>
            </w:tabs>
            <w:rPr/>
          </w:pPr>
          <w:hyperlink w:anchor="__RefHeading___Toc8288916_2870459653">
            <w:r>
              <w:rPr>
                <w:webHidden/>
                <w:rStyle w:val="IndexLink"/>
                <w:rtl w:val="true"/>
              </w:rPr>
              <w:t>أبواب وفصول الكتاب</w:t>
            </w:r>
            <w:r>
              <w:rPr>
                <w:rStyle w:val="IndexLink"/>
                <w:rtl w:val="true"/>
              </w:rPr>
              <w:tab/>
            </w:r>
            <w:r>
              <w:rPr>
                <w:rStyle w:val="IndexLink"/>
              </w:rPr>
              <w:t>166</w:t>
            </w:r>
          </w:hyperlink>
        </w:p>
        <w:p>
          <w:pPr>
            <w:pStyle w:val="Contents3"/>
            <w:tabs>
              <w:tab w:val="clear" w:pos="8459"/>
              <w:tab w:val="right" w:pos="9026" w:leader="dot"/>
            </w:tabs>
            <w:rPr/>
          </w:pPr>
          <w:hyperlink w:anchor="__RefHeading___Toc8288918_2870459653">
            <w:r>
              <w:rPr>
                <w:webHidden/>
                <w:rStyle w:val="IndexLink"/>
                <w:rtl w:val="true"/>
              </w:rPr>
              <w:t>الباب الأوّل</w:t>
            </w:r>
            <w:r>
              <w:rPr>
                <w:rStyle w:val="IndexLink"/>
                <w:rtl w:val="true"/>
              </w:rPr>
              <w:t xml:space="preserve">: </w:t>
            </w:r>
            <w:r>
              <w:rPr>
                <w:rStyle w:val="IndexLink"/>
                <w:rtl w:val="true"/>
              </w:rPr>
              <w:t>كربلاء في الشّعر العربي</w:t>
            </w:r>
            <w:r>
              <w:rPr>
                <w:rStyle w:val="IndexLink"/>
                <w:rtl w:val="true"/>
              </w:rPr>
              <w:tab/>
            </w:r>
            <w:r>
              <w:rPr>
                <w:rStyle w:val="IndexLink"/>
              </w:rPr>
              <w:t>166</w:t>
            </w:r>
          </w:hyperlink>
        </w:p>
        <w:p>
          <w:pPr>
            <w:pStyle w:val="Contents3"/>
            <w:tabs>
              <w:tab w:val="clear" w:pos="8459"/>
              <w:tab w:val="right" w:pos="9026" w:leader="dot"/>
            </w:tabs>
            <w:rPr/>
          </w:pPr>
          <w:hyperlink w:anchor="__RefHeading___Toc8288920_2870459653">
            <w:r>
              <w:rPr>
                <w:webHidden/>
                <w:rStyle w:val="IndexLink"/>
                <w:rtl w:val="true"/>
              </w:rPr>
              <w:t>الباب الثّاني</w:t>
            </w:r>
            <w:r>
              <w:rPr>
                <w:rStyle w:val="IndexLink"/>
                <w:rtl w:val="true"/>
              </w:rPr>
              <w:t xml:space="preserve">: </w:t>
            </w:r>
            <w:r>
              <w:rPr>
                <w:rStyle w:val="IndexLink"/>
                <w:rtl w:val="true"/>
              </w:rPr>
              <w:t>كربلاء في الشِّعر الأُردي</w:t>
            </w:r>
            <w:r>
              <w:rPr>
                <w:rStyle w:val="IndexLink"/>
                <w:rtl w:val="true"/>
              </w:rPr>
              <w:tab/>
            </w:r>
            <w:r>
              <w:rPr>
                <w:rStyle w:val="IndexLink"/>
              </w:rPr>
              <w:t>171</w:t>
            </w:r>
          </w:hyperlink>
        </w:p>
        <w:p>
          <w:pPr>
            <w:pStyle w:val="Contents3"/>
            <w:tabs>
              <w:tab w:val="clear" w:pos="8459"/>
              <w:tab w:val="right" w:pos="9026" w:leader="dot"/>
            </w:tabs>
            <w:rPr/>
          </w:pPr>
          <w:hyperlink w:anchor="__RefHeading___Toc8288922_2870459653">
            <w:r>
              <w:rPr>
                <w:webHidden/>
                <w:rStyle w:val="IndexLink"/>
                <w:rtl w:val="true"/>
              </w:rPr>
              <w:t>الباب الثالث</w:t>
            </w:r>
            <w:r>
              <w:rPr>
                <w:rStyle w:val="IndexLink"/>
                <w:rtl w:val="true"/>
              </w:rPr>
              <w:t xml:space="preserve">: </w:t>
            </w:r>
            <w:r>
              <w:rPr>
                <w:rStyle w:val="IndexLink"/>
                <w:rtl w:val="true"/>
              </w:rPr>
              <w:t>كربلاء في الشّعر الفارسي</w:t>
            </w:r>
            <w:r>
              <w:rPr>
                <w:rStyle w:val="IndexLink"/>
                <w:rtl w:val="true"/>
              </w:rPr>
              <w:tab/>
            </w:r>
            <w:r>
              <w:rPr>
                <w:rStyle w:val="IndexLink"/>
              </w:rPr>
              <w:t>172</w:t>
            </w:r>
          </w:hyperlink>
        </w:p>
        <w:p>
          <w:pPr>
            <w:pStyle w:val="Contents3"/>
            <w:tabs>
              <w:tab w:val="clear" w:pos="8459"/>
              <w:tab w:val="right" w:pos="9026" w:leader="dot"/>
            </w:tabs>
            <w:rPr/>
          </w:pPr>
          <w:hyperlink w:anchor="__RefHeading___Toc8288924_2870459653">
            <w:r>
              <w:rPr>
                <w:webHidden/>
                <w:rStyle w:val="IndexLink"/>
                <w:rtl w:val="true"/>
              </w:rPr>
              <w:t>الباب الرابع</w:t>
            </w:r>
            <w:r>
              <w:rPr>
                <w:rStyle w:val="IndexLink"/>
                <w:rtl w:val="true"/>
              </w:rPr>
              <w:t xml:space="preserve">: </w:t>
            </w:r>
            <w:r>
              <w:rPr>
                <w:rStyle w:val="IndexLink"/>
                <w:rtl w:val="true"/>
              </w:rPr>
              <w:t>كربلاء في الشّعر التركي</w:t>
            </w:r>
            <w:r>
              <w:rPr>
                <w:rStyle w:val="IndexLink"/>
                <w:rtl w:val="true"/>
              </w:rPr>
              <w:tab/>
            </w:r>
            <w:r>
              <w:rPr>
                <w:rStyle w:val="IndexLink"/>
              </w:rPr>
              <w:t>175</w:t>
            </w:r>
          </w:hyperlink>
        </w:p>
        <w:p>
          <w:pPr>
            <w:pStyle w:val="Contents3"/>
            <w:tabs>
              <w:tab w:val="clear" w:pos="8459"/>
              <w:tab w:val="right" w:pos="9026" w:leader="dot"/>
            </w:tabs>
            <w:rPr/>
          </w:pPr>
          <w:hyperlink w:anchor="__RefHeading___Toc8288926_2870459653">
            <w:r>
              <w:rPr>
                <w:webHidden/>
                <w:rStyle w:val="IndexLink"/>
                <w:rtl w:val="true"/>
              </w:rPr>
              <w:t>المحور الثالث</w:t>
            </w:r>
            <w:r>
              <w:rPr>
                <w:rStyle w:val="IndexLink"/>
                <w:rtl w:val="true"/>
              </w:rPr>
              <w:t xml:space="preserve">: </w:t>
            </w:r>
            <w:r>
              <w:rPr>
                <w:rStyle w:val="IndexLink"/>
                <w:rtl w:val="true"/>
              </w:rPr>
              <w:t>وقفة مع الكتاب</w:t>
            </w:r>
            <w:r>
              <w:rPr>
                <w:rStyle w:val="IndexLink"/>
                <w:rtl w:val="true"/>
              </w:rPr>
              <w:tab/>
            </w:r>
            <w:r>
              <w:rPr>
                <w:rStyle w:val="IndexLink"/>
              </w:rPr>
              <w:t>177</w:t>
            </w:r>
          </w:hyperlink>
        </w:p>
        <w:p>
          <w:pPr>
            <w:pStyle w:val="Contents3"/>
            <w:tabs>
              <w:tab w:val="clear" w:pos="8459"/>
              <w:tab w:val="right" w:pos="9026" w:leader="dot"/>
            </w:tabs>
            <w:rPr/>
          </w:pPr>
          <w:hyperlink w:anchor="__RefHeading___Toc8288928_2870459653">
            <w:r>
              <w:rPr>
                <w:webHidden/>
                <w:rStyle w:val="IndexLink"/>
                <w:rtl w:val="true"/>
              </w:rPr>
              <w:t>النثر في ثورتي التوابين والمختار الثقفي وتأثره بالنص القرآني</w:t>
            </w:r>
            <w:r>
              <w:rPr>
                <w:rStyle w:val="IndexLink"/>
                <w:rtl w:val="true"/>
              </w:rPr>
              <w:tab/>
            </w:r>
            <w:r>
              <w:rPr>
                <w:rStyle w:val="IndexLink"/>
              </w:rPr>
              <w:t>181</w:t>
            </w:r>
          </w:hyperlink>
        </w:p>
        <w:p>
          <w:pPr>
            <w:pStyle w:val="Contents3"/>
            <w:tabs>
              <w:tab w:val="clear" w:pos="8459"/>
              <w:tab w:val="right" w:pos="9026" w:leader="dot"/>
            </w:tabs>
            <w:rPr/>
          </w:pPr>
          <w:hyperlink w:anchor="__RefHeading___Toc8288930_2870459653">
            <w:r>
              <w:rPr>
                <w:webHidden/>
                <w:rStyle w:val="IndexLink"/>
                <w:rtl w:val="true"/>
              </w:rPr>
              <w:t>د</w:t>
            </w:r>
            <w:r>
              <w:rPr>
                <w:rStyle w:val="IndexLink"/>
                <w:rtl w:val="true"/>
              </w:rPr>
              <w:t xml:space="preserve">. </w:t>
            </w:r>
            <w:r>
              <w:rPr>
                <w:rStyle w:val="IndexLink"/>
                <w:rtl w:val="true"/>
              </w:rPr>
              <w:t>هاشم الزرفي</w:t>
            </w:r>
            <w:r>
              <w:rPr>
                <w:rStyle w:val="IndexLink"/>
                <w:rtl w:val="true"/>
              </w:rPr>
              <w:tab/>
            </w:r>
            <w:r>
              <w:rPr>
                <w:rStyle w:val="IndexLink"/>
              </w:rPr>
              <w:t>181</w:t>
            </w:r>
          </w:hyperlink>
        </w:p>
        <w:p>
          <w:pPr>
            <w:pStyle w:val="Contents3"/>
            <w:tabs>
              <w:tab w:val="clear" w:pos="8459"/>
              <w:tab w:val="right" w:pos="9026" w:leader="dot"/>
            </w:tabs>
            <w:rPr/>
          </w:pPr>
          <w:hyperlink w:anchor="__RefHeading___Toc8288932_2870459653">
            <w:r>
              <w:rPr>
                <w:webHidden/>
                <w:rStyle w:val="IndexLink"/>
                <w:rtl w:val="true"/>
              </w:rPr>
              <w:t>المقدمة</w:t>
            </w:r>
            <w:r>
              <w:rPr>
                <w:rStyle w:val="IndexLink"/>
                <w:rtl w:val="true"/>
              </w:rPr>
              <w:tab/>
            </w:r>
            <w:r>
              <w:rPr>
                <w:rStyle w:val="IndexLink"/>
              </w:rPr>
              <w:t>181</w:t>
            </w:r>
          </w:hyperlink>
        </w:p>
        <w:p>
          <w:pPr>
            <w:pStyle w:val="Contents3"/>
            <w:tabs>
              <w:tab w:val="clear" w:pos="8459"/>
              <w:tab w:val="right" w:pos="9026" w:leader="dot"/>
            </w:tabs>
            <w:rPr/>
          </w:pPr>
          <w:hyperlink w:anchor="__RefHeading___Toc8288934_2870459653">
            <w:r>
              <w:rPr>
                <w:webHidden/>
                <w:rStyle w:val="IndexLink"/>
                <w:rtl w:val="true"/>
              </w:rPr>
              <w:t>تمهيد</w:t>
            </w:r>
            <w:r>
              <w:rPr>
                <w:rStyle w:val="IndexLink"/>
                <w:rtl w:val="true"/>
              </w:rPr>
              <w:t xml:space="preserve">: </w:t>
            </w:r>
            <w:r>
              <w:rPr>
                <w:rStyle w:val="IndexLink"/>
                <w:rtl w:val="true"/>
              </w:rPr>
              <w:t>النثر مفهومه ووظيفته</w:t>
            </w:r>
            <w:r>
              <w:rPr>
                <w:rStyle w:val="IndexLink"/>
                <w:rtl w:val="true"/>
              </w:rPr>
              <w:tab/>
            </w:r>
            <w:r>
              <w:rPr>
                <w:rStyle w:val="IndexLink"/>
              </w:rPr>
              <w:t>182</w:t>
            </w:r>
          </w:hyperlink>
        </w:p>
        <w:p>
          <w:pPr>
            <w:pStyle w:val="Contents3"/>
            <w:tabs>
              <w:tab w:val="clear" w:pos="8459"/>
              <w:tab w:val="right" w:pos="9026" w:leader="dot"/>
            </w:tabs>
            <w:rPr/>
          </w:pPr>
          <w:hyperlink w:anchor="__RefHeading___Toc8288936_2870459653">
            <w:r>
              <w:rPr>
                <w:webHidden/>
                <w:rStyle w:val="IndexLink"/>
                <w:rtl w:val="true"/>
              </w:rPr>
              <w:t>مفهوم النّثر</w:t>
            </w:r>
            <w:r>
              <w:rPr>
                <w:rStyle w:val="IndexLink"/>
                <w:rtl w:val="true"/>
              </w:rPr>
              <w:tab/>
            </w:r>
            <w:r>
              <w:rPr>
                <w:rStyle w:val="IndexLink"/>
              </w:rPr>
              <w:t>182</w:t>
            </w:r>
          </w:hyperlink>
        </w:p>
        <w:p>
          <w:pPr>
            <w:pStyle w:val="Contents3"/>
            <w:tabs>
              <w:tab w:val="clear" w:pos="8459"/>
              <w:tab w:val="right" w:pos="9026" w:leader="dot"/>
            </w:tabs>
            <w:rPr/>
          </w:pPr>
          <w:hyperlink w:anchor="__RefHeading___Toc8288938_2870459653">
            <w:r>
              <w:rPr>
                <w:webHidden/>
                <w:rStyle w:val="IndexLink"/>
                <w:rtl w:val="true"/>
              </w:rPr>
              <w:t>وظيفة النثر</w:t>
            </w:r>
            <w:r>
              <w:rPr>
                <w:rStyle w:val="IndexLink"/>
                <w:rtl w:val="true"/>
              </w:rPr>
              <w:tab/>
            </w:r>
            <w:r>
              <w:rPr>
                <w:rStyle w:val="IndexLink"/>
              </w:rPr>
              <w:t>183</w:t>
            </w:r>
          </w:hyperlink>
        </w:p>
        <w:p>
          <w:pPr>
            <w:pStyle w:val="Contents3"/>
            <w:tabs>
              <w:tab w:val="clear" w:pos="8459"/>
              <w:tab w:val="right" w:pos="9026" w:leader="dot"/>
            </w:tabs>
            <w:rPr/>
          </w:pPr>
          <w:hyperlink w:anchor="__RefHeading___Toc8288940_2870459653">
            <w:r>
              <w:rPr>
                <w:webHidden/>
                <w:rStyle w:val="IndexLink"/>
                <w:rtl w:val="true"/>
              </w:rPr>
              <w:t>المحور الأول</w:t>
            </w:r>
            <w:r>
              <w:rPr>
                <w:rStyle w:val="IndexLink"/>
                <w:rtl w:val="true"/>
              </w:rPr>
              <w:t xml:space="preserve">: </w:t>
            </w:r>
            <w:r>
              <w:rPr>
                <w:rStyle w:val="IndexLink"/>
                <w:rtl w:val="true"/>
              </w:rPr>
              <w:t>أنماط النثر الفنَّي في ثورة التوابين وإمارة المختار</w:t>
            </w:r>
            <w:r>
              <w:rPr>
                <w:rStyle w:val="IndexLink"/>
                <w:rtl w:val="true"/>
              </w:rPr>
              <w:tab/>
            </w:r>
            <w:r>
              <w:rPr>
                <w:rStyle w:val="IndexLink"/>
              </w:rPr>
              <w:t>184</w:t>
            </w:r>
          </w:hyperlink>
        </w:p>
        <w:p>
          <w:pPr>
            <w:pStyle w:val="Contents3"/>
            <w:tabs>
              <w:tab w:val="clear" w:pos="8459"/>
              <w:tab w:val="right" w:pos="9026" w:leader="dot"/>
            </w:tabs>
            <w:rPr/>
          </w:pPr>
          <w:hyperlink w:anchor="__RefHeading___Toc8288942_2870459653">
            <w:r>
              <w:rPr>
                <w:webHidden/>
                <w:rStyle w:val="IndexLink"/>
                <w:rtl w:val="true"/>
              </w:rPr>
              <w:t>الخطابة في الإسلام</w:t>
            </w:r>
            <w:r>
              <w:rPr>
                <w:rStyle w:val="IndexLink"/>
                <w:rtl w:val="true"/>
              </w:rPr>
              <w:tab/>
            </w:r>
            <w:r>
              <w:rPr>
                <w:rStyle w:val="IndexLink"/>
              </w:rPr>
              <w:t>185</w:t>
            </w:r>
          </w:hyperlink>
        </w:p>
        <w:p>
          <w:pPr>
            <w:pStyle w:val="Contents3"/>
            <w:tabs>
              <w:tab w:val="clear" w:pos="8459"/>
              <w:tab w:val="right" w:pos="9026" w:leader="dot"/>
            </w:tabs>
            <w:rPr/>
          </w:pPr>
          <w:hyperlink w:anchor="__RefHeading___Toc8288944_2870459653">
            <w:r>
              <w:rPr>
                <w:webHidden/>
                <w:rStyle w:val="IndexLink"/>
                <w:rtl w:val="true"/>
              </w:rPr>
              <w:t>الخطابة في ثورة التَّوابين وإمارة المختار</w:t>
            </w:r>
            <w:r>
              <w:rPr>
                <w:rStyle w:val="IndexLink"/>
                <w:rtl w:val="true"/>
              </w:rPr>
              <w:tab/>
            </w:r>
            <w:r>
              <w:rPr>
                <w:rStyle w:val="IndexLink"/>
              </w:rPr>
              <w:t>187</w:t>
            </w:r>
          </w:hyperlink>
        </w:p>
        <w:p>
          <w:pPr>
            <w:pStyle w:val="Contents3"/>
            <w:tabs>
              <w:tab w:val="clear" w:pos="8459"/>
              <w:tab w:val="right" w:pos="9026" w:leader="dot"/>
            </w:tabs>
            <w:rPr/>
          </w:pPr>
          <w:hyperlink w:anchor="__RefHeading___Toc8288946_2870459653">
            <w:r>
              <w:rPr>
                <w:webHidden/>
                <w:rStyle w:val="IndexLink"/>
                <w:rtl w:val="true"/>
              </w:rPr>
              <w:t>الفريق الأول</w:t>
            </w:r>
            <w:r>
              <w:rPr>
                <w:rStyle w:val="IndexLink"/>
                <w:rtl w:val="true"/>
              </w:rPr>
              <w:t>: (</w:t>
            </w:r>
            <w:r>
              <w:rPr>
                <w:rStyle w:val="IndexLink"/>
                <w:rtl w:val="true"/>
              </w:rPr>
              <w:t>التوابون وأنصارُهم</w:t>
            </w:r>
            <w:r>
              <w:rPr>
                <w:rStyle w:val="IndexLink"/>
                <w:rtl w:val="true"/>
              </w:rPr>
              <w:t xml:space="preserve">) </w:t>
            </w:r>
            <w:r>
              <w:rPr>
                <w:rStyle w:val="IndexLink"/>
                <w:rtl w:val="true"/>
              </w:rPr>
              <w:t>وهم</w:t>
            </w:r>
            <w:r>
              <w:rPr>
                <w:rStyle w:val="IndexLink"/>
                <w:rtl w:val="true"/>
              </w:rPr>
              <w:t>:</w:t>
              <w:tab/>
            </w:r>
            <w:r>
              <w:rPr>
                <w:rStyle w:val="IndexLink"/>
              </w:rPr>
              <w:t>189</w:t>
            </w:r>
          </w:hyperlink>
        </w:p>
        <w:p>
          <w:pPr>
            <w:pStyle w:val="Contents3"/>
            <w:tabs>
              <w:tab w:val="clear" w:pos="8459"/>
              <w:tab w:val="right" w:pos="9026" w:leader="dot"/>
            </w:tabs>
            <w:rPr/>
          </w:pPr>
          <w:hyperlink w:anchor="__RefHeading___Toc8288948_2870459653">
            <w:r>
              <w:rPr>
                <w:webHidden/>
                <w:rStyle w:val="IndexLink"/>
                <w:rtl w:val="true"/>
              </w:rPr>
              <w:t>الفريق الثاني</w:t>
            </w:r>
            <w:r>
              <w:rPr>
                <w:rStyle w:val="IndexLink"/>
                <w:rtl w:val="true"/>
              </w:rPr>
              <w:t>: (</w:t>
            </w:r>
            <w:r>
              <w:rPr>
                <w:rStyle w:val="IndexLink"/>
                <w:rtl w:val="true"/>
              </w:rPr>
              <w:t>المناوئون</w:t>
            </w:r>
            <w:r>
              <w:rPr>
                <w:rStyle w:val="IndexLink"/>
                <w:rtl w:val="true"/>
              </w:rPr>
              <w:t xml:space="preserve">) </w:t>
            </w:r>
            <w:r>
              <w:rPr>
                <w:rStyle w:val="IndexLink"/>
                <w:rtl w:val="true"/>
              </w:rPr>
              <w:t>وهم</w:t>
            </w:r>
            <w:r>
              <w:rPr>
                <w:rStyle w:val="IndexLink"/>
                <w:rtl w:val="true"/>
              </w:rPr>
              <w:t>:</w:t>
              <w:tab/>
            </w:r>
            <w:r>
              <w:rPr>
                <w:rStyle w:val="IndexLink"/>
              </w:rPr>
              <w:t>189</w:t>
            </w:r>
          </w:hyperlink>
        </w:p>
        <w:p>
          <w:pPr>
            <w:pStyle w:val="Contents3"/>
            <w:tabs>
              <w:tab w:val="clear" w:pos="8459"/>
              <w:tab w:val="right" w:pos="9026" w:leader="dot"/>
            </w:tabs>
            <w:rPr/>
          </w:pPr>
          <w:hyperlink w:anchor="__RefHeading___Toc8288950_2870459653">
            <w:r>
              <w:rPr>
                <w:webHidden/>
                <w:rStyle w:val="IndexLink"/>
                <w:rtl w:val="true"/>
              </w:rPr>
              <w:t>النمط الثاني</w:t>
            </w:r>
            <w:r>
              <w:rPr>
                <w:rStyle w:val="IndexLink"/>
                <w:rtl w:val="true"/>
              </w:rPr>
              <w:t xml:space="preserve">: </w:t>
            </w:r>
            <w:r>
              <w:rPr>
                <w:rStyle w:val="IndexLink"/>
                <w:rtl w:val="true"/>
              </w:rPr>
              <w:t>الرسائل الفنيّة</w:t>
            </w:r>
            <w:r>
              <w:rPr>
                <w:rStyle w:val="IndexLink"/>
                <w:rtl w:val="true"/>
              </w:rPr>
              <w:tab/>
            </w:r>
            <w:r>
              <w:rPr>
                <w:rStyle w:val="IndexLink"/>
              </w:rPr>
              <w:t>190</w:t>
            </w:r>
          </w:hyperlink>
        </w:p>
        <w:p>
          <w:pPr>
            <w:pStyle w:val="Contents3"/>
            <w:tabs>
              <w:tab w:val="clear" w:pos="8459"/>
              <w:tab w:val="right" w:pos="9026" w:leader="dot"/>
            </w:tabs>
            <w:rPr/>
          </w:pPr>
          <w:hyperlink w:anchor="__RefHeading___Toc8288952_2870459653">
            <w:r>
              <w:rPr>
                <w:webHidden/>
                <w:rStyle w:val="IndexLink"/>
                <w:rtl w:val="true"/>
              </w:rPr>
              <w:t>الرَّسائل الفنيّة بين الجاهليَّة وعصر صدر الإسلام</w:t>
            </w:r>
            <w:r>
              <w:rPr>
                <w:rStyle w:val="IndexLink"/>
                <w:rtl w:val="true"/>
              </w:rPr>
              <w:tab/>
            </w:r>
            <w:r>
              <w:rPr>
                <w:rStyle w:val="IndexLink"/>
              </w:rPr>
              <w:t>190</w:t>
            </w:r>
          </w:hyperlink>
        </w:p>
        <w:p>
          <w:pPr>
            <w:pStyle w:val="Contents3"/>
            <w:tabs>
              <w:tab w:val="clear" w:pos="8459"/>
              <w:tab w:val="right" w:pos="9026" w:leader="dot"/>
            </w:tabs>
            <w:rPr/>
          </w:pPr>
          <w:hyperlink w:anchor="__RefHeading___Toc8288954_2870459653">
            <w:r>
              <w:rPr>
                <w:webHidden/>
                <w:rStyle w:val="IndexLink"/>
                <w:rtl w:val="true"/>
              </w:rPr>
              <w:t>الرَّسائل الفنيّة في ثورة التَّوابين وإمارة المختار</w:t>
            </w:r>
            <w:r>
              <w:rPr>
                <w:rStyle w:val="IndexLink"/>
                <w:rtl w:val="true"/>
              </w:rPr>
              <w:tab/>
            </w:r>
            <w:r>
              <w:rPr>
                <w:rStyle w:val="IndexLink"/>
              </w:rPr>
              <w:t>192</w:t>
            </w:r>
          </w:hyperlink>
        </w:p>
        <w:p>
          <w:pPr>
            <w:pStyle w:val="Contents3"/>
            <w:tabs>
              <w:tab w:val="clear" w:pos="8459"/>
              <w:tab w:val="right" w:pos="9026" w:leader="dot"/>
            </w:tabs>
            <w:rPr/>
          </w:pPr>
          <w:hyperlink w:anchor="__RefHeading___Toc8288956_2870459653">
            <w:r>
              <w:rPr>
                <w:webHidden/>
                <w:rStyle w:val="IndexLink"/>
                <w:rtl w:val="true"/>
              </w:rPr>
              <w:t>النمط الثالث</w:t>
            </w:r>
            <w:r>
              <w:rPr>
                <w:rStyle w:val="IndexLink"/>
                <w:rtl w:val="true"/>
              </w:rPr>
              <w:t xml:space="preserve">: </w:t>
            </w:r>
            <w:r>
              <w:rPr>
                <w:rStyle w:val="IndexLink"/>
                <w:rtl w:val="true"/>
              </w:rPr>
              <w:t>العهود والوصايا في ثورة التوابين وإمارة المختار</w:t>
            </w:r>
            <w:r>
              <w:rPr>
                <w:rStyle w:val="IndexLink"/>
                <w:rtl w:val="true"/>
              </w:rPr>
              <w:tab/>
            </w:r>
            <w:r>
              <w:rPr>
                <w:rStyle w:val="IndexLink"/>
              </w:rPr>
              <w:t>195</w:t>
            </w:r>
          </w:hyperlink>
        </w:p>
        <w:p>
          <w:pPr>
            <w:pStyle w:val="Contents3"/>
            <w:tabs>
              <w:tab w:val="clear" w:pos="8459"/>
              <w:tab w:val="right" w:pos="9026" w:leader="dot"/>
            </w:tabs>
            <w:rPr/>
          </w:pPr>
          <w:hyperlink w:anchor="__RefHeading___Toc8288958_2870459653">
            <w:r>
              <w:rPr>
                <w:webHidden/>
                <w:rStyle w:val="IndexLink"/>
                <w:rtl w:val="true"/>
              </w:rPr>
              <w:t>المحور الثاني</w:t>
            </w:r>
            <w:r>
              <w:rPr>
                <w:rStyle w:val="IndexLink"/>
                <w:rtl w:val="true"/>
              </w:rPr>
              <w:t xml:space="preserve">: </w:t>
            </w:r>
            <w:r>
              <w:rPr>
                <w:rStyle w:val="IndexLink"/>
                <w:rtl w:val="true"/>
              </w:rPr>
              <w:t>أثر القرآن الكريم في نثر التوابين والمختار الثقفي</w:t>
            </w:r>
            <w:r>
              <w:rPr>
                <w:rStyle w:val="IndexLink"/>
                <w:rtl w:val="true"/>
              </w:rPr>
              <w:tab/>
            </w:r>
            <w:r>
              <w:rPr>
                <w:rStyle w:val="IndexLink"/>
              </w:rPr>
              <w:t>197</w:t>
            </w:r>
          </w:hyperlink>
        </w:p>
        <w:p>
          <w:pPr>
            <w:pStyle w:val="Contents3"/>
            <w:tabs>
              <w:tab w:val="clear" w:pos="8459"/>
              <w:tab w:val="right" w:pos="9026" w:leader="dot"/>
            </w:tabs>
            <w:rPr/>
          </w:pPr>
          <w:hyperlink w:anchor="__RefHeading___Toc8288960_2870459653">
            <w:r>
              <w:rPr>
                <w:webHidden/>
                <w:rStyle w:val="IndexLink"/>
                <w:rtl w:val="true"/>
              </w:rPr>
              <w:t>أولاً</w:t>
            </w:r>
            <w:r>
              <w:rPr>
                <w:rStyle w:val="IndexLink"/>
                <w:rtl w:val="true"/>
              </w:rPr>
              <w:t xml:space="preserve">: </w:t>
            </w:r>
            <w:r>
              <w:rPr>
                <w:rStyle w:val="IndexLink"/>
                <w:rtl w:val="true"/>
              </w:rPr>
              <w:t>الاقتباس القرآني</w:t>
            </w:r>
            <w:r>
              <w:rPr>
                <w:rStyle w:val="IndexLink"/>
                <w:rtl w:val="true"/>
              </w:rPr>
              <w:tab/>
            </w:r>
            <w:r>
              <w:rPr>
                <w:rStyle w:val="IndexLink"/>
              </w:rPr>
              <w:t>199</w:t>
            </w:r>
          </w:hyperlink>
        </w:p>
        <w:p>
          <w:pPr>
            <w:pStyle w:val="Contents3"/>
            <w:tabs>
              <w:tab w:val="clear" w:pos="8459"/>
              <w:tab w:val="right" w:pos="9026" w:leader="dot"/>
            </w:tabs>
            <w:rPr/>
          </w:pPr>
          <w:hyperlink w:anchor="__RefHeading___Toc8288962_2870459653">
            <w:r>
              <w:rPr>
                <w:webHidden/>
                <w:rStyle w:val="IndexLink"/>
              </w:rPr>
              <w:t>1</w:t>
            </w:r>
            <w:r>
              <w:rPr>
                <w:rStyle w:val="IndexLink"/>
                <w:rtl w:val="true"/>
              </w:rPr>
              <w:t xml:space="preserve">- </w:t>
            </w:r>
            <w:r>
              <w:rPr>
                <w:rStyle w:val="IndexLink"/>
                <w:rtl w:val="true"/>
              </w:rPr>
              <w:t>خُطب ورسائل ثورة التوابين</w:t>
            </w:r>
            <w:r>
              <w:rPr>
                <w:rStyle w:val="IndexLink"/>
                <w:rtl w:val="true"/>
              </w:rPr>
              <w:tab/>
            </w:r>
            <w:r>
              <w:rPr>
                <w:rStyle w:val="IndexLink"/>
              </w:rPr>
              <w:t>200</w:t>
            </w:r>
          </w:hyperlink>
        </w:p>
        <w:p>
          <w:pPr>
            <w:pStyle w:val="Contents3"/>
            <w:tabs>
              <w:tab w:val="clear" w:pos="8459"/>
              <w:tab w:val="right" w:pos="9026" w:leader="dot"/>
            </w:tabs>
            <w:rPr/>
          </w:pPr>
          <w:hyperlink w:anchor="__RefHeading___Toc8288964_2870459653">
            <w:r>
              <w:rPr>
                <w:webHidden/>
                <w:rStyle w:val="IndexLink"/>
              </w:rPr>
              <w:t>2</w:t>
            </w:r>
            <w:r>
              <w:rPr>
                <w:rStyle w:val="IndexLink"/>
                <w:rtl w:val="true"/>
              </w:rPr>
              <w:t xml:space="preserve">- </w:t>
            </w:r>
            <w:r>
              <w:rPr>
                <w:rStyle w:val="IndexLink"/>
                <w:rtl w:val="true"/>
              </w:rPr>
              <w:t>خُطب حركة المختار الثقفي</w:t>
            </w:r>
            <w:r>
              <w:rPr>
                <w:rStyle w:val="IndexLink"/>
                <w:rtl w:val="true"/>
              </w:rPr>
              <w:tab/>
            </w:r>
            <w:r>
              <w:rPr>
                <w:rStyle w:val="IndexLink"/>
              </w:rPr>
              <w:t>203</w:t>
            </w:r>
          </w:hyperlink>
        </w:p>
        <w:p>
          <w:pPr>
            <w:pStyle w:val="Contents3"/>
            <w:tabs>
              <w:tab w:val="clear" w:pos="8459"/>
              <w:tab w:val="right" w:pos="9026" w:leader="dot"/>
            </w:tabs>
            <w:rPr/>
          </w:pPr>
          <w:hyperlink w:anchor="__RefHeading___Toc8288966_2870459653">
            <w:r>
              <w:rPr>
                <w:webHidden/>
                <w:rStyle w:val="IndexLink"/>
                <w:rtl w:val="true"/>
              </w:rPr>
              <w:t>ثانيا</w:t>
            </w:r>
            <w:r>
              <w:rPr>
                <w:rStyle w:val="IndexLink"/>
                <w:rtl w:val="true"/>
              </w:rPr>
              <w:t xml:space="preserve">: </w:t>
            </w:r>
            <w:r>
              <w:rPr>
                <w:rStyle w:val="IndexLink"/>
                <w:rtl w:val="true"/>
              </w:rPr>
              <w:t>الاستشهاد بالآيات القرآنيَّة</w:t>
            </w:r>
            <w:r>
              <w:rPr>
                <w:rStyle w:val="IndexLink"/>
                <w:rtl w:val="true"/>
              </w:rPr>
              <w:tab/>
            </w:r>
            <w:r>
              <w:rPr>
                <w:rStyle w:val="IndexLink"/>
              </w:rPr>
              <w:t>204</w:t>
            </w:r>
          </w:hyperlink>
        </w:p>
        <w:p>
          <w:pPr>
            <w:pStyle w:val="Contents3"/>
            <w:tabs>
              <w:tab w:val="clear" w:pos="8459"/>
              <w:tab w:val="right" w:pos="9026" w:leader="dot"/>
            </w:tabs>
            <w:rPr/>
          </w:pPr>
          <w:hyperlink w:anchor="__RefHeading___Toc8288968_2870459653">
            <w:r>
              <w:rPr>
                <w:webHidden/>
                <w:rStyle w:val="IndexLink"/>
                <w:rtl w:val="true"/>
              </w:rPr>
              <w:t>ثالثا</w:t>
            </w:r>
            <w:r>
              <w:rPr>
                <w:rStyle w:val="IndexLink"/>
                <w:rtl w:val="true"/>
              </w:rPr>
              <w:t xml:space="preserve">: </w:t>
            </w:r>
            <w:r>
              <w:rPr>
                <w:rStyle w:val="IndexLink"/>
                <w:rtl w:val="true"/>
              </w:rPr>
              <w:t>محاكاة أُسلوب القرآن الكريم</w:t>
            </w:r>
            <w:r>
              <w:rPr>
                <w:rStyle w:val="IndexLink"/>
                <w:rtl w:val="true"/>
              </w:rPr>
              <w:tab/>
            </w:r>
            <w:r>
              <w:rPr>
                <w:rStyle w:val="IndexLink"/>
              </w:rPr>
              <w:t>206</w:t>
            </w:r>
          </w:hyperlink>
        </w:p>
        <w:p>
          <w:pPr>
            <w:pStyle w:val="Contents3"/>
            <w:tabs>
              <w:tab w:val="clear" w:pos="8459"/>
              <w:tab w:val="right" w:pos="9026" w:leader="dot"/>
            </w:tabs>
            <w:rPr/>
          </w:pPr>
          <w:hyperlink w:anchor="__RefHeading___Toc8288970_2870459653">
            <w:r>
              <w:rPr>
                <w:webHidden/>
                <w:rStyle w:val="IndexLink"/>
                <w:rtl w:val="true"/>
              </w:rPr>
              <w:t>الخلاصة والنتيجة</w:t>
            </w:r>
            <w:r>
              <w:rPr>
                <w:rStyle w:val="IndexLink"/>
                <w:rtl w:val="true"/>
              </w:rPr>
              <w:tab/>
            </w:r>
            <w:r>
              <w:rPr>
                <w:rStyle w:val="IndexLink"/>
              </w:rPr>
              <w:t>211</w:t>
            </w:r>
          </w:hyperlink>
        </w:p>
        <w:p>
          <w:pPr>
            <w:pStyle w:val="Contents2"/>
            <w:tabs>
              <w:tab w:val="clear" w:pos="8743"/>
              <w:tab w:val="right" w:pos="9026" w:leader="dot"/>
            </w:tabs>
            <w:rPr/>
          </w:pPr>
          <w:hyperlink w:anchor="__RefHeading___Toc8288972_2870459653">
            <w:r>
              <w:rPr>
                <w:webHidden/>
                <w:rStyle w:val="IndexLink"/>
                <w:rtl w:val="true"/>
              </w:rPr>
              <w:t>دراسات في فقه النهضة الحسينية</w:t>
            </w:r>
            <w:r>
              <w:rPr>
                <w:rStyle w:val="IndexLink"/>
                <w:rtl w:val="true"/>
              </w:rPr>
              <w:tab/>
            </w:r>
            <w:r>
              <w:rPr>
                <w:rStyle w:val="IndexLink"/>
              </w:rPr>
              <w:t>213</w:t>
            </w:r>
          </w:hyperlink>
        </w:p>
        <w:p>
          <w:pPr>
            <w:pStyle w:val="Contents3"/>
            <w:tabs>
              <w:tab w:val="clear" w:pos="8459"/>
              <w:tab w:val="right" w:pos="9026" w:leader="dot"/>
            </w:tabs>
            <w:rPr/>
          </w:pPr>
          <w:hyperlink w:anchor="__RefHeading___Toc8288974_2870459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8288976_2870459653">
            <w:r>
              <w:rPr>
                <w:webHidden/>
                <w:rStyle w:val="IndexLink"/>
                <w:rtl w:val="true"/>
              </w:rPr>
              <w:t>فقه التربة الحسينية</w:t>
            </w:r>
            <w:r>
              <w:rPr>
                <w:rStyle w:val="IndexLink"/>
                <w:rtl w:val="true"/>
              </w:rPr>
              <w:tab/>
            </w:r>
            <w:r>
              <w:rPr>
                <w:rStyle w:val="IndexLink"/>
              </w:rPr>
              <w:t>215</w:t>
            </w:r>
          </w:hyperlink>
        </w:p>
        <w:p>
          <w:pPr>
            <w:pStyle w:val="Contents3"/>
            <w:tabs>
              <w:tab w:val="clear" w:pos="8459"/>
              <w:tab w:val="right" w:pos="9026" w:leader="dot"/>
            </w:tabs>
            <w:rPr/>
          </w:pPr>
          <w:hyperlink w:anchor="__RefHeading___Toc8288978_2870459653">
            <w:r>
              <w:rPr>
                <w:webHidden/>
                <w:rStyle w:val="IndexLink"/>
                <w:rtl w:val="true"/>
              </w:rPr>
              <w:t>(</w:t>
            </w:r>
            <w:r>
              <w:rPr>
                <w:rStyle w:val="IndexLink"/>
                <w:rtl w:val="true"/>
              </w:rPr>
              <w:t>القسم الثالث</w:t>
            </w:r>
            <w:r>
              <w:rPr>
                <w:rStyle w:val="IndexLink"/>
                <w:rtl w:val="true"/>
              </w:rPr>
              <w:t xml:space="preserve">) </w:t>
            </w:r>
            <w:r>
              <w:rPr>
                <w:rStyle w:val="IndexLink"/>
                <w:rtl w:val="true"/>
              </w:rPr>
              <w:t>حكم وقوع التربة المبارك</w:t>
            </w:r>
            <w:r>
              <w:rPr>
                <w:rStyle w:val="IndexLink"/>
              </w:rPr>
              <w:t>i</w:t>
            </w:r>
            <w:r>
              <w:rPr>
                <w:rStyle w:val="IndexLink"/>
                <w:rtl w:val="true"/>
              </w:rPr>
              <w:t xml:space="preserve"> </w:t>
            </w:r>
            <w:r>
              <w:rPr>
                <w:rStyle w:val="IndexLink"/>
                <w:rtl w:val="true"/>
              </w:rPr>
              <w:t>في الخلاء وحملها له و تجهيز الميت بها</w:t>
            </w:r>
            <w:r>
              <w:rPr>
                <w:rStyle w:val="IndexLink"/>
                <w:rtl w:val="true"/>
              </w:rPr>
              <w:tab/>
            </w:r>
            <w:r>
              <w:rPr>
                <w:rStyle w:val="IndexLink"/>
              </w:rPr>
              <w:t>215</w:t>
            </w:r>
          </w:hyperlink>
        </w:p>
        <w:p>
          <w:pPr>
            <w:pStyle w:val="Contents3"/>
            <w:tabs>
              <w:tab w:val="clear" w:pos="8459"/>
              <w:tab w:val="right" w:pos="9026" w:leader="dot"/>
            </w:tabs>
            <w:rPr/>
          </w:pPr>
          <w:hyperlink w:anchor="__RefHeading___Toc8288980_2870459653">
            <w:r>
              <w:rPr>
                <w:webHidden/>
                <w:rStyle w:val="IndexLink"/>
                <w:rtl w:val="true"/>
              </w:rPr>
              <w:t>الشيخ أحمد موسى العلي</w:t>
            </w:r>
            <w:r>
              <w:rPr>
                <w:rStyle w:val="IndexLink"/>
                <w:rtl w:val="true"/>
              </w:rPr>
              <w:tab/>
            </w:r>
            <w:r>
              <w:rPr>
                <w:rStyle w:val="IndexLink"/>
              </w:rPr>
              <w:t>215</w:t>
            </w:r>
          </w:hyperlink>
        </w:p>
        <w:p>
          <w:pPr>
            <w:pStyle w:val="Contents3"/>
            <w:tabs>
              <w:tab w:val="clear" w:pos="8459"/>
              <w:tab w:val="right" w:pos="9026" w:leader="dot"/>
            </w:tabs>
            <w:rPr/>
          </w:pPr>
          <w:hyperlink w:anchor="__RefHeading___Toc8288982_2870459653">
            <w:r>
              <w:rPr>
                <w:webHidden/>
                <w:rStyle w:val="IndexLink"/>
                <w:rtl w:val="true"/>
              </w:rPr>
              <w:t>المسالة الأولى</w:t>
            </w:r>
            <w:r>
              <w:rPr>
                <w:rStyle w:val="IndexLink"/>
                <w:rtl w:val="true"/>
              </w:rPr>
              <w:t xml:space="preserve">: </w:t>
            </w:r>
            <w:r>
              <w:rPr>
                <w:rStyle w:val="IndexLink"/>
                <w:rtl w:val="true"/>
              </w:rPr>
              <w:t>وقوع التربة المباركة في بيت الخلاء</w:t>
            </w:r>
            <w:r>
              <w:rPr>
                <w:rStyle w:val="IndexLink"/>
                <w:rtl w:val="true"/>
              </w:rPr>
              <w:tab/>
            </w:r>
            <w:r>
              <w:rPr>
                <w:rStyle w:val="IndexLink"/>
              </w:rPr>
              <w:t>216</w:t>
            </w:r>
          </w:hyperlink>
        </w:p>
        <w:p>
          <w:pPr>
            <w:pStyle w:val="Contents3"/>
            <w:tabs>
              <w:tab w:val="clear" w:pos="8459"/>
              <w:tab w:val="right" w:pos="9026" w:leader="dot"/>
            </w:tabs>
            <w:rPr/>
          </w:pPr>
          <w:hyperlink w:anchor="__RefHeading___Toc8288984_2870459653">
            <w:r>
              <w:rPr>
                <w:webHidden/>
                <w:rStyle w:val="IndexLink"/>
                <w:rtl w:val="true"/>
              </w:rPr>
              <w:t>كلمات الفقهاء في المسألة</w:t>
            </w:r>
            <w:r>
              <w:rPr>
                <w:rStyle w:val="IndexLink"/>
                <w:rtl w:val="true"/>
              </w:rPr>
              <w:tab/>
            </w:r>
            <w:r>
              <w:rPr>
                <w:rStyle w:val="IndexLink"/>
              </w:rPr>
              <w:t>216</w:t>
            </w:r>
          </w:hyperlink>
        </w:p>
        <w:p>
          <w:pPr>
            <w:pStyle w:val="Contents3"/>
            <w:tabs>
              <w:tab w:val="clear" w:pos="8459"/>
              <w:tab w:val="right" w:pos="9026" w:leader="dot"/>
            </w:tabs>
            <w:rPr/>
          </w:pPr>
          <w:hyperlink w:anchor="__RefHeading___Toc8288986_2870459653">
            <w:r>
              <w:rPr>
                <w:webHidden/>
                <w:rStyle w:val="IndexLink"/>
                <w:rtl w:val="true"/>
              </w:rPr>
              <w:t>تنحلّ المسألة إلى فرعين</w:t>
            </w:r>
            <w:r>
              <w:rPr>
                <w:rStyle w:val="IndexLink"/>
                <w:rtl w:val="true"/>
              </w:rPr>
              <w:t>:</w:t>
              <w:tab/>
            </w:r>
            <w:r>
              <w:rPr>
                <w:rStyle w:val="IndexLink"/>
              </w:rPr>
              <w:t>217</w:t>
            </w:r>
          </w:hyperlink>
        </w:p>
        <w:p>
          <w:pPr>
            <w:pStyle w:val="Contents3"/>
            <w:tabs>
              <w:tab w:val="clear" w:pos="8459"/>
              <w:tab w:val="right" w:pos="9026" w:leader="dot"/>
            </w:tabs>
            <w:rPr/>
          </w:pPr>
          <w:hyperlink w:anchor="__RefHeading___Toc8288988_2870459653">
            <w:r>
              <w:rPr>
                <w:webHidden/>
                <w:rStyle w:val="IndexLink"/>
                <w:rtl w:val="true"/>
              </w:rPr>
              <w:t>أدلّة الفرع الأول</w:t>
            </w:r>
            <w:r>
              <w:rPr>
                <w:rStyle w:val="IndexLink"/>
                <w:rtl w:val="true"/>
              </w:rPr>
              <w:tab/>
            </w:r>
            <w:r>
              <w:rPr>
                <w:rStyle w:val="IndexLink"/>
              </w:rPr>
              <w:t>217</w:t>
            </w:r>
          </w:hyperlink>
        </w:p>
        <w:p>
          <w:pPr>
            <w:pStyle w:val="Contents3"/>
            <w:tabs>
              <w:tab w:val="clear" w:pos="8459"/>
              <w:tab w:val="right" w:pos="9026" w:leader="dot"/>
            </w:tabs>
            <w:rPr/>
          </w:pPr>
          <w:hyperlink w:anchor="__RefHeading___Toc8288990_2870459653">
            <w:r>
              <w:rPr>
                <w:webHidden/>
                <w:rStyle w:val="IndexLink"/>
                <w:rtl w:val="true"/>
              </w:rPr>
              <w:t xml:space="preserve">الفرع الثاني </w:t>
            </w:r>
            <w:r>
              <w:rPr>
                <w:rStyle w:val="IndexLink"/>
                <w:rtl w:val="true"/>
              </w:rPr>
              <w:t xml:space="preserve">: </w:t>
            </w:r>
            <w:r>
              <w:rPr>
                <w:rStyle w:val="IndexLink"/>
                <w:rtl w:val="true"/>
              </w:rPr>
              <w:t>مع عدم إمكان إخراج التربة من بيت الخلاء</w:t>
            </w:r>
            <w:r>
              <w:rPr>
                <w:rStyle w:val="IndexLink"/>
                <w:rtl w:val="true"/>
              </w:rPr>
              <w:tab/>
            </w:r>
            <w:r>
              <w:rPr>
                <w:rStyle w:val="IndexLink"/>
              </w:rPr>
              <w:t>218</w:t>
            </w:r>
          </w:hyperlink>
        </w:p>
        <w:p>
          <w:pPr>
            <w:pStyle w:val="Contents3"/>
            <w:tabs>
              <w:tab w:val="clear" w:pos="8459"/>
              <w:tab w:val="right" w:pos="9026" w:leader="dot"/>
            </w:tabs>
            <w:rPr/>
          </w:pPr>
          <w:hyperlink w:anchor="__RefHeading___Toc8288992_2870459653">
            <w:r>
              <w:rPr>
                <w:webHidden/>
                <w:rStyle w:val="IndexLink"/>
                <w:rtl w:val="true"/>
              </w:rPr>
              <w:t>القول الأول</w:t>
            </w:r>
            <w:r>
              <w:rPr>
                <w:rStyle w:val="IndexLink"/>
                <w:rtl w:val="true"/>
              </w:rPr>
              <w:t xml:space="preserve">: </w:t>
            </w:r>
            <w:r>
              <w:rPr>
                <w:rStyle w:val="IndexLink"/>
                <w:rtl w:val="true"/>
              </w:rPr>
              <w:t>وجوب سد باب بيت الخلاء</w:t>
            </w:r>
            <w:r>
              <w:rPr>
                <w:rStyle w:val="IndexLink"/>
                <w:rtl w:val="true"/>
              </w:rPr>
              <w:tab/>
            </w:r>
            <w:r>
              <w:rPr>
                <w:rStyle w:val="IndexLink"/>
              </w:rPr>
              <w:t>218</w:t>
            </w:r>
          </w:hyperlink>
        </w:p>
        <w:p>
          <w:pPr>
            <w:pStyle w:val="Contents3"/>
            <w:tabs>
              <w:tab w:val="clear" w:pos="8459"/>
              <w:tab w:val="right" w:pos="9026" w:leader="dot"/>
            </w:tabs>
            <w:rPr/>
          </w:pPr>
          <w:hyperlink w:anchor="__RefHeading___Toc8288994_2870459653">
            <w:r>
              <w:rPr>
                <w:webHidden/>
                <w:rStyle w:val="IndexLink"/>
                <w:rtl w:val="true"/>
              </w:rPr>
              <w:t>القول الثاني</w:t>
            </w:r>
            <w:r>
              <w:rPr>
                <w:rStyle w:val="IndexLink"/>
                <w:rtl w:val="true"/>
              </w:rPr>
              <w:t xml:space="preserve">: </w:t>
            </w:r>
            <w:r>
              <w:rPr>
                <w:rStyle w:val="IndexLink"/>
                <w:rtl w:val="true"/>
              </w:rPr>
              <w:t>يُسدّ باب الخلاء على نحو الأحوط الأولى</w:t>
            </w:r>
            <w:r>
              <w:rPr>
                <w:rStyle w:val="IndexLink"/>
                <w:rtl w:val="true"/>
              </w:rPr>
              <w:tab/>
            </w:r>
            <w:r>
              <w:rPr>
                <w:rStyle w:val="IndexLink"/>
              </w:rPr>
              <w:t>219</w:t>
            </w:r>
          </w:hyperlink>
        </w:p>
        <w:p>
          <w:pPr>
            <w:pStyle w:val="Contents3"/>
            <w:tabs>
              <w:tab w:val="clear" w:pos="8459"/>
              <w:tab w:val="right" w:pos="9026" w:leader="dot"/>
            </w:tabs>
            <w:rPr/>
          </w:pPr>
          <w:hyperlink w:anchor="__RefHeading___Toc8288996_2870459653">
            <w:r>
              <w:rPr>
                <w:webHidden/>
                <w:rStyle w:val="IndexLink"/>
                <w:rtl w:val="true"/>
              </w:rPr>
              <w:t>المسألة الثانية</w:t>
            </w:r>
            <w:r>
              <w:rPr>
                <w:rStyle w:val="IndexLink"/>
                <w:rtl w:val="true"/>
              </w:rPr>
              <w:t xml:space="preserve">: </w:t>
            </w:r>
            <w:r>
              <w:rPr>
                <w:rStyle w:val="IndexLink"/>
                <w:rtl w:val="true"/>
              </w:rPr>
              <w:t>حمل التربة الحسينية إلى بيت الخلاء</w:t>
            </w:r>
            <w:r>
              <w:rPr>
                <w:rStyle w:val="IndexLink"/>
                <w:rtl w:val="true"/>
              </w:rPr>
              <w:tab/>
            </w:r>
            <w:r>
              <w:rPr>
                <w:rStyle w:val="IndexLink"/>
              </w:rPr>
              <w:t>220</w:t>
            </w:r>
          </w:hyperlink>
        </w:p>
        <w:p>
          <w:pPr>
            <w:pStyle w:val="Contents3"/>
            <w:tabs>
              <w:tab w:val="clear" w:pos="8459"/>
              <w:tab w:val="right" w:pos="9026" w:leader="dot"/>
            </w:tabs>
            <w:rPr/>
          </w:pPr>
          <w:hyperlink w:anchor="__RefHeading___Toc8288998_2870459653">
            <w:r>
              <w:rPr>
                <w:webHidden/>
                <w:rStyle w:val="IndexLink"/>
                <w:rtl w:val="true"/>
              </w:rPr>
              <w:t>أمران لا بدّ منهما</w:t>
            </w:r>
            <w:r>
              <w:rPr>
                <w:rStyle w:val="IndexLink"/>
                <w:rtl w:val="true"/>
              </w:rPr>
              <w:tab/>
            </w:r>
            <w:r>
              <w:rPr>
                <w:rStyle w:val="IndexLink"/>
              </w:rPr>
              <w:t>224</w:t>
            </w:r>
          </w:hyperlink>
        </w:p>
        <w:p>
          <w:pPr>
            <w:pStyle w:val="Contents3"/>
            <w:tabs>
              <w:tab w:val="clear" w:pos="8459"/>
              <w:tab w:val="right" w:pos="9026" w:leader="dot"/>
            </w:tabs>
            <w:rPr/>
          </w:pPr>
          <w:hyperlink w:anchor="__RefHeading___Toc8289000_2870459653">
            <w:r>
              <w:rPr>
                <w:webHidden/>
                <w:rStyle w:val="IndexLink"/>
                <w:rtl w:val="true"/>
              </w:rPr>
              <w:t>المسألة الثالثة</w:t>
            </w:r>
            <w:r>
              <w:rPr>
                <w:rStyle w:val="IndexLink"/>
                <w:rtl w:val="true"/>
              </w:rPr>
              <w:t xml:space="preserve">: </w:t>
            </w:r>
            <w:r>
              <w:rPr>
                <w:rStyle w:val="IndexLink"/>
                <w:rtl w:val="true"/>
              </w:rPr>
              <w:t>تجهيز الميت بالتربة الحسينية</w:t>
            </w:r>
            <w:r>
              <w:rPr>
                <w:rStyle w:val="IndexLink"/>
                <w:rtl w:val="true"/>
              </w:rPr>
              <w:tab/>
            </w:r>
            <w:r>
              <w:rPr>
                <w:rStyle w:val="IndexLink"/>
              </w:rPr>
              <w:t>225</w:t>
            </w:r>
          </w:hyperlink>
        </w:p>
        <w:p>
          <w:pPr>
            <w:pStyle w:val="Contents3"/>
            <w:tabs>
              <w:tab w:val="clear" w:pos="8459"/>
              <w:tab w:val="right" w:pos="9026" w:leader="dot"/>
            </w:tabs>
            <w:rPr/>
          </w:pPr>
          <w:hyperlink w:anchor="__RefHeading___Toc8289002_2870459653">
            <w:r>
              <w:rPr>
                <w:webHidden/>
                <w:rStyle w:val="IndexLink"/>
                <w:rtl w:val="true"/>
              </w:rPr>
              <w:t>المطلب الأول</w:t>
            </w:r>
            <w:r>
              <w:rPr>
                <w:rStyle w:val="IndexLink"/>
                <w:rtl w:val="true"/>
              </w:rPr>
              <w:t xml:space="preserve">: </w:t>
            </w:r>
            <w:r>
              <w:rPr>
                <w:rStyle w:val="IndexLink"/>
                <w:rtl w:val="true"/>
              </w:rPr>
              <w:t>وضع التربة الحسينية مع حنوط الميت</w:t>
            </w:r>
            <w:r>
              <w:rPr>
                <w:rStyle w:val="IndexLink"/>
                <w:rtl w:val="true"/>
              </w:rPr>
              <w:tab/>
            </w:r>
            <w:r>
              <w:rPr>
                <w:rStyle w:val="IndexLink"/>
              </w:rPr>
              <w:t>225</w:t>
            </w:r>
          </w:hyperlink>
        </w:p>
        <w:p>
          <w:pPr>
            <w:pStyle w:val="Contents3"/>
            <w:tabs>
              <w:tab w:val="clear" w:pos="8459"/>
              <w:tab w:val="right" w:pos="9026" w:leader="dot"/>
            </w:tabs>
            <w:rPr/>
          </w:pPr>
          <w:hyperlink w:anchor="__RefHeading___Toc8289004_2870459653">
            <w:r>
              <w:rPr>
                <w:webHidden/>
                <w:rStyle w:val="IndexLink"/>
                <w:rtl w:val="true"/>
              </w:rPr>
              <w:t>أدلّة القول بالاستحباب</w:t>
            </w:r>
            <w:r>
              <w:rPr>
                <w:rStyle w:val="IndexLink"/>
                <w:rtl w:val="true"/>
              </w:rPr>
              <w:tab/>
            </w:r>
            <w:r>
              <w:rPr>
                <w:rStyle w:val="IndexLink"/>
              </w:rPr>
              <w:t>226</w:t>
            </w:r>
          </w:hyperlink>
        </w:p>
        <w:p>
          <w:pPr>
            <w:pStyle w:val="Contents3"/>
            <w:tabs>
              <w:tab w:val="clear" w:pos="8459"/>
              <w:tab w:val="right" w:pos="9026" w:leader="dot"/>
            </w:tabs>
            <w:rPr/>
          </w:pPr>
          <w:hyperlink w:anchor="__RefHeading___Toc8289006_2870459653">
            <w:r>
              <w:rPr>
                <w:webHidden/>
                <w:rStyle w:val="IndexLink"/>
                <w:rtl w:val="true"/>
              </w:rPr>
              <w:t>المطلب الثاني</w:t>
            </w:r>
            <w:r>
              <w:rPr>
                <w:rStyle w:val="IndexLink"/>
                <w:rtl w:val="true"/>
              </w:rPr>
              <w:t>:</w:t>
            </w:r>
            <w:r>
              <w:rPr>
                <w:rStyle w:val="IndexLink"/>
                <w:rtl w:val="true"/>
              </w:rPr>
              <w:t>من فروع مسألة تجهيز الميت بالتربة الحسينية</w:t>
            </w:r>
            <w:r>
              <w:rPr>
                <w:rStyle w:val="IndexLink"/>
                <w:rtl w:val="true"/>
              </w:rPr>
              <w:tab/>
            </w:r>
            <w:r>
              <w:rPr>
                <w:rStyle w:val="IndexLink"/>
              </w:rPr>
              <w:t>228</w:t>
            </w:r>
          </w:hyperlink>
        </w:p>
        <w:p>
          <w:pPr>
            <w:pStyle w:val="Contents3"/>
            <w:tabs>
              <w:tab w:val="clear" w:pos="8459"/>
              <w:tab w:val="right" w:pos="9026" w:leader="dot"/>
            </w:tabs>
            <w:rPr/>
          </w:pPr>
          <w:hyperlink w:anchor="__RefHeading___Toc8289008_2870459653">
            <w:r>
              <w:rPr>
                <w:webHidden/>
                <w:rStyle w:val="IndexLink"/>
                <w:rtl w:val="true"/>
              </w:rPr>
              <w:t>أدلّة القائلين بالاستحباب</w:t>
            </w:r>
            <w:r>
              <w:rPr>
                <w:rStyle w:val="IndexLink"/>
                <w:rtl w:val="true"/>
              </w:rPr>
              <w:tab/>
            </w:r>
            <w:r>
              <w:rPr>
                <w:rStyle w:val="IndexLink"/>
              </w:rPr>
              <w:t>230</w:t>
            </w:r>
          </w:hyperlink>
        </w:p>
        <w:p>
          <w:pPr>
            <w:pStyle w:val="Contents3"/>
            <w:tabs>
              <w:tab w:val="clear" w:pos="8459"/>
              <w:tab w:val="right" w:pos="9026" w:leader="dot"/>
            </w:tabs>
            <w:rPr/>
          </w:pPr>
          <w:hyperlink w:anchor="__RefHeading___Toc8289010_2870459653">
            <w:r>
              <w:rPr>
                <w:webHidden/>
                <w:rStyle w:val="IndexLink"/>
                <w:rtl w:val="true"/>
              </w:rPr>
              <w:t>الفرع الثالث من فروع تجهيز الميت بتربة الحسين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8289012_2870459653">
            <w:r>
              <w:rPr>
                <w:webHidden/>
                <w:rStyle w:val="IndexLink"/>
                <w:rtl w:val="true"/>
              </w:rPr>
              <w:t>أدلّة القول بالاستحباب</w:t>
            </w:r>
            <w:r>
              <w:rPr>
                <w:rStyle w:val="IndexLink"/>
                <w:rtl w:val="true"/>
              </w:rPr>
              <w:tab/>
            </w:r>
            <w:r>
              <w:rPr>
                <w:rStyle w:val="IndexLink"/>
              </w:rPr>
              <w:t>234</w:t>
            </w:r>
          </w:hyperlink>
        </w:p>
        <w:p>
          <w:pPr>
            <w:pStyle w:val="Contents3"/>
            <w:tabs>
              <w:tab w:val="clear" w:pos="8459"/>
              <w:tab w:val="right" w:pos="9026" w:leader="dot"/>
            </w:tabs>
            <w:rPr/>
          </w:pPr>
          <w:hyperlink w:anchor="__RefHeading___Toc8289014_2870459653">
            <w:r>
              <w:rPr>
                <w:webHidden/>
                <w:rStyle w:val="IndexLink"/>
                <w:rtl w:val="true"/>
              </w:rPr>
              <w:t>المكان الذي تُجعل فيه التربة</w:t>
            </w:r>
            <w:r>
              <w:rPr>
                <w:rStyle w:val="IndexLink"/>
                <w:rtl w:val="true"/>
              </w:rPr>
              <w:tab/>
            </w:r>
            <w:r>
              <w:rPr>
                <w:rStyle w:val="IndexLink"/>
              </w:rPr>
              <w:t>236</w:t>
            </w:r>
          </w:hyperlink>
        </w:p>
        <w:p>
          <w:pPr>
            <w:pStyle w:val="Contents3"/>
            <w:tabs>
              <w:tab w:val="clear" w:pos="8459"/>
              <w:tab w:val="right" w:pos="9026" w:leader="dot"/>
            </w:tabs>
            <w:rPr/>
          </w:pPr>
          <w:hyperlink w:anchor="__RefHeading___Toc8289016_2870459653">
            <w:r>
              <w:rPr>
                <w:webHidden/>
                <w:rStyle w:val="IndexLink"/>
                <w:rtl w:val="true"/>
              </w:rPr>
              <w:t>المطلب الرابع</w:t>
            </w:r>
            <w:r>
              <w:rPr>
                <w:rStyle w:val="IndexLink"/>
                <w:rtl w:val="true"/>
              </w:rPr>
              <w:t xml:space="preserve">: </w:t>
            </w:r>
            <w:r>
              <w:rPr>
                <w:rStyle w:val="IndexLink"/>
                <w:rtl w:val="true"/>
              </w:rPr>
              <w:t>دفن الميت عند مشهد الإمام الحسين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8289018_2870459653">
            <w:r>
              <w:rPr>
                <w:webHidden/>
                <w:rStyle w:val="IndexLink"/>
                <w:rtl w:val="true"/>
              </w:rPr>
              <w:t>استحباب نقل الميت إلى مشهد الإمام الحسين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8289020_2870459653">
            <w:r>
              <w:rPr>
                <w:webHidden/>
                <w:rStyle w:val="IndexLink"/>
                <w:rtl w:val="true"/>
              </w:rPr>
              <w:t>الحالة الأُولى</w:t>
            </w:r>
            <w:r>
              <w:rPr>
                <w:rStyle w:val="IndexLink"/>
                <w:rtl w:val="true"/>
              </w:rPr>
              <w:t xml:space="preserve">: </w:t>
            </w:r>
            <w:r>
              <w:rPr>
                <w:rStyle w:val="IndexLink"/>
                <w:rtl w:val="true"/>
              </w:rPr>
              <w:t>نقل الميت قبل دفنه</w:t>
            </w:r>
            <w:r>
              <w:rPr>
                <w:rStyle w:val="IndexLink"/>
                <w:rtl w:val="true"/>
              </w:rPr>
              <w:tab/>
            </w:r>
            <w:r>
              <w:rPr>
                <w:rStyle w:val="IndexLink"/>
              </w:rPr>
              <w:t>241</w:t>
            </w:r>
          </w:hyperlink>
        </w:p>
        <w:p>
          <w:pPr>
            <w:pStyle w:val="Contents3"/>
            <w:tabs>
              <w:tab w:val="clear" w:pos="8459"/>
              <w:tab w:val="right" w:pos="9026" w:leader="dot"/>
            </w:tabs>
            <w:rPr/>
          </w:pPr>
          <w:hyperlink w:anchor="__RefHeading___Toc8289022_2870459653">
            <w:r>
              <w:rPr>
                <w:webHidden/>
                <w:rStyle w:val="IndexLink"/>
                <w:rtl w:val="true"/>
              </w:rPr>
              <w:t>أدلّة جواز نقل الميت قبل الدفن</w:t>
            </w:r>
            <w:r>
              <w:rPr>
                <w:rStyle w:val="IndexLink"/>
                <w:rtl w:val="true"/>
              </w:rPr>
              <w:tab/>
            </w:r>
            <w:r>
              <w:rPr>
                <w:rStyle w:val="IndexLink"/>
              </w:rPr>
              <w:t>243</w:t>
            </w:r>
          </w:hyperlink>
        </w:p>
        <w:p>
          <w:pPr>
            <w:pStyle w:val="Contents3"/>
            <w:tabs>
              <w:tab w:val="clear" w:pos="8459"/>
              <w:tab w:val="right" w:pos="9026" w:leader="dot"/>
            </w:tabs>
            <w:rPr/>
          </w:pPr>
          <w:hyperlink w:anchor="__RefHeading___Toc8289024_2870459653">
            <w:r>
              <w:rPr>
                <w:webHidden/>
                <w:rStyle w:val="IndexLink"/>
                <w:rtl w:val="true"/>
              </w:rPr>
              <w:t>الحالة الثانية</w:t>
            </w:r>
            <w:r>
              <w:rPr>
                <w:rStyle w:val="IndexLink"/>
                <w:rtl w:val="true"/>
              </w:rPr>
              <w:t xml:space="preserve">: </w:t>
            </w:r>
            <w:r>
              <w:rPr>
                <w:rStyle w:val="IndexLink"/>
                <w:rtl w:val="true"/>
              </w:rPr>
              <w:t>نقل الميت بعد دفنه</w:t>
            </w:r>
            <w:r>
              <w:rPr>
                <w:rStyle w:val="IndexLink"/>
                <w:rtl w:val="true"/>
              </w:rPr>
              <w:tab/>
            </w:r>
            <w:r>
              <w:rPr>
                <w:rStyle w:val="IndexLink"/>
              </w:rPr>
              <w:t>246</w:t>
            </w:r>
          </w:hyperlink>
        </w:p>
        <w:p>
          <w:pPr>
            <w:pStyle w:val="Contents3"/>
            <w:tabs>
              <w:tab w:val="clear" w:pos="8459"/>
              <w:tab w:val="right" w:pos="9026" w:leader="dot"/>
            </w:tabs>
            <w:rPr/>
          </w:pPr>
          <w:hyperlink w:anchor="__RefHeading___Toc8289026_2870459653">
            <w:r>
              <w:rPr>
                <w:webHidden/>
                <w:rStyle w:val="IndexLink"/>
                <w:rtl w:val="true"/>
              </w:rPr>
              <w:t>أدلّة جواز نقل الميت بعد الدفن</w:t>
            </w:r>
            <w:r>
              <w:rPr>
                <w:rStyle w:val="IndexLink"/>
                <w:rtl w:val="true"/>
              </w:rPr>
              <w:tab/>
            </w:r>
            <w:r>
              <w:rPr>
                <w:rStyle w:val="IndexLink"/>
              </w:rPr>
              <w:t>248</w:t>
            </w:r>
          </w:hyperlink>
        </w:p>
        <w:p>
          <w:pPr>
            <w:pStyle w:val="Contents3"/>
            <w:tabs>
              <w:tab w:val="clear" w:pos="8459"/>
              <w:tab w:val="right" w:pos="9026" w:leader="dot"/>
            </w:tabs>
            <w:rPr/>
          </w:pPr>
          <w:hyperlink w:anchor="__RefHeading___Toc8289028_2870459653">
            <w:r>
              <w:rPr>
                <w:webHidden/>
                <w:rStyle w:val="IndexLink"/>
                <w:rtl w:val="true"/>
              </w:rPr>
              <w:t>الأمر بالمعروف والنهي عن المنكر في السيرة الحسينية</w:t>
            </w:r>
            <w:r>
              <w:rPr>
                <w:rStyle w:val="IndexLink"/>
                <w:rtl w:val="true"/>
              </w:rPr>
              <w:tab/>
            </w:r>
            <w:r>
              <w:rPr>
                <w:rStyle w:val="IndexLink"/>
              </w:rPr>
              <w:t>253</w:t>
            </w:r>
          </w:hyperlink>
        </w:p>
        <w:p>
          <w:pPr>
            <w:pStyle w:val="Contents3"/>
            <w:tabs>
              <w:tab w:val="clear" w:pos="8459"/>
              <w:tab w:val="right" w:pos="9026" w:leader="dot"/>
            </w:tabs>
            <w:rPr/>
          </w:pPr>
          <w:hyperlink w:anchor="__RefHeading___Toc8289030_2870459653">
            <w:r>
              <w:rPr>
                <w:webHidden/>
                <w:rStyle w:val="IndexLink"/>
                <w:rtl w:val="true"/>
              </w:rPr>
              <w:t>تنوُّع الأساليب ووحدة الهدف</w:t>
            </w:r>
            <w:r>
              <w:rPr>
                <w:rStyle w:val="IndexLink"/>
                <w:rtl w:val="true"/>
              </w:rPr>
              <w:tab/>
            </w:r>
            <w:r>
              <w:rPr>
                <w:rStyle w:val="IndexLink"/>
              </w:rPr>
              <w:t>253</w:t>
            </w:r>
          </w:hyperlink>
        </w:p>
        <w:p>
          <w:pPr>
            <w:pStyle w:val="Contents3"/>
            <w:tabs>
              <w:tab w:val="clear" w:pos="8459"/>
              <w:tab w:val="right" w:pos="9026" w:leader="dot"/>
            </w:tabs>
            <w:rPr/>
          </w:pPr>
          <w:hyperlink w:anchor="__RefHeading___Toc8289032_2870459653">
            <w:r>
              <w:rPr>
                <w:webHidden/>
                <w:rStyle w:val="IndexLink"/>
                <w:rtl w:val="true"/>
              </w:rPr>
              <w:t>سارة رضائي</w:t>
            </w:r>
            <w:r>
              <w:rPr>
                <w:rStyle w:val="IndexLink"/>
                <w:rtl w:val="true"/>
              </w:rPr>
              <w:tab/>
            </w:r>
            <w:r>
              <w:rPr>
                <w:rStyle w:val="IndexLink"/>
              </w:rPr>
              <w:t>253</w:t>
            </w:r>
          </w:hyperlink>
        </w:p>
        <w:p>
          <w:pPr>
            <w:pStyle w:val="Contents3"/>
            <w:tabs>
              <w:tab w:val="clear" w:pos="8459"/>
              <w:tab w:val="right" w:pos="9026" w:leader="dot"/>
            </w:tabs>
            <w:rPr/>
          </w:pPr>
          <w:hyperlink w:anchor="__RefHeading___Toc8289034_2870459653">
            <w:r>
              <w:rPr>
                <w:webHidden/>
                <w:rStyle w:val="IndexLink"/>
                <w:rtl w:val="true"/>
              </w:rPr>
              <w:t>ترجمة</w:t>
            </w:r>
            <w:r>
              <w:rPr>
                <w:rStyle w:val="IndexLink"/>
                <w:rtl w:val="true"/>
              </w:rPr>
              <w:t xml:space="preserve">: </w:t>
            </w:r>
            <w:r>
              <w:rPr>
                <w:rStyle w:val="IndexLink"/>
                <w:rtl w:val="true"/>
              </w:rPr>
              <w:t>رعد الحجاج</w:t>
            </w:r>
            <w:r>
              <w:rPr>
                <w:rStyle w:val="IndexLink"/>
                <w:rtl w:val="true"/>
              </w:rPr>
              <w:tab/>
            </w:r>
            <w:r>
              <w:rPr>
                <w:rStyle w:val="IndexLink"/>
              </w:rPr>
              <w:t>253</w:t>
            </w:r>
          </w:hyperlink>
        </w:p>
        <w:p>
          <w:pPr>
            <w:pStyle w:val="Contents3"/>
            <w:tabs>
              <w:tab w:val="clear" w:pos="8459"/>
              <w:tab w:val="right" w:pos="9026" w:leader="dot"/>
            </w:tabs>
            <w:rPr/>
          </w:pPr>
          <w:hyperlink w:anchor="__RefHeading___Toc8289036_2870459653">
            <w:r>
              <w:rPr>
                <w:webHidden/>
                <w:rStyle w:val="IndexLink"/>
                <w:rtl w:val="true"/>
              </w:rPr>
              <w:t>توطئة</w:t>
            </w:r>
            <w:r>
              <w:rPr>
                <w:rStyle w:val="IndexLink"/>
                <w:rtl w:val="true"/>
              </w:rPr>
              <w:tab/>
            </w:r>
            <w:r>
              <w:rPr>
                <w:rStyle w:val="IndexLink"/>
              </w:rPr>
              <w:t>253</w:t>
            </w:r>
          </w:hyperlink>
        </w:p>
        <w:p>
          <w:pPr>
            <w:pStyle w:val="Contents3"/>
            <w:tabs>
              <w:tab w:val="clear" w:pos="8459"/>
              <w:tab w:val="right" w:pos="9026" w:leader="dot"/>
            </w:tabs>
            <w:rPr/>
          </w:pPr>
          <w:hyperlink w:anchor="__RefHeading___Toc8289038_2870459653">
            <w:r>
              <w:rPr>
                <w:webHidden/>
                <w:rStyle w:val="IndexLink"/>
                <w:rtl w:val="true"/>
              </w:rPr>
              <w:t>بحوث تمهيدية</w:t>
            </w:r>
            <w:r>
              <w:rPr>
                <w:rStyle w:val="IndexLink"/>
                <w:rtl w:val="true"/>
              </w:rPr>
              <w:tab/>
            </w:r>
            <w:r>
              <w:rPr>
                <w:rStyle w:val="IndexLink"/>
              </w:rPr>
              <w:t>254</w:t>
            </w:r>
          </w:hyperlink>
        </w:p>
        <w:p>
          <w:pPr>
            <w:pStyle w:val="Contents3"/>
            <w:tabs>
              <w:tab w:val="clear" w:pos="8459"/>
              <w:tab w:val="right" w:pos="9026" w:leader="dot"/>
            </w:tabs>
            <w:rPr/>
          </w:pPr>
          <w:hyperlink w:anchor="__RefHeading___Toc8289040_2870459653">
            <w:r>
              <w:rPr>
                <w:webHidden/>
                <w:rStyle w:val="IndexLink"/>
              </w:rPr>
              <w:t>1</w:t>
            </w:r>
            <w:r>
              <w:rPr>
                <w:rStyle w:val="IndexLink"/>
                <w:rtl w:val="true"/>
              </w:rPr>
              <w:t xml:space="preserve">- </w:t>
            </w:r>
            <w:r>
              <w:rPr>
                <w:rStyle w:val="IndexLink"/>
                <w:rtl w:val="true"/>
              </w:rPr>
              <w:t>بحث المفاهيم والألفاظ</w:t>
            </w:r>
            <w:r>
              <w:rPr>
                <w:rStyle w:val="IndexLink"/>
                <w:rtl w:val="true"/>
              </w:rPr>
              <w:tab/>
            </w:r>
            <w:r>
              <w:rPr>
                <w:rStyle w:val="IndexLink"/>
              </w:rPr>
              <w:t>254</w:t>
            </w:r>
          </w:hyperlink>
        </w:p>
        <w:p>
          <w:pPr>
            <w:pStyle w:val="Contents3"/>
            <w:tabs>
              <w:tab w:val="clear" w:pos="8459"/>
              <w:tab w:val="right" w:pos="9026" w:leader="dot"/>
            </w:tabs>
            <w:rPr/>
          </w:pPr>
          <w:hyperlink w:anchor="__RefHeading___Toc8289042_2870459653">
            <w:r>
              <w:rPr>
                <w:webHidden/>
                <w:rStyle w:val="IndexLink"/>
              </w:rPr>
              <w:t>2</w:t>
            </w:r>
            <w:r>
              <w:rPr>
                <w:rStyle w:val="IndexLink"/>
                <w:rtl w:val="true"/>
              </w:rPr>
              <w:t xml:space="preserve">- </w:t>
            </w:r>
            <w:r>
              <w:rPr>
                <w:rStyle w:val="IndexLink"/>
                <w:rtl w:val="true"/>
              </w:rPr>
              <w:t>أهمية فريضة الأمر بالمعروف والنهي عن المنكر</w:t>
            </w:r>
            <w:r>
              <w:rPr>
                <w:rStyle w:val="IndexLink"/>
                <w:rtl w:val="true"/>
              </w:rPr>
              <w:tab/>
            </w:r>
            <w:r>
              <w:rPr>
                <w:rStyle w:val="IndexLink"/>
              </w:rPr>
              <w:t>255</w:t>
            </w:r>
          </w:hyperlink>
        </w:p>
        <w:p>
          <w:pPr>
            <w:pStyle w:val="Contents3"/>
            <w:tabs>
              <w:tab w:val="clear" w:pos="8459"/>
              <w:tab w:val="right" w:pos="9026" w:leader="dot"/>
            </w:tabs>
            <w:rPr/>
          </w:pPr>
          <w:hyperlink w:anchor="__RefHeading___Toc8289044_2870459653">
            <w:r>
              <w:rPr>
                <w:webHidden/>
                <w:rStyle w:val="IndexLink"/>
                <w:rtl w:val="true"/>
              </w:rPr>
              <w:t>أ</w:t>
            </w:r>
            <w:r>
              <w:rPr>
                <w:rStyle w:val="IndexLink"/>
                <w:rtl w:val="true"/>
              </w:rPr>
              <w:t xml:space="preserve">) </w:t>
            </w:r>
            <w:r>
              <w:rPr>
                <w:rStyle w:val="IndexLink"/>
                <w:rtl w:val="true"/>
              </w:rPr>
              <w:t>الآيات القرآنية</w:t>
            </w:r>
            <w:r>
              <w:rPr>
                <w:rStyle w:val="IndexLink"/>
                <w:rtl w:val="true"/>
              </w:rPr>
              <w:tab/>
            </w:r>
            <w:r>
              <w:rPr>
                <w:rStyle w:val="IndexLink"/>
              </w:rPr>
              <w:t>256</w:t>
            </w:r>
          </w:hyperlink>
        </w:p>
        <w:p>
          <w:pPr>
            <w:pStyle w:val="Contents3"/>
            <w:tabs>
              <w:tab w:val="clear" w:pos="8459"/>
              <w:tab w:val="right" w:pos="9026" w:leader="dot"/>
            </w:tabs>
            <w:rPr/>
          </w:pPr>
          <w:hyperlink w:anchor="__RefHeading___Toc8289046_2870459653">
            <w:r>
              <w:rPr>
                <w:webHidden/>
                <w:rStyle w:val="IndexLink"/>
                <w:rtl w:val="true"/>
              </w:rPr>
              <w:t>ب</w:t>
            </w:r>
            <w:r>
              <w:rPr>
                <w:rStyle w:val="IndexLink"/>
                <w:rtl w:val="true"/>
              </w:rPr>
              <w:t xml:space="preserve">) </w:t>
            </w:r>
            <w:r>
              <w:rPr>
                <w:rStyle w:val="IndexLink"/>
                <w:rtl w:val="true"/>
              </w:rPr>
              <w:t>الروايات</w:t>
            </w:r>
            <w:r>
              <w:rPr>
                <w:rStyle w:val="IndexLink"/>
                <w:rtl w:val="true"/>
              </w:rPr>
              <w:tab/>
            </w:r>
            <w:r>
              <w:rPr>
                <w:rStyle w:val="IndexLink"/>
              </w:rPr>
              <w:t>256</w:t>
            </w:r>
          </w:hyperlink>
        </w:p>
        <w:p>
          <w:pPr>
            <w:pStyle w:val="Contents3"/>
            <w:tabs>
              <w:tab w:val="clear" w:pos="8459"/>
              <w:tab w:val="right" w:pos="9026" w:leader="dot"/>
            </w:tabs>
            <w:rPr/>
          </w:pPr>
          <w:hyperlink w:anchor="__RefHeading___Toc8289048_2870459653">
            <w:r>
              <w:rPr>
                <w:webHidden/>
                <w:rStyle w:val="IndexLink"/>
              </w:rPr>
              <w:t>3</w:t>
            </w:r>
            <w:r>
              <w:rPr>
                <w:rStyle w:val="IndexLink"/>
                <w:rtl w:val="true"/>
              </w:rPr>
              <w:t xml:space="preserve">- </w:t>
            </w:r>
            <w:r>
              <w:rPr>
                <w:rStyle w:val="IndexLink"/>
                <w:rtl w:val="true"/>
              </w:rPr>
              <w:t>أهمية الأساليب المختلفة في الأمر بالمعروف والنهي عن المنكر</w:t>
            </w:r>
            <w:r>
              <w:rPr>
                <w:rStyle w:val="IndexLink"/>
                <w:rtl w:val="true"/>
              </w:rPr>
              <w:tab/>
            </w:r>
            <w:r>
              <w:rPr>
                <w:rStyle w:val="IndexLink"/>
              </w:rPr>
              <w:t>257</w:t>
            </w:r>
          </w:hyperlink>
        </w:p>
        <w:p>
          <w:pPr>
            <w:pStyle w:val="Contents3"/>
            <w:tabs>
              <w:tab w:val="clear" w:pos="8459"/>
              <w:tab w:val="right" w:pos="9026" w:leader="dot"/>
            </w:tabs>
            <w:rPr/>
          </w:pPr>
          <w:hyperlink w:anchor="__RefHeading___Toc8289050_2870459653">
            <w:r>
              <w:rPr>
                <w:webHidden/>
                <w:rStyle w:val="IndexLink"/>
              </w:rPr>
              <w:t>4</w:t>
            </w:r>
            <w:r>
              <w:rPr>
                <w:rStyle w:val="IndexLink"/>
                <w:rtl w:val="true"/>
              </w:rPr>
              <w:t xml:space="preserve">- </w:t>
            </w:r>
            <w:r>
              <w:rPr>
                <w:rStyle w:val="IndexLink"/>
                <w:rtl w:val="true"/>
              </w:rPr>
              <w:t>أسباب القيام بالأمر بالمعروف والنهي عن المنكر في السيرة الحسينية</w:t>
            </w:r>
            <w:r>
              <w:rPr>
                <w:rStyle w:val="IndexLink"/>
                <w:rtl w:val="true"/>
              </w:rPr>
              <w:tab/>
            </w:r>
            <w:r>
              <w:rPr>
                <w:rStyle w:val="IndexLink"/>
              </w:rPr>
              <w:t>258</w:t>
            </w:r>
          </w:hyperlink>
        </w:p>
        <w:p>
          <w:pPr>
            <w:pStyle w:val="Contents3"/>
            <w:tabs>
              <w:tab w:val="clear" w:pos="8459"/>
              <w:tab w:val="right" w:pos="9026" w:leader="dot"/>
            </w:tabs>
            <w:rPr/>
          </w:pPr>
          <w:hyperlink w:anchor="__RefHeading___Toc8289052_2870459653">
            <w:r>
              <w:rPr>
                <w:webHidden/>
                <w:rStyle w:val="IndexLink"/>
              </w:rPr>
              <w:t>5</w:t>
            </w:r>
            <w:r>
              <w:rPr>
                <w:rStyle w:val="IndexLink"/>
                <w:rtl w:val="true"/>
              </w:rPr>
              <w:t xml:space="preserve">- </w:t>
            </w:r>
            <w:r>
              <w:rPr>
                <w:rStyle w:val="IndexLink"/>
                <w:rtl w:val="true"/>
              </w:rPr>
              <w:t>الأمر بالمعروف والنهي عن المنكر عنصر أصيل في النهضة الحسينية</w:t>
            </w:r>
            <w:r>
              <w:rPr>
                <w:rStyle w:val="IndexLink"/>
                <w:rtl w:val="true"/>
              </w:rPr>
              <w:tab/>
            </w:r>
            <w:r>
              <w:rPr>
                <w:rStyle w:val="IndexLink"/>
              </w:rPr>
              <w:t>260</w:t>
            </w:r>
          </w:hyperlink>
        </w:p>
        <w:p>
          <w:pPr>
            <w:pStyle w:val="Contents3"/>
            <w:tabs>
              <w:tab w:val="clear" w:pos="8459"/>
              <w:tab w:val="right" w:pos="9026" w:leader="dot"/>
            </w:tabs>
            <w:rPr/>
          </w:pPr>
          <w:hyperlink w:anchor="__RefHeading___Toc8289054_2870459653">
            <w:r>
              <w:rPr>
                <w:webHidden/>
                <w:rStyle w:val="IndexLink"/>
                <w:rtl w:val="true"/>
              </w:rPr>
              <w:t>أساليب الأمر بالمعروف والنهي عن المنكر في السيرة الحسينية</w:t>
            </w:r>
            <w:r>
              <w:rPr>
                <w:rStyle w:val="IndexLink"/>
                <w:rtl w:val="true"/>
              </w:rPr>
              <w:tab/>
            </w:r>
            <w:r>
              <w:rPr>
                <w:rStyle w:val="IndexLink"/>
              </w:rPr>
              <w:t>261</w:t>
            </w:r>
          </w:hyperlink>
        </w:p>
        <w:p>
          <w:pPr>
            <w:pStyle w:val="Contents3"/>
            <w:tabs>
              <w:tab w:val="clear" w:pos="8459"/>
              <w:tab w:val="right" w:pos="9026" w:leader="dot"/>
            </w:tabs>
            <w:rPr/>
          </w:pPr>
          <w:hyperlink w:anchor="__RefHeading___Toc8289056_2870459653">
            <w:r>
              <w:rPr>
                <w:webHidden/>
                <w:rStyle w:val="IndexLink"/>
              </w:rPr>
              <w:t>1</w:t>
            </w:r>
            <w:r>
              <w:rPr>
                <w:rStyle w:val="IndexLink"/>
                <w:rtl w:val="true"/>
              </w:rPr>
              <w:t xml:space="preserve">- </w:t>
            </w:r>
            <w:r>
              <w:rPr>
                <w:rStyle w:val="IndexLink"/>
                <w:rtl w:val="true"/>
              </w:rPr>
              <w:t xml:space="preserve">الأُسلوب الكلامي </w:t>
            </w:r>
            <w:r>
              <w:rPr>
                <w:rStyle w:val="IndexLink"/>
                <w:rtl w:val="true"/>
              </w:rPr>
              <w:t>(</w:t>
            </w:r>
            <w:r>
              <w:rPr>
                <w:rStyle w:val="IndexLink"/>
                <w:rtl w:val="true"/>
              </w:rPr>
              <w:t>الخطابات والأقوال</w:t>
            </w:r>
            <w:r>
              <w:rPr>
                <w:rStyle w:val="IndexLink"/>
                <w:rtl w:val="true"/>
              </w:rPr>
              <w:t>)</w:t>
              <w:tab/>
            </w:r>
            <w:r>
              <w:rPr>
                <w:rStyle w:val="IndexLink"/>
              </w:rPr>
              <w:t>263</w:t>
            </w:r>
          </w:hyperlink>
        </w:p>
        <w:p>
          <w:pPr>
            <w:pStyle w:val="Contents3"/>
            <w:tabs>
              <w:tab w:val="clear" w:pos="8459"/>
              <w:tab w:val="right" w:pos="9026" w:leader="dot"/>
            </w:tabs>
            <w:rPr/>
          </w:pPr>
          <w:hyperlink w:anchor="__RefHeading___Toc8289058_2870459653">
            <w:r>
              <w:rPr>
                <w:webHidden/>
                <w:rStyle w:val="IndexLink"/>
                <w:rtl w:val="true"/>
              </w:rPr>
              <w:t>أ</w:t>
            </w:r>
            <w:r>
              <w:rPr>
                <w:rStyle w:val="IndexLink"/>
                <w:rtl w:val="true"/>
              </w:rPr>
              <w:t xml:space="preserve">) </w:t>
            </w:r>
            <w:r>
              <w:rPr>
                <w:rStyle w:val="IndexLink"/>
                <w:rtl w:val="true"/>
              </w:rPr>
              <w:t>الخُطب</w:t>
            </w:r>
            <w:r>
              <w:rPr>
                <w:rStyle w:val="IndexLink"/>
                <w:rtl w:val="true"/>
              </w:rPr>
              <w:tab/>
            </w:r>
            <w:r>
              <w:rPr>
                <w:rStyle w:val="IndexLink"/>
              </w:rPr>
              <w:t>263</w:t>
            </w:r>
          </w:hyperlink>
        </w:p>
        <w:p>
          <w:pPr>
            <w:pStyle w:val="Contents3"/>
            <w:tabs>
              <w:tab w:val="clear" w:pos="8459"/>
              <w:tab w:val="right" w:pos="9026" w:leader="dot"/>
            </w:tabs>
            <w:rPr/>
          </w:pPr>
          <w:hyperlink w:anchor="__RefHeading___Toc8289060_2870459653">
            <w:r>
              <w:rPr>
                <w:webHidden/>
                <w:rStyle w:val="IndexLink"/>
                <w:rtl w:val="true"/>
              </w:rPr>
              <w:t>خطبته في الحجّاج</w:t>
            </w:r>
            <w:r>
              <w:rPr>
                <w:rStyle w:val="IndexLink"/>
                <w:rtl w:val="true"/>
              </w:rPr>
              <w:tab/>
            </w:r>
            <w:r>
              <w:rPr>
                <w:rStyle w:val="IndexLink"/>
              </w:rPr>
              <w:t>263</w:t>
            </w:r>
          </w:hyperlink>
        </w:p>
        <w:p>
          <w:pPr>
            <w:pStyle w:val="Contents3"/>
            <w:tabs>
              <w:tab w:val="clear" w:pos="8459"/>
              <w:tab w:val="right" w:pos="9026" w:leader="dot"/>
            </w:tabs>
            <w:rPr/>
          </w:pPr>
          <w:hyperlink w:anchor="__RefHeading___Toc8289062_2870459653">
            <w:r>
              <w:rPr>
                <w:webHidden/>
                <w:rStyle w:val="IndexLink"/>
                <w:rtl w:val="true"/>
              </w:rPr>
              <w:t>خطبته في جيش الحرّ الرياحي</w:t>
            </w:r>
            <w:r>
              <w:rPr>
                <w:rStyle w:val="IndexLink"/>
                <w:rtl w:val="true"/>
              </w:rPr>
              <w:tab/>
            </w:r>
            <w:r>
              <w:rPr>
                <w:rStyle w:val="IndexLink"/>
              </w:rPr>
              <w:t>264</w:t>
            </w:r>
          </w:hyperlink>
        </w:p>
        <w:p>
          <w:pPr>
            <w:pStyle w:val="Contents3"/>
            <w:tabs>
              <w:tab w:val="clear" w:pos="8459"/>
              <w:tab w:val="right" w:pos="9026" w:leader="dot"/>
            </w:tabs>
            <w:rPr/>
          </w:pPr>
          <w:hyperlink w:anchor="__RefHeading___Toc8289064_2870459653">
            <w:r>
              <w:rPr>
                <w:webHidden/>
                <w:rStyle w:val="IndexLink"/>
                <w:rtl w:val="true"/>
              </w:rPr>
              <w:t>خطبته في أهل الكوفة</w:t>
            </w:r>
            <w:r>
              <w:rPr>
                <w:rStyle w:val="IndexLink"/>
                <w:rtl w:val="true"/>
              </w:rPr>
              <w:tab/>
            </w:r>
            <w:r>
              <w:rPr>
                <w:rStyle w:val="IndexLink"/>
              </w:rPr>
              <w:t>265</w:t>
            </w:r>
          </w:hyperlink>
        </w:p>
        <w:p>
          <w:pPr>
            <w:pStyle w:val="Contents3"/>
            <w:tabs>
              <w:tab w:val="clear" w:pos="8459"/>
              <w:tab w:val="right" w:pos="9026" w:leader="dot"/>
            </w:tabs>
            <w:rPr/>
          </w:pPr>
          <w:hyperlink w:anchor="__RefHeading___Toc8289066_2870459653">
            <w:r>
              <w:rPr>
                <w:webHidden/>
                <w:rStyle w:val="IndexLink"/>
                <w:rtl w:val="true"/>
              </w:rPr>
              <w:t>ب</w:t>
            </w:r>
            <w:r>
              <w:rPr>
                <w:rStyle w:val="IndexLink"/>
                <w:rtl w:val="true"/>
              </w:rPr>
              <w:t xml:space="preserve">) </w:t>
            </w:r>
            <w:r>
              <w:rPr>
                <w:rStyle w:val="IndexLink"/>
                <w:rtl w:val="true"/>
              </w:rPr>
              <w:t>الوصايا الخاصة</w:t>
            </w:r>
            <w:r>
              <w:rPr>
                <w:rStyle w:val="IndexLink"/>
                <w:rtl w:val="true"/>
              </w:rPr>
              <w:tab/>
            </w:r>
            <w:r>
              <w:rPr>
                <w:rStyle w:val="IndexLink"/>
              </w:rPr>
              <w:t>266</w:t>
            </w:r>
          </w:hyperlink>
        </w:p>
        <w:p>
          <w:pPr>
            <w:pStyle w:val="Contents3"/>
            <w:tabs>
              <w:tab w:val="clear" w:pos="8459"/>
              <w:tab w:val="right" w:pos="9026" w:leader="dot"/>
            </w:tabs>
            <w:rPr/>
          </w:pPr>
          <w:hyperlink w:anchor="__RefHeading___Toc8289068_2870459653">
            <w:r>
              <w:rPr>
                <w:webHidden/>
                <w:rStyle w:val="IndexLink"/>
                <w:rtl w:val="true"/>
              </w:rPr>
              <w:t>لقاؤه بعبيد الله بن الحرّ الجعفي</w:t>
            </w:r>
            <w:r>
              <w:rPr>
                <w:rStyle w:val="IndexLink"/>
                <w:rtl w:val="true"/>
              </w:rPr>
              <w:tab/>
            </w:r>
            <w:r>
              <w:rPr>
                <w:rStyle w:val="IndexLink"/>
              </w:rPr>
              <w:t>267</w:t>
            </w:r>
          </w:hyperlink>
        </w:p>
        <w:p>
          <w:pPr>
            <w:pStyle w:val="Contents3"/>
            <w:tabs>
              <w:tab w:val="clear" w:pos="8459"/>
              <w:tab w:val="right" w:pos="9026" w:leader="dot"/>
            </w:tabs>
            <w:rPr/>
          </w:pPr>
          <w:hyperlink w:anchor="__RefHeading___Toc8289070_2870459653">
            <w:r>
              <w:rPr>
                <w:webHidden/>
                <w:rStyle w:val="IndexLink"/>
                <w:rtl w:val="true"/>
              </w:rPr>
              <w:t>لقاؤه بعمر بن سعد</w:t>
            </w:r>
            <w:r>
              <w:rPr>
                <w:rStyle w:val="IndexLink"/>
                <w:rtl w:val="true"/>
              </w:rPr>
              <w:tab/>
            </w:r>
            <w:r>
              <w:rPr>
                <w:rStyle w:val="IndexLink"/>
              </w:rPr>
              <w:t>268</w:t>
            </w:r>
          </w:hyperlink>
        </w:p>
        <w:p>
          <w:pPr>
            <w:pStyle w:val="Contents3"/>
            <w:tabs>
              <w:tab w:val="clear" w:pos="8459"/>
              <w:tab w:val="right" w:pos="9026" w:leader="dot"/>
            </w:tabs>
            <w:rPr/>
          </w:pPr>
          <w:hyperlink w:anchor="__RefHeading___Toc8289072_2870459653">
            <w:r>
              <w:rPr>
                <w:webHidden/>
                <w:rStyle w:val="IndexLink"/>
              </w:rPr>
              <w:t>2</w:t>
            </w:r>
            <w:r>
              <w:rPr>
                <w:rStyle w:val="IndexLink"/>
                <w:rtl w:val="true"/>
              </w:rPr>
              <w:t xml:space="preserve">- </w:t>
            </w:r>
            <w:r>
              <w:rPr>
                <w:rStyle w:val="IndexLink"/>
                <w:rtl w:val="true"/>
              </w:rPr>
              <w:t xml:space="preserve">الأُسلوب الكتابي </w:t>
            </w:r>
            <w:r>
              <w:rPr>
                <w:rStyle w:val="IndexLink"/>
                <w:rtl w:val="true"/>
              </w:rPr>
              <w:t>(</w:t>
            </w:r>
            <w:r>
              <w:rPr>
                <w:rStyle w:val="IndexLink"/>
                <w:rtl w:val="true"/>
              </w:rPr>
              <w:t>الكتب والوصية</w:t>
            </w:r>
            <w:r>
              <w:rPr>
                <w:rStyle w:val="IndexLink"/>
                <w:rtl w:val="true"/>
              </w:rPr>
              <w:t>)</w:t>
              <w:tab/>
            </w:r>
            <w:r>
              <w:rPr>
                <w:rStyle w:val="IndexLink"/>
              </w:rPr>
              <w:t>268</w:t>
            </w:r>
          </w:hyperlink>
        </w:p>
        <w:p>
          <w:pPr>
            <w:pStyle w:val="Contents3"/>
            <w:tabs>
              <w:tab w:val="clear" w:pos="8459"/>
              <w:tab w:val="right" w:pos="9026" w:leader="dot"/>
            </w:tabs>
            <w:rPr/>
          </w:pPr>
          <w:hyperlink w:anchor="__RefHeading___Toc8289074_2870459653">
            <w:r>
              <w:rPr>
                <w:webHidden/>
                <w:rStyle w:val="IndexLink"/>
                <w:rtl w:val="true"/>
              </w:rPr>
              <w:t>أ</w:t>
            </w:r>
            <w:r>
              <w:rPr>
                <w:rStyle w:val="IndexLink"/>
                <w:rtl w:val="true"/>
              </w:rPr>
              <w:t xml:space="preserve">) </w:t>
            </w:r>
            <w:r>
              <w:rPr>
                <w:rStyle w:val="IndexLink"/>
                <w:rtl w:val="true"/>
              </w:rPr>
              <w:t>الرسائل والكتب</w:t>
            </w:r>
            <w:r>
              <w:rPr>
                <w:rStyle w:val="IndexLink"/>
                <w:rtl w:val="true"/>
              </w:rPr>
              <w:tab/>
            </w:r>
            <w:r>
              <w:rPr>
                <w:rStyle w:val="IndexLink"/>
              </w:rPr>
              <w:t>268</w:t>
            </w:r>
          </w:hyperlink>
        </w:p>
        <w:p>
          <w:pPr>
            <w:pStyle w:val="Contents3"/>
            <w:tabs>
              <w:tab w:val="clear" w:pos="8459"/>
              <w:tab w:val="right" w:pos="9026" w:leader="dot"/>
            </w:tabs>
            <w:rPr/>
          </w:pPr>
          <w:hyperlink w:anchor="__RefHeading___Toc8289076_2870459653">
            <w:r>
              <w:rPr>
                <w:webHidden/>
                <w:rStyle w:val="IndexLink"/>
                <w:rtl w:val="true"/>
              </w:rPr>
              <w:t>كتابه إلى معاوية</w:t>
            </w:r>
            <w:r>
              <w:rPr>
                <w:rStyle w:val="IndexLink"/>
                <w:rtl w:val="true"/>
              </w:rPr>
              <w:tab/>
            </w:r>
            <w:r>
              <w:rPr>
                <w:rStyle w:val="IndexLink"/>
              </w:rPr>
              <w:t>269</w:t>
            </w:r>
          </w:hyperlink>
        </w:p>
        <w:p>
          <w:pPr>
            <w:pStyle w:val="Contents3"/>
            <w:tabs>
              <w:tab w:val="clear" w:pos="8459"/>
              <w:tab w:val="right" w:pos="9026" w:leader="dot"/>
            </w:tabs>
            <w:rPr/>
          </w:pPr>
          <w:hyperlink w:anchor="__RefHeading___Toc8289078_2870459653">
            <w:r>
              <w:rPr>
                <w:webHidden/>
                <w:rStyle w:val="IndexLink"/>
                <w:rtl w:val="true"/>
              </w:rPr>
              <w:t>كتابه إلى أشراف البصرة</w:t>
            </w:r>
            <w:r>
              <w:rPr>
                <w:rStyle w:val="IndexLink"/>
                <w:rtl w:val="true"/>
              </w:rPr>
              <w:tab/>
            </w:r>
            <w:r>
              <w:rPr>
                <w:rStyle w:val="IndexLink"/>
              </w:rPr>
              <w:t>269</w:t>
            </w:r>
          </w:hyperlink>
        </w:p>
        <w:p>
          <w:pPr>
            <w:pStyle w:val="Contents3"/>
            <w:tabs>
              <w:tab w:val="clear" w:pos="8459"/>
              <w:tab w:val="right" w:pos="9026" w:leader="dot"/>
            </w:tabs>
            <w:rPr/>
          </w:pPr>
          <w:hyperlink w:anchor="__RefHeading___Toc8289080_2870459653">
            <w:r>
              <w:rPr>
                <w:webHidden/>
                <w:rStyle w:val="IndexLink"/>
                <w:rtl w:val="true"/>
              </w:rPr>
              <w:t>ب</w:t>
            </w:r>
            <w:r>
              <w:rPr>
                <w:rStyle w:val="IndexLink"/>
                <w:rtl w:val="true"/>
              </w:rPr>
              <w:t xml:space="preserve">) </w:t>
            </w:r>
            <w:r>
              <w:rPr>
                <w:rStyle w:val="IndexLink"/>
                <w:rtl w:val="true"/>
              </w:rPr>
              <w:t>وصيته إلى محمد بن الحنفية</w:t>
            </w:r>
            <w:r>
              <w:rPr>
                <w:rStyle w:val="IndexLink"/>
                <w:rtl w:val="true"/>
              </w:rPr>
              <w:tab/>
            </w:r>
            <w:r>
              <w:rPr>
                <w:rStyle w:val="IndexLink"/>
              </w:rPr>
              <w:t>270</w:t>
            </w:r>
          </w:hyperlink>
        </w:p>
        <w:p>
          <w:pPr>
            <w:pStyle w:val="Contents3"/>
            <w:tabs>
              <w:tab w:val="clear" w:pos="8459"/>
              <w:tab w:val="right" w:pos="9026" w:leader="dot"/>
            </w:tabs>
            <w:rPr/>
          </w:pPr>
          <w:hyperlink w:anchor="__RefHeading___Toc8289082_2870459653">
            <w:r>
              <w:rPr>
                <w:webHidden/>
                <w:rStyle w:val="IndexLink"/>
              </w:rPr>
              <w:t>3</w:t>
            </w:r>
            <w:r>
              <w:rPr>
                <w:rStyle w:val="IndexLink"/>
                <w:rtl w:val="true"/>
              </w:rPr>
              <w:t xml:space="preserve"> - </w:t>
            </w:r>
            <w:r>
              <w:rPr>
                <w:rStyle w:val="IndexLink"/>
                <w:rtl w:val="true"/>
              </w:rPr>
              <w:t>الأُسلوب الفنّي</w:t>
            </w:r>
            <w:r>
              <w:rPr>
                <w:rStyle w:val="IndexLink"/>
                <w:rtl w:val="true"/>
              </w:rPr>
              <w:tab/>
            </w:r>
            <w:r>
              <w:rPr>
                <w:rStyle w:val="IndexLink"/>
              </w:rPr>
              <w:t>270</w:t>
            </w:r>
          </w:hyperlink>
        </w:p>
        <w:p>
          <w:pPr>
            <w:pStyle w:val="Contents3"/>
            <w:tabs>
              <w:tab w:val="clear" w:pos="8459"/>
              <w:tab w:val="right" w:pos="9026" w:leader="dot"/>
            </w:tabs>
            <w:rPr/>
          </w:pPr>
          <w:hyperlink w:anchor="__RefHeading___Toc8289084_2870459653">
            <w:r>
              <w:rPr>
                <w:webHidden/>
                <w:rStyle w:val="IndexLink"/>
                <w:rtl w:val="true"/>
              </w:rPr>
              <w:t>أ</w:t>
            </w:r>
            <w:r>
              <w:rPr>
                <w:rStyle w:val="IndexLink"/>
                <w:rtl w:val="true"/>
              </w:rPr>
              <w:t xml:space="preserve">) </w:t>
            </w:r>
            <w:r>
              <w:rPr>
                <w:rStyle w:val="IndexLink"/>
                <w:rtl w:val="true"/>
              </w:rPr>
              <w:t>المشاهد والاستعراضات</w:t>
            </w:r>
            <w:r>
              <w:rPr>
                <w:rStyle w:val="IndexLink"/>
                <w:rtl w:val="true"/>
              </w:rPr>
              <w:tab/>
            </w:r>
            <w:r>
              <w:rPr>
                <w:rStyle w:val="IndexLink"/>
              </w:rPr>
              <w:t>271</w:t>
            </w:r>
          </w:hyperlink>
        </w:p>
        <w:p>
          <w:pPr>
            <w:pStyle w:val="Contents3"/>
            <w:tabs>
              <w:tab w:val="clear" w:pos="8459"/>
              <w:tab w:val="right" w:pos="9026" w:leader="dot"/>
            </w:tabs>
            <w:rPr/>
          </w:pPr>
          <w:hyperlink w:anchor="__RefHeading___Toc8289086_2870459653">
            <w:r>
              <w:rPr>
                <w:webHidden/>
                <w:rStyle w:val="IndexLink"/>
                <w:rtl w:val="true"/>
              </w:rPr>
              <w:t>ب</w:t>
            </w:r>
            <w:r>
              <w:rPr>
                <w:rStyle w:val="IndexLink"/>
                <w:rtl w:val="true"/>
              </w:rPr>
              <w:t xml:space="preserve">) </w:t>
            </w:r>
            <w:r>
              <w:rPr>
                <w:rStyle w:val="IndexLink"/>
                <w:rtl w:val="true"/>
              </w:rPr>
              <w:t>الشعر</w:t>
            </w:r>
            <w:r>
              <w:rPr>
                <w:rStyle w:val="IndexLink"/>
                <w:rtl w:val="true"/>
              </w:rPr>
              <w:tab/>
            </w:r>
            <w:r>
              <w:rPr>
                <w:rStyle w:val="IndexLink"/>
              </w:rPr>
              <w:t>272</w:t>
            </w:r>
          </w:hyperlink>
        </w:p>
        <w:p>
          <w:pPr>
            <w:pStyle w:val="Contents3"/>
            <w:tabs>
              <w:tab w:val="clear" w:pos="8459"/>
              <w:tab w:val="right" w:pos="9026" w:leader="dot"/>
            </w:tabs>
            <w:rPr/>
          </w:pPr>
          <w:hyperlink w:anchor="__RefHeading___Toc8289088_2870459653">
            <w:r>
              <w:rPr>
                <w:webHidden/>
                <w:rStyle w:val="IndexLink"/>
                <w:rtl w:val="true"/>
              </w:rPr>
              <w:t>أبيات الإمام عندما نزل الشقوق</w:t>
            </w:r>
            <w:r>
              <w:rPr>
                <w:rStyle w:val="IndexLink"/>
                <w:rtl w:val="true"/>
              </w:rPr>
              <w:tab/>
            </w:r>
            <w:r>
              <w:rPr>
                <w:rStyle w:val="IndexLink"/>
              </w:rPr>
              <w:t>272</w:t>
            </w:r>
          </w:hyperlink>
        </w:p>
        <w:p>
          <w:pPr>
            <w:pStyle w:val="Contents3"/>
            <w:tabs>
              <w:tab w:val="clear" w:pos="8459"/>
              <w:tab w:val="right" w:pos="9026" w:leader="dot"/>
            </w:tabs>
            <w:rPr/>
          </w:pPr>
          <w:hyperlink w:anchor="__RefHeading___Toc8289090_2870459653">
            <w:r>
              <w:rPr>
                <w:webHidden/>
                <w:rStyle w:val="IndexLink"/>
                <w:rtl w:val="true"/>
              </w:rPr>
              <w:t>بعض أراجيزه</w:t>
            </w:r>
            <w:r>
              <w:rPr>
                <w:rStyle w:val="IndexLink"/>
                <w:rtl w:val="true"/>
              </w:rPr>
              <w:tab/>
            </w:r>
            <w:r>
              <w:rPr>
                <w:rStyle w:val="IndexLink"/>
              </w:rPr>
              <w:t>273</w:t>
            </w:r>
          </w:hyperlink>
        </w:p>
        <w:p>
          <w:pPr>
            <w:pStyle w:val="Contents3"/>
            <w:tabs>
              <w:tab w:val="clear" w:pos="8459"/>
              <w:tab w:val="right" w:pos="9026" w:leader="dot"/>
            </w:tabs>
            <w:rPr/>
          </w:pPr>
          <w:hyperlink w:anchor="__RefHeading___Toc8289092_2870459653">
            <w:r>
              <w:rPr>
                <w:webHidden/>
                <w:rStyle w:val="IndexLink"/>
                <w:rtl w:val="true"/>
              </w:rPr>
              <w:t>ج</w:t>
            </w:r>
            <w:r>
              <w:rPr>
                <w:rStyle w:val="IndexLink"/>
                <w:rtl w:val="true"/>
              </w:rPr>
              <w:t xml:space="preserve">) </w:t>
            </w:r>
            <w:r>
              <w:rPr>
                <w:rStyle w:val="IndexLink"/>
                <w:rtl w:val="true"/>
              </w:rPr>
              <w:t>التمثيل</w:t>
            </w:r>
            <w:r>
              <w:rPr>
                <w:rStyle w:val="IndexLink"/>
                <w:rtl w:val="true"/>
              </w:rPr>
              <w:tab/>
            </w:r>
            <w:r>
              <w:rPr>
                <w:rStyle w:val="IndexLink"/>
              </w:rPr>
              <w:t>273</w:t>
            </w:r>
          </w:hyperlink>
        </w:p>
        <w:p>
          <w:pPr>
            <w:pStyle w:val="Contents3"/>
            <w:tabs>
              <w:tab w:val="clear" w:pos="8459"/>
              <w:tab w:val="right" w:pos="9026" w:leader="dot"/>
            </w:tabs>
            <w:rPr/>
          </w:pPr>
          <w:hyperlink w:anchor="__RefHeading___Toc8289094_2870459653">
            <w:r>
              <w:rPr>
                <w:webHidden/>
                <w:rStyle w:val="IndexLink"/>
              </w:rPr>
              <w:t>4</w:t>
            </w:r>
            <w:r>
              <w:rPr>
                <w:rStyle w:val="IndexLink"/>
                <w:rtl w:val="true"/>
              </w:rPr>
              <w:t xml:space="preserve">- </w:t>
            </w:r>
            <w:r>
              <w:rPr>
                <w:rStyle w:val="IndexLink"/>
                <w:rtl w:val="true"/>
              </w:rPr>
              <w:t xml:space="preserve">الأُسلوب السلوكي </w:t>
            </w:r>
            <w:r>
              <w:rPr>
                <w:rStyle w:val="IndexLink"/>
                <w:rtl w:val="true"/>
              </w:rPr>
              <w:t>(</w:t>
            </w:r>
            <w:r>
              <w:rPr>
                <w:rStyle w:val="IndexLink"/>
                <w:rtl w:val="true"/>
              </w:rPr>
              <w:t>المواقف والأفعال</w:t>
            </w:r>
            <w:r>
              <w:rPr>
                <w:rStyle w:val="IndexLink"/>
                <w:rtl w:val="true"/>
              </w:rPr>
              <w:t>)</w:t>
              <w:tab/>
            </w:r>
            <w:r>
              <w:rPr>
                <w:rStyle w:val="IndexLink"/>
              </w:rPr>
              <w:t>274</w:t>
            </w:r>
          </w:hyperlink>
        </w:p>
        <w:p>
          <w:pPr>
            <w:pStyle w:val="Contents3"/>
            <w:tabs>
              <w:tab w:val="clear" w:pos="8459"/>
              <w:tab w:val="right" w:pos="9026" w:leader="dot"/>
            </w:tabs>
            <w:rPr/>
          </w:pPr>
          <w:hyperlink w:anchor="__RefHeading___Toc8289096_2870459653">
            <w:r>
              <w:rPr>
                <w:webHidden/>
                <w:rStyle w:val="IndexLink"/>
                <w:rtl w:val="true"/>
              </w:rPr>
              <w:t>أ</w:t>
            </w:r>
            <w:r>
              <w:rPr>
                <w:rStyle w:val="IndexLink"/>
                <w:rtl w:val="true"/>
              </w:rPr>
              <w:t xml:space="preserve">) </w:t>
            </w:r>
            <w:r>
              <w:rPr>
                <w:rStyle w:val="IndexLink"/>
                <w:rtl w:val="true"/>
              </w:rPr>
              <w:t>التواضع</w:t>
            </w:r>
            <w:r>
              <w:rPr>
                <w:rStyle w:val="IndexLink"/>
                <w:rtl w:val="true"/>
              </w:rPr>
              <w:tab/>
            </w:r>
            <w:r>
              <w:rPr>
                <w:rStyle w:val="IndexLink"/>
              </w:rPr>
              <w:t>274</w:t>
            </w:r>
          </w:hyperlink>
        </w:p>
        <w:p>
          <w:pPr>
            <w:pStyle w:val="Contents3"/>
            <w:tabs>
              <w:tab w:val="clear" w:pos="8459"/>
              <w:tab w:val="right" w:pos="9026" w:leader="dot"/>
            </w:tabs>
            <w:rPr/>
          </w:pPr>
          <w:hyperlink w:anchor="__RefHeading___Toc8289098_2870459653">
            <w:r>
              <w:rPr>
                <w:webHidden/>
                <w:rStyle w:val="IndexLink"/>
                <w:rtl w:val="true"/>
              </w:rPr>
              <w:t>ب</w:t>
            </w:r>
            <w:r>
              <w:rPr>
                <w:rStyle w:val="IndexLink"/>
                <w:rtl w:val="true"/>
              </w:rPr>
              <w:t xml:space="preserve">) </w:t>
            </w:r>
            <w:r>
              <w:rPr>
                <w:rStyle w:val="IndexLink"/>
                <w:rtl w:val="true"/>
              </w:rPr>
              <w:t>العفو والصفح</w:t>
            </w:r>
            <w:r>
              <w:rPr>
                <w:rStyle w:val="IndexLink"/>
                <w:rtl w:val="true"/>
              </w:rPr>
              <w:tab/>
            </w:r>
            <w:r>
              <w:rPr>
                <w:rStyle w:val="IndexLink"/>
              </w:rPr>
              <w:t>275</w:t>
            </w:r>
          </w:hyperlink>
        </w:p>
        <w:p>
          <w:pPr>
            <w:pStyle w:val="Contents3"/>
            <w:tabs>
              <w:tab w:val="clear" w:pos="8459"/>
              <w:tab w:val="right" w:pos="9026" w:leader="dot"/>
            </w:tabs>
            <w:rPr/>
          </w:pPr>
          <w:hyperlink w:anchor="__RefHeading___Toc8289100_2870459653">
            <w:r>
              <w:rPr>
                <w:webHidden/>
                <w:rStyle w:val="IndexLink"/>
                <w:rtl w:val="true"/>
              </w:rPr>
              <w:t>ج</w:t>
            </w:r>
            <w:r>
              <w:rPr>
                <w:rStyle w:val="IndexLink"/>
                <w:rtl w:val="true"/>
              </w:rPr>
              <w:t xml:space="preserve">) </w:t>
            </w:r>
            <w:r>
              <w:rPr>
                <w:rStyle w:val="IndexLink"/>
                <w:rtl w:val="true"/>
              </w:rPr>
              <w:t>العطف والنصيحة</w:t>
            </w:r>
            <w:r>
              <w:rPr>
                <w:rStyle w:val="IndexLink"/>
                <w:rtl w:val="true"/>
              </w:rPr>
              <w:tab/>
            </w:r>
            <w:r>
              <w:rPr>
                <w:rStyle w:val="IndexLink"/>
              </w:rPr>
              <w:t>276</w:t>
            </w:r>
          </w:hyperlink>
        </w:p>
        <w:p>
          <w:pPr>
            <w:pStyle w:val="Contents3"/>
            <w:tabs>
              <w:tab w:val="clear" w:pos="8459"/>
              <w:tab w:val="right" w:pos="9026" w:leader="dot"/>
            </w:tabs>
            <w:rPr/>
          </w:pPr>
          <w:hyperlink w:anchor="__RefHeading___Toc8289102_2870459653">
            <w:r>
              <w:rPr>
                <w:webHidden/>
                <w:rStyle w:val="IndexLink"/>
                <w:rtl w:val="true"/>
              </w:rPr>
              <w:t>دعوة عبيد الله بن الحرّ الجعفي</w:t>
            </w:r>
            <w:r>
              <w:rPr>
                <w:rStyle w:val="IndexLink"/>
                <w:rtl w:val="true"/>
              </w:rPr>
              <w:tab/>
            </w:r>
            <w:r>
              <w:rPr>
                <w:rStyle w:val="IndexLink"/>
              </w:rPr>
              <w:t>277</w:t>
            </w:r>
          </w:hyperlink>
        </w:p>
        <w:p>
          <w:pPr>
            <w:pStyle w:val="Contents3"/>
            <w:tabs>
              <w:tab w:val="clear" w:pos="8459"/>
              <w:tab w:val="right" w:pos="9026" w:leader="dot"/>
            </w:tabs>
            <w:rPr/>
          </w:pPr>
          <w:hyperlink w:anchor="__RefHeading___Toc8289104_2870459653">
            <w:r>
              <w:rPr>
                <w:webHidden/>
                <w:rStyle w:val="IndexLink"/>
                <w:rtl w:val="true"/>
              </w:rPr>
              <w:t>استقبال جيش الحرّ</w:t>
            </w:r>
            <w:r>
              <w:rPr>
                <w:rStyle w:val="IndexLink"/>
                <w:rtl w:val="true"/>
              </w:rPr>
              <w:tab/>
            </w:r>
            <w:r>
              <w:rPr>
                <w:rStyle w:val="IndexLink"/>
              </w:rPr>
              <w:t>277</w:t>
            </w:r>
          </w:hyperlink>
        </w:p>
        <w:p>
          <w:pPr>
            <w:pStyle w:val="Contents3"/>
            <w:tabs>
              <w:tab w:val="clear" w:pos="8459"/>
              <w:tab w:val="right" w:pos="9026" w:leader="dot"/>
            </w:tabs>
            <w:rPr/>
          </w:pPr>
          <w:hyperlink w:anchor="__RefHeading___Toc8289106_2870459653">
            <w:r>
              <w:rPr>
                <w:webHidden/>
                <w:rStyle w:val="IndexLink"/>
                <w:rtl w:val="true"/>
              </w:rPr>
              <w:t>لقاؤه بعمر بن سعد</w:t>
            </w:r>
            <w:r>
              <w:rPr>
                <w:rStyle w:val="IndexLink"/>
                <w:rtl w:val="true"/>
              </w:rPr>
              <w:tab/>
            </w:r>
            <w:r>
              <w:rPr>
                <w:rStyle w:val="IndexLink"/>
              </w:rPr>
              <w:t>277</w:t>
            </w:r>
          </w:hyperlink>
        </w:p>
        <w:p>
          <w:pPr>
            <w:pStyle w:val="Contents3"/>
            <w:tabs>
              <w:tab w:val="clear" w:pos="8459"/>
              <w:tab w:val="right" w:pos="9026" w:leader="dot"/>
            </w:tabs>
            <w:rPr/>
          </w:pPr>
          <w:hyperlink w:anchor="__RefHeading___Toc8289108_2870459653">
            <w:r>
              <w:rPr>
                <w:webHidden/>
                <w:rStyle w:val="IndexLink"/>
                <w:rtl w:val="true"/>
              </w:rPr>
              <w:t>د</w:t>
            </w:r>
            <w:r>
              <w:rPr>
                <w:rStyle w:val="IndexLink"/>
                <w:rtl w:val="true"/>
              </w:rPr>
              <w:t xml:space="preserve">) </w:t>
            </w:r>
            <w:r>
              <w:rPr>
                <w:rStyle w:val="IndexLink"/>
                <w:rtl w:val="true"/>
              </w:rPr>
              <w:t>الصبر والتحمّل</w:t>
            </w:r>
            <w:r>
              <w:rPr>
                <w:rStyle w:val="IndexLink"/>
                <w:rtl w:val="true"/>
              </w:rPr>
              <w:tab/>
            </w:r>
            <w:r>
              <w:rPr>
                <w:rStyle w:val="IndexLink"/>
              </w:rPr>
              <w:t>278</w:t>
            </w:r>
          </w:hyperlink>
        </w:p>
        <w:p>
          <w:pPr>
            <w:pStyle w:val="Contents3"/>
            <w:tabs>
              <w:tab w:val="clear" w:pos="8459"/>
              <w:tab w:val="right" w:pos="9026" w:leader="dot"/>
            </w:tabs>
            <w:rPr/>
          </w:pPr>
          <w:hyperlink w:anchor="__RefHeading___Toc8289110_2870459653">
            <w:r>
              <w:rPr>
                <w:webHidden/>
                <w:rStyle w:val="IndexLink"/>
                <w:rtl w:val="true"/>
              </w:rPr>
              <w:t>ه</w:t>
            </w:r>
            <w:r>
              <w:rPr>
                <w:rStyle w:val="IndexLink"/>
                <w:rtl w:val="true"/>
              </w:rPr>
              <w:t xml:space="preserve">) </w:t>
            </w:r>
            <w:r>
              <w:rPr>
                <w:rStyle w:val="IndexLink"/>
                <w:rtl w:val="true"/>
              </w:rPr>
              <w:t>الشهادة والتضحية</w:t>
            </w:r>
            <w:r>
              <w:rPr>
                <w:rStyle w:val="IndexLink"/>
                <w:rtl w:val="true"/>
              </w:rPr>
              <w:tab/>
            </w:r>
            <w:r>
              <w:rPr>
                <w:rStyle w:val="IndexLink"/>
              </w:rPr>
              <w:t>279</w:t>
            </w:r>
          </w:hyperlink>
        </w:p>
        <w:p>
          <w:pPr>
            <w:pStyle w:val="Contents3"/>
            <w:tabs>
              <w:tab w:val="clear" w:pos="8459"/>
              <w:tab w:val="right" w:pos="9026" w:leader="dot"/>
            </w:tabs>
            <w:rPr/>
          </w:pPr>
          <w:hyperlink w:anchor="__RefHeading___Toc8289112_2870459653">
            <w:r>
              <w:rPr>
                <w:webHidden/>
                <w:rStyle w:val="IndexLink"/>
                <w:rtl w:val="true"/>
              </w:rPr>
              <w:t>خاتمة واستنتاج</w:t>
            </w:r>
            <w:r>
              <w:rPr>
                <w:rStyle w:val="IndexLink"/>
                <w:rtl w:val="true"/>
              </w:rPr>
              <w:tab/>
            </w:r>
            <w:r>
              <w:rPr>
                <w:rStyle w:val="IndexLink"/>
              </w:rPr>
              <w:t>279</w:t>
            </w:r>
          </w:hyperlink>
        </w:p>
        <w:p>
          <w:pPr>
            <w:pStyle w:val="Contents2"/>
            <w:tabs>
              <w:tab w:val="clear" w:pos="8743"/>
              <w:tab w:val="right" w:pos="9026" w:leader="dot"/>
            </w:tabs>
            <w:rPr/>
          </w:pPr>
          <w:hyperlink w:anchor="__RefHeading___Toc8289114_2870459653">
            <w:r>
              <w:rPr>
                <w:webHidden/>
                <w:rStyle w:val="IndexLink"/>
                <w:rtl w:val="true"/>
              </w:rPr>
              <w:t>دراسات دينية</w:t>
            </w:r>
            <w:r>
              <w:rPr>
                <w:rStyle w:val="IndexLink"/>
                <w:rtl w:val="true"/>
              </w:rPr>
              <w:tab/>
            </w:r>
            <w:r>
              <w:rPr>
                <w:rStyle w:val="IndexLink"/>
              </w:rPr>
              <w:t>281</w:t>
            </w:r>
          </w:hyperlink>
        </w:p>
        <w:p>
          <w:pPr>
            <w:pStyle w:val="Contents3"/>
            <w:tabs>
              <w:tab w:val="clear" w:pos="8459"/>
              <w:tab w:val="right" w:pos="9026" w:leader="dot"/>
            </w:tabs>
            <w:rPr/>
          </w:pPr>
          <w:hyperlink w:anchor="__RefHeading___Toc8289116_2870459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8289118_2870459653">
            <w:r>
              <w:rPr>
                <w:webHidden/>
                <w:rStyle w:val="IndexLink"/>
                <w:rtl w:val="true"/>
              </w:rPr>
              <w:t xml:space="preserve">النُظُم التّربوية عند الإمام الصادق علیه السلام </w:t>
            </w:r>
            <w:r>
              <w:rPr>
                <w:rStyle w:val="IndexLink"/>
                <w:rtl w:val="true"/>
              </w:rPr>
              <w:t>(</w:t>
            </w:r>
            <w:r>
              <w:rPr>
                <w:rStyle w:val="IndexLink"/>
                <w:rtl w:val="true"/>
              </w:rPr>
              <w:t>رؤية تحليليّة</w:t>
            </w:r>
            <w:r>
              <w:rPr>
                <w:rStyle w:val="IndexLink"/>
                <w:rtl w:val="true"/>
              </w:rPr>
              <w:t>)</w:t>
              <w:tab/>
            </w:r>
            <w:r>
              <w:rPr>
                <w:rStyle w:val="IndexLink"/>
              </w:rPr>
              <w:t>283</w:t>
            </w:r>
          </w:hyperlink>
        </w:p>
        <w:p>
          <w:pPr>
            <w:pStyle w:val="Contents3"/>
            <w:tabs>
              <w:tab w:val="clear" w:pos="8459"/>
              <w:tab w:val="right" w:pos="9026" w:leader="dot"/>
            </w:tabs>
            <w:rPr/>
          </w:pPr>
          <w:hyperlink w:anchor="__RefHeading___Toc8289120_2870459653">
            <w:r>
              <w:rPr>
                <w:webHidden/>
                <w:rStyle w:val="IndexLink"/>
                <w:rtl w:val="true"/>
              </w:rPr>
              <w:t>د</w:t>
            </w:r>
            <w:r>
              <w:rPr>
                <w:rStyle w:val="IndexLink"/>
                <w:rtl w:val="true"/>
              </w:rPr>
              <w:t xml:space="preserve">. </w:t>
            </w:r>
            <w:r>
              <w:rPr>
                <w:rStyle w:val="IndexLink"/>
                <w:rtl w:val="true"/>
              </w:rPr>
              <w:t>السيد نجم الموسوي</w:t>
            </w:r>
            <w:r>
              <w:rPr>
                <w:rStyle w:val="IndexLink"/>
                <w:rtl w:val="true"/>
              </w:rPr>
              <w:tab/>
            </w:r>
            <w:r>
              <w:rPr>
                <w:rStyle w:val="IndexLink"/>
              </w:rPr>
              <w:t>283</w:t>
            </w:r>
          </w:hyperlink>
        </w:p>
        <w:p>
          <w:pPr>
            <w:pStyle w:val="Contents3"/>
            <w:tabs>
              <w:tab w:val="clear" w:pos="8459"/>
              <w:tab w:val="right" w:pos="9026" w:leader="dot"/>
            </w:tabs>
            <w:rPr/>
          </w:pPr>
          <w:hyperlink w:anchor="__RefHeading___Toc8289122_2870459653">
            <w:r>
              <w:rPr>
                <w:webHidden/>
                <w:rStyle w:val="IndexLink"/>
                <w:rtl w:val="true"/>
              </w:rPr>
              <w:t>تعريف التّربية وهدفها</w:t>
            </w:r>
            <w:r>
              <w:rPr>
                <w:rStyle w:val="IndexLink"/>
                <w:rtl w:val="true"/>
              </w:rPr>
              <w:tab/>
            </w:r>
            <w:r>
              <w:rPr>
                <w:rStyle w:val="IndexLink"/>
              </w:rPr>
              <w:t>283</w:t>
            </w:r>
          </w:hyperlink>
        </w:p>
        <w:p>
          <w:pPr>
            <w:pStyle w:val="Contents3"/>
            <w:tabs>
              <w:tab w:val="clear" w:pos="8459"/>
              <w:tab w:val="right" w:pos="9026" w:leader="dot"/>
            </w:tabs>
            <w:rPr/>
          </w:pPr>
          <w:hyperlink w:anchor="__RefHeading___Toc8289124_2870459653">
            <w:r>
              <w:rPr>
                <w:webHidden/>
                <w:rStyle w:val="IndexLink"/>
                <w:rtl w:val="true"/>
              </w:rPr>
              <w:t>الحاجة إلى المنهج التّربوي</w:t>
            </w:r>
            <w:r>
              <w:rPr>
                <w:rStyle w:val="IndexLink"/>
                <w:rtl w:val="true"/>
              </w:rPr>
              <w:tab/>
            </w:r>
            <w:r>
              <w:rPr>
                <w:rStyle w:val="IndexLink"/>
              </w:rPr>
              <w:t>284</w:t>
            </w:r>
          </w:hyperlink>
        </w:p>
        <w:p>
          <w:pPr>
            <w:pStyle w:val="Contents3"/>
            <w:tabs>
              <w:tab w:val="clear" w:pos="8459"/>
              <w:tab w:val="right" w:pos="9026" w:leader="dot"/>
            </w:tabs>
            <w:rPr/>
          </w:pPr>
          <w:hyperlink w:anchor="__RefHeading___Toc8289126_2870459653">
            <w:r>
              <w:rPr>
                <w:webHidden/>
                <w:rStyle w:val="IndexLink"/>
                <w:rtl w:val="true"/>
              </w:rPr>
              <w:t>النظام التربوي في الإسلام</w:t>
            </w:r>
            <w:r>
              <w:rPr>
                <w:rStyle w:val="IndexLink"/>
                <w:rtl w:val="true"/>
              </w:rPr>
              <w:tab/>
            </w:r>
            <w:r>
              <w:rPr>
                <w:rStyle w:val="IndexLink"/>
              </w:rPr>
              <w:t>285</w:t>
            </w:r>
          </w:hyperlink>
        </w:p>
        <w:p>
          <w:pPr>
            <w:pStyle w:val="Contents3"/>
            <w:tabs>
              <w:tab w:val="clear" w:pos="8459"/>
              <w:tab w:val="right" w:pos="9026" w:leader="dot"/>
            </w:tabs>
            <w:rPr/>
          </w:pPr>
          <w:hyperlink w:anchor="__RefHeading___Toc8289128_2870459653">
            <w:r>
              <w:rPr>
                <w:webHidden/>
                <w:rStyle w:val="IndexLink"/>
                <w:rtl w:val="true"/>
              </w:rPr>
              <w:t>قَبَسات من النُظُم التّربوية عند الإمام الصادق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8289130_2870459653">
            <w:r>
              <w:rPr>
                <w:webHidden/>
                <w:rStyle w:val="IndexLink"/>
                <w:rtl w:val="true"/>
              </w:rPr>
              <w:t>أولاً</w:t>
            </w:r>
            <w:r>
              <w:rPr>
                <w:rStyle w:val="IndexLink"/>
                <w:rtl w:val="true"/>
              </w:rPr>
              <w:t xml:space="preserve">: </w:t>
            </w:r>
            <w:r>
              <w:rPr>
                <w:rStyle w:val="IndexLink"/>
                <w:rtl w:val="true"/>
              </w:rPr>
              <w:t>الإعداد الذاتي</w:t>
            </w:r>
            <w:r>
              <w:rPr>
                <w:rStyle w:val="IndexLink"/>
                <w:rtl w:val="true"/>
              </w:rPr>
              <w:tab/>
            </w:r>
            <w:r>
              <w:rPr>
                <w:rStyle w:val="IndexLink"/>
              </w:rPr>
              <w:t>287</w:t>
            </w:r>
          </w:hyperlink>
        </w:p>
        <w:p>
          <w:pPr>
            <w:pStyle w:val="Contents3"/>
            <w:tabs>
              <w:tab w:val="clear" w:pos="8459"/>
              <w:tab w:val="right" w:pos="9026" w:leader="dot"/>
            </w:tabs>
            <w:rPr/>
          </w:pPr>
          <w:hyperlink w:anchor="__RefHeading___Toc8289132_2870459653">
            <w:r>
              <w:rPr>
                <w:webHidden/>
                <w:rStyle w:val="IndexLink"/>
                <w:rtl w:val="true"/>
              </w:rPr>
              <w:t>ثانياً</w:t>
            </w:r>
            <w:r>
              <w:rPr>
                <w:rStyle w:val="IndexLink"/>
                <w:rtl w:val="true"/>
              </w:rPr>
              <w:t xml:space="preserve">: </w:t>
            </w:r>
            <w:r>
              <w:rPr>
                <w:rStyle w:val="IndexLink"/>
                <w:rtl w:val="true"/>
              </w:rPr>
              <w:t>التدرّج والتسلسل في التّربية</w:t>
            </w:r>
            <w:r>
              <w:rPr>
                <w:rStyle w:val="IndexLink"/>
                <w:rtl w:val="true"/>
              </w:rPr>
              <w:tab/>
            </w:r>
            <w:r>
              <w:rPr>
                <w:rStyle w:val="IndexLink"/>
              </w:rPr>
              <w:t>291</w:t>
            </w:r>
          </w:hyperlink>
        </w:p>
        <w:p>
          <w:pPr>
            <w:pStyle w:val="Contents3"/>
            <w:tabs>
              <w:tab w:val="clear" w:pos="8459"/>
              <w:tab w:val="right" w:pos="9026" w:leader="dot"/>
            </w:tabs>
            <w:rPr/>
          </w:pPr>
          <w:hyperlink w:anchor="__RefHeading___Toc8289134_2870459653">
            <w:r>
              <w:rPr>
                <w:webHidden/>
                <w:rStyle w:val="IndexLink"/>
                <w:rtl w:val="true"/>
              </w:rPr>
              <w:t>ثالثاً</w:t>
            </w:r>
            <w:r>
              <w:rPr>
                <w:rStyle w:val="IndexLink"/>
                <w:rtl w:val="true"/>
              </w:rPr>
              <w:t xml:space="preserve">: </w:t>
            </w:r>
            <w:r>
              <w:rPr>
                <w:rStyle w:val="IndexLink"/>
                <w:rtl w:val="true"/>
              </w:rPr>
              <w:t>تربية الأُسرة والمجتمع عِبْرَ مداراة الناس والتعاون المستمرّ</w:t>
            </w:r>
            <w:r>
              <w:rPr>
                <w:rStyle w:val="IndexLink"/>
                <w:rtl w:val="true"/>
              </w:rPr>
              <w:tab/>
            </w:r>
            <w:r>
              <w:rPr>
                <w:rStyle w:val="IndexLink"/>
              </w:rPr>
              <w:t>292</w:t>
            </w:r>
          </w:hyperlink>
        </w:p>
        <w:p>
          <w:pPr>
            <w:pStyle w:val="Contents3"/>
            <w:tabs>
              <w:tab w:val="clear" w:pos="8459"/>
              <w:tab w:val="right" w:pos="9026" w:leader="dot"/>
            </w:tabs>
            <w:rPr/>
          </w:pPr>
          <w:hyperlink w:anchor="__RefHeading___Toc8289136_2870459653">
            <w:r>
              <w:rPr>
                <w:webHidden/>
                <w:rStyle w:val="IndexLink"/>
                <w:rtl w:val="true"/>
              </w:rPr>
              <w:t>الخصائص العامّة للنظام التربوي في الإسلام</w:t>
            </w:r>
            <w:r>
              <w:rPr>
                <w:rStyle w:val="IndexLink"/>
                <w:rtl w:val="true"/>
              </w:rPr>
              <w:tab/>
            </w:r>
            <w:r>
              <w:rPr>
                <w:rStyle w:val="IndexLink"/>
              </w:rPr>
              <w:t>295</w:t>
            </w:r>
          </w:hyperlink>
        </w:p>
        <w:p>
          <w:pPr>
            <w:pStyle w:val="Contents3"/>
            <w:tabs>
              <w:tab w:val="clear" w:pos="8459"/>
              <w:tab w:val="right" w:pos="9026" w:leader="dot"/>
            </w:tabs>
            <w:rPr/>
          </w:pPr>
          <w:hyperlink w:anchor="__RefHeading___Toc8289138_2870459653">
            <w:r>
              <w:rPr>
                <w:webHidden/>
                <w:rStyle w:val="IndexLink"/>
                <w:rtl w:val="true"/>
              </w:rPr>
              <w:t>خصائص النظام التّربوي عند الإمام الصادق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8289140_2870459653">
            <w:r>
              <w:rPr>
                <w:webHidden/>
                <w:rStyle w:val="IndexLink"/>
                <w:rtl w:val="true"/>
              </w:rPr>
              <w:t>الواقع التّربوي اليوم</w:t>
            </w:r>
            <w:r>
              <w:rPr>
                <w:rStyle w:val="IndexLink"/>
                <w:rtl w:val="true"/>
              </w:rPr>
              <w:tab/>
            </w:r>
            <w:r>
              <w:rPr>
                <w:rStyle w:val="IndexLink"/>
              </w:rPr>
              <w:t>297</w:t>
            </w:r>
          </w:hyperlink>
        </w:p>
        <w:p>
          <w:pPr>
            <w:pStyle w:val="Contents3"/>
            <w:tabs>
              <w:tab w:val="clear" w:pos="8459"/>
              <w:tab w:val="right" w:pos="9026" w:leader="dot"/>
            </w:tabs>
            <w:rPr/>
          </w:pPr>
          <w:hyperlink w:anchor="__RefHeading___Toc8289142_2870459653">
            <w:r>
              <w:rPr>
                <w:webHidden/>
                <w:rStyle w:val="IndexLink"/>
                <w:rtl w:val="true"/>
              </w:rPr>
              <w:t>الخلاصة والاستنتاج</w:t>
            </w:r>
            <w:r>
              <w:rPr>
                <w:rStyle w:val="IndexLink"/>
                <w:rtl w:val="true"/>
              </w:rPr>
              <w:tab/>
            </w:r>
            <w:r>
              <w:rPr>
                <w:rStyle w:val="IndexLink"/>
              </w:rPr>
              <w:t>299</w:t>
            </w:r>
          </w:hyperlink>
        </w:p>
        <w:p>
          <w:pPr>
            <w:pStyle w:val="Contents3"/>
            <w:tabs>
              <w:tab w:val="clear" w:pos="8459"/>
              <w:tab w:val="right" w:pos="9026" w:leader="dot"/>
            </w:tabs>
            <w:rPr/>
          </w:pPr>
          <w:hyperlink w:anchor="__RefHeading___Toc8289144_2870459653">
            <w:r>
              <w:rPr>
                <w:webHidden/>
                <w:rStyle w:val="IndexLink"/>
                <w:rtl w:val="true"/>
              </w:rPr>
              <w:t>مدينة الكوفة، الجغرافية والمجتمع</w:t>
            </w:r>
            <w:r>
              <w:rPr>
                <w:rStyle w:val="IndexLink"/>
                <w:rtl w:val="true"/>
              </w:rPr>
              <w:t>(</w:t>
            </w:r>
            <w:r>
              <w:rPr>
                <w:rStyle w:val="IndexLink"/>
                <w:rtl w:val="true"/>
              </w:rPr>
              <w:t>دراسة تاريخية</w:t>
            </w:r>
            <w:r>
              <w:rPr>
                <w:rStyle w:val="IndexLink"/>
                <w:rtl w:val="true"/>
              </w:rPr>
              <w:t>)</w:t>
              <w:tab/>
            </w:r>
            <w:r>
              <w:rPr>
                <w:rStyle w:val="IndexLink"/>
              </w:rPr>
              <w:t>301</w:t>
            </w:r>
          </w:hyperlink>
        </w:p>
        <w:p>
          <w:pPr>
            <w:pStyle w:val="Contents3"/>
            <w:tabs>
              <w:tab w:val="clear" w:pos="8459"/>
              <w:tab w:val="right" w:pos="9026" w:leader="dot"/>
            </w:tabs>
            <w:rPr/>
          </w:pPr>
          <w:hyperlink w:anchor="__RefHeading___Toc8289146_2870459653">
            <w:r>
              <w:rPr>
                <w:webHidden/>
                <w:rStyle w:val="IndexLink"/>
                <w:rtl w:val="true"/>
              </w:rPr>
              <w:t>الشيخ حسن العيساوي</w:t>
            </w:r>
            <w:r>
              <w:rPr>
                <w:rStyle w:val="IndexLink"/>
                <w:rtl w:val="true"/>
              </w:rPr>
              <w:tab/>
            </w:r>
            <w:r>
              <w:rPr>
                <w:rStyle w:val="IndexLink"/>
              </w:rPr>
              <w:t>301</w:t>
            </w:r>
          </w:hyperlink>
        </w:p>
        <w:p>
          <w:pPr>
            <w:pStyle w:val="Contents3"/>
            <w:tabs>
              <w:tab w:val="clear" w:pos="8459"/>
              <w:tab w:val="right" w:pos="9026" w:leader="dot"/>
            </w:tabs>
            <w:rPr/>
          </w:pPr>
          <w:hyperlink w:anchor="__RefHeading___Toc8289148_2870459653">
            <w:r>
              <w:rPr>
                <w:webHidden/>
                <w:rStyle w:val="IndexLink"/>
                <w:rtl w:val="true"/>
              </w:rPr>
              <w:t>المقدّمة</w:t>
            </w:r>
            <w:r>
              <w:rPr>
                <w:rStyle w:val="IndexLink"/>
                <w:rtl w:val="true"/>
              </w:rPr>
              <w:tab/>
            </w:r>
            <w:r>
              <w:rPr>
                <w:rStyle w:val="IndexLink"/>
              </w:rPr>
              <w:t>301</w:t>
            </w:r>
          </w:hyperlink>
        </w:p>
        <w:p>
          <w:pPr>
            <w:pStyle w:val="Contents3"/>
            <w:tabs>
              <w:tab w:val="clear" w:pos="8459"/>
              <w:tab w:val="right" w:pos="9026" w:leader="dot"/>
            </w:tabs>
            <w:rPr/>
          </w:pPr>
          <w:hyperlink w:anchor="__RefHeading___Toc8289150_2870459653">
            <w:r>
              <w:rPr>
                <w:webHidden/>
                <w:rStyle w:val="IndexLink"/>
                <w:rtl w:val="true"/>
              </w:rPr>
              <w:t>المحور الأوّل</w:t>
            </w:r>
            <w:r>
              <w:rPr>
                <w:rStyle w:val="IndexLink"/>
                <w:rtl w:val="true"/>
              </w:rPr>
              <w:t xml:space="preserve">: </w:t>
            </w:r>
            <w:r>
              <w:rPr>
                <w:rStyle w:val="IndexLink"/>
                <w:rtl w:val="true"/>
              </w:rPr>
              <w:t>جغرافية مدينة الكوفة و معالمها</w:t>
            </w:r>
            <w:r>
              <w:rPr>
                <w:rStyle w:val="IndexLink"/>
                <w:rtl w:val="true"/>
              </w:rPr>
              <w:tab/>
            </w:r>
            <w:r>
              <w:rPr>
                <w:rStyle w:val="IndexLink"/>
              </w:rPr>
              <w:t>302</w:t>
            </w:r>
          </w:hyperlink>
        </w:p>
        <w:p>
          <w:pPr>
            <w:pStyle w:val="Contents3"/>
            <w:tabs>
              <w:tab w:val="clear" w:pos="8459"/>
              <w:tab w:val="right" w:pos="9026" w:leader="dot"/>
            </w:tabs>
            <w:rPr/>
          </w:pPr>
          <w:hyperlink w:anchor="__RefHeading___Toc8289152_2870459653">
            <w:r>
              <w:rPr>
                <w:webHidden/>
                <w:rStyle w:val="IndexLink"/>
              </w:rPr>
              <w:t>1</w:t>
            </w:r>
            <w:r>
              <w:rPr>
                <w:rStyle w:val="IndexLink"/>
                <w:rtl w:val="true"/>
              </w:rPr>
              <w:t xml:space="preserve">- </w:t>
            </w:r>
            <w:r>
              <w:rPr>
                <w:rStyle w:val="IndexLink"/>
                <w:rtl w:val="true"/>
              </w:rPr>
              <w:t>تسمية الكوفة وتأسيسها</w:t>
            </w:r>
            <w:r>
              <w:rPr>
                <w:rStyle w:val="IndexLink"/>
                <w:rtl w:val="true"/>
              </w:rPr>
              <w:t>:</w:t>
              <w:tab/>
            </w:r>
            <w:r>
              <w:rPr>
                <w:rStyle w:val="IndexLink"/>
              </w:rPr>
              <w:t>302</w:t>
            </w:r>
          </w:hyperlink>
        </w:p>
        <w:p>
          <w:pPr>
            <w:pStyle w:val="Contents3"/>
            <w:tabs>
              <w:tab w:val="clear" w:pos="8459"/>
              <w:tab w:val="right" w:pos="9026" w:leader="dot"/>
            </w:tabs>
            <w:rPr/>
          </w:pPr>
          <w:hyperlink w:anchor="__RefHeading___Toc8289154_2870459653">
            <w:r>
              <w:rPr>
                <w:webHidden/>
                <w:rStyle w:val="IndexLink"/>
              </w:rPr>
              <w:t>2</w:t>
            </w:r>
            <w:r>
              <w:rPr>
                <w:rStyle w:val="IndexLink"/>
                <w:rtl w:val="true"/>
              </w:rPr>
              <w:t xml:space="preserve">- </w:t>
            </w:r>
            <w:r>
              <w:rPr>
                <w:rStyle w:val="IndexLink"/>
                <w:rtl w:val="true"/>
              </w:rPr>
              <w:t>بناء الكوفة واستيطانها</w:t>
            </w:r>
            <w:r>
              <w:rPr>
                <w:rStyle w:val="IndexLink"/>
                <w:rtl w:val="true"/>
              </w:rPr>
              <w:tab/>
            </w:r>
            <w:r>
              <w:rPr>
                <w:rStyle w:val="IndexLink"/>
              </w:rPr>
              <w:t>304</w:t>
            </w:r>
          </w:hyperlink>
        </w:p>
        <w:p>
          <w:pPr>
            <w:pStyle w:val="Contents3"/>
            <w:tabs>
              <w:tab w:val="clear" w:pos="8459"/>
              <w:tab w:val="right" w:pos="9026" w:leader="dot"/>
            </w:tabs>
            <w:rPr/>
          </w:pPr>
          <w:hyperlink w:anchor="__RefHeading___Toc8289156_2870459653">
            <w:r>
              <w:rPr>
                <w:webHidden/>
                <w:rStyle w:val="IndexLink"/>
              </w:rPr>
              <w:t>3</w:t>
            </w:r>
            <w:r>
              <w:rPr>
                <w:rStyle w:val="IndexLink"/>
                <w:rtl w:val="true"/>
              </w:rPr>
              <w:t xml:space="preserve">- </w:t>
            </w:r>
            <w:r>
              <w:rPr>
                <w:rStyle w:val="IndexLink"/>
                <w:rtl w:val="true"/>
              </w:rPr>
              <w:t>أحياء الكوفة وأسواقها</w:t>
            </w:r>
            <w:r>
              <w:rPr>
                <w:rStyle w:val="IndexLink"/>
                <w:rtl w:val="true"/>
              </w:rPr>
              <w:tab/>
            </w:r>
            <w:r>
              <w:rPr>
                <w:rStyle w:val="IndexLink"/>
              </w:rPr>
              <w:t>306</w:t>
            </w:r>
          </w:hyperlink>
        </w:p>
        <w:p>
          <w:pPr>
            <w:pStyle w:val="Contents3"/>
            <w:tabs>
              <w:tab w:val="clear" w:pos="8459"/>
              <w:tab w:val="right" w:pos="9026" w:leader="dot"/>
            </w:tabs>
            <w:rPr/>
          </w:pPr>
          <w:hyperlink w:anchor="__RefHeading___Toc8289158_2870459653">
            <w:r>
              <w:rPr>
                <w:webHidden/>
                <w:rStyle w:val="IndexLink"/>
                <w:rtl w:val="true"/>
              </w:rPr>
              <w:t>التخطيط الداخلي</w:t>
            </w:r>
            <w:r>
              <w:rPr>
                <w:rStyle w:val="IndexLink"/>
                <w:rtl w:val="true"/>
              </w:rPr>
              <w:tab/>
            </w:r>
            <w:r>
              <w:rPr>
                <w:rStyle w:val="IndexLink"/>
              </w:rPr>
              <w:t>306</w:t>
            </w:r>
          </w:hyperlink>
        </w:p>
        <w:p>
          <w:pPr>
            <w:pStyle w:val="Contents3"/>
            <w:tabs>
              <w:tab w:val="clear" w:pos="8459"/>
              <w:tab w:val="right" w:pos="9026" w:leader="dot"/>
            </w:tabs>
            <w:rPr/>
          </w:pPr>
          <w:hyperlink w:anchor="__RefHeading___Toc8289160_2870459653">
            <w:r>
              <w:rPr>
                <w:webHidden/>
                <w:rStyle w:val="IndexLink"/>
                <w:rtl w:val="true"/>
              </w:rPr>
              <w:t>أحياء الكوفة</w:t>
            </w:r>
            <w:r>
              <w:rPr>
                <w:rStyle w:val="IndexLink"/>
                <w:rtl w:val="true"/>
              </w:rPr>
              <w:tab/>
            </w:r>
            <w:r>
              <w:rPr>
                <w:rStyle w:val="IndexLink"/>
              </w:rPr>
              <w:t>306</w:t>
            </w:r>
          </w:hyperlink>
        </w:p>
        <w:p>
          <w:pPr>
            <w:pStyle w:val="Contents3"/>
            <w:tabs>
              <w:tab w:val="clear" w:pos="8459"/>
              <w:tab w:val="right" w:pos="9026" w:leader="dot"/>
            </w:tabs>
            <w:rPr/>
          </w:pPr>
          <w:hyperlink w:anchor="__RefHeading___Toc8289162_2870459653">
            <w:r>
              <w:rPr>
                <w:webHidden/>
                <w:rStyle w:val="IndexLink"/>
              </w:rPr>
              <w:t>1</w:t>
            </w:r>
            <w:r>
              <w:rPr>
                <w:rStyle w:val="IndexLink"/>
                <w:rtl w:val="true"/>
              </w:rPr>
              <w:t xml:space="preserve">- </w:t>
            </w:r>
            <w:r>
              <w:rPr>
                <w:rStyle w:val="IndexLink"/>
                <w:rtl w:val="true"/>
              </w:rPr>
              <w:t>دور بني جبلة</w:t>
            </w:r>
            <w:r>
              <w:rPr>
                <w:rStyle w:val="IndexLink"/>
                <w:rtl w:val="true"/>
              </w:rPr>
              <w:t>:</w:t>
              <w:tab/>
            </w:r>
            <w:r>
              <w:rPr>
                <w:rStyle w:val="IndexLink"/>
              </w:rPr>
              <w:t>306</w:t>
            </w:r>
          </w:hyperlink>
        </w:p>
        <w:p>
          <w:pPr>
            <w:pStyle w:val="Contents3"/>
            <w:tabs>
              <w:tab w:val="clear" w:pos="8459"/>
              <w:tab w:val="right" w:pos="9026" w:leader="dot"/>
            </w:tabs>
            <w:rPr/>
          </w:pPr>
          <w:hyperlink w:anchor="__RefHeading___Toc8289164_2870459653">
            <w:r>
              <w:rPr>
                <w:webHidden/>
                <w:rStyle w:val="IndexLink"/>
              </w:rPr>
              <w:t>2</w:t>
            </w:r>
            <w:r>
              <w:rPr>
                <w:rStyle w:val="IndexLink"/>
                <w:rtl w:val="true"/>
              </w:rPr>
              <w:t xml:space="preserve">- </w:t>
            </w:r>
            <w:r>
              <w:rPr>
                <w:rStyle w:val="IndexLink"/>
                <w:rtl w:val="true"/>
              </w:rPr>
              <w:t>دار الروميين</w:t>
            </w:r>
            <w:r>
              <w:rPr>
                <w:rStyle w:val="IndexLink"/>
                <w:rtl w:val="true"/>
              </w:rPr>
              <w:t>:</w:t>
              <w:tab/>
            </w:r>
            <w:r>
              <w:rPr>
                <w:rStyle w:val="IndexLink"/>
              </w:rPr>
              <w:t>307</w:t>
            </w:r>
          </w:hyperlink>
        </w:p>
        <w:p>
          <w:pPr>
            <w:pStyle w:val="Contents3"/>
            <w:tabs>
              <w:tab w:val="clear" w:pos="8459"/>
              <w:tab w:val="right" w:pos="9026" w:leader="dot"/>
            </w:tabs>
            <w:rPr/>
          </w:pPr>
          <w:hyperlink w:anchor="__RefHeading___Toc8289166_2870459653">
            <w:r>
              <w:rPr>
                <w:webHidden/>
                <w:rStyle w:val="IndexLink"/>
              </w:rPr>
              <w:t>3</w:t>
            </w:r>
            <w:r>
              <w:rPr>
                <w:rStyle w:val="IndexLink"/>
                <w:rtl w:val="true"/>
              </w:rPr>
              <w:t xml:space="preserve">- </w:t>
            </w:r>
            <w:r>
              <w:rPr>
                <w:rStyle w:val="IndexLink"/>
                <w:rtl w:val="true"/>
              </w:rPr>
              <w:t>السبخة</w:t>
            </w:r>
            <w:r>
              <w:rPr>
                <w:rStyle w:val="IndexLink"/>
                <w:rtl w:val="true"/>
              </w:rPr>
              <w:t>:</w:t>
              <w:tab/>
            </w:r>
            <w:r>
              <w:rPr>
                <w:rStyle w:val="IndexLink"/>
              </w:rPr>
              <w:t>307</w:t>
            </w:r>
          </w:hyperlink>
        </w:p>
        <w:p>
          <w:pPr>
            <w:pStyle w:val="Contents3"/>
            <w:tabs>
              <w:tab w:val="clear" w:pos="8459"/>
              <w:tab w:val="right" w:pos="9026" w:leader="dot"/>
            </w:tabs>
            <w:rPr/>
          </w:pPr>
          <w:hyperlink w:anchor="__RefHeading___Toc8289168_2870459653">
            <w:r>
              <w:rPr>
                <w:webHidden/>
                <w:rStyle w:val="IndexLink"/>
                <w:rtl w:val="true"/>
              </w:rPr>
              <w:t>أسواق الكوفة</w:t>
            </w:r>
            <w:r>
              <w:rPr>
                <w:rStyle w:val="IndexLink"/>
                <w:rtl w:val="true"/>
              </w:rPr>
              <w:tab/>
            </w:r>
            <w:r>
              <w:rPr>
                <w:rStyle w:val="IndexLink"/>
              </w:rPr>
              <w:t>307</w:t>
            </w:r>
          </w:hyperlink>
        </w:p>
        <w:p>
          <w:pPr>
            <w:pStyle w:val="Contents3"/>
            <w:tabs>
              <w:tab w:val="clear" w:pos="8459"/>
              <w:tab w:val="right" w:pos="9026" w:leader="dot"/>
            </w:tabs>
            <w:rPr/>
          </w:pPr>
          <w:hyperlink w:anchor="__RefHeading___Toc8289170_2870459653">
            <w:r>
              <w:rPr>
                <w:webHidden/>
                <w:rStyle w:val="IndexLink"/>
              </w:rPr>
              <w:t>4</w:t>
            </w:r>
            <w:r>
              <w:rPr>
                <w:rStyle w:val="IndexLink"/>
                <w:rtl w:val="true"/>
              </w:rPr>
              <w:t xml:space="preserve">- </w:t>
            </w:r>
            <w:r>
              <w:rPr>
                <w:rStyle w:val="IndexLink"/>
                <w:rtl w:val="true"/>
              </w:rPr>
              <w:t>طرق الكوفة</w:t>
            </w:r>
            <w:r>
              <w:rPr>
                <w:rStyle w:val="IndexLink"/>
                <w:rtl w:val="true"/>
              </w:rPr>
              <w:tab/>
            </w:r>
            <w:r>
              <w:rPr>
                <w:rStyle w:val="IndexLink"/>
              </w:rPr>
              <w:t>308</w:t>
            </w:r>
          </w:hyperlink>
        </w:p>
        <w:p>
          <w:pPr>
            <w:pStyle w:val="Contents3"/>
            <w:tabs>
              <w:tab w:val="clear" w:pos="8459"/>
              <w:tab w:val="right" w:pos="9026" w:leader="dot"/>
            </w:tabs>
            <w:rPr/>
          </w:pPr>
          <w:hyperlink w:anchor="__RefHeading___Toc8289172_2870459653">
            <w:r>
              <w:rPr>
                <w:webHidden/>
                <w:rStyle w:val="IndexLink"/>
              </w:rPr>
              <w:t>5</w:t>
            </w:r>
            <w:r>
              <w:rPr>
                <w:rStyle w:val="IndexLink"/>
                <w:rtl w:val="true"/>
              </w:rPr>
              <w:t xml:space="preserve">- </w:t>
            </w:r>
            <w:r>
              <w:rPr>
                <w:rStyle w:val="IndexLink"/>
                <w:rtl w:val="true"/>
              </w:rPr>
              <w:t>أهمّ معالم المدينة</w:t>
            </w:r>
            <w:r>
              <w:rPr>
                <w:rStyle w:val="IndexLink"/>
                <w:rtl w:val="true"/>
              </w:rPr>
              <w:tab/>
            </w:r>
            <w:r>
              <w:rPr>
                <w:rStyle w:val="IndexLink"/>
              </w:rPr>
              <w:t>310</w:t>
            </w:r>
          </w:hyperlink>
        </w:p>
        <w:p>
          <w:pPr>
            <w:pStyle w:val="Contents3"/>
            <w:tabs>
              <w:tab w:val="clear" w:pos="8459"/>
              <w:tab w:val="right" w:pos="9026" w:leader="dot"/>
            </w:tabs>
            <w:rPr/>
          </w:pPr>
          <w:hyperlink w:anchor="__RefHeading___Toc8289174_2870459653">
            <w:r>
              <w:rPr>
                <w:webHidden/>
                <w:rStyle w:val="IndexLink"/>
                <w:rtl w:val="true"/>
              </w:rPr>
              <w:t>أ</w:t>
            </w:r>
            <w:r>
              <w:rPr>
                <w:rStyle w:val="IndexLink"/>
                <w:rtl w:val="true"/>
              </w:rPr>
              <w:t xml:space="preserve">) </w:t>
            </w:r>
            <w:r>
              <w:rPr>
                <w:rStyle w:val="IndexLink"/>
                <w:rtl w:val="true"/>
              </w:rPr>
              <w:t>مسجد الكوفة</w:t>
            </w:r>
            <w:r>
              <w:rPr>
                <w:rStyle w:val="IndexLink"/>
                <w:rtl w:val="true"/>
              </w:rPr>
              <w:tab/>
            </w:r>
            <w:r>
              <w:rPr>
                <w:rStyle w:val="IndexLink"/>
              </w:rPr>
              <w:t>311</w:t>
            </w:r>
          </w:hyperlink>
        </w:p>
        <w:p>
          <w:pPr>
            <w:pStyle w:val="Contents3"/>
            <w:tabs>
              <w:tab w:val="clear" w:pos="8459"/>
              <w:tab w:val="right" w:pos="9026" w:leader="dot"/>
            </w:tabs>
            <w:rPr/>
          </w:pPr>
          <w:hyperlink w:anchor="__RefHeading___Toc8289176_2870459653">
            <w:r>
              <w:rPr>
                <w:webHidden/>
                <w:rStyle w:val="IndexLink"/>
                <w:rtl w:val="true"/>
              </w:rPr>
              <w:t>ب</w:t>
            </w:r>
            <w:r>
              <w:rPr>
                <w:rStyle w:val="IndexLink"/>
                <w:rtl w:val="true"/>
              </w:rPr>
              <w:t xml:space="preserve">) </w:t>
            </w:r>
            <w:r>
              <w:rPr>
                <w:rStyle w:val="IndexLink"/>
                <w:rtl w:val="true"/>
              </w:rPr>
              <w:t>دار الإمارة</w:t>
            </w:r>
            <w:r>
              <w:rPr>
                <w:rStyle w:val="IndexLink"/>
                <w:rtl w:val="true"/>
              </w:rPr>
              <w:tab/>
            </w:r>
            <w:r>
              <w:rPr>
                <w:rStyle w:val="IndexLink"/>
              </w:rPr>
              <w:t>313</w:t>
            </w:r>
          </w:hyperlink>
        </w:p>
        <w:p>
          <w:pPr>
            <w:pStyle w:val="Contents3"/>
            <w:tabs>
              <w:tab w:val="clear" w:pos="8459"/>
              <w:tab w:val="right" w:pos="9026" w:leader="dot"/>
            </w:tabs>
            <w:rPr/>
          </w:pPr>
          <w:hyperlink w:anchor="__RefHeading___Toc8289178_2870459653">
            <w:r>
              <w:rPr>
                <w:webHidden/>
                <w:rStyle w:val="IndexLink"/>
                <w:rtl w:val="true"/>
              </w:rPr>
              <w:t>المحور الثاني</w:t>
            </w:r>
            <w:r>
              <w:rPr>
                <w:rStyle w:val="IndexLink"/>
                <w:rtl w:val="true"/>
              </w:rPr>
              <w:t xml:space="preserve">: </w:t>
            </w:r>
            <w:r>
              <w:rPr>
                <w:rStyle w:val="IndexLink"/>
                <w:rtl w:val="true"/>
              </w:rPr>
              <w:t>تركيب الكوفة السكاني</w:t>
            </w:r>
            <w:r>
              <w:rPr>
                <w:rStyle w:val="IndexLink"/>
                <w:rtl w:val="true"/>
              </w:rPr>
              <w:tab/>
            </w:r>
            <w:r>
              <w:rPr>
                <w:rStyle w:val="IndexLink"/>
              </w:rPr>
              <w:t>314</w:t>
            </w:r>
          </w:hyperlink>
        </w:p>
        <w:p>
          <w:pPr>
            <w:pStyle w:val="Contents3"/>
            <w:tabs>
              <w:tab w:val="clear" w:pos="8459"/>
              <w:tab w:val="right" w:pos="9026" w:leader="dot"/>
            </w:tabs>
            <w:rPr/>
          </w:pPr>
          <w:hyperlink w:anchor="__RefHeading___Toc8289180_2870459653">
            <w:r>
              <w:rPr>
                <w:webHidden/>
                <w:rStyle w:val="IndexLink"/>
                <w:rtl w:val="true"/>
              </w:rPr>
              <w:t>الجهة الأُولى</w:t>
            </w:r>
            <w:r>
              <w:rPr>
                <w:rStyle w:val="IndexLink"/>
                <w:rtl w:val="true"/>
              </w:rPr>
              <w:t xml:space="preserve">: </w:t>
            </w:r>
            <w:r>
              <w:rPr>
                <w:rStyle w:val="IndexLink"/>
                <w:rtl w:val="true"/>
              </w:rPr>
              <w:t>قبائل الكوفة وتوزيعها</w:t>
            </w:r>
            <w:r>
              <w:rPr>
                <w:rStyle w:val="IndexLink"/>
                <w:rtl w:val="true"/>
              </w:rPr>
              <w:tab/>
            </w:r>
            <w:r>
              <w:rPr>
                <w:rStyle w:val="IndexLink"/>
              </w:rPr>
              <w:t>315</w:t>
            </w:r>
          </w:hyperlink>
        </w:p>
        <w:p>
          <w:pPr>
            <w:pStyle w:val="Contents3"/>
            <w:tabs>
              <w:tab w:val="clear" w:pos="8459"/>
              <w:tab w:val="right" w:pos="9026" w:leader="dot"/>
            </w:tabs>
            <w:rPr/>
          </w:pPr>
          <w:hyperlink w:anchor="__RefHeading___Toc8289182_2870459653">
            <w:r>
              <w:rPr>
                <w:webHidden/>
                <w:rStyle w:val="IndexLink"/>
                <w:rtl w:val="true"/>
              </w:rPr>
              <w:t>الجهة الثانية</w:t>
            </w:r>
            <w:r>
              <w:rPr>
                <w:rStyle w:val="IndexLink"/>
                <w:rtl w:val="true"/>
              </w:rPr>
              <w:t xml:space="preserve">: </w:t>
            </w:r>
            <w:r>
              <w:rPr>
                <w:rStyle w:val="IndexLink"/>
                <w:rtl w:val="true"/>
              </w:rPr>
              <w:t>أهمّ قبائل المدينة</w:t>
            </w:r>
            <w:r>
              <w:rPr>
                <w:rStyle w:val="IndexLink"/>
                <w:rtl w:val="true"/>
              </w:rPr>
              <w:tab/>
            </w:r>
            <w:r>
              <w:rPr>
                <w:rStyle w:val="IndexLink"/>
              </w:rPr>
              <w:t>318</w:t>
            </w:r>
          </w:hyperlink>
        </w:p>
        <w:p>
          <w:pPr>
            <w:pStyle w:val="Contents3"/>
            <w:tabs>
              <w:tab w:val="clear" w:pos="8459"/>
              <w:tab w:val="right" w:pos="9026" w:leader="dot"/>
            </w:tabs>
            <w:rPr/>
          </w:pPr>
          <w:hyperlink w:anchor="__RefHeading___Toc8289184_2870459653">
            <w:r>
              <w:rPr>
                <w:webHidden/>
                <w:rStyle w:val="IndexLink"/>
                <w:rtl w:val="true"/>
              </w:rPr>
              <w:t>المحور الثالث</w:t>
            </w:r>
            <w:r>
              <w:rPr>
                <w:rStyle w:val="IndexLink"/>
                <w:rtl w:val="true"/>
              </w:rPr>
              <w:t xml:space="preserve">: </w:t>
            </w:r>
            <w:r>
              <w:rPr>
                <w:rStyle w:val="IndexLink"/>
                <w:rtl w:val="true"/>
              </w:rPr>
              <w:t>الصراع السياسي في الكوفة</w:t>
            </w:r>
            <w:r>
              <w:rPr>
                <w:rStyle w:val="IndexLink"/>
                <w:rtl w:val="true"/>
              </w:rPr>
              <w:tab/>
            </w:r>
            <w:r>
              <w:rPr>
                <w:rStyle w:val="IndexLink"/>
              </w:rPr>
              <w:t>320</w:t>
            </w:r>
          </w:hyperlink>
        </w:p>
        <w:p>
          <w:pPr>
            <w:pStyle w:val="Contents3"/>
            <w:tabs>
              <w:tab w:val="clear" w:pos="8459"/>
              <w:tab w:val="right" w:pos="9026" w:leader="dot"/>
            </w:tabs>
            <w:rPr/>
          </w:pPr>
          <w:hyperlink w:anchor="__RefHeading___Toc8289186_2870459653">
            <w:r>
              <w:rPr>
                <w:webHidden/>
                <w:rStyle w:val="IndexLink"/>
                <w:rtl w:val="true"/>
              </w:rPr>
              <w:t>أساليب التغييب لفضائل أمير المؤمنين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8289188_2870459653">
            <w:r>
              <w:rPr>
                <w:webHidden/>
                <w:rStyle w:val="IndexLink"/>
                <w:rtl w:val="true"/>
              </w:rPr>
              <w:t>(</w:t>
            </w:r>
            <w:r>
              <w:rPr>
                <w:rStyle w:val="IndexLink"/>
                <w:rtl w:val="true"/>
              </w:rPr>
              <w:t>حديث الغدير أُنْمُوذَجاً</w:t>
            </w:r>
            <w:r>
              <w:rPr>
                <w:rStyle w:val="IndexLink"/>
                <w:rtl w:val="true"/>
              </w:rPr>
              <w:t>)</w:t>
              <w:tab/>
            </w:r>
            <w:r>
              <w:rPr>
                <w:rStyle w:val="IndexLink"/>
              </w:rPr>
              <w:t>325</w:t>
            </w:r>
          </w:hyperlink>
        </w:p>
        <w:p>
          <w:pPr>
            <w:pStyle w:val="Contents3"/>
            <w:tabs>
              <w:tab w:val="clear" w:pos="8459"/>
              <w:tab w:val="right" w:pos="9026" w:leader="dot"/>
            </w:tabs>
            <w:rPr/>
          </w:pPr>
          <w:hyperlink w:anchor="__RefHeading___Toc8289190_2870459653">
            <w:r>
              <w:rPr>
                <w:webHidden/>
                <w:rStyle w:val="IndexLink"/>
                <w:rtl w:val="true"/>
              </w:rPr>
              <w:t>الشيخ رسول كاظم عبد السادة</w:t>
            </w:r>
            <w:r>
              <w:rPr>
                <w:rStyle w:val="IndexLink"/>
                <w:rtl w:val="true"/>
              </w:rPr>
              <w:tab/>
            </w:r>
            <w:r>
              <w:rPr>
                <w:rStyle w:val="IndexLink"/>
              </w:rPr>
              <w:t>325</w:t>
            </w:r>
          </w:hyperlink>
        </w:p>
        <w:p>
          <w:pPr>
            <w:pStyle w:val="Contents3"/>
            <w:tabs>
              <w:tab w:val="clear" w:pos="8459"/>
              <w:tab w:val="right" w:pos="9026" w:leader="dot"/>
            </w:tabs>
            <w:rPr/>
          </w:pPr>
          <w:hyperlink w:anchor="__RefHeading___Toc8289192_2870459653">
            <w:r>
              <w:rPr>
                <w:webHidden/>
                <w:rStyle w:val="IndexLink"/>
                <w:rtl w:val="true"/>
              </w:rPr>
              <w:t>المقدّمة</w:t>
            </w:r>
            <w:r>
              <w:rPr>
                <w:rStyle w:val="IndexLink"/>
                <w:rtl w:val="true"/>
              </w:rPr>
              <w:tab/>
            </w:r>
            <w:r>
              <w:rPr>
                <w:rStyle w:val="IndexLink"/>
              </w:rPr>
              <w:t>325</w:t>
            </w:r>
          </w:hyperlink>
        </w:p>
        <w:p>
          <w:pPr>
            <w:pStyle w:val="Contents3"/>
            <w:tabs>
              <w:tab w:val="clear" w:pos="8459"/>
              <w:tab w:val="right" w:pos="9026" w:leader="dot"/>
            </w:tabs>
            <w:rPr/>
          </w:pPr>
          <w:hyperlink w:anchor="__RefHeading___Toc8289194_2870459653">
            <w:r>
              <w:rPr>
                <w:webHidden/>
                <w:rStyle w:val="IndexLink"/>
                <w:rtl w:val="true"/>
              </w:rPr>
              <w:t>الأُسلوب الأوّل</w:t>
            </w:r>
            <w:r>
              <w:rPr>
                <w:rStyle w:val="IndexLink"/>
                <w:rtl w:val="true"/>
              </w:rPr>
              <w:t xml:space="preserve">: </w:t>
            </w:r>
            <w:r>
              <w:rPr>
                <w:rStyle w:val="IndexLink"/>
                <w:rtl w:val="true"/>
              </w:rPr>
              <w:t>تغييب الحديث من حيث المكان</w:t>
            </w:r>
            <w:r>
              <w:rPr>
                <w:rStyle w:val="IndexLink"/>
                <w:rtl w:val="true"/>
              </w:rPr>
              <w:tab/>
            </w:r>
            <w:r>
              <w:rPr>
                <w:rStyle w:val="IndexLink"/>
              </w:rPr>
              <w:t>326</w:t>
            </w:r>
          </w:hyperlink>
        </w:p>
        <w:p>
          <w:pPr>
            <w:pStyle w:val="Contents3"/>
            <w:tabs>
              <w:tab w:val="clear" w:pos="8459"/>
              <w:tab w:val="right" w:pos="9026" w:leader="dot"/>
            </w:tabs>
            <w:rPr/>
          </w:pPr>
          <w:hyperlink w:anchor="__RefHeading___Toc8289196_2870459653">
            <w:r>
              <w:rPr>
                <w:webHidden/>
                <w:rStyle w:val="IndexLink"/>
                <w:rtl w:val="true"/>
              </w:rPr>
              <w:t>الأُسلوب الثاني</w:t>
            </w:r>
            <w:r>
              <w:rPr>
                <w:rStyle w:val="IndexLink"/>
                <w:rtl w:val="true"/>
              </w:rPr>
              <w:t xml:space="preserve">: </w:t>
            </w:r>
            <w:r>
              <w:rPr>
                <w:rStyle w:val="IndexLink"/>
                <w:rtl w:val="true"/>
              </w:rPr>
              <w:t>تغييب الشهود</w:t>
            </w:r>
            <w:r>
              <w:rPr>
                <w:rStyle w:val="IndexLink"/>
                <w:rtl w:val="true"/>
              </w:rPr>
              <w:tab/>
            </w:r>
            <w:r>
              <w:rPr>
                <w:rStyle w:val="IndexLink"/>
              </w:rPr>
              <w:t>328</w:t>
            </w:r>
          </w:hyperlink>
        </w:p>
        <w:p>
          <w:pPr>
            <w:pStyle w:val="Contents3"/>
            <w:tabs>
              <w:tab w:val="clear" w:pos="8459"/>
              <w:tab w:val="right" w:pos="9026" w:leader="dot"/>
            </w:tabs>
            <w:rPr/>
          </w:pPr>
          <w:hyperlink w:anchor="__RefHeading___Toc8289198_2870459653">
            <w:r>
              <w:rPr>
                <w:webHidden/>
                <w:rStyle w:val="IndexLink"/>
                <w:rtl w:val="true"/>
              </w:rPr>
              <w:t>الأُسلوب الثالث</w:t>
            </w:r>
            <w:r>
              <w:rPr>
                <w:rStyle w:val="IndexLink"/>
                <w:rtl w:val="true"/>
              </w:rPr>
              <w:t xml:space="preserve">: </w:t>
            </w:r>
            <w:r>
              <w:rPr>
                <w:rStyle w:val="IndexLink"/>
                <w:rtl w:val="true"/>
              </w:rPr>
              <w:t>تغييب المعنى</w:t>
            </w:r>
            <w:r>
              <w:rPr>
                <w:rStyle w:val="IndexLink"/>
                <w:rtl w:val="true"/>
              </w:rPr>
              <w:tab/>
            </w:r>
            <w:r>
              <w:rPr>
                <w:rStyle w:val="IndexLink"/>
              </w:rPr>
              <w:t>329</w:t>
            </w:r>
          </w:hyperlink>
        </w:p>
        <w:p>
          <w:pPr>
            <w:pStyle w:val="Contents3"/>
            <w:tabs>
              <w:tab w:val="clear" w:pos="8459"/>
              <w:tab w:val="right" w:pos="9026" w:leader="dot"/>
            </w:tabs>
            <w:rPr/>
          </w:pPr>
          <w:hyperlink w:anchor="__RefHeading___Toc8289200_2870459653">
            <w:r>
              <w:rPr>
                <w:webHidden/>
                <w:rStyle w:val="IndexLink"/>
                <w:rtl w:val="true"/>
              </w:rPr>
              <w:t>الأُسلوب الرابع</w:t>
            </w:r>
            <w:r>
              <w:rPr>
                <w:rStyle w:val="IndexLink"/>
                <w:rtl w:val="true"/>
              </w:rPr>
              <w:t xml:space="preserve">: </w:t>
            </w:r>
            <w:r>
              <w:rPr>
                <w:rStyle w:val="IndexLink"/>
                <w:rtl w:val="true"/>
              </w:rPr>
              <w:t>قَلْب الفضائل إلى مثالب</w:t>
            </w:r>
            <w:r>
              <w:rPr>
                <w:rStyle w:val="IndexLink"/>
                <w:rtl w:val="true"/>
              </w:rPr>
              <w:tab/>
            </w:r>
            <w:r>
              <w:rPr>
                <w:rStyle w:val="IndexLink"/>
              </w:rPr>
              <w:t>333</w:t>
            </w:r>
          </w:hyperlink>
        </w:p>
        <w:p>
          <w:pPr>
            <w:pStyle w:val="Contents3"/>
            <w:tabs>
              <w:tab w:val="clear" w:pos="8459"/>
              <w:tab w:val="right" w:pos="9026" w:leader="dot"/>
            </w:tabs>
            <w:rPr/>
          </w:pPr>
          <w:hyperlink w:anchor="__RefHeading___Toc8289202_2870459653">
            <w:r>
              <w:rPr>
                <w:webHidden/>
                <w:rStyle w:val="IndexLink"/>
                <w:rtl w:val="true"/>
              </w:rPr>
              <w:t>الأُسلوب الخامس</w:t>
            </w:r>
            <w:r>
              <w:rPr>
                <w:rStyle w:val="IndexLink"/>
                <w:rtl w:val="true"/>
              </w:rPr>
              <w:t xml:space="preserve">: </w:t>
            </w:r>
            <w:r>
              <w:rPr>
                <w:rStyle w:val="IndexLink"/>
                <w:rtl w:val="true"/>
              </w:rPr>
              <w:t>التغييب بالسكوت عن الحادثة وإهمال ذكرها</w:t>
            </w:r>
            <w:r>
              <w:rPr>
                <w:rStyle w:val="IndexLink"/>
                <w:rtl w:val="true"/>
              </w:rPr>
              <w:tab/>
            </w:r>
            <w:r>
              <w:rPr>
                <w:rStyle w:val="IndexLink"/>
              </w:rPr>
              <w:t>335</w:t>
            </w:r>
          </w:hyperlink>
        </w:p>
        <w:p>
          <w:pPr>
            <w:pStyle w:val="Contents3"/>
            <w:tabs>
              <w:tab w:val="clear" w:pos="8459"/>
              <w:tab w:val="right" w:pos="9026" w:leader="dot"/>
            </w:tabs>
            <w:rPr/>
          </w:pPr>
          <w:hyperlink w:anchor="__RefHeading___Toc8289204_2870459653">
            <w:r>
              <w:rPr>
                <w:webHidden/>
                <w:rStyle w:val="IndexLink"/>
                <w:rtl w:val="true"/>
              </w:rPr>
              <w:t>الأُسلوب السادس</w:t>
            </w:r>
            <w:r>
              <w:rPr>
                <w:rStyle w:val="IndexLink"/>
                <w:rtl w:val="true"/>
              </w:rPr>
              <w:t xml:space="preserve">: </w:t>
            </w:r>
            <w:r>
              <w:rPr>
                <w:rStyle w:val="IndexLink"/>
                <w:rtl w:val="true"/>
              </w:rPr>
              <w:t>التغييب بالتشكيك بصحّة الفضائل</w:t>
            </w:r>
            <w:r>
              <w:rPr>
                <w:rStyle w:val="IndexLink"/>
                <w:rtl w:val="true"/>
              </w:rPr>
              <w:tab/>
            </w:r>
            <w:r>
              <w:rPr>
                <w:rStyle w:val="IndexLink"/>
              </w:rPr>
              <w:t>337</w:t>
            </w:r>
          </w:hyperlink>
        </w:p>
        <w:p>
          <w:pPr>
            <w:pStyle w:val="Contents3"/>
            <w:tabs>
              <w:tab w:val="clear" w:pos="8459"/>
              <w:tab w:val="right" w:pos="9026" w:leader="dot"/>
            </w:tabs>
            <w:rPr/>
          </w:pPr>
          <w:hyperlink w:anchor="__RefHeading___Toc8289206_2870459653">
            <w:r>
              <w:rPr>
                <w:webHidden/>
                <w:rStyle w:val="IndexLink"/>
                <w:rtl w:val="true"/>
              </w:rPr>
              <w:t>الأُسلوب السابع</w:t>
            </w:r>
            <w:r>
              <w:rPr>
                <w:rStyle w:val="IndexLink"/>
                <w:rtl w:val="true"/>
              </w:rPr>
              <w:t xml:space="preserve">: </w:t>
            </w:r>
            <w:r>
              <w:rPr>
                <w:rStyle w:val="IndexLink"/>
                <w:rtl w:val="true"/>
              </w:rPr>
              <w:t>التغييب بنفي الكُتُب عن أصحابها أو تحريف طبعاتها</w:t>
            </w:r>
            <w:r>
              <w:rPr>
                <w:rStyle w:val="IndexLink"/>
                <w:rtl w:val="true"/>
              </w:rPr>
              <w:tab/>
            </w:r>
            <w:r>
              <w:rPr>
                <w:rStyle w:val="IndexLink"/>
              </w:rPr>
              <w:t>338</w:t>
            </w:r>
          </w:hyperlink>
        </w:p>
        <w:p>
          <w:pPr>
            <w:pStyle w:val="Contents2"/>
            <w:tabs>
              <w:tab w:val="clear" w:pos="8743"/>
              <w:tab w:val="right" w:pos="9026" w:leader="dot"/>
            </w:tabs>
            <w:rPr/>
          </w:pPr>
          <w:hyperlink w:anchor="__RefHeading___Toc8289208_2870459653">
            <w:r>
              <w:rPr>
                <w:webHidden/>
                <w:rStyle w:val="IndexLink"/>
                <w:rtl w:val="true"/>
              </w:rPr>
              <w:t>خلاصة المقالات باللغة العربية والإنجليزية</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1_100415"/>
      <w:bookmarkStart w:id="1" w:name="pg10991_100415"/>
      <w:bookmarkEnd w:id="1"/>
    </w:p>
    <w:p>
      <w:pPr>
        <w:pStyle w:val="Heading2"/>
        <w:numPr>
          <w:ilvl w:val="1"/>
          <w:numId w:val="1"/>
        </w:numPr>
        <w:rPr/>
      </w:pPr>
      <w:bookmarkStart w:id="2" w:name="pg10991_100415"/>
      <w:bookmarkStart w:id="3" w:name="__RefHeading___Toc8288716_2870459653"/>
      <w:bookmarkStart w:id="4" w:name="_Toc1"/>
      <w:bookmarkEnd w:id="2"/>
      <w:bookmarkEnd w:id="3"/>
      <w:r>
        <w:rPr>
          <w:rtl w:val="true"/>
        </w:rPr>
        <w:t>هویة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خَرَجْتُ لِطَلَبِ الاِصْلاحِ في اُمّهِ جَدّي</w:t>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قِسمُ الشُؤُون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IRNazanin" w:hAnsi="IRNazanin" w:eastAsia="IRNazanin"/>
          <w:color w:val="111111"/>
          <w:sz w:val="28"/>
          <w:sz w:val="28"/>
          <w:szCs w:val="28"/>
          <w:rtl w:val="true"/>
          <w:lang w:bidi="fa-IR"/>
        </w:rPr>
        <w:t>السنة الثانیة</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871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الهَیئَة الاستشَارِیَّة</w:t>
      </w:r>
    </w:p>
    <w:p>
      <w:pPr>
        <w:pStyle w:val="BookText"/>
        <w:rPr/>
      </w:pPr>
      <w:r>
        <w:rPr>
          <w:rFonts w:ascii="IRNazanin" w:hAnsi="IRNazanin" w:eastAsia="IRNazanin"/>
          <w:color w:val="111111"/>
          <w:sz w:val="28"/>
          <w:sz w:val="28"/>
          <w:szCs w:val="28"/>
          <w:rtl w:val="true"/>
          <w:lang w:bidi="fa-IR"/>
        </w:rPr>
        <w:t>آیة الله الشیخ محمد السند آیة الله السید عادل العلوي</w:t>
      </w:r>
    </w:p>
    <w:p>
      <w:pPr>
        <w:pStyle w:val="BookText"/>
        <w:rPr/>
      </w:pPr>
      <w:r>
        <w:rPr>
          <w:rFonts w:ascii="IRNazanin" w:hAnsi="IRNazanin" w:eastAsia="IRNazanin"/>
          <w:color w:val="111111"/>
          <w:sz w:val="28"/>
          <w:sz w:val="28"/>
          <w:szCs w:val="28"/>
          <w:rtl w:val="true"/>
          <w:lang w:bidi="fa-IR"/>
        </w:rPr>
        <w:t>آیة الله الشیخ مهدي الآصفي آیة الله السید منیر الخباز</w:t>
      </w:r>
    </w:p>
    <w:p>
      <w:pPr>
        <w:pStyle w:val="BookText"/>
        <w:rPr/>
      </w:pPr>
      <w:r>
        <w:rPr>
          <w:rFonts w:ascii="IRNazanin" w:hAnsi="IRNazanin" w:eastAsia="IRNazanin"/>
          <w:color w:val="111111"/>
          <w:sz w:val="28"/>
          <w:sz w:val="28"/>
          <w:szCs w:val="28"/>
          <w:rtl w:val="true"/>
          <w:lang w:bidi="fa-IR"/>
        </w:rPr>
        <w:t>آیة الله الشیخ محمد جواد فاضل اللنکراني آیة الله الشیخ ریاض الحکیم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العلامةالدکتور الشیخ محمدباقر المقدسي العلامة الشیخ عبد المهدي الکربلائي </w:t>
      </w:r>
    </w:p>
    <w:p>
      <w:pPr>
        <w:pStyle w:val="BookText"/>
        <w:rPr/>
      </w:pPr>
      <w:r>
        <w:rPr>
          <w:rFonts w:ascii="Amiri" w:hAnsi="Amiri" w:eastAsia="Amiri" w:cs="Amiri"/>
          <w:color w:val="111111"/>
          <w:sz w:val="28"/>
          <w:sz w:val="28"/>
          <w:szCs w:val="28"/>
          <w:rtl w:val="true"/>
          <w:lang w:bidi="ar-SA"/>
        </w:rPr>
        <w:t xml:space="preserve">رئيس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Amiri" w:hAnsi="Amiri" w:eastAsia="Amiri" w:cs="Amiri"/>
          <w:color w:val="111111"/>
          <w:sz w:val="28"/>
          <w:sz w:val="28"/>
          <w:szCs w:val="28"/>
          <w:rtl w:val="true"/>
          <w:lang w:bidi="ar-SA"/>
        </w:rPr>
        <w:t>مدير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صباح عباس الساعدي</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p>
    <w:p>
      <w:pPr>
        <w:pStyle w:val="BookText"/>
        <w:rPr/>
      </w:pPr>
      <w:r>
        <w:rPr>
          <w:rFonts w:ascii="Amiri" w:hAnsi="Amiri" w:eastAsia="Amiri" w:cs="Amiri"/>
          <w:color w:val="111111"/>
          <w:sz w:val="28"/>
          <w:sz w:val="28"/>
          <w:szCs w:val="28"/>
          <w:rtl w:val="true"/>
          <w:lang w:bidi="ar-SA"/>
        </w:rPr>
        <w:t>الأُستاذ ثناء الدين الدهلكي</w:t>
      </w:r>
    </w:p>
    <w:p>
      <w:pPr>
        <w:pStyle w:val="BookText"/>
        <w:rPr/>
      </w:pPr>
      <w:r>
        <w:rPr>
          <w:rFonts w:ascii="Amiri" w:hAnsi="Amiri" w:eastAsia="Amiri" w:cs="Amiri"/>
          <w:color w:val="111111"/>
          <w:sz w:val="28"/>
          <w:sz w:val="28"/>
          <w:szCs w:val="28"/>
          <w:rtl w:val="true"/>
          <w:lang w:bidi="ar-SA"/>
        </w:rPr>
        <w:t>الشيخ محمد الكروي القيسي</w:t>
      </w:r>
    </w:p>
    <w:p>
      <w:pPr>
        <w:pStyle w:val="BookText"/>
        <w:rPr/>
      </w:pPr>
      <w:r>
        <w:rPr>
          <w:rFonts w:ascii="Amiri" w:hAnsi="Amiri" w:eastAsia="Amiri" w:cs="Amiri"/>
          <w:color w:val="111111"/>
          <w:sz w:val="28"/>
          <w:sz w:val="28"/>
          <w:szCs w:val="28"/>
          <w:rtl w:val="true"/>
          <w:lang w:bidi="ar-SA"/>
        </w:rPr>
        <w:t>الشيخ غزوان العتابي</w:t>
      </w:r>
    </w:p>
    <w:p>
      <w:pPr>
        <w:pStyle w:val="BookText"/>
        <w:rPr/>
      </w:pPr>
      <w:r>
        <w:rPr>
          <w:rFonts w:ascii="Amiri" w:hAnsi="Amiri" w:eastAsia="Amiri" w:cs="Amiri"/>
          <w:color w:val="111111"/>
          <w:sz w:val="28"/>
          <w:sz w:val="28"/>
          <w:szCs w:val="28"/>
          <w:rtl w:val="true"/>
          <w:lang w:bidi="ar-SA"/>
        </w:rPr>
        <w:t>الأُستاذ حيدر الساعدي</w:t>
      </w:r>
    </w:p>
    <w:p>
      <w:pPr>
        <w:pStyle w:val="BookText"/>
        <w:rPr/>
      </w:pPr>
      <w:r>
        <w:rPr>
          <w:rFonts w:ascii="Amiri" w:hAnsi="Amiri" w:eastAsia="Amiri" w:cs="Amiri"/>
          <w:color w:val="111111"/>
          <w:sz w:val="28"/>
          <w:sz w:val="28"/>
          <w:szCs w:val="28"/>
          <w:rtl w:val="true"/>
          <w:lang w:bidi="ar-SA"/>
        </w:rPr>
        <w:t>المقابلة وتقويم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عدنان الطائي</w:t>
      </w:r>
    </w:p>
    <w:p>
      <w:pPr>
        <w:pStyle w:val="BookText"/>
        <w:rPr/>
      </w:pPr>
      <w:r>
        <w:rPr>
          <w:rFonts w:ascii="Amiri" w:hAnsi="Amiri" w:eastAsia="Amiri" w:cs="Amiri"/>
          <w:color w:val="111111"/>
          <w:sz w:val="28"/>
          <w:sz w:val="28"/>
          <w:szCs w:val="28"/>
          <w:rtl w:val="true"/>
          <w:lang w:bidi="ar-SA"/>
        </w:rPr>
        <w:t>الشيخ عصام السعيد</w:t>
      </w:r>
    </w:p>
    <w:p>
      <w:pPr>
        <w:pStyle w:val="BookText"/>
        <w:rPr/>
      </w:pPr>
      <w:r>
        <w:rPr>
          <w:rFonts w:ascii="Amiri" w:hAnsi="Amiri" w:eastAsia="Amiri" w:cs="Amiri"/>
          <w:color w:val="111111"/>
          <w:sz w:val="28"/>
          <w:sz w:val="28"/>
          <w:szCs w:val="28"/>
          <w:rtl w:val="true"/>
          <w:lang w:bidi="ar-SA"/>
        </w:rPr>
        <w:t>الشيخ مصطفى الدالي</w:t>
      </w:r>
    </w:p>
    <w:p>
      <w:pPr>
        <w:pStyle w:val="BookText"/>
        <w:rPr/>
      </w:pPr>
      <w:r>
        <w:rPr>
          <w:rFonts w:ascii="Amiri" w:hAnsi="Amiri" w:eastAsia="Amiri" w:cs="Amiri"/>
          <w:color w:val="111111"/>
          <w:sz w:val="28"/>
          <w:sz w:val="28"/>
          <w:szCs w:val="28"/>
          <w:rtl w:val="true"/>
          <w:lang w:bidi="ar-SA"/>
        </w:rPr>
        <w:t xml:space="preserve">التصميم والإخراج الفني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مطر الهاشمي</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الإشراف العام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سماحة الشيخ علي الفتلاوي</w:t>
      </w:r>
    </w:p>
    <w:p>
      <w:pPr>
        <w:pStyle w:val="BookText"/>
        <w:rPr/>
      </w:pPr>
      <w:r>
        <w:rPr>
          <w:rFonts w:ascii="Amiri" w:hAnsi="Amiri" w:eastAsia="Amiri" w:cs="Amiri"/>
          <w:color w:val="111111"/>
          <w:sz w:val="28"/>
          <w:sz w:val="28"/>
          <w:szCs w:val="28"/>
          <w:rtl w:val="true"/>
          <w:lang w:bidi="ar-SA"/>
        </w:rPr>
        <w:t>إدارة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باقر الساعدي</w:t>
      </w:r>
    </w:p>
    <w:p>
      <w:pPr>
        <w:pStyle w:val="BookText"/>
        <w:rPr/>
      </w:pPr>
      <w:r>
        <w:rPr>
          <w:rFonts w:ascii="Amiri" w:hAnsi="Amiri" w:eastAsia="Amiri" w:cs="Amiri"/>
          <w:color w:val="111111"/>
          <w:sz w:val="28"/>
          <w:sz w:val="28"/>
          <w:szCs w:val="28"/>
          <w:rtl w:val="true"/>
          <w:lang w:bidi="ar-SA"/>
        </w:rPr>
        <w:t xml:space="preserve">الشيخ رافد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عباس الحمداوي</w:t>
      </w:r>
    </w:p>
    <w:p>
      <w:pPr>
        <w:pStyle w:val="BookText"/>
        <w:rPr/>
      </w:pPr>
      <w:r>
        <w:rPr>
          <w:rFonts w:ascii="Amiri" w:hAnsi="Amiri" w:eastAsia="Amiri" w:cs="Amiri"/>
          <w:color w:val="111111"/>
          <w:sz w:val="28"/>
          <w:sz w:val="28"/>
          <w:szCs w:val="28"/>
          <w:rtl w:val="true"/>
          <w:lang w:bidi="ar-SA"/>
        </w:rPr>
        <w:t xml:space="preserve">الشيخ حيدر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ISSN: 978-964-984-240-7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الترقيم الدولي </w:t>
      </w:r>
      <w:bookmarkStart w:id="7" w:name="pg10991_100419"/>
    </w:p>
    <w:p>
      <w:pPr>
        <w:pStyle w:val="Heading2"/>
        <w:numPr>
          <w:ilvl w:val="1"/>
          <w:numId w:val="1"/>
        </w:numPr>
        <w:rPr/>
      </w:pPr>
      <w:bookmarkStart w:id="8" w:name="__RefHeading___Toc8288720_2870459653"/>
      <w:bookmarkStart w:id="9" w:name="_Toc3"/>
      <w:bookmarkEnd w:id="7"/>
      <w:bookmarkEnd w:id="8"/>
      <w:r>
        <w:rPr>
          <w:rtl w:val="true"/>
        </w:rPr>
        <w:t>هوية المجلّة</w:t>
      </w:r>
      <w:r>
        <w:rPr>
          <w:rtl w:val="true"/>
        </w:rPr>
        <w:t>:</w:t>
      </w:r>
      <w:bookmarkEnd w:id="9"/>
    </w:p>
    <w:p>
      <w:pPr>
        <w:pStyle w:val="BookText"/>
        <w:rPr/>
      </w:pPr>
      <w:r>
        <w:rPr>
          <w:rFonts w:ascii="Amiri" w:hAnsi="Amiri" w:eastAsia="Amiri" w:cs="Amiri"/>
          <w:color w:val="111111"/>
          <w:sz w:val="28"/>
          <w:sz w:val="28"/>
          <w:szCs w:val="28"/>
          <w:rtl w:val="true"/>
          <w:lang w:bidi="ar-SA"/>
        </w:rPr>
        <w:t>مجلّة علمية فصلية تخصصيّة تُعنى بالبحوث المتخصّصة في مجال النهضة الحسينيّة، وكذا الدراسات العلمية في حقول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مركز الدراسات التخصصيّة في النهضة الحسينيّة في النجف الأشرف وقم المقدّسة، التابع لقسم الشؤون الفكريّة في 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أهداف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رؤية واضحة حول معالم النهضة الحسينيّة من خلال البحوث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أهداف وثقافة النهضة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التراث الديني والحسيني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نافذة علميّة لتفعيل جانب الإبداع والتجديد والتأصيل الفكري في كافة حقول المعرفة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الانفتاح على الواقع العلمي والفكري لدى العلماء والأساتذة والمفكِّرين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الأقلام الرائدة، وتطوير الطاقات العلمية الواعدة، واستقطاب البحوث والدراسات والمقالات العلميّة القيّمة لنشرها تعميماً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فسح المجال أمام الباحثين والمفكِّرين لنشر بحوثهم ودراساتهم؛ لتكون المجلّة رافداً من روافد تزكية العلم والمعرفة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 للإجابة عن الشبهات والإشكاليات والقراءات غير الموزونة حول الدين بصورة عامّة والنهضة الحسينيّة بصورة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ضوابط النشر</w:t>
      </w:r>
    </w:p>
    <w:p>
      <w:pPr>
        <w:pStyle w:val="BookText"/>
        <w:rPr/>
      </w:pPr>
      <w:r>
        <w:rPr>
          <w:rFonts w:ascii="Amiri" w:hAnsi="Amiri" w:eastAsia="Amiri" w:cs="Amiri"/>
          <w:color w:val="111111"/>
          <w:sz w:val="28"/>
          <w:sz w:val="28"/>
          <w:szCs w:val="28"/>
          <w:rtl w:val="true"/>
          <w:lang w:bidi="ar-SA"/>
        </w:rPr>
        <w:t>تدعو المجلّة العلماء والأساتذة والباحثين وكل مَن لديه اهتمام في مجال الكتابة والتحقيق إلى رفدها بنتاجاتهم القيّمة، على أمل ملاحظة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البحوث مرتبطة باختصاص المجلّة وأركانها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منشورة أو بصدد النشر في كتاب أو 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ضمن المناهج العلمية المتَّبعة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بحوثاً مبتكرة وبلغة 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البحث على قرص ليزري فيما لو كان منضداًً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النشر محفوظة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المطروحة لا تعبِّر بالضرورة عن رأي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البحوث لأصحابها نُشِرَت أم لم تُنشَر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يخضع ترتيب البحوث لاعتبارات 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التعديلات والتلخيصات اللازمة من صلاحيات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للمجلّة حق إعادة نشر البحث أو المقال في كتاب أو ضمن كتاب منفصل، مع الحفاظ على نصه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تحسب صفحة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تتبع نظام المكافآت لأصحاب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الأولوية في المجلّة للمقالات والبحوث الحسينية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المجلة غير ملزمة بنشر ما يقل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أو يزيد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مراكز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الكتاب الدائم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دار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مشروع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العراق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الدائم في 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الهادي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فدك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كذرخان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الهاشمي</w:t>
      </w:r>
      <w:r>
        <w:rPr>
          <w:rFonts w:eastAsia="Amiri" w:cs="Amiri" w:ascii="Amiri" w:hAnsi="Amiri"/>
          <w:color w:val="111111"/>
          <w:sz w:val="28"/>
          <w:szCs w:val="28"/>
          <w:rtl w:val="true"/>
          <w:lang w:bidi="ar-SA"/>
        </w:rPr>
        <w:t xml:space="preserve">. </w:t>
      </w:r>
      <w:bookmarkStart w:id="10" w:name="pg10991_100423"/>
    </w:p>
    <w:p>
      <w:pPr>
        <w:pStyle w:val="Heading2"/>
        <w:numPr>
          <w:ilvl w:val="1"/>
          <w:numId w:val="1"/>
        </w:numPr>
        <w:rPr/>
      </w:pPr>
      <w:bookmarkStart w:id="11" w:name="__RefHeading___Toc8288722_2870459653"/>
      <w:bookmarkStart w:id="12" w:name="_Toc4"/>
      <w:bookmarkEnd w:id="10"/>
      <w:bookmarkEnd w:id="11"/>
      <w:r>
        <w:rPr>
          <w:rtl w:val="true"/>
        </w:rPr>
        <w:t>المحتویات</w:t>
      </w:r>
      <w:bookmarkEnd w:id="12"/>
    </w:p>
    <w:p>
      <w:pPr>
        <w:pStyle w:val="BookText"/>
        <w:rPr/>
      </w:pP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الحكومة الإسلاميّة وولاية الفقيه في ظل المبادئ السياسيّة للنهضة الحسينية</w:t>
      </w:r>
    </w:p>
    <w:p>
      <w:pPr>
        <w:pStyle w:val="BookText"/>
        <w:rPr/>
      </w:pPr>
      <w:r>
        <w:rPr>
          <w:rFonts w:ascii="Amiri" w:hAnsi="Amiri" w:eastAsia="Amiri" w:cs="Amiri"/>
          <w:color w:val="111111"/>
          <w:sz w:val="28"/>
          <w:sz w:val="28"/>
          <w:szCs w:val="28"/>
          <w:rtl w:val="true"/>
          <w:lang w:bidi="ar-SA"/>
        </w:rPr>
        <w:t>الشيخ قيصر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دراسات في آفاق النهضة الحسينية</w:t>
      </w:r>
    </w:p>
    <w:p>
      <w:pPr>
        <w:pStyle w:val="BookText"/>
        <w:rPr/>
      </w:pPr>
      <w:r>
        <w:rPr>
          <w:rFonts w:ascii="Amiri" w:hAnsi="Amiri" w:eastAsia="Amiri" w:cs="Amiri"/>
          <w:color w:val="111111"/>
          <w:sz w:val="28"/>
          <w:sz w:val="28"/>
          <w:szCs w:val="28"/>
          <w:rtl w:val="true"/>
          <w:lang w:bidi="ar-SA"/>
        </w:rPr>
        <w:t>النهضة الحسينية بين نظرية الشهادة وإقامة الحكومة</w:t>
      </w:r>
    </w:p>
    <w:p>
      <w:pPr>
        <w:pStyle w:val="BookText"/>
        <w:rPr/>
      </w:pPr>
      <w:r>
        <w:rPr>
          <w:rFonts w:ascii="Amiri" w:hAnsi="Amiri" w:eastAsia="Amiri" w:cs="Amiri"/>
          <w:color w:val="111111"/>
          <w:sz w:val="28"/>
          <w:sz w:val="28"/>
          <w:szCs w:val="28"/>
          <w:rtl w:val="true"/>
          <w:lang w:bidi="ar-SA"/>
        </w:rPr>
        <w:t>آية الله الشيخ محمد جواد اللنكراني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تعبئة الأُمة وإعدادها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الشوكي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فلسفة البكاء على الإمام الحسين علیه 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رستم نجاد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المؤسسة الشعائرية</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 والسيرورة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عامر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دراسات في تاريخ وتراث النهضة الحسينية</w:t>
      </w:r>
    </w:p>
    <w:p>
      <w:pPr>
        <w:pStyle w:val="BookText"/>
        <w:rPr/>
      </w:pPr>
      <w:r>
        <w:rPr>
          <w:rFonts w:ascii="IRNazanin" w:hAnsi="IRNazanin" w:eastAsia="IRNazanin"/>
          <w:color w:val="111111"/>
          <w:sz w:val="28"/>
          <w:sz w:val="28"/>
          <w:szCs w:val="28"/>
          <w:rtl w:val="true"/>
          <w:lang w:bidi="fa-IR"/>
        </w:rPr>
        <w:t>حجاجية السؤال في خطاب الإمام الحسين علیه 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حويِّر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الشعر الحسيني في الدراسات الأدبية الحديثة</w:t>
      </w:r>
    </w:p>
    <w:p>
      <w:pPr>
        <w:pStyle w:val="BookText"/>
        <w:rPr/>
      </w:pPr>
      <w:r>
        <w:rPr>
          <w:rFonts w:ascii="Amiri" w:hAnsi="Amiri" w:eastAsia="Amiri" w:cs="Amiri"/>
          <w:color w:val="111111"/>
          <w:sz w:val="28"/>
          <w:sz w:val="28"/>
          <w:szCs w:val="28"/>
          <w:rtl w:val="true"/>
          <w:lang w:bidi="ar-SA"/>
        </w:rPr>
        <w:t xml:space="preserve">قراءة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بين شعراء الشعوب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مجيد البديري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النثر في ثورتي التوابين والمختار الثقفي وتأثره بالنص القرآني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الزرفي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دراسات في فقه النهضة الحسينية</w:t>
      </w:r>
    </w:p>
    <w:p>
      <w:pPr>
        <w:pStyle w:val="BookText"/>
        <w:rPr/>
      </w:pPr>
      <w:r>
        <w:rPr>
          <w:rFonts w:ascii="Amiri" w:hAnsi="Amiri" w:eastAsia="Amiri" w:cs="Amiri"/>
          <w:color w:val="111111"/>
          <w:sz w:val="28"/>
          <w:sz w:val="28"/>
          <w:szCs w:val="28"/>
          <w:rtl w:val="true"/>
          <w:lang w:bidi="ar-SA"/>
        </w:rPr>
        <w:t>فقه التربة الحسينية</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وقوع التربة المباركة في الخلاء وحملها له و تجهيز الميت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الأمر بالمعروف والنهي عن المنكر في السيرة الحسينية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الأساليب ووحدة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سارة رضائي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دراسات دينية</w:t>
      </w:r>
    </w:p>
    <w:p>
      <w:pPr>
        <w:pStyle w:val="BookText"/>
        <w:rPr/>
      </w:pPr>
      <w:r>
        <w:rPr>
          <w:rFonts w:ascii="IRNazanin" w:hAnsi="IRNazanin" w:eastAsia="IRNazanin"/>
          <w:color w:val="111111"/>
          <w:sz w:val="28"/>
          <w:sz w:val="28"/>
          <w:szCs w:val="28"/>
          <w:rtl w:val="true"/>
          <w:lang w:bidi="fa-IR"/>
        </w:rPr>
        <w:t xml:space="preserve">النُظُم التّربوية عند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تحليليّة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نجم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مدينة الكوفة، الجغرافية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العيساوي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أساليب التغييب لفضائل أمير المؤمنين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 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رسول كاظم عبد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المقالات باللغة العربية والإنجليزية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13" w:name="pg10991_100425"/>
    </w:p>
    <w:p>
      <w:pPr>
        <w:pStyle w:val="Heading2"/>
        <w:numPr>
          <w:ilvl w:val="1"/>
          <w:numId w:val="1"/>
        </w:numPr>
        <w:rPr/>
      </w:pPr>
      <w:bookmarkStart w:id="14" w:name="__RefHeading___Toc8288724_2870459653"/>
      <w:bookmarkStart w:id="15" w:name="_Toc5"/>
      <w:bookmarkEnd w:id="13"/>
      <w:bookmarkEnd w:id="14"/>
      <w:r>
        <w:rPr>
          <w:rtl w:val="true"/>
        </w:rPr>
        <w:t>مقال التحرير</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الحكومة الإسلاميّة وولاية الفقيه في ظل المبادئ السياسيّة للنهضة الحسينية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991_100427"/>
      <w:bookmarkStart w:id="17" w:name="pg10991_100427"/>
      <w:bookmarkEnd w:id="17"/>
    </w:p>
    <w:p>
      <w:pPr>
        <w:pStyle w:val="Heading2"/>
        <w:numPr>
          <w:ilvl w:val="1"/>
          <w:numId w:val="1"/>
        </w:numPr>
        <w:rPr/>
      </w:pPr>
      <w:bookmarkStart w:id="18" w:name="pg10991_100427"/>
      <w:bookmarkStart w:id="19" w:name="__RefHeading___Toc8288726_2870459653"/>
      <w:bookmarkStart w:id="20" w:name="_Toc6"/>
      <w:bookmarkEnd w:id="18"/>
      <w:bookmarkEnd w:id="19"/>
      <w:r>
        <w:rPr>
          <w:rtl w:val="true"/>
        </w:rPr>
        <w:t>الحكومة الإسلاميّة وولاية الفقيه في ظلّ المبادئ السياسيّة للنهضة الحسينيّة</w:t>
      </w:r>
      <w:bookmarkEnd w:id="20"/>
    </w:p>
    <w:p>
      <w:pPr>
        <w:pStyle w:val="Heading2"/>
        <w:numPr>
          <w:ilvl w:val="1"/>
          <w:numId w:val="1"/>
        </w:numPr>
        <w:rPr/>
      </w:pPr>
      <w:bookmarkStart w:id="21" w:name="__RefHeading___Toc8288728_2870459653"/>
      <w:bookmarkStart w:id="22" w:name="_Toc7"/>
      <w:bookmarkEnd w:id="21"/>
      <w:r>
        <w:rPr>
          <w:rtl w:val="true"/>
        </w:rPr>
        <w:t>الشيخ قيصر التميمي</w:t>
      </w:r>
      <w:bookmarkEnd w:id="22"/>
    </w:p>
    <w:p>
      <w:pPr>
        <w:pStyle w:val="BookText"/>
        <w:rPr/>
      </w:pPr>
      <w:r>
        <w:rPr>
          <w:rFonts w:ascii="Amiri" w:hAnsi="Amiri" w:eastAsia="Amiri" w:cs="Amiri"/>
          <w:color w:val="111111"/>
          <w:sz w:val="28"/>
          <w:sz w:val="28"/>
          <w:szCs w:val="28"/>
          <w:rtl w:val="true"/>
          <w:lang w:bidi="ar-SA"/>
        </w:rPr>
        <w:t xml:space="preserve">نؤكّد مرّة أُخرى بأنّ الذي دعانا للنّظر والتحّديق في الملامح السياسيّة للنهضة الحسينيّة، ما قد نلمسه واضحاً من التهميش والإقصاء لهذا النوع من الأهداف في واقع الأُمة وحياة الشعوب، في الوقت الذي كان من المفترض أن تُسهم تلك النهضة المباركة في رسم المعالم الاجتماعيّة والسياسيّة لمحيط أُمتنا الإسلاميّة والإنسانيّة بشكل عامّ، وأن نستلهم من مسيرتها الرائدة مناهج التطوير والتغيير السياسي والاجتماعي، وأساليب معارضة الطغاة والمفسدين، والعمل على إسقاط الأنظمة الجائرة، والتحرّك في سبيل تشييد الحضارة الإنسانيّة وبناء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أَذهلَنا وآسفنا كثيراً أننا وجدنا الرؤية معكوسة تماماً، حيث تمّ التنظير بشكل علمي ومنهجي لإقصاء النهضة الحسينيّة في أهمّ أهدافها، فلا علاقة لها أبداً بالتخطيط لبناء الدولة الإسلاميّة، ولا محاربة الأنظمة الفاسدة لإسقاطها، وإنما كانت </w:t>
      </w:r>
      <w:bookmarkStart w:id="23" w:name="pg10991_100428"/>
    </w:p>
    <w:p>
      <w:pPr>
        <w:pStyle w:val="BookText"/>
        <w:rPr/>
      </w:pPr>
      <w:bookmarkEnd w:id="23"/>
      <w:r>
        <w:rPr>
          <w:rFonts w:ascii="IRNazanin" w:hAnsi="IRNazanin" w:eastAsia="IRNazanin"/>
          <w:color w:val="111111"/>
          <w:sz w:val="28"/>
          <w:sz w:val="28"/>
          <w:szCs w:val="28"/>
          <w:rtl w:val="true"/>
          <w:lang w:bidi="fa-IR"/>
        </w:rPr>
        <w:t>عمليّة استشهادية، هدفها فضح الطغاة، وعتادها المأساة، وسلاحها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يؤلمنا 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الحسين علیه السلام بتلك الصورة البشعة والمأساويّة كان أنفع للإسلام من استلامه الحكم وقيادة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أسلفنا مراراً وتكراراً بأنّ لهذه الرؤية أسبابها ومبرّراتها، واستعرضنا للمناقشة فيما مضى طائفة من تلك الأسباب، ونحاول في هذا المقال أن نناقش سبباً جديداً مرتبطاً بحاضر الأُمّة الإسلاميّة ومستقبلها</w:t>
      </w:r>
      <w:r>
        <w:rPr>
          <w:rFonts w:eastAsia="IRNazanin" w:cs="IRNazanin"/>
          <w:color w:val="111111"/>
          <w:sz w:val="28"/>
          <w:szCs w:val="28"/>
          <w:rtl w:val="true"/>
          <w:lang w:bidi="fa-IR"/>
        </w:rPr>
        <w:t>.</w:t>
      </w:r>
    </w:p>
    <w:p>
      <w:pPr>
        <w:pStyle w:val="Heading2"/>
        <w:numPr>
          <w:ilvl w:val="1"/>
          <w:numId w:val="1"/>
        </w:numPr>
        <w:rPr/>
      </w:pPr>
      <w:bookmarkStart w:id="24" w:name="__RefHeading___Toc8288730_2870459653"/>
      <w:bookmarkStart w:id="25" w:name="_Toc8"/>
      <w:bookmarkEnd w:id="24"/>
      <w:r>
        <w:rPr>
          <w:rtl w:val="true"/>
        </w:rPr>
        <w:t xml:space="preserve">الفصل بين القيادتين الدينيّة والسياسيّة في عصر الغَيّبة </w:t>
      </w:r>
      <w:r>
        <w:rPr>
          <w:rtl w:val="true"/>
        </w:rPr>
        <w:t>(</w:t>
      </w:r>
      <w:r>
        <w:rPr>
          <w:rtl w:val="true"/>
        </w:rPr>
        <w:t>أسباب زمكانيّة</w:t>
      </w:r>
      <w:r>
        <w:rPr>
          <w:rtl w:val="true"/>
        </w:rPr>
        <w:t>)</w:t>
      </w:r>
      <w:bookmarkEnd w:id="25"/>
    </w:p>
    <w:p>
      <w:pPr>
        <w:pStyle w:val="BookText"/>
        <w:rPr/>
      </w:pPr>
      <w:r>
        <w:rPr>
          <w:rFonts w:ascii="Amiri" w:hAnsi="Amiri" w:eastAsia="Amiri" w:cs="Amiri"/>
          <w:color w:val="111111"/>
          <w:sz w:val="28"/>
          <w:sz w:val="28"/>
          <w:szCs w:val="28"/>
          <w:rtl w:val="true"/>
          <w:lang w:bidi="ar-SA"/>
        </w:rPr>
        <w:t xml:space="preserve">من الأسباب المهمّة التي أدّت بالعلماء والباحثين إلى إهمال الأهداف السياسيّة للنهضة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هدفيّة إقامة حكومة إلهيّة بقيادة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بفقدان الأثر والفائدة العمليّة لهذا النوع من الأهداف في زمن الغيبة، انطلاقاً من دعوى اختصاصها بزمان حضور المعصوم وتواجده الميداني المُعلَن في أوساط الناس، وبما يراه مناسباً من الآليات والأسباب والشرائط لإقامة وتشييد معالم الدولة العادلة، بل ادُّعي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المستفيضة تنهى المؤمنين في عصر الغيبة عن التحرّك السياسي والخروج المسلّح لإسقاط الحكومات والأنظمة الظالمة في سبيل إقامة الحكم الإسلامي، إما لأجل أنّ الظروف غير مؤاتية لتحقيق ذلك الهدف، ولا طاقة للمؤمنين على النصر وإقامة الحكم، ولو بشهادة الغيبة نفسها، فنهاهم الله تعالى عن التحرّك والسعي لتحصيله، وإما للنّصوص الخاصّة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الرأي من الآراء المهمّة في الفقه الشيعي، وقد تبنّاه مشهور فقهائنا حينما تعرّضوا لمبحث ولاية الفقيه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حتى لو سلّمنا وآمنّا بالأهداف السياسيّة للنهضة الحسينيّة بكافة أشكالها وألوانها، فلا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لبحثها ودراستها والنظر في وثائقها ونصوصها؛ ذلك لأنها لا تنتمي لمكوّنات بيئتنا وواقعنا المعاش، ولا تُسهم في تصميم </w:t>
      </w:r>
      <w:bookmarkStart w:id="26" w:name="pg10991_100429"/>
    </w:p>
    <w:p>
      <w:pPr>
        <w:pStyle w:val="BookText"/>
        <w:rPr/>
      </w:pPr>
      <w:bookmarkEnd w:id="26"/>
      <w:r>
        <w:rPr>
          <w:rFonts w:ascii="Amiri" w:hAnsi="Amiri" w:eastAsia="Amiri" w:cs="Amiri"/>
          <w:color w:val="111111"/>
          <w:sz w:val="28"/>
          <w:sz w:val="28"/>
          <w:szCs w:val="28"/>
          <w:rtl w:val="true"/>
          <w:lang w:bidi="ar-SA"/>
        </w:rPr>
        <w:t>وإنتاج المشهد السياسي في الظرف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كرّست هذه الرؤية الفقهيّة البداية والمنطلق للإيمان بفكرة فصل القيادة الدينيّة عن القيادات السياسيّة والحكوميّة في مثل زماننا، وهذه هي الحقيقة التي نعيشها اليوم في بعض بلداننا الإسلاميّة شئنا أم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ويؤسفنا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أصبحنا في ظلّ هذا الواقع التفكيكي المزكوم لا نستطعم النكهات السياسيّة والاجتماعيّة في تشكيلة الحركة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من العبث في زماننا الحاضر الخوض في منظومة المعطيات المضمونية والدلالية للنصوص الدينيّة والتاريخية التي تتحدث عن قيادة الشعوب وسياسة البلدان، ومن أهمّ منابع تلك المنظومة جملة وافرة من الأحداث والنّصوص والوثائق في ملفات الثورة الحسينيّة، والتي يراها باحثون وقائع تاريخية وتراثية عديمة الفائدة والتأثير في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وتعتمد هذه الرؤية على مجموعة من الأفكار والشواهد والتحليلات التي يُعتقد أنها تدفع باتجاه تعطيل الفكر والتراث السياسي المرتبط بمكافحة المفسدين والإطاحة بهم وتشكيل الحكومة المهنيّة العادلة، وسنستعرض فيما يلي بصورة موجزة أهمّ ما استُدل به في هذا المجال بما يتناسب ومساحة هذا المقال، مع الالتفات إلى كونها مجموعة شواهد متداخلة ومترابطة، فصلناها في نقاط متسلسلة تنظيماً للبحث</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8288732_2870459653"/>
      <w:bookmarkStart w:id="28" w:name="_Toc9"/>
      <w:bookmarkEnd w:id="27"/>
      <w:r>
        <w:rPr/>
        <w:t>1</w:t>
      </w:r>
      <w:r>
        <w:rPr>
          <w:rtl w:val="true"/>
        </w:rPr>
        <w:t xml:space="preserve">- </w:t>
      </w:r>
      <w:r>
        <w:rPr>
          <w:rtl w:val="true"/>
        </w:rPr>
        <w:t>فكرة فصل الاختصاص الديني عن المنهج السياسي</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نتحدث تحت هذا العنوان في ما يُعرف لدى العلمانيين والليبراليين وبعض الإسلاميين من فصل الدين عن السياسة بشكل مطلق، وإنما حديثنا عمّا يؤمن به الكثير من العلماء والباحثين من فصل الاختصاص الديني وتراثه ورجالاته عن مجالات السلطة ومفاصل الحكومة والدولة في عصرنا الحاضر، حيث يرى بعض بأنه لا يحق للمنظومة الدينيّة بمناهجها وكوادرها أن تشترك في تنظيم وإدارة الجهاز الحكومي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تشريعاً وقضاءً وتنفيذاً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يحقّ لها مطلقاً إتلاف الوقت وهدر الطاقات </w:t>
      </w:r>
      <w:bookmarkStart w:id="29" w:name="pg10991_100430"/>
    </w:p>
    <w:p>
      <w:pPr>
        <w:pStyle w:val="BookText"/>
        <w:rPr/>
      </w:pPr>
      <w:bookmarkEnd w:id="29"/>
      <w:r>
        <w:rPr>
          <w:rFonts w:ascii="Amiri" w:hAnsi="Amiri" w:eastAsia="Amiri" w:cs="Amiri"/>
          <w:color w:val="111111"/>
          <w:sz w:val="28"/>
          <w:sz w:val="28"/>
          <w:szCs w:val="28"/>
          <w:rtl w:val="true"/>
          <w:lang w:bidi="ar-SA"/>
        </w:rPr>
        <w:t xml:space="preserve">والجهود بهدف التأسيس العَقدي وتشييد البناء الفكري والتنظير العلمي في المجال السياسي بكل حقوله وتخصّصاته المختلفة والمتنوّعة، وأضحى في نظر بعض أن من الممنوع أكيداً على أبناء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الاختصاص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يعملوا على صناعة التكنقراط السياسي، أو تشكيل الأحزاب والمنظمات، أو إنشاء المؤسسات ومراكز الدراسات السياسيّة في أوساطهم وأروقتهم العلمية، كما يشهد على ذلك طبيعة مناهجنا الدراسية والعلوم التي نتلقّاها في كثير من حوزاتنا ومحافلنا العلميّة، وكذلك التوصيات الكثيرة التي نسمعها باستمرار من العلماء الأعلام بضرورة التزام لمناهج التقليديّة المتّبعة حالياً، وخطورة الخروج عن هذا الإطار العام والمألوف، والتأكيد على أنّ الانشغال بدراسة علوم الإدارة والسياسة والاجتماع والخوض في نصوصها وتراثها الديني وواقعها البشري يتقاطع مع فضيلة العالم ومنزلته العلميّة واجتهاده المرتقب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ويتمسّك أصحاب هذه النظرة بسيرة كبار العلماء الماضين، وظواهر بعض النصوص الدينيّة التي سنُشير إليها في جملة من الشواهد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بناء على هذه الرؤية لا داعي لأن نشغل أنفسنا ونهدر طاقاتنا العلمية بدراسة وتحليل التراث السياسي في الإسلام، وخصوصاً التراث الحسيني المرتبط بهذا الجانب، بل لعلّ الانشغال به يُعاكس الاتجاه العلمي والمسار التخصّصي في أهمّ الحقول الدينيّة، ويقف حائلاً أمام الانتاج الديني النوعي والاجتهادي الذي تضطلع به الحوزة العلمية، فيما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يُحيط به من علوم تكميلية</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8288734_2870459653"/>
      <w:bookmarkStart w:id="31" w:name="_Toc10"/>
      <w:bookmarkEnd w:id="30"/>
      <w:r>
        <w:rPr/>
        <w:t>2</w:t>
      </w:r>
      <w:r>
        <w:rPr>
          <w:rtl w:val="true"/>
        </w:rPr>
        <w:t xml:space="preserve">- </w:t>
      </w:r>
      <w:r>
        <w:rPr>
          <w:rtl w:val="true"/>
        </w:rPr>
        <w:t>خصائص العصمة والإمامة</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قد يُدّعى في هذا المجال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حركة المعصومين من أئمة أهل البيت علیهم السلام السياسيّة لاستلام مقاليد الحكم وقيادة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فرض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خصائص </w:t>
      </w:r>
      <w:bookmarkStart w:id="32" w:name="pg10991_100431"/>
    </w:p>
    <w:p>
      <w:pPr>
        <w:pStyle w:val="BookText"/>
        <w:rPr/>
      </w:pPr>
      <w:bookmarkEnd w:id="32"/>
      <w:r>
        <w:rPr>
          <w:rFonts w:ascii="IRNazanin" w:hAnsi="IRNazanin" w:eastAsia="IRNazanin"/>
          <w:color w:val="111111"/>
          <w:sz w:val="28"/>
          <w:sz w:val="28"/>
          <w:szCs w:val="28"/>
          <w:rtl w:val="true"/>
          <w:lang w:bidi="fa-IR"/>
        </w:rPr>
        <w:t>عصمتهم ومقام إمامتهم الربانيّة، ولا يصلح الاقتداء بهم والتأسّي بسيرتهم في هذه الموارد والامتيازات الخاصّة، ولعل السبب الرئيس في ذلك كونهم علیهم السلام إنّما يتحرّكون سياسيّاً بأمر من الله تعالى في سبيل إقامة معالم الدولة الإلهية العادلة، التي تبتني على أُسس وقواعد القانون السماوي المعصوم والمنزّه عن الخطأ والخطل والجهل والنقصان، وتُصاغ مفرداتها في إطار الأحكام الواقعية المتكاملة التي تقود الإنسان باتجاه ما يريده الله تعالى منه على هذه الأرض، وفي ضوء هذه النظرة يتبيّن أن حركة المعصوم لاستلام السلطة والحكم من التكاليف والمهامّ المختصّة بمقامه الإلهي، ولا يجري هذا الحكم على عموم الأُمّة وعلمائها، خصوصاً في فترة غياب المعصوم عن المشهد السياسي؛ لأنّ غير المعصوم لا يمتلك القدرة ولا القابليّة على إقامة تلك الدولة الإلهيّة العادلة والمستقيمة، ويعضد هذه الفكرة أيضاً طائفة من الشواهد والنصوص كما سنذكر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يتضح السبب في عدم الفائدة والجدوى من تجشّم عناء التأسيس للبحوث والدراسات السياسيّة المعتمدة على التراث الديني بشكل عام، وتراث النهضة الحسينية في مجاله السياسي بصورة خاصّة</w:t>
      </w:r>
      <w:r>
        <w:rPr>
          <w:rFonts w:eastAsia="IRNazanin" w:cs="IRNazanin"/>
          <w:color w:val="111111"/>
          <w:sz w:val="28"/>
          <w:szCs w:val="28"/>
          <w:rtl w:val="true"/>
          <w:lang w:bidi="fa-IR"/>
        </w:rPr>
        <w:t>.</w:t>
      </w:r>
    </w:p>
    <w:p>
      <w:pPr>
        <w:pStyle w:val="Heading2"/>
        <w:numPr>
          <w:ilvl w:val="1"/>
          <w:numId w:val="1"/>
        </w:numPr>
        <w:rPr/>
      </w:pPr>
      <w:bookmarkStart w:id="33" w:name="__RefHeading___Toc8288736_2870459653"/>
      <w:bookmarkStart w:id="34" w:name="_Toc11"/>
      <w:bookmarkEnd w:id="33"/>
      <w:r>
        <w:rPr/>
        <w:t>3</w:t>
      </w:r>
      <w:r>
        <w:rPr>
          <w:rtl w:val="true"/>
        </w:rPr>
        <w:t xml:space="preserve">- </w:t>
      </w:r>
      <w:r>
        <w:rPr>
          <w:rtl w:val="true"/>
        </w:rPr>
        <w:t>كُلّ راية تُرفع قبل قيام المهدي فهي راية ضلال</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 القائلون بالفرق بين خصائص عصرنا وأحداث العصر الحسيني بمجموعة من النصوص والروايات، التي تُصرِّح بضلال وبطلان كُلّ راية تُرفع أو دولة تُقام قبل قيام المهدي علیه السلام ، حتى لو كان أصحابها وأتباعها من الدعاة لدين الحق، فلا يحقّ لأحد من المؤمنين اليوم أن ينخرط في العمل السياسي بهدف الوصول إلى السلطة وتشكيل حكومة إسلاميّة، ولا يصح أبداً الاقتداء بالنهضة الحسينية ومبادئها لبلوغ هكذا أهداف ممنوعة ومنهيّ عن السعي لتحصيلها في زماننا</w:t>
      </w:r>
      <w:r>
        <w:rPr>
          <w:rFonts w:eastAsia="IRNazanin" w:cs="IRNazanin"/>
          <w:color w:val="111111"/>
          <w:sz w:val="28"/>
          <w:szCs w:val="28"/>
          <w:rtl w:val="true"/>
          <w:lang w:bidi="fa-IR"/>
        </w:rPr>
        <w:t xml:space="preserve">. </w:t>
      </w:r>
      <w:bookmarkStart w:id="35" w:name="pg10991_100432"/>
    </w:p>
    <w:p>
      <w:pPr>
        <w:pStyle w:val="BookText"/>
        <w:rPr/>
      </w:pPr>
      <w:bookmarkEnd w:id="35"/>
      <w:r>
        <w:rPr>
          <w:rFonts w:ascii="IRNazanin" w:hAnsi="IRNazanin" w:eastAsia="IRNazanin"/>
          <w:color w:val="111111"/>
          <w:sz w:val="28"/>
          <w:sz w:val="28"/>
          <w:szCs w:val="28"/>
          <w:rtl w:val="true"/>
          <w:lang w:bidi="fa-IR"/>
        </w:rPr>
        <w:t>ومن جملة تلك النصوص التي قد تدعم بظاهرها هذه الفكرة، ما رواه النعماني في الغيبة بسنده عن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راية القائم صاحبها طاغوت</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الكليني عن أبي بصير، عن أبي عبد الله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وجل</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موضوع هذه النصوص ونظائرها هو رفع الراية قبل قيام القائم علیه السلام ، وهو مفهوم يتضمّن الدعوة لتحقيق الأهداف والغايات التي يدعو إليها صاحب الراية، والتي هي تعبير آخر عن إقامة حكومة إسلامية، فتكون هذه النصوص دالة بوضوح على التحريم والنهي عن رفع الراية وإقامة الحكومة مطلقاً إلى حين الظهور، وذلك بمقتضى كون صاحبها طاغوت يُعبد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وإيماننا بأن الحسين علیه السلام خرج لإسقاط الحكم الأُموي واستبداله بالحكم الإلهي، لا يسمح لنا بالسعي لتكرار هذه التجربة مع وجود مثل هذه النصوص والمضامين الحاكمة بطاغوتية كلّ مَن يسعى لاستلام السلطة باسم الدين والمذهب الحق</w:t>
      </w:r>
      <w:r>
        <w:rPr>
          <w:rFonts w:eastAsia="IRNazanin" w:cs="IRNazanin"/>
          <w:color w:val="111111"/>
          <w:sz w:val="28"/>
          <w:szCs w:val="28"/>
          <w:rtl w:val="true"/>
          <w:lang w:bidi="fa-IR"/>
        </w:rPr>
        <w:t>.</w:t>
      </w:r>
    </w:p>
    <w:p>
      <w:pPr>
        <w:pStyle w:val="Heading2"/>
        <w:numPr>
          <w:ilvl w:val="1"/>
          <w:numId w:val="1"/>
        </w:numPr>
        <w:rPr/>
      </w:pPr>
      <w:bookmarkStart w:id="36" w:name="__RefHeading___Toc8288738_2870459653"/>
      <w:bookmarkStart w:id="37" w:name="_Toc12"/>
      <w:bookmarkEnd w:id="36"/>
      <w:r>
        <w:rPr/>
        <w:t>4</w:t>
      </w:r>
      <w:r>
        <w:rPr>
          <w:rtl w:val="true"/>
        </w:rPr>
        <w:t xml:space="preserve">- </w:t>
      </w:r>
      <w:r>
        <w:rPr>
          <w:rtl w:val="true"/>
        </w:rPr>
        <w:t>الروايات الآمرة بالجلوس والناهية عن الخروج على السلطات الظالمة</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استدلّ المانعون عن التأسّي والاهتداء بالأهداف السياسيّة للنهضة الحسينيّة ببعض الروايات الظاهرة في الأمر بالسكوت والجلوس، والنهي عن الخروج والانقلاب على الحكومات والأنظمة الظالمة في زمان الصدور، وفي زماننا أيضاً تمسّكاً بالإطلاق، وهذا يعني أن خروج الحسين علیه السلام حتى لو كان بهدف الإطاحة بحكم بني أُميّة وإقامة دولة العدل بقيادته الحكيمة، مع ذلك لا ينبغي لنا التحرّك في هذا الإطار وبنفس الأُسلوب تأسّياً به علیه السلام ؛ للنصوص الخاصّة الصريحة في لزوم </w:t>
      </w:r>
    </w:p>
    <w:p>
      <w:pPr>
        <w:pStyle w:val="BookText"/>
        <w:rPr/>
      </w:pPr>
      <w:r>
        <w:rPr>
          <w:rFonts w:ascii="IRNazanin" w:hAnsi="IRNazanin" w:eastAsia="IRNazanin"/>
          <w:color w:val="111111"/>
          <w:sz w:val="28"/>
          <w:sz w:val="28"/>
          <w:szCs w:val="28"/>
          <w:rtl w:val="true"/>
          <w:lang w:bidi="fa-IR"/>
        </w:rPr>
        <w:t xml:space="preserve">السكون وعدم التحرّك والخروج إلى حين تحقّق علامات الظهور وقيام المهدي علیه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هذه النصوص ما رواه الكليني بسنده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تعمل على ما قد استبان لها، ولكن له نفس واحدة إذا ذهبت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التوبة، فأنتم أحقّ أن تختاروا لأنفسكم، إن أتاكم آتٍ منّا فانظروا على أيِّ شيء تخرجون، ولا تقولوا خرج زيد، فإن زيداً كان عالماً وكان صدوقاً، ولم يدعكم إلى نفسه، وإنّما دعاكم إلى الرضا من آل محمد صلی الله علیه و اله ، ولو ظهر لوفى بما دعاكم إليه، إنما خرج إلى سلطان مجتمع لينقضه، فالخارج منا اليوم إلى أيّ شيء يدعوكم؟ إلى الرضا من آل محمد صلی الله علیه و اله ؟ فنحن نُشهدكم أنا لسنا نرضى به، وهو يعصينا اليوم وليس معه أحد، وهو إذا كانت الرايات والألوية أجدر أن لا يسمع منا، إلّا مَن اجتمعت بنو فاطمة معه، فوالله، ما صاحبكم إلّا مَن اجتمعوا عليه، إذا كان رجب فأقبلوا على اسم الله، وإن أحببتم أن تتأخروا إلى شعبان فلا ضير، وإن أحببتم أن تصوموا في أهاليكم فلعلّ ذلك يكون أقوى لكم</w:t>
      </w:r>
      <w:r>
        <w:rPr>
          <w:rStyle w:val="FootnoteAnchor"/>
          <w:rtl w:val="true"/>
        </w:rPr>
        <w:footnoteReference w:id="4"/>
      </w:r>
      <w:r>
        <w:rPr>
          <w:rFonts w:ascii="Amiri" w:hAnsi="Amiri" w:eastAsia="Amiri" w:cs="Amiri"/>
          <w:color w:val="111111"/>
          <w:sz w:val="28"/>
          <w:sz w:val="28"/>
          <w:szCs w:val="28"/>
          <w:rtl w:val="true"/>
          <w:lang w:bidi="ar-SA"/>
        </w:rPr>
        <w:t xml:space="preserve">، وكفاكم بالسفياني </w:t>
      </w:r>
    </w:p>
    <w:p>
      <w:p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الاستثناء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اجتمعت بنو فاطمة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أنَّ أيَّ خارج خروجاً عسكريّاً مسلحاً لإسقاط الأنظمة الحاكمة وإقامة حكومة داعية إلى الرضا من آل محمد صلی الله علیه و اله ومتحدّثة بالنيابة عنه، فإنّها غير مرضيّة عند أهل البيت علیهم السلام ، ولا يجوز الخروج معها، إلّا إذا كانت الدعوة بقيادة مَن اجتمع معه بنو فاطمة، وهو المهدي علیه السلام ؛ فيشمل النهي فيها كل خارج سوى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الظاهر من صدر الرواية أنها في مقام الإرشاد إلى مَن يصحّ الخروج معه شرعاً، وليست في مقام بيان الحكم التكليفي، وهذا يعني أن أيّ شخص غير المهدي علیه السلام فهو فاقد لصلاحية إقامة الدولة العادلة، ولا يصحّ تنصيبه إماماً وقائداً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النصوص أيضاً ما رواه الكليني بسنده عن أبي عبد الله الصادق علیه السلام أنه قال لسدير الصيرفي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الزم بيتك، وكن حِلساً من أحلاسه، واسكن ما سكن الليل والنهار، فإذا بلغك أن السفياني قد خرج فارحل إلينا ولو على رجلك</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ومضمونها صريح في وجوب الجلوس والسكون وعدم التحرّك سياسيّاً إلى حين مجيء علامات الظهور، وأبرزها خروج السفياني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السبب المعقول وراء هذا النوع من الأوامر والنواهي هو الظرف الخاص والمختلف في عصر الغيبة، حيث لا يجب على المؤمنين السعي لاستلام الحكم وإدارة الأُمة؛ لعجزهم وعدم قدرتهم على تحقيق هذا الأمر بالشكل المطلوب، كما يشهد لذلك نفس غيبة الإمام المهدي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كانت إقامة الحكم الإسلامي ممكنة </w:t>
      </w:r>
      <w:bookmarkStart w:id="38" w:name="pg10991_100435"/>
    </w:p>
    <w:p>
      <w:pPr>
        <w:pStyle w:val="BookText"/>
        <w:rPr/>
      </w:pPr>
      <w:bookmarkEnd w:id="38"/>
      <w:r>
        <w:rPr>
          <w:rFonts w:ascii="Amiri" w:hAnsi="Amiri" w:eastAsia="Amiri" w:cs="Amiri"/>
          <w:color w:val="111111"/>
          <w:sz w:val="28"/>
          <w:sz w:val="28"/>
          <w:szCs w:val="28"/>
          <w:rtl w:val="true"/>
          <w:lang w:bidi="ar-SA"/>
        </w:rPr>
        <w:t>وواجبة، كان أجدر الناس بذلك هو الإمام صاحب الزمان عجّل الله فرجه، فهو إنّما غاب لأنه لم تكن من الوظيفة اليوم إقامة الحكم، ولم تكن الظروف مؤاتية لذلك</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قول الإمام الصادق علیه السلام المتقدّم بشأن الحركة العسكريّة المسلّحة لزيد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 إلى سلطان مجتمع لينقضه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أن قوّة السلطان واجتماع أمره هو السبب في فشل ثورة زيد بن علي، كما نبّه على ذلك المجلسي في مرآة العقول،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سلطان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لم يظفر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وحينئذٍ؛ لا يبقى أيّ معنًى للتأسي بالإمام الحسين علیه السلام في حركته السياسيّة والعسكريّة باتجاه تشكيل حكومة العدل الإلهي في زماننا، لاختلاف التكاليف والأحكام باختلاف الظرف والمرحلة</w:t>
      </w:r>
      <w:r>
        <w:rPr>
          <w:rFonts w:eastAsia="IRNazanin" w:cs="IRNazanin"/>
          <w:color w:val="111111"/>
          <w:sz w:val="28"/>
          <w:szCs w:val="28"/>
          <w:rtl w:val="true"/>
          <w:lang w:bidi="fa-IR"/>
        </w:rPr>
        <w:t>.</w:t>
      </w:r>
    </w:p>
    <w:p>
      <w:pPr>
        <w:pStyle w:val="Heading2"/>
        <w:numPr>
          <w:ilvl w:val="1"/>
          <w:numId w:val="1"/>
        </w:numPr>
        <w:rPr/>
      </w:pPr>
      <w:bookmarkStart w:id="39" w:name="__RefHeading___Toc8288740_2870459653"/>
      <w:bookmarkStart w:id="40" w:name="_Toc13"/>
      <w:bookmarkEnd w:id="39"/>
      <w:r>
        <w:rPr/>
        <w:t>5</w:t>
      </w:r>
      <w:r>
        <w:rPr>
          <w:rtl w:val="true"/>
        </w:rPr>
        <w:t xml:space="preserve">- </w:t>
      </w:r>
      <w:r>
        <w:rPr>
          <w:rtl w:val="true"/>
        </w:rPr>
        <w:t>سيرة المعصومين علیهم السلام بعد الحسين علیه السلام على ترك السعي لإقامة حكومة إسلامية</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يستدلّ الكثير من الباحثين على فكرة الاختلاف في المرحلة والمسؤوليّة بين واقعنا والواقع الحسيني بسيرة المعصومين علیهم السلام بعد شهادة الحسين علیه السلام ، وهي سيرة قائمة على اعتزال العمل السياسي والعسكري، وترك السعي لإقامة حكومة إسلامية، وهو أمر واضح يلمسه أيّ باحث حينما يُطالع تاريخ وسيرة الأئمة علیهم السلام من الفترة التي زامنت إمامة علي بن الحسين زين العابدين علیه السلام إلى حين غيبة الإمام الثاني عشر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الحركة الحسينيّة المسلّحة لتغيير السلطة مرهونة بزمانها ومرحلتها، ولا يحقّ لنا تكرار التجربة في زماننا، تمسّكاً وتأسّياً بالسيرة الحاكمة للمعصومين علیهم السلام بعد عصر النهضة</w:t>
      </w:r>
      <w:r>
        <w:rPr>
          <w:rFonts w:eastAsia="IRNazanin" w:cs="IRNazanin"/>
          <w:color w:val="111111"/>
          <w:sz w:val="28"/>
          <w:szCs w:val="28"/>
          <w:rtl w:val="true"/>
          <w:lang w:bidi="fa-IR"/>
        </w:rPr>
        <w:t xml:space="preserve">. </w:t>
      </w:r>
      <w:bookmarkStart w:id="41" w:name="pg10991_100436"/>
    </w:p>
    <w:p>
      <w:pPr>
        <w:pStyle w:val="Heading2"/>
        <w:numPr>
          <w:ilvl w:val="1"/>
          <w:numId w:val="1"/>
        </w:numPr>
        <w:rPr/>
      </w:pPr>
      <w:bookmarkStart w:id="42" w:name="__RefHeading___Toc8288742_2870459653"/>
      <w:bookmarkStart w:id="43" w:name="_Toc14"/>
      <w:bookmarkEnd w:id="41"/>
      <w:bookmarkEnd w:id="42"/>
      <w:r>
        <w:rPr>
          <w:rtl w:val="true"/>
        </w:rPr>
        <w:t>الإجابة عن هذه الإشكاليّة</w:t>
      </w:r>
      <w:bookmarkEnd w:id="43"/>
    </w:p>
    <w:p>
      <w:pPr>
        <w:pStyle w:val="BookText"/>
        <w:rPr/>
      </w:pPr>
      <w:r>
        <w:rPr>
          <w:rFonts w:ascii="Amiri" w:hAnsi="Amiri" w:eastAsia="Amiri" w:cs="Amiri"/>
          <w:color w:val="111111"/>
          <w:sz w:val="28"/>
          <w:sz w:val="28"/>
          <w:szCs w:val="28"/>
          <w:rtl w:val="true"/>
          <w:lang w:bidi="ar-SA"/>
        </w:rPr>
        <w:t xml:space="preserve">لا زالت هذه الإشكاليّة من الملفات المفتوحة والمطروحة مفصّلاً في الأبحاث العقديّة والفقهيّة، ولا زال العلماء والفقهاء يتداولونها في بحوثهم بشكل جادّ وموضوعي، خصوصاً في الآونة الأخيرة، وقد تركزّت البحوث في هذا المجال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 وولاية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وأدلتها وأبعادها وحدودها ومعطياتها وآثارها، والبحث في هذا الملفّ بتفاصيله والآراء والنظريات المطروحة فيه موكول إلى الدراسات الفقهيّة العليا المعمّقة ذات الصلة، وهناك نظريات مختلفة ومتفاوتة تتراوح بين القول بولاية الفقيه المطلقة والشاملة لكل مفاصل الحياة الاجتماعيّة والسياسيّة والإداريّة وغيرها، وبين القول بولاية الفقيه الحسبية والخاصّة ببعض الأُمور المنصوص عليها في التراث الديني، ونحن هنا لا نريد الخوض في هذه المسألة وأبحاثها الطويلة نسبيّاً، ولكننا نحاول فيما يلي أن نُشير بنحو الإجمال إلى بعض النقاط المهمّة والمفصليّة، التي تُكرّس الدور المؤثّر والفاعل للأهداف السياسيّة للنهضة الحسينيّة في أوضاعنا الراهنة</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8288744_2870459653"/>
      <w:bookmarkStart w:id="45" w:name="_Toc15"/>
      <w:bookmarkEnd w:id="44"/>
      <w:r>
        <w:rPr>
          <w:rtl w:val="true"/>
        </w:rPr>
        <w:t>أوّلاً</w:t>
      </w:r>
      <w:r>
        <w:rPr>
          <w:rtl w:val="true"/>
        </w:rPr>
        <w:t xml:space="preserve">: </w:t>
      </w:r>
      <w:r>
        <w:rPr>
          <w:rtl w:val="true"/>
        </w:rPr>
        <w:t>نظرية الحكومة الإسلاميّة وولاية الفقيه المطلقة</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واحدة من النظريات الفقهيّة المهمّة والمطروحة في المقام هي نظريّة الحكومة الإسلاميّة وولاية الفقيه المطّلقة في عصر الغيبة، وقد تبنّاها وأسّس لها جملة من العلماء والباحثين، وتعرّضوا في بحوثهم العقديّة والفقهيّة بشكل تفصيلي لحدودها وأدلّتها وشواهدها، وضرورتها العقليّة والدينيّة، وموقعها المتميّز في منظومة الشريعة الإسلاميّة، وتصدّوا للردّ مفصّلاً على تلك الإشكاليّة الرافضة للنظريّة بكلّ وجوهها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باتت هذه النظريّة تحت ظلِّ ورعاية حشد من </w:t>
      </w:r>
    </w:p>
    <w:p>
      <w:pPr>
        <w:pStyle w:val="BookText"/>
        <w:rPr/>
      </w:pPr>
      <w:r>
        <w:rPr>
          <w:rFonts w:ascii="Amiri" w:hAnsi="Amiri" w:eastAsia="Amiri" w:cs="Amiri"/>
          <w:color w:val="111111"/>
          <w:sz w:val="28"/>
          <w:sz w:val="28"/>
          <w:szCs w:val="28"/>
          <w:rtl w:val="true"/>
          <w:lang w:bidi="ar-SA"/>
        </w:rPr>
        <w:t>الفقهاء والمجتهدين منهجاً ودستوراً عامّاً يحكم نظام الجمهوريّة الإسلاميّة في إيران بما يناهز الأربعة عقود، ولا زالت سارية المفعول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ضوء هذه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المبنى الفقهي والعقدي المتميّز والمقبول لدى الكثير من فقهاء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تكون الأهداف السياسيّة والعسكرية لنهضة الإمام الحسين علیه السلام هي الأساس والرائد الأوّل في مجال مقارعة الطغاة ومحاربتهم، وإسقاط أنظمتهم الظالمة وحكوماتهم الفاسدة، والعمل على تشكيل حكومة الإسلام العادلة في مجتمعاتنا الإسلاميّة، وهذا ما كان يُنادي ويهتف به دائماً مؤسس جمهوريّة إيران الإسلاميّة الإمام الخميني قدس سره ، حتى اشتُهر عنه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كل ما لدينا من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يقول أيضاً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ثورتنا هي امتداد لنهضة الحسين علیه السلام وشعاع من أشعتها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يرى قدس سره أن الولاية والحكومة الإسلاميّة من أهمّ الأهداف الأساسية لتشريع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قدس سره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للإسلام نظاماً وتشريعاً في كافة الشؤون الحيوية للإنسان والمجتمع البشري عامّة، ولا بدّ لنا أن نعتقد جزماً بأن الإسلام يعني الحكومة، وأن قوانين هذه الحكومة هي الأحكام الإسلاميّة التي نزل التشريع بها بهدف تعميم ونشر العدالة، وتلبية الحاجات الفردية والاجتماعية والثقافية والسياسيّة والاقتصادية والأُسريّة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46" w:name="pg10991_100438"/>
    </w:p>
    <w:p>
      <w:pPr>
        <w:pStyle w:val="BookText"/>
        <w:rPr/>
      </w:pPr>
      <w:bookmarkEnd w:id="46"/>
      <w:r>
        <w:rPr>
          <w:rFonts w:ascii="IRNazanin" w:hAnsi="IRNazanin" w:eastAsia="IRNazanin"/>
          <w:color w:val="111111"/>
          <w:sz w:val="28"/>
          <w:sz w:val="28"/>
          <w:szCs w:val="28"/>
          <w:rtl w:val="true"/>
          <w:lang w:bidi="fa-IR"/>
        </w:rPr>
        <w:t>وقد قطعت هذه النظريّة في الآونة الأخيرة شوطاً كبيراً في الفكر الشيعي، وتمَّ طرحها وعرضها والتأسيس لها بشكل متكامل، وبصورة علميّة ومنهجيّة، وعلى الموازين الفقهيّة والاجتهاديّة، وحاول المؤمنون بهذه النظريّة مناقشة وردّ كُلّ الرؤى والشبهات المناهضة لها، وتأمّلوا كثيراً في الروايات التي قد يظهر من بعضها المنع عن إقامة حكومة إسلاميّة في زمن الغيبة، إما من حيث الطريق والسند، أو من حيث الدلالة والمضمون، بما في ذلك الشواهد التي أوردناها لتأييد الإشكالية المطروحة في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وتحت ظلّ هذه النظريّة تبقى الأهداف السياسيّة لنهضة الإمام الحسين علیه السلام مصدراً عقديّاً وتشريعيّاً لكلّ ثورة ونهضة تصحيحيّة تسعى للإطاحة بالطغاة وحكوماتهم الفاسدة، واستبدالها بحكومة إلهيّة إسلاميّة تقوم على أساس العدالة والقسط والاستقامة</w:t>
      </w:r>
      <w:r>
        <w:rPr>
          <w:rFonts w:eastAsia="IRNazanin" w:cs="IRNazanin"/>
          <w:color w:val="111111"/>
          <w:sz w:val="28"/>
          <w:szCs w:val="28"/>
          <w:rtl w:val="true"/>
          <w:lang w:bidi="fa-IR"/>
        </w:rPr>
        <w:t>.</w:t>
      </w:r>
    </w:p>
    <w:p>
      <w:pPr>
        <w:pStyle w:val="Heading2"/>
        <w:numPr>
          <w:ilvl w:val="1"/>
          <w:numId w:val="1"/>
        </w:numPr>
        <w:rPr/>
      </w:pPr>
      <w:bookmarkStart w:id="47" w:name="__RefHeading___Toc8288746_2870459653"/>
      <w:bookmarkStart w:id="48" w:name="_Toc16"/>
      <w:bookmarkEnd w:id="47"/>
      <w:r>
        <w:rPr>
          <w:rtl w:val="true"/>
        </w:rPr>
        <w:t>ثانياً</w:t>
      </w:r>
      <w:r>
        <w:rPr>
          <w:rtl w:val="true"/>
        </w:rPr>
        <w:t xml:space="preserve">: </w:t>
      </w:r>
      <w:r>
        <w:rPr>
          <w:rtl w:val="true"/>
        </w:rPr>
        <w:t xml:space="preserve">فكرة المشاركة السياسيّة والاجتماعيّة </w:t>
      </w:r>
      <w:r>
        <w:rPr>
          <w:rtl w:val="true"/>
        </w:rPr>
        <w:t>(</w:t>
      </w:r>
      <w:r>
        <w:rPr>
          <w:rtl w:val="true"/>
        </w:rPr>
        <w:t>الولاية الحسبية</w:t>
      </w:r>
      <w:r>
        <w:rPr>
          <w:rtl w:val="true"/>
        </w:rPr>
        <w:t>)</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بعيداً عن نظرية الحكومة وولاية الفقيه المطلقة، فإننا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الدين عموماً والشريعة الإسلاميّة الحقّة على وجه الخصوص شريك أساس في تنظيم وتقنين حياة الناس، وإدارة المجتمع، وقيادة الأُمّة، وممارسة وظيفة الحكم والقضاء، وتصحيح مسارات العمليّة السياسيّة والاجتماعيّة بشكل عام، ومجاهدة الأعداء والغُزاة، والوقوف بوجه الظلم والظالمين، والدفاع عن حقوق المظلومين والمضطهدين، وحماية الضعفاء والفقراء، ورعاية القاصرين والمحتاجين، وغير ذلك </w:t>
      </w:r>
    </w:p>
    <w:p>
      <w:pPr>
        <w:pStyle w:val="BookText"/>
        <w:rPr/>
      </w:pPr>
      <w:r>
        <w:rPr>
          <w:rFonts w:ascii="Amiri" w:hAnsi="Amiri" w:eastAsia="Amiri" w:cs="Amiri"/>
          <w:color w:val="111111"/>
          <w:sz w:val="28"/>
          <w:sz w:val="28"/>
          <w:szCs w:val="28"/>
          <w:rtl w:val="true"/>
          <w:lang w:bidi="ar-SA"/>
        </w:rPr>
        <w:t>مما يرتبط بحفظ النظام العام وإتيان ما لا يرضى الشارع الأقدس بتفويته، وهذا هو ما نفهمه من معنى ولاية الفقهاء والمؤمنين الحسبيّة والخاصّة، التي يتبنّاها مشهور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تختلف مساحتها وشرائطها سعة وضيقاً من فقيه لآخر بحسب اختلاف الأدلّة والمباني الفقهية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نلمسه بوضوح تامّ حينما نطالع كلمات وآراء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وللوقوف على شواهد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تكاد أن تكون 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 والآراء الفقهيّة في هذه المسألة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المفيد قدس سره في كتابه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وللفقهاء من شيعة الأئمة علیهم السلام أن يُجمّعوا بإخوانهم في الصلوات الخمس، وصلوات الأعياد، والاستسقاء، والكسوف، والخسوف، إذا تمكنوا من ذلك، وأمنوا فيه من معرّة أهل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أن يقضوا بينهم بالحق، ويُصلحوا بين المختلفين في الدعاوى عند عدم البيّنات، ويفعلوا جميع ما جُعل إلى القضاة في الإسلام؛ لأن الأئمة علیهم السلام قد فوّضوا إليهم ذلك عند تمكّنهم منه بما ثبت عنهم فيه من الأخبار، وصحّ به النقل عند أهل المعرفة به من الآثار</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هذا المضمون ما ذكره الشيخ الطوسي في النهاية</w:t>
      </w:r>
      <w:r>
        <w:rPr>
          <w:rStyle w:val="FootnoteAnchor"/>
          <w:rtl w:val="true"/>
        </w:rPr>
        <w:footnoteReference w:id="13"/>
      </w:r>
      <w:r>
        <w:rPr>
          <w:rFonts w:ascii="Amiri" w:hAnsi="Amiri" w:eastAsia="Amiri" w:cs="Amiri"/>
          <w:color w:val="111111"/>
          <w:sz w:val="28"/>
          <w:sz w:val="28"/>
          <w:szCs w:val="28"/>
          <w:rtl w:val="true"/>
          <w:lang w:bidi="ar-SA"/>
        </w:rPr>
        <w:t>، وابن إدريس الحلّي في السرائر</w:t>
      </w:r>
      <w:r>
        <w:rPr>
          <w:rStyle w:val="FootnoteAnchor"/>
          <w:rtl w:val="true"/>
        </w:rPr>
        <w:footnoteReference w:id="14"/>
      </w:r>
      <w:r>
        <w:rPr>
          <w:rFonts w:ascii="Amiri" w:hAnsi="Amiri" w:eastAsia="Amiri" w:cs="Amiri"/>
          <w:color w:val="111111"/>
          <w:sz w:val="28"/>
          <w:sz w:val="28"/>
          <w:szCs w:val="28"/>
          <w:rtl w:val="true"/>
          <w:lang w:bidi="ar-SA"/>
        </w:rPr>
        <w:t>، والمحقّق الحلّي في الشرائع</w:t>
      </w:r>
      <w:r>
        <w:rPr>
          <w:rStyle w:val="FootnoteAnchor"/>
          <w:rtl w:val="true"/>
        </w:rPr>
        <w:footnoteReference w:id="15"/>
      </w:r>
      <w:r>
        <w:rPr>
          <w:rFonts w:ascii="Amiri" w:hAnsi="Amiri" w:eastAsia="Amiri" w:cs="Amiri"/>
          <w:color w:val="111111"/>
          <w:sz w:val="28"/>
          <w:sz w:val="28"/>
          <w:szCs w:val="28"/>
          <w:rtl w:val="true"/>
          <w:lang w:bidi="ar-SA"/>
        </w:rPr>
        <w:t>، والعلامة الحلّي في القواعد</w:t>
      </w:r>
      <w:r>
        <w:rPr>
          <w:rStyle w:val="FootnoteAnchor"/>
          <w:rtl w:val="true"/>
        </w:rPr>
        <w:footnoteReference w:id="16"/>
      </w:r>
      <w:r>
        <w:rPr>
          <w:rFonts w:ascii="Amiri" w:hAnsi="Amiri" w:eastAsia="Amiri" w:cs="Amiri"/>
          <w:color w:val="111111"/>
          <w:sz w:val="28"/>
          <w:sz w:val="28"/>
          <w:szCs w:val="28"/>
          <w:rtl w:val="true"/>
          <w:lang w:bidi="ar-SA"/>
        </w:rPr>
        <w:t>، والشهيدان في اللمعة وشرحها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الفيض الكاشاني قدس سره في المفاتيح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فوجوب الجهاد، والأمر بالمعروف والنهي عن المنكر، والتعاون على البرّ والتقوى، والإفتاء والحكم بين الناس بالحقّ، وإقامة الحدود والتعزيرات وسائر السياسات الدينيّة من ضروريات الدين، وهي القطب الأعظم في الدين والمهمّ الذي بعث الله له النبيين، ولو تُركت لعُطّلت النبوّة، واضمحلّت الديانة، وعمّت الفترة، وفشت الضلالة، وشاعت الجهالة، وخرب البلاد، وهلك العباد، نعوذ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إقامة الحدود والتعزيرات وسائر السياسات الدينيّة، فإن للفقهاء المأمونين إقامتها في الغيبة بحقّ النيابة عنه علیه السلام ، إذا أمنوا الخطر على أنفسهم، أو أحد من المسلمين على الأصح، وفاقاً للشيخين والعلامة وجماعة؛ لأنهم مأذونون من قِبَلهم علیهم السلام في أمثالها، كالقضاء والإفتاء وغيرهما، ولإطلاق أدلّة وجوبها، وعدم دليل على توقّفه على حضوره علیه السلام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يقول الشيخ كاشف الغطاء قدس سره في حديثه عن أحكام الجهاد وأقسامه وشرائطه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لم يحضر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غائباً أو كان حاضراً ولم يُتمكَّن من استئذانه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المُجتهدين القيام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الأفضل أو مأذونه في هذا المقام، ولا يجوز التعرّض في ذلك لغيرهم، وتجب طاعة الناس لهم، ومَن خالفهم فقد خالف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يكونوا، أو كانوا ولا يمكن الأخذ عنهم ولا الرجوع إليهم، أو كانوا من الوسواسيين الذين لا يأخذون بظاهر شريعة سيّد المرسلين، وجب على كلّ بصير صاحب رأي وتدبير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بطريقة السياسة، عارف بدقائق الرئاسة، صاحب إدراك وفهم وثبات وجزم وحزم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بأحمالها، ويتكلَّف بحمل أثقالها، وجوباً كفائياً مع مقدار القابلين، فلو تركوا ذلك عُوقبوا أجمعين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المولى النراقي قدس سره في حديثه عن ولاية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فعل متعلّق بأُمور العباد في دينهم أو دنياهم ولا بدّ من الإتيان به ولا مفرّ منه، إما عقلاً أو عادة، من جهة توقُّف أُمور المعاد أو المعاش لواحد أو جماعة عليه، وإناطة انتظام أُمور الدين أو الدنيا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شرعاً، من جهة ورود أمر به أو إجماع، أو نفي ضرر أو إضرار، أو عُسر أو حرج، أو فساد على مسلم، أو دليل آخر، أو ورود الإذن فيه من الشارع، ولم يجعل وظيفته لمعيّن واحد أو جماعة ولا لغير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 لا بدّية الإتيان به أو الإذن فيه، ولم يُعلَم المأمور به ولا المأذون فيه، فهو وظيفة الفقيه، وله التصرّف فيه، والإتيان به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ذلك كلّه بإجماع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للقضاء أو النظام والسياسة أو على جباية الخراج أو على القاصرين من الأطفال أو غير ذلك أو على الجميع، من قِبَل السلطان العادل أو نائبه، جائزة قطعاً، بل راجحة؛ لما فيها من المعاونة على البرّ والتقوى، والخدمة للإمام، وغير ذلك، خصوصاً في بعض الأفراد، وربما وجبت عيّناً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عموم الولاية لبقي كثير من الأُمور المتعلّقة بشيعتهم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وسوسة بعض الناس في ذلك، بل كأنه ما ذاق من طعم الفقه شيئاً، ولا فهم من لحن قولهم ورموزهم أمراً، ولا تأمّل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جعلته عليكم حاكماً وقاضياً وحجّة وخليفة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يظهر منه إرادة نظم زمان الغيبة لشيعتهم في كثير من الأُمور الراجعة إليهم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المحقق النائيني قدس سره بصدد بيان حدود وأبعاد ولاية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بنيّنا على </w:t>
      </w:r>
    </w:p>
    <w:p>
      <w:pPr>
        <w:pStyle w:val="BookText"/>
        <w:rPr/>
      </w:pPr>
      <w:r>
        <w:rPr>
          <w:rFonts w:ascii="Amiri" w:hAnsi="Amiri" w:eastAsia="Amiri" w:cs="Amiri"/>
          <w:color w:val="111111"/>
          <w:sz w:val="28"/>
          <w:sz w:val="28"/>
          <w:szCs w:val="28"/>
          <w:rtl w:val="true"/>
          <w:lang w:bidi="ar-SA"/>
        </w:rPr>
        <w:t>عموم ولاية الفقيه ببركة دلالة مقبولة ابن حنظلة، فلا إشكال في أن له الولاية على كل ما عُلِم بأنه من وظائف القضاة، أو عُلِم بأن تصدّيه من وظائف الولاة، أو كان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جباية الخراج والمقاسمة فضلاً عن مطالبة الأخماس والزكوات، وله التصدّي لإقامة الجمعة؛ بناءً على أن تكون إقامتها من وظائف الولاة، وأنه مع تصدّيه لإقامتها تجب على كُلّ مَن يتمكّن حضورها وجوباً عينيّاً، وكذلك له التصدّي لإقامة الحدود والتعزيرات وأمثالهما مما يُشكّ في كونه من وظيفة القضاة أو الولاة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باقة منتقاة من كلمات وآراء الأعلام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ويتجلّى منها بوضوح أبعاد وآفاق الرؤية والفكرة التي أشرنا إليها في مستهلّ هذه الإجابة، وهي كون الدين الإسلامي شريكاً رئيساً للإنسان في إدارة وتنظيم وبناء الحياة الاجتماعيّة والسياسيّة، ولا يسمح الدين أبداً للناس أن ينفردوا في بناء حياتهم وحضاراتهم البشريّة اعتماداً على عقولهم وأفكارهم وميولهم وغرائزهم الماديّة فحسب، بل يتحتّم عليهم أن يستعينوا بمزدوج المنتوج الديني والمنتوج البشري؛ لرسم المناهج والسُّبل والسياسات الصحيحة التي تُسهم في الارتقاء بواقع بلدانهم وبناء وتشييد مجتمعاتهم الصالحة والآمنة والمتحضّرة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ضوء هذه الرؤية؛ نستكشف مدى أهميّة الأهداف السياسيّة للنهضة الحسينيّة وأثرها ودورها الفاعل في حاضر الأُمّة ومستقبلها؛ كونها تُمثّل مصدراً ومنهلاً عقديّاً وتشريعيّاً مؤثراً ومُلهماً للشعوب والبلدان الإسلاميّة، وعلى كلّ فرد مسلم يؤمن بالحسين علیه السلام أن يحمله فكراً ومنهجاً وأُسلوباً في الحياة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يتوجّب على الأُمّة الإسلاميّة بكافّة أطيافها أن تستلهم من المدرسة الحسينيّة الخالدة دروس العزّة والإباء والتضحية والفداء والعظمة، وتتفاخر </w:t>
      </w:r>
      <w:bookmarkStart w:id="49" w:name="pg10991_100443"/>
    </w:p>
    <w:p>
      <w:pPr>
        <w:pStyle w:val="BookText"/>
        <w:rPr/>
      </w:pPr>
      <w:bookmarkEnd w:id="49"/>
      <w:r>
        <w:rPr>
          <w:rFonts w:ascii="Amiri" w:hAnsi="Amiri" w:eastAsia="Amiri" w:cs="Amiri"/>
          <w:color w:val="111111"/>
          <w:sz w:val="28"/>
          <w:sz w:val="28"/>
          <w:szCs w:val="28"/>
          <w:rtl w:val="true"/>
          <w:lang w:bidi="ar-SA"/>
        </w:rPr>
        <w:t>وتقتدي بالحسين الذي أرعب الطغاة وأقضّ مضاجعهم وأسقط عروشهم وزلزل الأرض تحت أقدامهم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للأُمّة أيضاً أن تستلهم من الحسين علیه السلام شارات الكرامة؛ لتخرج بكبريائها وشموخها ثائرة منتفضة على فراعنة عصرها، رافضة لحكوماتهم الجائرة وأنظمتهم الفاسدة، وأن تتعلّم الأُمّة من وحي أهداف نهضته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تُخطط سياسيّاً وعسكريّاً للانقلاب عليهم والإطاحة بهم واستبدالهم بالنظام الأصلح؟ وكيف تتحرّك إلى الأمام لتجعل الدين مصدراً مهمّاً من مصادر مجدها وشموخها وعظمتها؟</w:t>
      </w:r>
    </w:p>
    <w:p>
      <w:pPr>
        <w:pStyle w:val="BookText"/>
        <w:rPr/>
      </w:pPr>
      <w:r>
        <w:rPr>
          <w:rFonts w:ascii="IRNazanin" w:hAnsi="IRNazanin" w:eastAsia="IRNazanin"/>
          <w:color w:val="111111"/>
          <w:sz w:val="28"/>
          <w:sz w:val="28"/>
          <w:szCs w:val="28"/>
          <w:rtl w:val="true"/>
          <w:lang w:bidi="fa-IR"/>
        </w:rPr>
        <w:t>وعليها أن تبحث في الحسين علیه السلام عن عزّتها وكرامتها المهدورة، وتصنع من مبادئ نهضته المباركة مجتمعاً قويّاً رصيناً متلاحماً، لا يرضى بالذلّ والظلم والفساد، حسينيّاً في منهجه ومبادئه وأهدافه وغاياته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معنى لأن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السياسيّة للنهضة الحسينيّة لا تنتمي لمكوّنات بيئتنا وواقعنا المُعاش، ولا تُسهم في تصميم وإنتاج المشهد السياسي في زماننا الحاضر</w:t>
      </w:r>
      <w:r>
        <w:rPr>
          <w:rFonts w:eastAsia="IRNazanin" w:cs="IRNazanin"/>
          <w:color w:val="111111"/>
          <w:sz w:val="28"/>
          <w:szCs w:val="28"/>
          <w:rtl w:val="true"/>
          <w:lang w:bidi="fa-IR"/>
        </w:rPr>
        <w:t>!!</w:t>
      </w:r>
    </w:p>
    <w:p>
      <w:pPr>
        <w:pStyle w:val="Heading2"/>
        <w:numPr>
          <w:ilvl w:val="1"/>
          <w:numId w:val="1"/>
        </w:numPr>
        <w:rPr/>
      </w:pPr>
      <w:bookmarkStart w:id="50" w:name="__RefHeading___Toc8288748_2870459653"/>
      <w:bookmarkStart w:id="51" w:name="_Toc17"/>
      <w:bookmarkEnd w:id="50"/>
      <w:r>
        <w:rPr>
          <w:rtl w:val="true"/>
        </w:rPr>
        <w:t>ثالثاً</w:t>
      </w:r>
      <w:r>
        <w:rPr>
          <w:rtl w:val="true"/>
        </w:rPr>
        <w:t xml:space="preserve">: </w:t>
      </w:r>
      <w:r>
        <w:rPr>
          <w:rtl w:val="true"/>
        </w:rPr>
        <w:t>الحضور الحسيني المتميّز في الأوضاع الراهنة</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مجتمعاتنا الشيعيّة اليوم هي مجتمعات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بامتياز، بكلّ مضامينها ومظاهرها، وكلّنا يشاهد ويرى كيف أن دم الحسين علیه السلام يرسم بألوان الحريّة والإباء والكرامة لوحة بلداننا وصورة أجيالنا، ويبني بلَبِنات العزّة والشموخ صروح مجدنا ومعالي حضارتنا، بل أضحى حسين الخلود حضارة الإنسان التي نتفاخر بشرف الانتماء إليها، وقد تعلّمنا من الحسين كيف نُقارع الأنظمة والحكومات الفاسدة، فانتصرنا وأقمنا حكومة الإسلام في دولة إيران العزيزة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وتعلّمنا من الحسين كيف نواجه طاغية العراق بعزيمة واستبسال، فانتصرنا وأذقناه ذلّ العار </w:t>
      </w:r>
      <w:bookmarkStart w:id="52" w:name="pg10991_100444"/>
    </w:p>
    <w:p>
      <w:pPr>
        <w:pStyle w:val="BookText"/>
        <w:rPr/>
      </w:pPr>
      <w:bookmarkEnd w:id="52"/>
      <w:r>
        <w:rPr>
          <w:rFonts w:ascii="IRNazanin" w:hAnsi="IRNazanin" w:eastAsia="IRNazanin"/>
          <w:color w:val="111111"/>
          <w:sz w:val="28"/>
          <w:sz w:val="28"/>
          <w:szCs w:val="28"/>
          <w:rtl w:val="true"/>
          <w:lang w:bidi="fa-IR"/>
        </w:rPr>
        <w:t>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وتعلّمنا من الحسين كيف نكون أحراراً في الدفاع عن ديننا وأعراضنا وأوطاننا، فانتصرنا نصراً مؤزّراً، وها هم أبناء الحسين علیه السلام وأحبابه وشيعته يُسطّرون اليوم أروع ملاحم البطولة والتضحية والفداء في الدفاع عن تُراب ومقدّسات عراقنا الحبيب، وها هم يكتبون في هذه المرحلة الحسّاسة تاريخاً ومستقبلاً جديداً، ناصعاً مشرقاً، ينتمي لكربلاء الصمود، فسلامٌ وتحيّةٌ من الله لهم وهم يقفون جبالاً شامخة في مواجهة ظلام الكفر والفساد والتخلّف والطغيان المتمثّل بما يُسمّى بأوباش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يقف خلفهم من الظلاميين والتكفيريين والخونة والمتآمرين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هي الشعوب المؤمنة بالحسين علیه السلام ومبادئ نهضته المباركة كانت ولا زالت تسير في رَكْبِه قُدماً، وتنبض مسيرتهم بالخير العطاء وعنفوان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ولا زال حُكّام الجور والطغاة يرتجفون خوفاً وهلعاً من صدى الصوت الحسيني الهادر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إطار هذه الملاحم العظيمة، ونحن نعيش هذه الانتصارات المتوالية للسياسات والمبادئ الحسينيّة تحت إشراف علمائنا الأعلام والمرجعيّة الرشيدة، فإنّي لا أفهم أبداً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المؤمنين لا يمتلكون مقوّمات النصر على الطغاة في زمن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المؤمنين قد انتصروا، وهم يعيشون اليوم في نعيم دولة الحسين علیه السلام وحضارته المترامية الأطراف، فالمبادئ السياسيّة للنهضة الحسينيّة بكل أبعادها باتت وأصبحت هي الطاقة الخلّاقة التي تُحرّك حاضر الأُمّة باتجاه صناعة مستقبل واعد وكريم</w:t>
      </w:r>
      <w:r>
        <w:rPr>
          <w:rFonts w:eastAsia="IRNazanin" w:cs="IRNazanin"/>
          <w:color w:val="111111"/>
          <w:sz w:val="28"/>
          <w:szCs w:val="28"/>
          <w:rtl w:val="true"/>
          <w:lang w:bidi="fa-IR"/>
        </w:rPr>
        <w:t>.</w:t>
      </w:r>
    </w:p>
    <w:p>
      <w:pPr>
        <w:pStyle w:val="Heading2"/>
        <w:numPr>
          <w:ilvl w:val="1"/>
          <w:numId w:val="1"/>
        </w:numPr>
        <w:rPr/>
      </w:pPr>
      <w:bookmarkStart w:id="53" w:name="__RefHeading___Toc8288750_2870459653"/>
      <w:bookmarkStart w:id="54" w:name="_Toc18"/>
      <w:bookmarkEnd w:id="53"/>
      <w:r>
        <w:rPr>
          <w:rtl w:val="true"/>
        </w:rPr>
        <w:t>رابعاً</w:t>
      </w:r>
      <w:r>
        <w:rPr>
          <w:rtl w:val="true"/>
        </w:rPr>
        <w:t xml:space="preserve">: </w:t>
      </w:r>
      <w:r>
        <w:rPr>
          <w:rtl w:val="true"/>
        </w:rPr>
        <w:t>مناقشة شواهد ونصوص الإشكاليّة</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نريد بهذا العنوان الولوج مفصلاً في الردّ والإجابة عن الشواهد التي سيقت </w:t>
      </w:r>
    </w:p>
    <w:p>
      <w:pPr>
        <w:pStyle w:val="BookText"/>
        <w:rPr/>
      </w:pPr>
      <w:r>
        <w:rPr>
          <w:rFonts w:ascii="Amiri" w:hAnsi="Amiri" w:eastAsia="Amiri" w:cs="Amiri"/>
          <w:color w:val="111111"/>
          <w:sz w:val="28"/>
          <w:sz w:val="28"/>
          <w:szCs w:val="28"/>
          <w:rtl w:val="true"/>
          <w:lang w:bidi="ar-SA"/>
        </w:rPr>
        <w:t>لتأييد تلك الإشكاليّة الزمكانيّة؛ لأن هذا الأمر موكول للبحوث التخصصيّة والاجتهاديّة الفقهيّة والعقديّة المطروحة في مسألة ولاية الفقيه والحكومة الإسلاميّة، وقد ذُكرت أجوبة كثيرة ومتنوّعة وتفصيليّة للردّ على تلك الشواهد الروائيّة والتاريخيّة، يستطيع الباحث ملاحظتها في مظانها، ولكننا سوف نُشير بنحو الإجمال إلى بعض الإجابات والتعليقات المختصرة،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المضمون الذي بيّناه واستعرضناه في الشاهد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فصل الاختصاص الديني عن المنهج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ولا زال يُمثّل هاجساً كبيراً لدى كثير من العلماء والأساتذة والباحثين في الاختصاص الديني، ويمنعهم من محاولة التفكير الجادّ في إقحام علوم السياسة والاجتماع كمناهج علميّة تخصصيّة في جدول مدرستنا الدينيّة الاجتهاديّة؛ مما أدّى إلى إلغائها وإقصائها بشكل كامل من منظومة مناهجنا الدراسيّة التقليديّة في كثير من حوزاتنا العلميّة، مع أن لهذه العلوم الإنسانيّة مساحة واسعة وتراثاً ضخماً في موروثنا الديني والإسلامي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مُدارسة ومناقشة هذا الأمر تفصيلاً لا تحتمله سياقات بحثنا الموجز، لكننا نغتنمها فرصة لندعو العلماء والأساتذة والفضلاء لإعادة النظر في هذا القرار أو العرف المناهجي الذي أصبح شبه نافذ ومعمول به في دروسنا وكراسي اختصاصاتنا الدينيّة الرسميّة، ونحن نرى اليوم ضرورة التغيير والتطوير في هذا المجال، خصوصاً في أوضاعنا الراهنة، التي يتعذّر فيها التنصّل والابتعاد عن الواقع الاجتماعي والسياسي لعالمنا المعاصر، فإن كُنّا من المؤمنين بنظرية الحكومة الإسلاميّة وولاية الفقيه، فالحاجة إلى دراسة مثل هذه العلوم دراسة دينيّة اختصاصيّة اجتهاديّة لا تفتقر إلى البيان، وإن كُنّا لا نؤمن بهذه النظريّة، فإن إجماع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الإيمان بولاية الفقيه الخاصّة والحسبيّة، وضرورة أن يكون الاختصاص الديني </w:t>
      </w:r>
    </w:p>
    <w:p>
      <w:pPr>
        <w:pStyle w:val="BookText"/>
        <w:rPr/>
      </w:pPr>
      <w:r>
        <w:rPr>
          <w:rFonts w:ascii="Amiri" w:hAnsi="Amiri" w:eastAsia="Amiri" w:cs="Amiri"/>
          <w:color w:val="111111"/>
          <w:sz w:val="28"/>
          <w:sz w:val="28"/>
          <w:szCs w:val="28"/>
          <w:rtl w:val="true"/>
          <w:lang w:bidi="ar-SA"/>
        </w:rPr>
        <w:t>شريكاً قويّاً ومؤثراً في مجال السياسة والاجتماع، وهذا هو الدور المصيري والحسّاس الذي تقوم به مرجعيّاتنا الرشيدة اليوم في كثير من البلدان والأمصار، وهو ما يتطلّب منّا أن نكون شركاء أقوياء، وأن نُساهم في إدارة شأننا السياسي والاجتماعي عن معرفة ودراية تامّة بالتراث الديني وواقع الحياة ومتطلّبات العصر والمرحلة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وحينذاك؛ يُصبح التراث السياسي للنهضة الحسينيّة على وجه الخصوص من أهمّ مصادرنا التشريعيّة والعقديّة المؤثّرة في رسم معالم مشاركتنا السياسيّة والاجتماعيّة، ولا مبرّر أبداً لإهمال وتهميش هكذا تراث مهمّ ومفصليّ وحساس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ادُّعي في محتوى الشاهد الثاني، من كون حركة المعصومين من أئمة أهل البيت علیهم السلام السياسيّة لاستلام مقاليد الحكم وقيادة الأُمة، تُعدّ من خصائص عصمتهم ومقام إمامتهم الربانيّة، ولا يصلح الاقتداء والتأسي بهم في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يمتلك هذا الادّعاء أيّ دليل ناهض لإثباته، بل الأدلّة المتضافرة على خلافه، والفقهاء قديماً وحديثاً يؤكّدون في بحوثهم الأُصوليّة والفقهيّة على أن النبيّ الأكرم صلی الله علیه و اله وأهل بيته المعصومين علیهم السلام هم قدوة وأُسوة في كلّ أفعالهم وتحرّكاتهم الفردية والاجتماعيّة والسياسيّة، إلّا ما أخرجه الدليل الخاصّ، وهو قليل ونادر جدّاً، من قبيل جواز التزوّج بأكثر من أربعة بعقد دائم ووجوب صلاة الليل في حقّ النبي صلی الله علیه و اله ، وأما ما دون ذلك فإن منهجهم علیهم السلام في الحياة هو سبيلنا ومنهجنا، ولكن بشرطها وشروطها، ومن شروطها الضروريّة العمل الجادّ على وضع البحوث والدراسات والمناهج التخصصيّة الاجتهاديّة؛ لتحديد ما يتطلّبه الواقع والمرحلة، وما ينطبق عليه من منهج أهل البيت علیهم السلام وسيرتهم المتنوّعة بتنوّع واقعهم الذي عايشوه آنذاك، وواحدة من المصادر المهمّة في هذا المجال سيرة الحسين علیه السلام ونهجه السياسي في نهضته المباركة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الشاهدان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من النصوص والروايات الشريفة، التي يُستظهر منها الأمر بالجلوس والنهي عن التخطيط للخروج على الحكومات الفاسدة بهدف إسقاطها واستبدالها بحكومة إسلاميّة عادلة، وهناك أجوبة وردود مفصّلة لمناقشة الاستدلال بمضامين هذه النصوص، مطروحة في البحوث الاجتهاديّة الفقهيّة حول مسألة الحكومة الإسلاميّة وولاية الفقيه، لا نريد الخوض في تفاصيلها، لكننا بنحو الإجمال 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النصوص المتقدّمة الدالّة على أن كلّ راية تُرفع قبل قيام القائم علیه السلام فصاحبها طاغوت يُعبد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أُجيب عن الاستدلال بها من وجوه كثيرة، أوضحها وأتقنها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المقصود بالراية التي وقعت موضوعاً في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بمناسبات الحكم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يكون صاحبها داعياً الناس إلى نفسه في قبال راية الحق، وهي راية القائم علیه السلام ، وأمّا مَن تكون رايته في سبيل إسقاط رايات وحكومات الباطل والظلم، وإقامة الحق وإرجاعه إلى أصحابه الشرعيين، وتسليم الراية إلى القائم علیه السلام في حال ظهوره، فهكذا راية غير مشمولة بتلك النصوص، وذلك بقرينة وصف صاحب الراية الباطلة بالطاغوت وأنه يُعبد من دون الله، وهو ما يُعطي معنى الصنميّة والدعوة إلى الذات،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يناسب فرض كون خروجه لنفسه، لا بنيّة تسليم الأمر إلى الإمام المعصوم لو حضر</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بعض أساتذتنا الأجلاء في تماميّة هذه الإجابة، وتفصيل البحث موكول إلى محلّه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النصوص الآمرة بالجلوس والسكون، والناهية عن الخروج على السلطات الظالمة، فأهمّها وأصحّها رواية عيص بن القاسم المتقدّمة، وقد أُجيب </w:t>
      </w:r>
    </w:p>
    <w:p>
      <w:pPr>
        <w:pStyle w:val="BookText"/>
        <w:rPr/>
      </w:pPr>
      <w:r>
        <w:rPr>
          <w:rFonts w:ascii="IRNazanin" w:hAnsi="IRNazanin" w:eastAsia="IRNazanin"/>
          <w:color w:val="111111"/>
          <w:sz w:val="28"/>
          <w:sz w:val="28"/>
          <w:szCs w:val="28"/>
          <w:rtl w:val="true"/>
          <w:lang w:bidi="fa-IR"/>
        </w:rPr>
        <w:t xml:space="preserve">عن الاستدلال بها في المقام بوجوه عديدة، أتقنها ما أجاب به بعض المحقّقين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ولاية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الرواية ناظرة إلى خروج مَن يخرج داعياً إلى نفسه، كما هو شأن الخارجين في زمان صدور النصّ، وليست ناظرة إلى مَن يخرج داعياً إلى الإمام علیه السلام ؛ وذلك بقرينة التفريق في الرواية بين خروج زيد وخروج غيره، وقد امتدح الإمام علیه السلام خروج زيد وأثنى عليه؛ معللاً ذلك بأنه لم يخرج داعياً لنفسه وإنما خرج داعياً إلى الرضا من آل محمد صلی الله علیه و اله ، فيُفهم منه أن الخروج الآخر المنهي عنه وغير المرضي لدى الإمام علیه السلام هو الخروج مع مَن يخرج مستقلاً عن الإمام وداعياً لنفسه؛ إذ لا فرق بينه حينئذٍ وبين الحكومة القائمة آنذاك، فكلٌّ منهما يدعو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 لا تدلّ على عدم وجوب الدفاع وعدم جواز الخروج، بل تدلّ على أن الداعي إلى الخروج قد تكون دعوته باطلة، بأن يدعو إلى نفسه مثلاً مع عدم استحقاقه لما يدّعيه، كمن يدّعي المهدوية مثلاً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دعوته حقّه، كدعوة زيد بن علي بن الحسين مثلاً، حيث دعا الناس لنقض السلطنة الجائرة وتسليم الحق إلى أهله،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تُمضي قيام زيد، وتدلّ على جواز القيام للدفاع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لزيد قطعاً، وإنما الملاك هدفه في قيامه وصلاحيته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لنقض الحكومة الفاسدة الجائرة مع إِعداد مقدماته جائز، بل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ظفر زيد لوفى بما دعا إليه من إِرجاع الحكومة إلى المرضيّ من آل محمد، كما نطق به الخبر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أيضاً بأن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كون صدرها في مقام الإرشاد إلى مَن يصحّ الخروج معه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المجتمع الشيعي من صلاحياته اختيار من يُمثّله ويُدير شؤونه من ذوي العلم والخبرة والقدرة، فلا بأس أن يتصدّى من العلماء </w:t>
      </w:r>
    </w:p>
    <w:p>
      <w:pPr>
        <w:pStyle w:val="BookText"/>
        <w:rPr/>
      </w:pPr>
      <w:r>
        <w:rPr>
          <w:rFonts w:ascii="IRNazanin" w:hAnsi="IRNazanin" w:eastAsia="IRNazanin"/>
          <w:color w:val="111111"/>
          <w:sz w:val="28"/>
          <w:sz w:val="28"/>
          <w:szCs w:val="28"/>
          <w:rtl w:val="true"/>
          <w:lang w:bidi="fa-IR"/>
        </w:rPr>
        <w:t>الأجدر والأكفأ إذا اختارهم الناس لذلك الشأن، ويتحرّكوا حينئذٍ بالنيابة عن المجتمع الشيعي في ضوء تعاليم أهل البيت علیهم السلام ، ويجتنبوا الحديث والتحرّك باسم الرضا من آل محمد، فتُمثّل حركتهم التنفيذية والإداريّة إرادة ورضا المجتمع الإيماني، لا إرادة ورضا المعصوم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رواية سدير الصيرفي، فقد حملها بعض المحقّقين على القضيّة الخارجيّة وموردها الخاصّ وهو سدير نفسه، فسدير هو المنهي عن الخروج مع الخارجين، وهو المأمور بالسكون والجلوس في بيته؛ وذلك لخصوصيّة في شخصيته العاطفيّة والمزاجيّة المتقلّبة، وقد أورد قدس سره جملة من الشواهد والمؤيّدات لفرض خصوصيّة المورد، فلاحظ</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التمسّك بسيرة المعصومين علیهم السلام بعد شهادة الإمام الحسين علیه السلام ، ودعوى كونها قائمة على اعتزال العمل السياسي والعسكري، وترك السعي لإقامة حكومة 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تماماً؛ فإنهم علیه السلام مع كلّ المصاعب والظروف الحرجة والخانقة التي عاشوها في زمن الأُمويين والعباسيين، كانوا شركاء فاعلين ومؤثرين وحاضرين باستمرار فيما عايشوه من أحداث وتقلّبات في واقعهم الاجتماعي والسياسي، وكانوا علیهم السلام يتحرّكون في هذه الدائرة بصورة فاعلة ومتواصلة بما كان يسمح به النظام الاستبدادي والدكتاتوري الذي عايشوه آنذاك، وتاريخهم وسيرتهم المباركة خير شاهد على ما نقول، ويكفينا ذلك مبررّاً للخوض في مُدارسة الملف السياسي والاجتماعي للمعصومين علیه السلام على اختلاف مراحله ومواقفه، ابتداءً من زمن النبي الأكرم صلی الله علیه و اله ، ومروراً بأحداث النهضة الحسينيّة، وانتهاءً بزمان غيبة المعصوم الثاني عشر عجل الله تعالی فرجه الشریف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0991_100451"/>
      <w:bookmarkStart w:id="56" w:name="pg10991_100451"/>
      <w:bookmarkEnd w:id="56"/>
    </w:p>
    <w:p>
      <w:pPr>
        <w:pStyle w:val="Heading2"/>
        <w:numPr>
          <w:ilvl w:val="1"/>
          <w:numId w:val="1"/>
        </w:numPr>
        <w:rPr/>
      </w:pPr>
      <w:bookmarkStart w:id="57" w:name="pg10991_100451"/>
      <w:bookmarkStart w:id="58" w:name="__RefHeading___Toc8288752_2870459653"/>
      <w:bookmarkStart w:id="59" w:name="_Toc19"/>
      <w:bookmarkEnd w:id="57"/>
      <w:bookmarkEnd w:id="58"/>
      <w:r>
        <w:rPr>
          <w:rtl w:val="true"/>
        </w:rPr>
        <w:t>دراسات في آفاق النهضة الحسينية</w:t>
      </w:r>
      <w:bookmarkEnd w:id="59"/>
    </w:p>
    <w:p>
      <w:pPr>
        <w:pStyle w:val="Heading3"/>
        <w:numPr>
          <w:ilvl w:val="2"/>
          <w:numId w:val="1"/>
        </w:numPr>
        <w:rPr/>
      </w:pPr>
      <w:bookmarkStart w:id="60" w:name="__RefHeading___Toc8288754_2870459653"/>
      <w:bookmarkStart w:id="61" w:name="_Toc20"/>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النهضة الحسينية بين نظرية الشهادة وإقامة الحكومة</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تعبئة الأُمة وإعدادها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فلسفة البكاء على الإمام الحسين علیه السلام</w:t>
      </w:r>
    </w:p>
    <w:p>
      <w:pPr>
        <w:pStyle w:val="BookText"/>
        <w:rPr/>
      </w:pPr>
      <w:r>
        <w:rPr>
          <w:rFonts w:ascii="Amiri" w:hAnsi="Amiri" w:eastAsia="Amiri" w:cs="Amiri"/>
          <w:color w:val="111111"/>
          <w:sz w:val="28"/>
          <w:sz w:val="28"/>
          <w:szCs w:val="28"/>
          <w:rtl w:val="true"/>
          <w:lang w:bidi="ar-SA"/>
        </w:rPr>
        <w:t>المؤسسة الشعائرية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 والسيرورة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991_100453"/>
      <w:bookmarkStart w:id="63" w:name="pg10991_100453"/>
      <w:bookmarkEnd w:id="63"/>
    </w:p>
    <w:p>
      <w:pPr>
        <w:pStyle w:val="Heading3"/>
        <w:numPr>
          <w:ilvl w:val="2"/>
          <w:numId w:val="1"/>
        </w:numPr>
        <w:rPr/>
      </w:pPr>
      <w:bookmarkStart w:id="64" w:name="pg10991_100453"/>
      <w:bookmarkStart w:id="65" w:name="__RefHeading___Toc8288756_2870459653"/>
      <w:bookmarkStart w:id="66" w:name="_Toc21"/>
      <w:bookmarkEnd w:id="64"/>
      <w:bookmarkEnd w:id="65"/>
      <w:r>
        <w:rPr>
          <w:rtl w:val="true"/>
        </w:rPr>
        <w:t>النهضة الحسينية بين نظرية الشهادة وإقامة الحكومة</w:t>
      </w:r>
      <w:bookmarkEnd w:id="66"/>
    </w:p>
    <w:p>
      <w:pPr>
        <w:pStyle w:val="Heading3"/>
        <w:numPr>
          <w:ilvl w:val="2"/>
          <w:numId w:val="1"/>
        </w:numPr>
        <w:rPr/>
      </w:pPr>
      <w:bookmarkStart w:id="67" w:name="__RefHeading___Toc8288758_2870459653"/>
      <w:bookmarkStart w:id="68" w:name="_Toc22"/>
      <w:bookmarkEnd w:id="67"/>
      <w:r>
        <w:rPr>
          <w:rtl w:val="true"/>
        </w:rPr>
        <w:t>آية الله الشيخ محمد جواد اللنكراني</w:t>
      </w:r>
      <w:bookmarkEnd w:id="68"/>
    </w:p>
    <w:p>
      <w:pPr>
        <w:pStyle w:val="Heading3"/>
        <w:numPr>
          <w:ilvl w:val="2"/>
          <w:numId w:val="1"/>
        </w:numPr>
        <w:rPr/>
      </w:pPr>
      <w:bookmarkStart w:id="69" w:name="__RefHeading___Toc8288760_2870459653"/>
      <w:bookmarkStart w:id="70" w:name="_Toc23"/>
      <w:bookmarkEnd w:id="69"/>
      <w:r>
        <w:rPr>
          <w:rtl w:val="true"/>
        </w:rPr>
        <w:t>المقدّمة</w:t>
      </w:r>
      <w:bookmarkEnd w:id="70"/>
    </w:p>
    <w:p>
      <w:pPr>
        <w:pStyle w:val="BookText"/>
        <w:rPr/>
      </w:pPr>
      <w:r>
        <w:rPr>
          <w:rFonts w:ascii="Amiri" w:hAnsi="Amiri" w:eastAsia="Amiri" w:cs="Amiri"/>
          <w:color w:val="111111"/>
          <w:sz w:val="28"/>
          <w:sz w:val="28"/>
          <w:szCs w:val="28"/>
          <w:rtl w:val="true"/>
          <w:lang w:bidi="ar-SA"/>
        </w:rPr>
        <w:t>يعتبر الحديث عن أهداف الثورة الحسينية من الأُمور المهمّة التي تطرّق إليها كثير من الفقهاء والمحقّقين، وقد قُدّمت نظريات متعددة استُدلّ عليها بشواهد من واقعة عاشوراء، فهناك مَن ادّعى أنّ الثورة الحسينية لا تُحدّد بهدف واحد، بل لها هدفان أو ثلاثة، وذكر بعضٌ أنّ بين هذه الأهداف المتعدّدة ترتّباً طوليّاً، وذهب آخرون إلى فرض العَرْضية بين تلك الأهداف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الالتفات إلى أنّ هذه الواقعة العظيمة التي حدثت في تاريخ الأُمّة الإسلاميّة فريدة من نوعها، ولا يمكن ببيانٍ قليل وتحليلٍ يسير أن نقف على حقيقتها؛ لأنّها حادثة رسمتها اليد الإلهية بشكلٍ خاصٍّ ومميّز، ولا تنال عقول المفكرين والمحقّقين زواياها المتعدّدة، فيمكن أن تتّضح لنا أبعاد وحقائق أُخرى أعمق ممّا عليه اليوم بمرور الزمان، وكلّما تزداد معرفتنا بإمامة وولاية أهل البيت علیهم السلام تتّضح لنا أهداف وغايات النهضة بشكل أكبر</w:t>
      </w:r>
      <w:r>
        <w:rPr>
          <w:rFonts w:eastAsia="IRNazanin" w:cs="IRNazanin"/>
          <w:color w:val="111111"/>
          <w:sz w:val="28"/>
          <w:szCs w:val="28"/>
          <w:rtl w:val="true"/>
          <w:lang w:bidi="fa-IR"/>
        </w:rPr>
        <w:t xml:space="preserve">. </w:t>
      </w:r>
      <w:bookmarkStart w:id="71" w:name="pg10991_100454"/>
    </w:p>
    <w:p>
      <w:pPr>
        <w:pStyle w:val="Heading3"/>
        <w:numPr>
          <w:ilvl w:val="2"/>
          <w:numId w:val="1"/>
        </w:numPr>
        <w:rPr/>
      </w:pPr>
      <w:bookmarkStart w:id="72" w:name="__RefHeading___Toc8288762_2870459653"/>
      <w:bookmarkStart w:id="73" w:name="_Toc24"/>
      <w:bookmarkEnd w:id="71"/>
      <w:bookmarkEnd w:id="72"/>
      <w:r>
        <w:rPr>
          <w:rtl w:val="true"/>
        </w:rPr>
        <w:t>الاتجاهات في تفسير هدف الثورة الحسينية</w:t>
      </w:r>
      <w:bookmarkEnd w:id="73"/>
    </w:p>
    <w:p>
      <w:pPr>
        <w:pStyle w:val="BookText"/>
        <w:rPr/>
      </w:pPr>
      <w:r>
        <w:rPr>
          <w:rFonts w:ascii="Amiri" w:hAnsi="Amiri" w:eastAsia="Amiri" w:cs="Amiri"/>
          <w:color w:val="111111"/>
          <w:sz w:val="28"/>
          <w:sz w:val="28"/>
          <w:szCs w:val="28"/>
          <w:rtl w:val="true"/>
          <w:lang w:bidi="ar-SA"/>
        </w:rPr>
        <w:t>نستعرض في بداية البحث النظريات والاتجاهات التي طُرحت في مجال تحليل هدف الثورة الحسينية بشكلٍ إجمالي؛ ليتسنّى لنا بعد ذلك اختيار النظرية المناسبة، وسنعطي لكلّ نظرية عنواناً خاصّاً تسهيلاً لفهمها، وعمدة النظريات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هذه النظرية أنّ الهدف من ثورة سيد الشهداء علیه السلام هو الشهادة، وأنّه قد وطّن نفسه على هذا الأمر، ولم يكن وراء هذا الهدف هدف آخر، بل أقبل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الظروف المعقّدة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الشهادة التي قد رسمها الله تعالى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تبنّى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الأعلام وكثير من المحقّقين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الهدف المرحلي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هذه النظرية إلى أنّ ثورة سيد الشهداء علیه السلام تحتوي على مرحلتين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إقامة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الشهادة، وذلك بعد أن وصل خبر مقتل مسلم بن عقيل، فتحرّك نحو كربلاء طالباً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هذه النظرية الأُستاذ الشهيد مطهّري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الهدف المزدوج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هذه النظرية بأنّ لنهضة سيد الشهداء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يتجسّد في الشهادة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دعوة الناس للوقوف في وجه يزيد؛ لأجل إصلاح أوضاع </w:t>
      </w:r>
    </w:p>
    <w:p>
      <w:pPr>
        <w:pStyle w:val="BookText"/>
        <w:rPr/>
      </w:pPr>
      <w:r>
        <w:rPr>
          <w:rFonts w:ascii="IRNazanin" w:hAnsi="IRNazanin" w:eastAsia="IRNazanin"/>
          <w:color w:val="111111"/>
          <w:sz w:val="28"/>
          <w:sz w:val="28"/>
          <w:szCs w:val="28"/>
          <w:rtl w:val="true"/>
          <w:lang w:bidi="fa-IR"/>
        </w:rPr>
        <w:t>المسلمين المتردّية آنذاك؛ لما حصل من تغييب طويل لسُنن رسول الله صلی الله علیه و اله ، وإحياء للبدع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ذهب إلى هذه النظرية العلّامة السيد مرتضى العسكري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الأهداف الطُولية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بعض الكتّاب المعاصرين أنّ ثورة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وبترتّبٍ طولي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تحتوي على ثلاثة مراحل، استهدف الإمام في المرحلة الأُولى الانتصار العسكري وإقامة الدولة الاسلامية؛ لكن عندما لاحظ علیه السلام أنّ هذا الهدف لا يمكن تحقيقه، انتقل إلى المرحلة الثانية وهي السِّلْم والصلح الكريم، ولمّا لم يقع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لا يخضع للذلّ والهوان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سبيل الشهادة، وهي تُمثّل المرحلة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تبنّى هذا الرأي صاحب كتاب شهيد جاويد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الخالد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النظرية قريبة من رأي بعض المحلّلين والباحثين من أهل العامّة، الذين يرون أنّ الحسين بن علي علیه السلام كان ساعياً من أول الأمر للخلافة وإقامة الدولة، كما صرّح بذلك شمس الدين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 ووفيات المشاهير والأعلام</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وتبنّى هذه النظرية أيضاً ابن الجوزي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أعلام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صرّحوا بأنّ الإمام الحسين علیه السلام خرج من المدينة متّجهاً إلى الكوفة؛ لامتناعه من بيعة يزيد، وعندما أُخبر بولاء أهل الكوفة له من قِبل مسلم بن عقيل علیه السلام تحرّك لأجل إقامة الدولة، وقد ذكر الشيخ المفيد في المسائل العكبرية</w:t>
      </w:r>
      <w:r>
        <w:rPr>
          <w:rStyle w:val="FootnoteAnchor"/>
          <w:rtl w:val="true"/>
        </w:rPr>
        <w:footnoteReference w:id="35"/>
      </w:r>
      <w:r>
        <w:rPr>
          <w:rFonts w:ascii="IRNazanin" w:hAnsi="IRNazanin" w:eastAsia="IRNazanin"/>
          <w:color w:val="111111"/>
          <w:sz w:val="28"/>
          <w:sz w:val="28"/>
          <w:szCs w:val="28"/>
          <w:rtl w:val="true"/>
          <w:lang w:bidi="fa-IR"/>
        </w:rPr>
        <w:t>في معرض الإجابة عن 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الحسين علیه السلام صار إلى أهل الكوفة، وقد علم أنّهم يخذلونه ولا ينصرونه، وأنّه مقتول في سفرته تلك؟</w:t>
      </w:r>
      <w:r>
        <w:rPr>
          <w:rFonts w:eastAsia="IRNazanin" w:cs="IRNazanin"/>
          <w:color w:val="111111"/>
          <w:sz w:val="28"/>
          <w:szCs w:val="28"/>
          <w:rtl w:val="true"/>
          <w:lang w:bidi="fa-IR"/>
        </w:rPr>
        <w:t xml:space="preserve">». </w:t>
      </w:r>
      <w:bookmarkStart w:id="74" w:name="pg10991_100456"/>
    </w:p>
    <w:p>
      <w:pPr>
        <w:pStyle w:val="BookText"/>
        <w:rPr/>
      </w:pPr>
      <w:bookmarkEnd w:id="74"/>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علم الحسين علیه السلام بأنّ أهل الكوفة خاذلوه، فلسنا نقطع على ذلك؛ إذ لا حجّة عليه من عقل ولا سمع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إقامة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بعض بأنّ الإمام الحسين علیه السلام لم يكن قاصداً للشهادة من أول الأمر، بل خرج لأجل تأسيس حكومة إسلامية، ولكن كان على علم بأنّ هذا الأمر لا يتحقّق ومآله إلى الشهادة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بعض عبائر آية الله العظمى الشيخ فاضل اللنكراني، وآية الله الإشراقي في كتابهما باسداران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كان يسعى لإقامة الدولة بحسب الظاهر، وأمّا باطناً فإنّه كان طالباً للشهادة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التكليف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سيد الشهداء علیه السلام كان مكلفاً بمهمّة خاصّة، وهذا ما ذهب إليه صاحب الجواهر،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أنّه له تكليف خاصّ قد قَدِم عليه وبادر إلى إجابته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المؤلفين أمثال صاحب كتاب مقصد الحسين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الشيخ ملا مهدي النراقي،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شهادة سيد الشهداء علیه السلام كانت فداءً؛ فإنّ الإمام علیه السلام استُشهد لأجل أن يكون شفيعاً لأُمّته ومكفّراً لذنوبهم، فالحسين علیه السلام عزم على الشهادة لأجل الوصول إلى درجة الشفاعة الكُبرى، التي هي السبيل لنجاة الشيعة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8288764_2870459653"/>
      <w:bookmarkStart w:id="76" w:name="_Toc25"/>
      <w:bookmarkEnd w:id="75"/>
      <w:r>
        <w:rPr>
          <w:rtl w:val="true"/>
        </w:rPr>
        <w:t>نظرية الشهادة</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بين المحقّقين أنّ الحسين علیه السلام كان عالماً بشهادته حتى قبل بداية الثورة؛ </w:t>
      </w:r>
    </w:p>
    <w:p>
      <w:pPr>
        <w:pStyle w:val="BookText"/>
        <w:rPr/>
      </w:pPr>
      <w:r>
        <w:rPr>
          <w:rFonts w:ascii="IRNazanin" w:hAnsi="IRNazanin" w:eastAsia="IRNazanin"/>
          <w:color w:val="111111"/>
          <w:sz w:val="28"/>
          <w:sz w:val="28"/>
          <w:szCs w:val="28"/>
          <w:rtl w:val="true"/>
          <w:lang w:bidi="fa-IR"/>
        </w:rPr>
        <w:t xml:space="preserve">ولذا كان هادفاً للشهادة من البدء، فإنّه علیه السلام عند خروجه من المدينة كتب إلى 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لحق بي استُشهد، ومَن لم يلحق بي لم يُدرك الفتح، والسلام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جماعة من بني هاشم لعلمهم بالمصير الذي تأول إليه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وطمعاً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امتنعوا من الانضمام إلى أبي عبد الله علیه السلام ، لكنّ بعضاً آخر من بيت أبي طالب علیه السلام قد التحقوا بالإمام علیه السلام ، فمن الواضح أنّ الإمام علیه السلام وآخرين قد كانوا على علمٍ بمآل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لا يمكن القول بنظرية الحكومة، وأنّ الإمام علیه السلام خرج لإقامة الدولة الإسلاميّة، فكيف يُتصوّر شخصٌ عارف بمصيره ومتيقّن أنّه سيُقتل، ومع ذلك ينتفض لاستلام السلطة، وإقامة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نقد هذه النظرية بالتفصيل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الشيخ آية الله العظمى محمد فاضل اللنكراني والشيخ شهاب الدين الإشراقي في كتابهما باسداران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الحسين علیه السلام قد خرج وهدفه الشهادة، ولم يكن قاصداً الكوفة، أو الإطاحة بحكومة يزيد وإقامة الدولة الإسلاميّة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وذكرا في بيان هذه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يسعى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الخطط المسبقة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 الكيان الإسلامي، ولذا تذمّر الناس وعلت الأصوات من صنيع يزيد، فاستغاثوا بالحسين علیه السلام وطلبوا منه قيادة الأُمّة، وبطبيعة الحال كان على الإمام الحسين علیه السلام أن يلبّي تلك الأصوات، وأن يُعلن جهراً مخالفته ليزيد الطاغي، ومن جهةٍ أُخرى أنّه علیه السلام كان عالماً بمصيره، وأنّ غصن الإسلام سيشتدّ عوده بالتضحية في سبيل الدين، ومن الواضح أنّ علم الإمام بشهادته لا يمنعه من العمل بتكليفه</w:t>
      </w:r>
      <w:r>
        <w:rPr>
          <w:rFonts w:eastAsia="IRNazanin" w:cs="IRNazanin"/>
          <w:color w:val="111111"/>
          <w:sz w:val="28"/>
          <w:szCs w:val="28"/>
          <w:rtl w:val="true"/>
          <w:lang w:bidi="fa-IR"/>
        </w:rPr>
        <w:t xml:space="preserve">. </w:t>
      </w:r>
      <w:bookmarkStart w:id="77" w:name="pg10991_100458"/>
    </w:p>
    <w:p>
      <w:pPr>
        <w:pStyle w:val="BookText"/>
        <w:rPr/>
      </w:pPr>
      <w:bookmarkEnd w:id="77"/>
      <w:r>
        <w:rPr>
          <w:rFonts w:ascii="IRNazanin" w:hAnsi="IRNazanin" w:eastAsia="IRNazanin"/>
          <w:color w:val="111111"/>
          <w:sz w:val="28"/>
          <w:sz w:val="28"/>
          <w:szCs w:val="28"/>
          <w:rtl w:val="true"/>
          <w:lang w:bidi="fa-IR"/>
        </w:rPr>
        <w:t>وبهذا ألقى الإمام الحسين علیه السلام الحجّة الكاملة على دُعاة الإصلاح والثورة ضدّ الظلم والجور، وقد كان الإمام علیه السلام عالماً بأنّ إحياء الدين والسنّة النبوية لا يمكن إلّا من خلال التضحية والشهادة في سبيل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هذين العلمين يعتقدان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بقي بنو أُميّة على حالهم، واستمروا بأعمالهم وأساليبهم الخاصّة، ولو لم تكن ثورة الإمام الحسين علیه السلام وشهادته مع أصحابه وإخوته وأبنائه، لسار أمر الإسلام والمسلمين إلى المجهول، فالإمام الحسين علیه السلام جعل نفسه وأصحابه طعمةً للموت؛ حتى يحفظ الدين والإسلام من الموت المحتّم</w:t>
      </w:r>
      <w:r>
        <w:rPr>
          <w:rFonts w:eastAsia="IRNazanin" w:cs="IRNazanin"/>
          <w:color w:val="111111"/>
          <w:sz w:val="28"/>
          <w:szCs w:val="28"/>
          <w:rtl w:val="true"/>
          <w:lang w:bidi="fa-IR"/>
        </w:rPr>
        <w:t>.</w:t>
      </w:r>
    </w:p>
    <w:p>
      <w:pPr>
        <w:pStyle w:val="Heading3"/>
        <w:numPr>
          <w:ilvl w:val="2"/>
          <w:numId w:val="1"/>
        </w:numPr>
        <w:rPr/>
      </w:pPr>
      <w:bookmarkStart w:id="78" w:name="__RefHeading___Toc8288766_2870459653"/>
      <w:bookmarkStart w:id="79" w:name="_Toc26"/>
      <w:bookmarkEnd w:id="78"/>
      <w:r>
        <w:rPr>
          <w:rtl w:val="true"/>
        </w:rPr>
        <w:t>أدلّة نظرية الشهادة</w:t>
      </w:r>
      <w:bookmarkEnd w:id="79"/>
    </w:p>
    <w:p>
      <w:pPr>
        <w:pStyle w:val="BookText"/>
        <w:rPr/>
      </w:pPr>
      <w:r>
        <w:rPr>
          <w:rFonts w:ascii="Amiri" w:hAnsi="Amiri" w:eastAsia="Amiri" w:cs="Amiri"/>
          <w:color w:val="111111"/>
          <w:sz w:val="28"/>
          <w:sz w:val="28"/>
          <w:szCs w:val="28"/>
          <w:rtl w:val="true"/>
          <w:lang w:bidi="ar-SA"/>
        </w:rPr>
        <w:t>ذُكرت عدّة أدلّة وشواهد على نظرية الشهادة، نذكرها ضمن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الطبري في تاريخه، عن أبي مخنف، في قصة زهير بن القين ولقائه بالإمام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زهيراً بعد أن رجع من لقائه بالإمام علیه السلام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منكم أن يتبعني وإلّا فإنّه آخر العهد، إنّي سأحدّثكم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بلنجر ففتح الله علينا وأصبنا غنائم، فقال لنا سلمان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بما فتح الله عليكم وأصبتم من المغانم؟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أدركتم شباب آل محمد فكونوا أشدّ فرحاً بقتالكم معهم بما أصبتم من الغنائم، فأمّا أنا فإنّي أستودعكم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في أول القوم حتى قُتل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زهير بعد رجوعه من الحجّ التقى الإمام في الطريق، وتغيّر بشكلٍ مذهل، بحيث ودّع زوجته ومرافقيه حينما وصل خيمته؛ الأمر الذي يدلّ على أنّ الإمام وعده بالجنة والشهادة في طريق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خبر استشهاد مسلم بن عقيل في الثعلبية، وخبر استشهاد عبد الله بن يقطر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الرضاعي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زبالة لم يثنِ الحسين علیه السلام من المسير،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خذلنا شيعتنا، فمَن أحبّ أن ينصرف فلينصرف، ليس عليه منّا ذمام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في وادي عقبة، وقول رجل من قبيلة عكرمة للإمام علیه السلام في خصوص ذهابه إلى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الله لما انصرفت، فو الله، ما تَقدِمُ إلّا على الأسنّة وحدّ السيوف، إنّ هؤلاء الذين بعثوا إليك لو كانوا كفوك مؤنة القتال، ووطّأوا لك الأشياء فقدمت عليهم لكان ذلك رأياً، فأمّا على هذه الحال التي تذكرها، فلا أرى لك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يخفى عليَّ ما ذكرت ولكن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 يُغلب على أمره</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حديث عن الشهادة لا تأسيس 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ابن الأثير في كامله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نفر قد أقبلوا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خبر الناس خلفكم، فقال له مجمع بن عبيد الله العامري وهو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أشراف الناس فقد أُعظمت رشوتهم، ومُلئت غرائرهم، فهم ألبٌ واحد عليك، وأمّا سائر الناس فقد أُعظمت قلوبهم تهوي إليك، وسيوفهم غدا مشهورة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عن رسوله قيس بن مُسهَّر، فأخبروه بقتله وما كان منه، فترقرقت عيناه بالدموع، ولم يملك دمعته،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سالم بن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بن سعد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قِبَلَنا ناساً سفهاء يزعمون أنّي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ليسوا </w:t>
      </w:r>
    </w:p>
    <w:p>
      <w:pPr>
        <w:pStyle w:val="BookText"/>
        <w:rPr/>
      </w:pPr>
      <w:r>
        <w:rPr>
          <w:rFonts w:ascii="Amiri" w:hAnsi="Amiri" w:eastAsia="Amiri" w:cs="Amiri"/>
          <w:color w:val="111111"/>
          <w:sz w:val="28"/>
          <w:sz w:val="28"/>
          <w:szCs w:val="28"/>
          <w:rtl w:val="true"/>
          <w:lang w:bidi="ar-SA"/>
        </w:rPr>
        <w:t>بسفهاء، ولكنّهم حلماء، أما إنّه يقرّ عيني ألّا تأكل برّ العراق بعدي إلّا قليلا</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يعلم أنّ الإمام علیه السلام سيُستَشهد، وأنّ القاتل للحسين علیه السلام هو عمر بن سعد أمرٌ معروف بين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خطبةٍ للحسين علیه السلام بمكة المكرمة في الثامن من ذي الحجة بين أهله وأصحابه،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وكربلاء، فيملأنّ منّي أكراشاً جوفا، وأجربةً سغبا، لا محيص عن يومٍ خُطّ بالقلم، رضا الله رضانا أهل البيت، نصبر على بلائه ويوفّينا أجور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باذلاً فينا مهجته، وموطّناً على لقاء الله نفسه، فليرحل معنا، فإنّي راحلٌ مصبحاً إن شاء الله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بأوصالي تقطّعها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على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باذلاً فينا مهجته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بوضوح على علم الإمام علیه السلام بمقتله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الحسين علیه السلام فما نزل منزلاً ولا ارتحل منه إلّا ذكر يحيى بن زكريا وقتله، وقال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هوان الدنيا على الله أنّ رأس يحيى بن زكريا علیه السلام أُهديَ إلى بغيٍّ من بغايا بني إسرائيل</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من هذا النصّ أنّ الإمام الحسين علیه السلام في صدد إعداد أهل بيته وأصحابه للشهادة، وهذا لا يتلائم مع تأسيس الحكومة أبداً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علیه السلام قد استرجع ثلاث مرات، وقال لابنه علي الأكبر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w:t>
      </w:r>
      <w:bookmarkStart w:id="80" w:name="pg10991_100461"/>
    </w:p>
    <w:p>
      <w:pPr>
        <w:pStyle w:val="BookText"/>
        <w:rPr/>
      </w:pPr>
      <w:bookmarkEnd w:id="80"/>
      <w:r>
        <w:rPr>
          <w:rFonts w:ascii="Amiri" w:hAnsi="Amiri" w:eastAsia="Amiri" w:cs="Amiri"/>
          <w:color w:val="111111"/>
          <w:sz w:val="28"/>
          <w:sz w:val="28"/>
          <w:szCs w:val="28"/>
          <w:rtl w:val="true"/>
          <w:lang w:bidi="ar-SA"/>
        </w:rPr>
        <w:t>إنّي خفقت برأسي خفقةً، فعنّ لي فارسٌ على فرس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علیه السلام في لقائه مع الحر بن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أرى الموت إلّا سعادة، ولا الحياة مع الظالمين إلّا برماً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8288768_2870459653"/>
      <w:bookmarkStart w:id="82" w:name="_Toc27"/>
      <w:bookmarkEnd w:id="81"/>
      <w:r>
        <w:rPr>
          <w:rtl w:val="true"/>
        </w:rPr>
        <w:t>تحليل نظرية الشهادة</w:t>
      </w:r>
      <w:bookmarkEnd w:id="82"/>
    </w:p>
    <w:p>
      <w:pPr>
        <w:pStyle w:val="BookText"/>
        <w:rPr/>
      </w:pPr>
      <w:r>
        <w:rPr>
          <w:rFonts w:ascii="IRNazanin" w:hAnsi="IRNazanin" w:eastAsia="IRNazanin"/>
          <w:color w:val="111111"/>
          <w:sz w:val="28"/>
          <w:sz w:val="28"/>
          <w:szCs w:val="28"/>
          <w:rtl w:val="true"/>
          <w:lang w:bidi="fa-IR"/>
        </w:rPr>
        <w:t>لقد حازت نظرية الشهادة قبولاً كبيراً في الأوساط العلمية، و ذُكر لها عدّة أدلّة وشواهد تعرّضنا لها مسبقاً، بَيدَ أنّه لا يمكن قبول هذه النظرية إلّا بمتمّمٍ، وهو عبارة ذُكرت في زيارة الإمام الحسين علیه السلام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 ليستنقذ عبادك من الجهالة وحيرة الضلالة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العبارة تدلّ بوضوح على أنّ الأُمّة الإسلاميّة مع قلّة الفاصل الزمني بينها وبين رحيل النبي صلی الله علیه و اله إلّا أنّها تعرّضت للضلال والتحريف، والتيَّه والنسيان؛ إذ صار أفسد الناس حكّاماً يتسلّطون على رقاب المسلمين، ويجلسون مجلس رسول الله صلی الله علیه و اله ، وهذه الجهالة والحماقة هي السبب الذي في ظلّه يمكن تحريف الدين، وتعطيل أحكامه وحدوده، فإنّ السبب في بؤس وتخلّف الأُمّة، هو ابتعادهم عن أحاديث رسول الله صلی الله علیه و اله ، وتركهم أقواله، فاستولى خلفاء الجور عليهم لعشرات السنين؛ كما قال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لِتخلّفها عن تعاليم رسول الله صلی الله علیه و اله ابتلاها الله بأسوأ منها، كيزيد بن معاوية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المضمار ذكر صاحب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بسر بن أرطاة، قد سبى نساء المسلمين، </w:t>
      </w:r>
    </w:p>
    <w:p>
      <w:pPr>
        <w:pStyle w:val="BookText"/>
        <w:rPr/>
      </w:pPr>
      <w:r>
        <w:rPr>
          <w:rFonts w:ascii="Amiri" w:hAnsi="Amiri" w:eastAsia="Amiri" w:cs="Amiri"/>
          <w:color w:val="111111"/>
          <w:sz w:val="28"/>
          <w:sz w:val="28"/>
          <w:szCs w:val="28"/>
          <w:rtl w:val="true"/>
          <w:lang w:bidi="ar-SA"/>
        </w:rPr>
        <w:t>وكشف عن سيقانهن؛ لغرض إغراء الناس بشرائهنّ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قطب عند تعرّضه لفتوحات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رقعة الإسلام قد امتدّت على يدي معاوية ومَن جاء بعده، ولكن روح الإسلام قد تقلّصت وهُزمت، بل انطفأت، فإن يهشّ إنسان لهزيمة الروح الإسلاميّة الحقيقية في مهدها، وانطفاء شعلتها بقيام ذلك المُلك العضوض، فتلك غلطة نفسيّة وخُلقية لا شكّ فيها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يبقَ من الإسلام إلّا رسمه، وقد ذكر هذا المعنى أنس بن مالك،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شيئاً ممّا كان على عهد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ذكره معاوية بن قرّة؛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سبعين من الصحابة، لو خرجوا فيكم اليوم، ما عرفوا شيئاً ممّا أنتم فيه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لأدفن اسم محمد ما دمت حيّاً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كلمات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قد خرج عن الإيمان؛ لمحاربته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لم يدخل في الإيمان حتى يخرج منه، بل خرج من الكفر إلى النفاق في زمن رسول الله صلی الله علیه و اله ، ثمّ رجع إلى كفره الأصلي بعده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الأُمّة آنذاك ترى نفسها ملزمة بطاعة الشيطان لا طاعة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w:t>
      </w:r>
    </w:p>
    <w:p>
      <w:pPr>
        <w:pStyle w:val="BookText"/>
        <w:rPr/>
      </w:pPr>
      <w:r>
        <w:rPr>
          <w:rFonts w:ascii="Amiri" w:hAnsi="Amiri" w:eastAsia="Amiri" w:cs="Amiri"/>
          <w:color w:val="111111"/>
          <w:sz w:val="28"/>
          <w:sz w:val="28"/>
          <w:szCs w:val="28"/>
          <w:rtl w:val="true"/>
          <w:lang w:bidi="ar-SA"/>
        </w:rPr>
        <w:t>الحدود، واستأثروا بالفيء، وأحلّوا حرام الله وحرّموا حلاله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العبارة وإن كانت تُشير إلى حكّام ذلك الزمان، لكنّ الناس آنذاك قبلوا هذا المنهج، بل كان في شيوعٍ واتّساع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عبارةٍ أُخرى للإمام الحسين، قال علیه السلام في ذي حسم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يُعمل به، وأنّ الباطل لا يُتناهى عنه، ليرغب المؤمن في لقاء الله مُحقّاً، فإنّي لا أرى الموت إلّا شهادة</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أشار علیه السلام في الذيل إلى الشهادة، لكن هذه الإشارة بسبب ما ذكره علیه السلام في أوّل الكلام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 لا يُعمل به، وأنّ الباطل لا يُتناهى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الموت إلّا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نصٍّ آخر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الإمام إلّا العامل بالكتاب، والآخذ بالقسط، والدائن بالحقّ، والحابس نفسه على ذات الله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يُثار تساؤل،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الضرورة التي دعت الإمام علیه السلام أن يُبيّن حقيقة الإمام وخصائصه؟ فهل يُعدّ ذلك رفضاً منه علیه السلام ليزيد وأتباعه؟ أو كان يجول في خاطره الشريف شيئاً مهمّاً غير ذلك، كأن تكون الأُمّة قد وصلت إلى مرتبة من الانحطاط والضياع، بحيث فقدت القدرة اللازمة على تمييز الإمام الحق من غيره؛ مما دعا الإمام علیه السلام أن يُبيّن خصوصيات الإمام؟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أضحت الأُمّة في سباتٍ عميق، وغطّت عقولها جهالةٌ ظلماء صمّاء، ووقعت في التيّه والضلال، وتركت الواجبات، وارتكبت المحرمات، وفي مثل تلك الظروف لا سبيل لإيقاظ الأُمّة وانتشالها من الجهل والضلال إلّا أن يتقدّم الإمام علیه السلام وصحبه، </w:t>
      </w:r>
      <w:bookmarkStart w:id="83" w:name="pg10991_100464"/>
    </w:p>
    <w:p>
      <w:pPr>
        <w:pStyle w:val="BookText"/>
        <w:rPr/>
      </w:pPr>
      <w:bookmarkEnd w:id="83"/>
      <w:r>
        <w:rPr>
          <w:rFonts w:ascii="Amiri" w:hAnsi="Amiri" w:eastAsia="Amiri" w:cs="Amiri"/>
          <w:color w:val="111111"/>
          <w:sz w:val="28"/>
          <w:sz w:val="28"/>
          <w:szCs w:val="28"/>
          <w:rtl w:val="true"/>
          <w:lang w:bidi="ar-SA"/>
        </w:rPr>
        <w:t>ويضحّي بدمه الشريف لإيقاظ الأُمّة، بل كُلّ الأُمم إلى يوم القيامة، وقد نال بهذه التضحية مقاماً ووساماً لم ينله أحدٌ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فمَن ذهب إلى أنّ خروج الإمام علیه السلام كان لأجل الشهادة بهذا المعنى،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كان طالباً للشهادة لإيقاظ الأُمّة لا لنفس الشهادة؛ فهو مصيبٌ في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تكون النتيجة والهدف من وراء هذا الخروج ليس استلام السلطة، أو القضاء على حكومة يزيد، أو الشهادة بما هي هدف، بل الهدف هو إحياء الأُمّة وإرواء أوردتها الجافّة؛ فإنّ الإسلام عاد هشّاً مُفرّغاً من قيمه السامية، وفاقداً للروح الحقيقية، فكيف لمثل هكذا دين أن يستمرّ ويكون ديناً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تصوّر ختم النبوّة في ظلّ هكذا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للقرآن أن يكون حيّاً ومَعيناً لا ينضب لحياة الناس والمجتمعات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تُفتح أبواب السعادة والهداية للأجيال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النوع من الإسلام جعل الناس أسوء حالاً ممّن عاش زمن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الناس إلى ما قبل ألف سنة من نزول الوحي وتشريع الديانات السماوية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288770_2870459653"/>
      <w:bookmarkStart w:id="85" w:name="_Toc28"/>
      <w:bookmarkEnd w:id="84"/>
      <w:r>
        <w:rPr>
          <w:rtl w:val="true"/>
        </w:rPr>
        <w:t>نتائج نظرية الشهادة</w:t>
      </w:r>
      <w:bookmarkEnd w:id="85"/>
    </w:p>
    <w:p>
      <w:pPr>
        <w:pStyle w:val="BookText"/>
        <w:rPr/>
      </w:pPr>
      <w:r>
        <w:rPr>
          <w:rFonts w:ascii="Amiri" w:hAnsi="Amiri" w:eastAsia="Amiri" w:cs="Amiri"/>
          <w:color w:val="111111"/>
          <w:sz w:val="28"/>
          <w:sz w:val="28"/>
          <w:szCs w:val="28"/>
          <w:rtl w:val="true"/>
          <w:lang w:bidi="ar-SA"/>
        </w:rPr>
        <w:t>يترتب على نظرية الشهادة بمعناها المتقدّم عدّة أُمور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مما تقدّم أنَّ خروج الإمام علیه السلام من الواجبات الدينيّة الأساسيّة، ولم يكن خروجاً ندبياً بحيث يمكن تركه؛ ولذا لا يمكن قبول ما يُنقل ويُشمّ منه أنّ الإمام علیه السلام أراد الانصراف والتراجع عن حركته، فإن وُجد مثل ذلك في النصوص يجب حمله على أنّ الحسين علیه السلام أراد بذلك إلقاء الحجة على الأعداء، وليُثبت للبشرية أنّ معاوية واتباعه ويزيد وأنصاره ماذا صنعوا بهويّة الناس، بحيث خالفوا كُلّ </w:t>
      </w:r>
    </w:p>
    <w:p>
      <w:pPr>
        <w:pStyle w:val="BookText"/>
        <w:rPr/>
      </w:pPr>
      <w:r>
        <w:rPr>
          <w:rFonts w:ascii="Amiri" w:hAnsi="Amiri" w:eastAsia="Amiri" w:cs="Amiri"/>
          <w:color w:val="111111"/>
          <w:sz w:val="28"/>
          <w:sz w:val="28"/>
          <w:szCs w:val="28"/>
          <w:rtl w:val="true"/>
          <w:lang w:bidi="ar-SA"/>
        </w:rPr>
        <w:t>القوانين العرفية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المهمّة كانت على مستوى من الأهمية؛ بحيث تُعدّ مهمّة إقامة الدولة ومحاربة الظالم قياساً بها من صُغريات تلك المهمّة العظمى، فإنّه في ظلّ إيقاظ الأُمّة يتجسّد معنى الحكومة العادلة ومحاربة الظلم، وفي ظلّ هذا الإيقاظ تتجوهر الأحكام ويصبح لها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الأُخرى التي تظهر من هذا التحليل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إمامة الأُمّة تحمل على عاتقها مسؤولية قِبال الأُمّة، تتمثّل في إيقاظها من سباتها، وإخراجها من غفلتها، وأنّ الإمام لا بدّ أن يقف جادّاً بوجه انجراف الأُمّة صوب الانحراف واللامبالاة والغفلة، وهذه الخصائص يتمتّع بها الفكر الديني، خاصّةً في القاموس الشيعي الذي حمل أئمّته وقادته ذلك الفكر طوال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هذا التحليل تكتسب مسألة إقامة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ومعنًى آخر غير ما عُهد، من أنّه تعظيمٌ لشعائر الله؛ لكونه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غضّ النظر عن الثواب الجزيل للبكاء والجزع على سيد الشهداء علیه السلام بل سيكون العزاء ردّاً لذلك 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التضحية 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قدّمه الإمام الحسين علیه السلام وأهل بيته وصحبه لإحياء الدين وإيقاظ الأُمّة، وإنّ ما اكتسبته الأُمّة الإسلاميّة طوال التاريخ من مناهضة الظلم والجور، والوقوف أمام الظالمين هو ببركة تلك النهضة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للحسين علیه السلام حقّاً عظيماً على الأُمّة لا يُنسى إلى يوم الدين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طريق في مثل هذه النهضة لإيقاظ الأُمّة إلّا الشهادة، فلا شيء له الأثر في ذلك إلّا الشهادة، التي تُحيي القلوب المظلمة والمنكفئة، وتقيم الأفكار المنحرفة والملوّثة، ولا يخفى على أحد في هذه الثورة أنّ الأمر المحتّم والقضاء المبرم </w:t>
      </w:r>
      <w:bookmarkStart w:id="86" w:name="pg10991_100466"/>
    </w:p>
    <w:p>
      <w:pPr>
        <w:pStyle w:val="BookText"/>
        <w:rPr/>
      </w:pPr>
      <w:bookmarkEnd w:id="86"/>
      <w:r>
        <w:rPr>
          <w:rFonts w:ascii="IRNazanin" w:hAnsi="IRNazanin" w:eastAsia="IRNazanin"/>
          <w:color w:val="111111"/>
          <w:sz w:val="28"/>
          <w:sz w:val="28"/>
          <w:szCs w:val="28"/>
          <w:rtl w:val="true"/>
          <w:lang w:bidi="fa-IR"/>
        </w:rPr>
        <w:t>الذي لا يمكن دفعه هو الشهادة، ولا حاجة في ذلك للعلم اللّدنّي، الذي هو من خصائص المعصوم علیه السلام ، فالكلّ يعلم أنّ مصير أمثال هذه الثورات هو الشهادة، وكلّ مصلحٍ يريد الثورة لا بدّ أن يُوطّن نفسه على الشهادة</w:t>
      </w:r>
      <w:r>
        <w:rPr>
          <w:rFonts w:eastAsia="IRNazanin" w:cs="IRNazanin"/>
          <w:color w:val="111111"/>
          <w:sz w:val="28"/>
          <w:szCs w:val="28"/>
          <w:rtl w:val="true"/>
          <w:lang w:bidi="fa-IR"/>
        </w:rPr>
        <w:t>.</w:t>
      </w:r>
    </w:p>
    <w:p>
      <w:pPr>
        <w:pStyle w:val="Heading3"/>
        <w:numPr>
          <w:ilvl w:val="2"/>
          <w:numId w:val="1"/>
        </w:numPr>
        <w:rPr/>
      </w:pPr>
      <w:bookmarkStart w:id="87" w:name="__RefHeading___Toc8288772_2870459653"/>
      <w:bookmarkStart w:id="88" w:name="_Toc29"/>
      <w:bookmarkEnd w:id="87"/>
      <w:r>
        <w:rPr>
          <w:rtl w:val="true"/>
        </w:rPr>
        <w:t>نظرية إقامة الحكومة</w:t>
      </w:r>
      <w:bookmarkEnd w:id="88"/>
    </w:p>
    <w:p>
      <w:pPr>
        <w:pStyle w:val="BookText"/>
        <w:rPr/>
      </w:pPr>
      <w:r>
        <w:rPr>
          <w:rFonts w:ascii="IRNazanin" w:hAnsi="IRNazanin" w:eastAsia="IRNazanin"/>
          <w:color w:val="111111"/>
          <w:sz w:val="28"/>
          <w:sz w:val="28"/>
          <w:szCs w:val="28"/>
          <w:rtl w:val="true"/>
          <w:lang w:bidi="fa-IR"/>
        </w:rPr>
        <w:t>وما ينبغي أن يخضع للبحث والتحليل في الآراء والاتجاهات التي ذكرناها في بداية البحث في تفسير هدف الثورة الحسينية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الحسين علیه السلام هل تحرّك بقصد إقامة حكومة إسلامية؟ وهل تشكيل الحكومة كان مطروحاً في هذه النهضة العظيمة أو لا؟</w:t>
      </w:r>
    </w:p>
    <w:p>
      <w:pPr>
        <w:pStyle w:val="BookText"/>
        <w:rPr/>
      </w:pPr>
      <w:r>
        <w:rPr>
          <w:rFonts w:ascii="IRNazanin" w:hAnsi="IRNazanin" w:eastAsia="IRNazanin"/>
          <w:color w:val="111111"/>
          <w:sz w:val="28"/>
          <w:sz w:val="28"/>
          <w:szCs w:val="28"/>
          <w:rtl w:val="true"/>
          <w:lang w:bidi="fa-IR"/>
        </w:rPr>
        <w:t>هناك مَن ذهب إلى أنّ هدف الإمام الحسين علیه السلام من ثورته المباركة تشييد أركان حكومة عادلة تطبّق الإسلام، وتقيم حدود الله، فالأمر الذي سعى إليه الإمام هو إقامة حكومة إسلامية، وقد ذُكرت عدّة أدلّة من أجواء النهضة الحسينية لتأييد هذه النظرية</w:t>
      </w:r>
      <w:r>
        <w:rPr>
          <w:rFonts w:eastAsia="IRNazanin" w:cs="IRNazanin"/>
          <w:color w:val="111111"/>
          <w:sz w:val="28"/>
          <w:szCs w:val="28"/>
          <w:rtl w:val="true"/>
          <w:lang w:bidi="fa-IR"/>
        </w:rPr>
        <w:t>.</w:t>
      </w:r>
    </w:p>
    <w:p>
      <w:pPr>
        <w:pStyle w:val="Heading3"/>
        <w:numPr>
          <w:ilvl w:val="2"/>
          <w:numId w:val="1"/>
        </w:numPr>
        <w:rPr/>
      </w:pPr>
      <w:bookmarkStart w:id="89" w:name="__RefHeading___Toc8288774_2870459653"/>
      <w:bookmarkStart w:id="90" w:name="_Toc30"/>
      <w:bookmarkEnd w:id="89"/>
      <w:r>
        <w:rPr>
          <w:rtl w:val="true"/>
        </w:rPr>
        <w:t>أدلّة نظرية الحكومة</w:t>
      </w:r>
      <w:bookmarkEnd w:id="90"/>
    </w:p>
    <w:p>
      <w:pPr>
        <w:pStyle w:val="BookText"/>
        <w:rPr/>
      </w:pPr>
      <w:r>
        <w:rPr>
          <w:rFonts w:ascii="Amiri" w:hAnsi="Amiri" w:eastAsia="Amiri" w:cs="Amiri"/>
          <w:color w:val="111111"/>
          <w:sz w:val="28"/>
          <w:sz w:val="28"/>
          <w:szCs w:val="28"/>
          <w:rtl w:val="true"/>
          <w:lang w:bidi="ar-SA"/>
        </w:rPr>
        <w:t>من المناسب أن نتعرّض لبعض النصوص التي يُستدلّ بها على نظرية الحكومة، ونضعها في ميزان التحليل؛ لنرى مدى دلالتها على المدّعى، وفيما يلي جملة من تلك الأدلّة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الإمام الحسين علیه السلام لوالي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الأمير، إنّا أهل بيت النبوة، ومعدن الرسالة، ومختلف الملائكة، بنا فتح الله، وبنا ختم الله، ويزيد رجلٌ فاسق، شارب الخمر، قاتل النفس المحرّمة، معلنٌ بالفسق، ومثلي لا يبايع مثله، ولكن نُصبح وتُصبحون، </w:t>
      </w:r>
    </w:p>
    <w:p>
      <w:pPr>
        <w:pStyle w:val="BookText"/>
        <w:rPr/>
      </w:pPr>
      <w:r>
        <w:rPr>
          <w:rFonts w:ascii="Amiri" w:hAnsi="Amiri" w:eastAsia="Amiri" w:cs="Amiri"/>
          <w:color w:val="111111"/>
          <w:sz w:val="28"/>
          <w:sz w:val="28"/>
          <w:szCs w:val="28"/>
          <w:rtl w:val="true"/>
          <w:lang w:bidi="ar-SA"/>
        </w:rPr>
        <w:t>وننظر وتنظرون أيّنا أحقّ بالخلافة والبيعة</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النّص نرى أنّ الإمام علیه السلام يمتنع من مبايعة يزيد، وأنّ الخلافة لا تجوز ليزيد، وأنّ الإمام علیه السلام هو أوْلى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عند لقائه بمروان بعد ما استرجع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الإسلام السلام؛ إذ قد تبليت الأُمّة براعٍ مثل يزيد، ولقد سمعت جدّي رسول الله صلی الله علیه و 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 فإذا رأيتم معاوية على منبري فابقروا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 أهل المدينة فلم يبقروا؛ فابتلاهم الله بيزيد الفاسق</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الإصلاح في أُمّة جدّي صلی الله علیه و اله ، أُريد أن آمر بالمعروف، وأنهى عن المنكر، وأسير بسيرة جدّي وأبي علي بن أبي طالب علیه السلام ،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وجهاء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نعلم أنّا أحقّ بذلك الحقّ المستحقّ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رسولي إليكم بهذا الكتاب، وأنا أدعوكم إلى كتاب الله وسنّة نبيه صلی الله علیه و اله ، فإنّ السنَّة قد أُميتت، وإنّ البدعة قد أُحييت، وإن تسمعوا قولي وتُطيعوا أمري أهدِكم سبيل الرشاد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 له علیه السلام لأهل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الإمام إلّا العامل بالكتاب، والآخذ بالقسط، والدائن بالحقّ، والحابس نفسه على ذات الله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91" w:name="pg10991_100468"/>
    </w:p>
    <w:p>
      <w:pPr>
        <w:pStyle w:val="Heading3"/>
        <w:numPr>
          <w:ilvl w:val="2"/>
          <w:numId w:val="1"/>
        </w:numPr>
        <w:rPr/>
      </w:pPr>
      <w:bookmarkStart w:id="92" w:name="__RefHeading___Toc8288776_2870459653"/>
      <w:bookmarkStart w:id="93" w:name="_Toc31"/>
      <w:bookmarkEnd w:id="91"/>
      <w:bookmarkEnd w:id="92"/>
      <w:r>
        <w:rPr>
          <w:rtl w:val="true"/>
        </w:rPr>
        <w:t>مناقشة أدلّة نظرية الحكومة</w:t>
      </w:r>
      <w:bookmarkEnd w:id="93"/>
    </w:p>
    <w:p>
      <w:pPr>
        <w:pStyle w:val="BookText"/>
        <w:rPr/>
      </w:pPr>
      <w:r>
        <w:rPr>
          <w:rFonts w:ascii="Amiri" w:hAnsi="Amiri" w:eastAsia="Amiri" w:cs="Amiri"/>
          <w:color w:val="111111"/>
          <w:sz w:val="28"/>
          <w:sz w:val="28"/>
          <w:szCs w:val="28"/>
          <w:rtl w:val="true"/>
          <w:lang w:bidi="ar-SA"/>
        </w:rPr>
        <w:t>إنّ نظرية الحكومة بالمعنى المتقدّم يمكن أن تُناقَش من ناحية ثبوتية وإثباتية، نقدّم فيما يلي مناقشات على كلا المستويين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بنظر الاعتبار الظروف الحاكمة في ذلك الوقت، من حيث وجود السلطة الحاكمة وولاتها، وضعف الإيمان الذي ابتُليت به الأُمّة آنذاك، فهل من الممكن التحرّك لإقامة حكومة؟ أم أن الشواهد التاريخية تُبيّن أن معاوية قد مسخ عقائد الناس واستحوذ عليهم؛ بحيث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كان يتوقعه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البيعة ليزيد بسهولة،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كان واقفاً على حقيقة أهل الكوفة، وصنيعهم بأبيه وأخيه علیهما السلام من قبل، وعالماً بما سيأول إليه الأمر في مواجهته لدولة بني أُميّة، بل كذلك هناك شخصيات، أمثال ابن عباس وعبد الله بن عمر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وصول خبر مقتل مسلم بن عقيل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علمٍ بمصير الثورة وما يأول إليه الأمر، أضف إلى ذلك أنّ تشكيلة وهيئة الركب الذي خرج به الحسين علیه السلام لم يكن مناسباً لإقامة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علم الإمام علیه السلام بشهادته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إقامة الدولة غير ممكن ثبوتاً، وإذا لاحظنا الطريقة التي رسمها الحسين علیه السلام لخروجه منذ البداية، لاتّضح لنا بجلاء، أنّ هذه النهضة لم تستهدف إقامة الدولة أبداً؛ وحينئذٍ لا حاجة لإقامة الأدلة والشواهد على إثبات ذلك</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الإثباتية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جدلاً وقلنا بإمكان إقامة الدولة الإسلاميّة في ذلك الوقت ثبوتاً، فإنّه من الناحية الإثباتية لا شاهد ولا قرينة تؤيّد ذلك، ولم نجد في الكلمات والنصوص الحسينية ما يدل أو يُشعر بأنّ الإمام علیه السلام كان يهدف إلى إقامة </w:t>
      </w:r>
    </w:p>
    <w:p>
      <w:pPr>
        <w:pStyle w:val="BookText"/>
        <w:rPr/>
      </w:pPr>
      <w:r>
        <w:rPr>
          <w:rFonts w:ascii="Amiri" w:hAnsi="Amiri" w:eastAsia="Amiri" w:cs="Amiri"/>
          <w:color w:val="111111"/>
          <w:sz w:val="28"/>
          <w:sz w:val="28"/>
          <w:szCs w:val="28"/>
          <w:rtl w:val="true"/>
          <w:lang w:bidi="ar-SA"/>
        </w:rPr>
        <w:t>دولة إسلامية في ثورته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كلماته علیه السلام تُصرِّح بأنّه هو الأوْلى بالخلافة من غيره، وهذا لا يعني أنّه خرج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النّصوص المتقدّمة فيمكن مناقشتها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الأوّل، فلا دلالة فيه على أنّ الهدف الذي قام من أجله هو السلطة والخلافة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وبقيّة النّصوص المتقدّمة لا دلالة فيها على أنّ الإمام الحسين علیه السلام قد دعا الناس إلى إقامة الدولة، وعلى الرغم من أنّه علیه السلام قد صرّح أكثر من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أحقّ بالخلافة من غيره، وأنّ الخلافة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علیه السلام لم يسعَ لاستلام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علیه السلام دعا الناس إلى كتاب الله وإحياء سنّة نبيه صلی الله علیه و اله ، وإنّ السنَّة قد أُميتت، وعلى المسلمين إحياء هذه السنَّة، بمواجهة السلطة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 الأخير، فقد تعرّض الإمام علیه السلام فيه لبيان حقيقة الإمام، والإمامة وشروطهما، وهذا لا يعني أنّ ثورته كانت لأجل الوصول إلى ذلك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الممكن أن يدّعي بعض أنّ من شؤون الإمامة بيان الأحكام والحفاظ على الشريعة من التحريف، وهذا بطبيعة الحال يقتضي أن تسعى تلك النهضة للوصول إلى السلطة، أوقُل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تَسلُّم السلطة هو أحد أهداف وغايات تلك النهضة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 في جواب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ليس في ما تقتضيه الإمامة وشؤونها، بل الكلام في استنتاج هدفٍ كهذا من هذه النهضة وعدمه، فلا يمكن الوقوف من خلال النّصوص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قريب ولا من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الإمام الحسين علیه السلام كان يسعى من خلال تلك النهضة الخالدة أن يُقيم الدولة الإسلاميّة</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0991_100471"/>
      <w:bookmarkStart w:id="95" w:name="pg10991_100471"/>
      <w:bookmarkEnd w:id="95"/>
    </w:p>
    <w:p>
      <w:pPr>
        <w:pStyle w:val="Heading3"/>
        <w:numPr>
          <w:ilvl w:val="2"/>
          <w:numId w:val="1"/>
        </w:numPr>
        <w:rPr/>
      </w:pPr>
      <w:bookmarkStart w:id="96" w:name="pg10991_100471"/>
      <w:bookmarkStart w:id="97" w:name="__RefHeading___Toc8288778_2870459653"/>
      <w:bookmarkStart w:id="98" w:name="_Toc32"/>
      <w:bookmarkEnd w:id="96"/>
      <w:bookmarkEnd w:id="97"/>
      <w:r>
        <w:rPr>
          <w:rtl w:val="true"/>
        </w:rPr>
        <w:t>منطلقات النهضة الحسينية وخلفياتها</w:t>
      </w:r>
      <w:bookmarkEnd w:id="98"/>
    </w:p>
    <w:p>
      <w:pPr>
        <w:pStyle w:val="Heading3"/>
        <w:numPr>
          <w:ilvl w:val="2"/>
          <w:numId w:val="1"/>
        </w:numPr>
        <w:rPr/>
      </w:pPr>
      <w:bookmarkStart w:id="99" w:name="__RefHeading___Toc8288780_2870459653"/>
      <w:bookmarkStart w:id="100" w:name="_Toc33"/>
      <w:bookmarkEnd w:id="99"/>
      <w:r>
        <w:rPr>
          <w:rtl w:val="true"/>
        </w:rPr>
        <w:t xml:space="preserve">القسم الرابع </w:t>
      </w:r>
      <w:r>
        <w:rPr>
          <w:rtl w:val="true"/>
        </w:rPr>
        <w:t>(</w:t>
      </w:r>
      <w:r>
        <w:rPr>
          <w:rtl w:val="true"/>
        </w:rPr>
        <w:t>تعبئة الأُمة وإعدادها</w:t>
      </w:r>
      <w:r>
        <w:rPr>
          <w:rtl w:val="true"/>
        </w:rPr>
        <w:t>)</w:t>
      </w:r>
      <w:bookmarkEnd w:id="100"/>
    </w:p>
    <w:p>
      <w:pPr>
        <w:pStyle w:val="Heading3"/>
        <w:numPr>
          <w:ilvl w:val="2"/>
          <w:numId w:val="1"/>
        </w:numPr>
        <w:rPr/>
      </w:pPr>
      <w:bookmarkStart w:id="101" w:name="__RefHeading___Toc8288782_2870459653"/>
      <w:bookmarkStart w:id="102" w:name="_Toc34"/>
      <w:bookmarkEnd w:id="101"/>
      <w:r>
        <w:rPr>
          <w:rtl w:val="true"/>
        </w:rPr>
        <w:t>السيّد محمّد الشوكي</w:t>
      </w:r>
      <w:bookmarkEnd w:id="102"/>
    </w:p>
    <w:p>
      <w:pPr>
        <w:pStyle w:val="BookText"/>
        <w:rPr/>
      </w:pPr>
      <w:r>
        <w:rPr>
          <w:rFonts w:ascii="Amiri" w:hAnsi="Amiri" w:eastAsia="Amiri" w:cs="Amiri"/>
          <w:color w:val="111111"/>
          <w:sz w:val="28"/>
          <w:sz w:val="28"/>
          <w:szCs w:val="28"/>
          <w:rtl w:val="true"/>
          <w:lang w:bidi="ar-SA"/>
        </w:rPr>
        <w:t>السيّد محمّد الشوكي</w:t>
      </w:r>
      <w:r>
        <w:rPr>
          <w:rStyle w:val="FootnoteAnchor"/>
          <w:rtl w:val="true"/>
        </w:rPr>
        <w:footnoteReference w:id="68"/>
      </w:r>
    </w:p>
    <w:p>
      <w:pPr>
        <w:pStyle w:val="Heading3"/>
        <w:numPr>
          <w:ilvl w:val="2"/>
          <w:numId w:val="1"/>
        </w:numPr>
        <w:rPr/>
      </w:pPr>
      <w:bookmarkStart w:id="103" w:name="__RefHeading___Toc8288784_2870459653"/>
      <w:bookmarkStart w:id="104" w:name="_Toc35"/>
      <w:bookmarkEnd w:id="103"/>
      <w:r>
        <w:rPr>
          <w:rtl w:val="true"/>
        </w:rPr>
        <w:t>المقدّمة</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اطّلعنا في القسم السابق من هذه المقالة على طبيعة الموقف الحسينيّ في زمان معاوية بن أبي سفيان، وقد عرفنا أنَّ الإمام الحسين علیه السلام لم يكن يُفكِّر في الثورة المسلحة على معاوية للأسباب التي ذكرناها هناك، وأنّه كان يقود خطَّ المعارضة السياسيّة، وكان يُرجئ الثورة إلى ما بعد معاوية، إذ ستكون الظروف مُعدّة أكثر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ونريد في هذا القسم الرابع أن نُسلِّط الضوء على الاستعدادات التي قام بها الإمام أبو عبد الله علیه السلام لتهيئة الأُمّة وتعبئتها لمرحلة ما بعد معاوية بن أبي سفيان</w:t>
      </w:r>
      <w:r>
        <w:rPr>
          <w:rFonts w:eastAsia="IRNazanin" w:cs="IRNazanin"/>
          <w:color w:val="111111"/>
          <w:sz w:val="28"/>
          <w:szCs w:val="28"/>
          <w:rtl w:val="true"/>
          <w:lang w:bidi="fa-IR"/>
        </w:rPr>
        <w:t xml:space="preserve">. </w:t>
      </w:r>
      <w:bookmarkStart w:id="105" w:name="pg10991_100472"/>
    </w:p>
    <w:p>
      <w:pPr>
        <w:pStyle w:val="Heading3"/>
        <w:numPr>
          <w:ilvl w:val="2"/>
          <w:numId w:val="1"/>
        </w:numPr>
        <w:rPr/>
      </w:pPr>
      <w:bookmarkStart w:id="106" w:name="__RefHeading___Toc8288786_2870459653"/>
      <w:bookmarkStart w:id="107" w:name="_Toc36"/>
      <w:bookmarkEnd w:id="105"/>
      <w:bookmarkEnd w:id="106"/>
      <w:r>
        <w:rPr>
          <w:rtl w:val="true"/>
        </w:rPr>
        <w:t>الإعداد للمرحلة القادمة</w:t>
      </w:r>
      <w:bookmarkEnd w:id="107"/>
    </w:p>
    <w:p>
      <w:pPr>
        <w:pStyle w:val="BookText"/>
        <w:rPr/>
      </w:pPr>
      <w:r>
        <w:rPr>
          <w:rFonts w:ascii="IRNazanin" w:hAnsi="IRNazanin" w:eastAsia="IRNazanin"/>
          <w:color w:val="111111"/>
          <w:sz w:val="28"/>
          <w:sz w:val="28"/>
          <w:szCs w:val="28"/>
          <w:rtl w:val="true"/>
          <w:lang w:bidi="fa-IR"/>
        </w:rPr>
        <w:t>يُدرك الإمام الحسين علیه السلام أنّ المواجهة مع الخطِّ الأُمويّ قادمة، بل حتميّة، ليس من خلال الأحاديث الكثيرة التي تلّقاها من المصطفى صلی الله علیه و اله فقط، بل كذلك من خلال مسؤوليته عن دين جدّه المصطفى صلی الله علیه و اله وأُمته، التي يُشكّل المشروع الأُموي تهديداً جدّياً لها، فإذا قُدِّر لهذا المشروع أن يستمرّ بقيادة يزيد بن معاوية بلا مواجهة فعلى الإسلام السلام، كما قال هو علیه السلام في كلمته المعروفة لمروان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الإسلام السلام إذا بُليت الأُمّة براعٍ مثل يزيد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كلمات جدّه المصطفى صلی الله علیه و اله لا زالت حاضرة في ذاته المقدّسة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العاص ثلاثين رجلاً اتّخذوا دين الله دغلاً، ومال الله دولاً، وعباد الله خولاً</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 اتّخذوا عباد الله خولاً، ومال الله نحلاً، وكتاب الله دغلاً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يسكت عنهم وهم يتلاعبون بالدين الحقّ، ويستعبدون الأُمّة الإسلاميّة، ولئن لم تُتِح له الظروف مواجهة ذلك في زمان معاوية فإنّه سيقوم بذلك في زمان يزيد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قضيّة أُخرى توجب حتميّة المواجهة، وهي أنّ الإمام الحسين علیه السلام يعلم أنَّ بني أُميّة ليسوا بتاركيه أبداً إن لم يبايع ويسكت سكوت الجدار، بل حتى مع سكوته سوف لن يتركوه، فوجوده نفسه سوف يُعدَّ تهديداً لشرعيّة يزيد بن معاوية، وهذا ما عبّر عنه علیه السلام بعد ذلك في أكثر من موقف، فنراه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لعمرو بن لوذان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يدعوني حتى يستخرجوا هذه العلقة من جوفي</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 أنّه قال لابن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لو كنت في جُحْر هامّة من هذه الهوامّ لاستخرجوني حتى يقضوا فيَّ حاجتهم، ووالله ليعتدُنّ عليَّ كما اعتدت بنو إسرائيل في السبت</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لن يتركوه حتى يستلّوا روحه، وإذا كان ذلك سيقع على كُلّ حال فمن الجدير به أن ينهض لمواجهتهم، بدل أن يقتلوه على فراشه من دون أيّ 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فالمواجهة قادمة لا محالة، فلا بدّ من إعداد الأُمّة لذلك، وخصوصاً قاعدته الشعبية التي كانت تطالب بقدومه كثيراً في زمان معاوية، وكان يرجئها إلى ما بعد موته، وقد عرفنا في مقال سابق أنّ لقاءات الإمام الحسين علیه السلام بالنّاس واجتماعاته بالناشطين منهم قد كثرت في سنيّ معاوية الأخيرة حتى اضطرّت السلطات في المدينة إلى التدخّل ومنع النّاس من اللقاء بالإمام الحسين علیه السلام ؛ لأنّها شعرت بخطر جِدِّي وراء هذه الاجتماعات، فقد روى البلاذري أنّ الوليد بن عتبة 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تولّاها في أُخريات حياة معاوية، وظلّ والياً عليها لما بعد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منع النّاس من الوصول إلى الإمام الحسين علیه السلام فوقف الإمام بوجهه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ظالماً لنفسه، عاصياً لربِّه، عَلامَ تحول بيني وبين قوم عرفوا من حقّي ما جهلتَه أنت وعمّك؟</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الحدث الأبرز في تعبئة سيد الشهداء علیه السلام للناس وتخطيطه للمرحلة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تضمَّنته تلك اللقاءات والاجتماعات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المؤتمر الذي عقده في مكّة المكرّمة قبل وفاة معاوية بسنتين، وهو مؤتمر مهمّ جداً من حيث الزمان والمكان وطبيعة المدعوّين والحاضرين، وهذا ما سنركِّز عليه قليلاً فيما يأتي</w:t>
      </w:r>
      <w:r>
        <w:rPr>
          <w:rFonts w:eastAsia="IRNazanin" w:cs="IRNazanin"/>
          <w:color w:val="111111"/>
          <w:sz w:val="28"/>
          <w:szCs w:val="28"/>
          <w:rtl w:val="true"/>
          <w:lang w:bidi="fa-IR"/>
        </w:rPr>
        <w:t xml:space="preserve">. </w:t>
      </w:r>
      <w:bookmarkStart w:id="108" w:name="pg10991_100474"/>
    </w:p>
    <w:p>
      <w:pPr>
        <w:pStyle w:val="Heading3"/>
        <w:numPr>
          <w:ilvl w:val="2"/>
          <w:numId w:val="1"/>
        </w:numPr>
        <w:rPr/>
      </w:pPr>
      <w:bookmarkStart w:id="109" w:name="__RefHeading___Toc8288788_2870459653"/>
      <w:bookmarkStart w:id="110" w:name="_Toc37"/>
      <w:bookmarkEnd w:id="108"/>
      <w:bookmarkEnd w:id="109"/>
      <w:r>
        <w:rPr>
          <w:rtl w:val="true"/>
        </w:rPr>
        <w:t>مؤتمر مكّة</w:t>
      </w:r>
      <w:bookmarkEnd w:id="110"/>
    </w:p>
    <w:p>
      <w:pPr>
        <w:pStyle w:val="BookText"/>
        <w:rPr/>
      </w:pPr>
      <w:r>
        <w:rPr>
          <w:rFonts w:ascii="Amiri" w:hAnsi="Amiri" w:eastAsia="Amiri" w:cs="Amiri"/>
          <w:color w:val="111111"/>
          <w:sz w:val="28"/>
          <w:sz w:val="28"/>
          <w:szCs w:val="28"/>
          <w:rtl w:val="true"/>
          <w:lang w:bidi="ar-SA"/>
        </w:rPr>
        <w:t>روى بعض المؤرِّخين</w:t>
      </w:r>
      <w:r>
        <w:rPr>
          <w:rStyle w:val="FootnoteAnchor"/>
          <w:rtl w:val="true"/>
        </w:rPr>
        <w:footnoteReference w:id="75"/>
      </w:r>
      <w:r>
        <w:rPr>
          <w:rFonts w:ascii="IRNazanin" w:hAnsi="IRNazanin" w:eastAsia="IRNazanin"/>
          <w:color w:val="111111"/>
          <w:sz w:val="28"/>
          <w:sz w:val="28"/>
          <w:szCs w:val="28"/>
          <w:rtl w:val="true"/>
          <w:lang w:bidi="fa-IR"/>
        </w:rPr>
        <w:t>أنّ الإمام الحسين علیه السلام قبل موت معاوية بسنتين عقد اجتماعاً مهمّاً واستراتيجياً في زمانه ومكانه وطبيعة حضوره والكلام الذي قيل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زمان الاجتماع، فقد عُقِد في يوم الأضحى المبارك وهو اليوم الذي يجتمع فيه المسلمون، وأمّا من حيث المكان، فإنّه عُقد في مكّة المكرّمة وفي صحراء مِنى بالذات؛ ممّا يُعطي للاجتماع بُعداً إعلامياً كبيراً، فلم يُعقَد سرّاً بين جدران أربعة، وإنّما عُقد في جوٍّ مكشوف وعلى مَقرُبةٍ من الحشود الجماهيريّة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الحضور، فقد كان مميّزاً من ناحية العدد والنوعية، فمن حيث العدد حضر هذا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أو يزيدون، بحسب رواية الطبرسي في الاحتجاج، وبحسب رواية سُليم سبعمائة، بالإضافة إلى غير المدعوّين من المحيطين بذلك الاجتماع أو الذين تناهت إليهم وقائعه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حيث نوعية الحضور، فلم تقتصر على شريحة معيّنة، وإنّما ضَمّت كُلّ شرائح المجتمع الإسلامي وأطيافه من المهاجرين والأنصار، والأحرار والمَوالي، والرجال والنساء، والصحابة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 قبل موت معاوية بسنتين حجّ الحسين بن علي علیهما السلام ، وعبد الله بن جعفر، وعبد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الحسين علیه السلام بني هاشم، رجالهم ونساءهم، ومواليهم وشيعتهم، مَن حجّ منهم ومَن لم يحجّ، ومن الأنصار ممَّن يعرفونه، وأهل بيته، ثمَّ لم يدْع أحداً من أصحاب رسول الله صلی الله علیه و اله ومن أبنائهم والتابعين ومن الأنصار المعروفين بالصلاح والنُّسك إلّا جمعهم، فاجتمع عليه بمِنى أكثر من ألف رجل، فقام فيهم خطيباً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السيّد محمّد رضا الجلالي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اعتبار اجتماع مِنى هذا العظيم موقفاً سياسياً هامّاً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تظاهرة كبيرة تجمع عدداً كبيراً من ذوي الشهرة والوجهاء المعروفين بين الأُمّة، بحيث لا يمكن إغفال أثرها ولا منع النّاس من التساؤلات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أكبر مجلس يضمّ أصحاب الرأي من رجالات الأُمّة وشخصيّاتها، ممَّن له الحقّ في إبداء الرأي وسَنِّ القانون، وهم النُّخبة المقدّمة من أهل الحَلّ والعقد، ومن جميع القطاعات الفاعلة في المجتمع الإسلامي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العلويون،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والتابعون، ومن النساء، وطبقة الأبناء، وطبقة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يمكن أن يُعتبر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 شعبياً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وجود ممثلين لكُلّ طبقات الشعب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وتبدو الحكمة والحنكة في انتخاب الزمان والمكان لعقد ذلك المجمع العظيم، فأرض مِنى المفتوحة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جزء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لمثل هذا الاجتماع العظيم في ساحة واحدة، وفي وسط كُلّ الوافدين عليها من الحُجّاج المؤدّين للواجب، أو غيرهم القائمين بأعمال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رهيب مثل ذلك لا يخفى على كُلّ الحاضرين في تلك الأرض المفتوحة، وبذلك ينتشر الخبر ولا يُحصر بين الأبواب المغلقة أو جدران مكان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يكون الاجتماع في زمان الحضور في مِنى وهو يوم العيد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ذي الحجّة فما بعد، إذ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النّاسكين والعاملين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على أرض مِنى لأداء مناسكها أو تقديم الخدمات إلى الوافدين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انتخاب مثل هذا المكان في مثل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نوعية الأشخاص المنتخبين للاشتراك في هذا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واضحة على التدبير والاهتمام البليغ الذي كان </w:t>
      </w:r>
    </w:p>
    <w:p>
      <w:pPr>
        <w:pStyle w:val="BookText"/>
        <w:rPr/>
      </w:pPr>
      <w:r>
        <w:rPr>
          <w:rFonts w:ascii="Amiri" w:hAnsi="Amiri" w:eastAsia="Amiri" w:cs="Amiri"/>
          <w:color w:val="111111"/>
          <w:sz w:val="28"/>
          <w:sz w:val="28"/>
          <w:szCs w:val="28"/>
          <w:rtl w:val="true"/>
          <w:lang w:bidi="ar-SA"/>
        </w:rPr>
        <w:t>يوليه الإمام لهذا الموقف</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طبيعة الكلام الذي دار فيه، فسنذكر تمام الخطبة التي رُوي أنّ الإمام الحسين خطبها في هذا الحشد الجماهيريّ الواسع، ثمَّ نُعلِّق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قد رُويت مقاطع منها في كتاب سُليم بن قيس الهلالي، وكتاب الاحتجاج للطبرسي، وكتاب تُحَف العقول للحرّاني، وقد قام المحقق الشيخ محمد صادق النجمي بجمع هذه الخطبة وتحقيقها وطبعها، وسنعتمد في نقل النصّ على ما أثبته في تحقيقه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هذا الطاغية قد فعل بنا وبشيعتنا ما قد رأيتم وعلمتم وشهدتم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أريد أن أسألكم عن شيءٍ، فإن صدقتُ فصدّقوني، وإن كذبتُ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مقالتي واكتبوا قولي، ثمَّ ارجعوا إلى أمصاركم وقبائلكم، فمَن أَمنتم من النّاس ووثقتم به فادعوهم إلى ما تعلمون من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أتخوّف أن يُدرَس هذا الأمر، ويذهب الحقّ ويُغلب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الله، أتعلمون أنّ عليّ بن أبي طالب كان أخا رسول الله صلی الله علیه و اله حين آخى بين أصحابه، فآخى بينه وبين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في الدنيا والآخرة؟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رسول الله صلی الله علیه و اله اشترى موضع مسجده ومنازله فابتناه، ثمَّ ابتنى فيه عشرة منازل، تسعة له، وجعل عاشرها في وسطها لأبي، ثمَّ سدّ كُلّ باب إلى المسجد غير بابه، فتكلّم في ذلك مَن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وفتحت بابه، ولكنّ الله أمرني بسدّ أبوابكم وفتح بابه، ثمَّ نهى النّاس أن يناموا في المسجد غيره، وكان يُجْنِبُ في المسجد ومنزله في منزل رسول الله صلی الله علیه و اله فوُلِدَ لرسول الله صلی الله علیه و اله وله فيه أولاد؟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 عمر بن الخطّاب حرص على كوّة قدر عينه يدعها في منزله إلى المسجد فأبى عليه،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أبني مسجداً طاهراً لا يسكنه غيري وغير أخي وبنيه؟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رسول الله صلی الله علیه و اله نصّبه يوم غدير خم، فنادى له بالولاية،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 رسول الله صلی الله علیه و اله قال له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وأنت وليّ كُلِّ مؤمن بعدي؟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 رسول الله صلی الله علیه و اله حين دعا النَّصارى من أهل نجران إلى المباهلة لم يأتِ إلّا به وبصاحبته وابنيه؟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أنّه دفع إليه الْلِّواءَ يوم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 إلى رجل يحبّه الله ورسوله ويحبّ الله ورسوله، كرّار غير فرّار، يفتحها الله على يديه؟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بعثه ببراءة،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إلّا أنا أو رجل منّي؟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صلی الله علیه و اله لم تنزل به شدّة قطّ إلّا قدّمه لها ثقةً به، وأنّه لم يَدْعُه باسمه قطّ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وادعوا لي أخي؟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اله قضى بينه وبين جعفر وزيد،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وأنا منك، وأنت وليّ كُلّ مؤمن بعدي؟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أنّه كانت من رسول الله صلی الله علیه و اله كُلّ يوم خَلوة وكُلّ ليلة دَخلَة، إذا سأله أعطاه، وإذا سكت ابتدأه؟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اله فضّله على جعفر وحمزة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خير أهل بيتي، أقدمهم سلماً، وأعظمهم حلماً، وأكثرهم علماً؟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بني آدم، وأخي عليّ سيّد العرب، وفاطمة سيّدة نساء أهل الجنّة، والحسن والحسين ابناي سيّدا شباب أهل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اله أمره بغسله وأخبره أنّ جبرئيل يُعينه عليه؟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اله قال في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فيكم الثقلين كتاب الله وأهل بيتي، فتمسّكوا بهما لن تضلّوا؟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ناشدهم أنّهم قد 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ويُبغض عليّاً فقد كذب، ليس يحبّني ويبغض عليّاً،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مَن أحبّه فقد أحبّني، ومَن أحبّني فقد أحبّ الله، ومَن أبغضه فقد أبغضني، ومَن أبغضني فقد أبغض الله؟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تَخْشَوُا النَّاسَ وَاخْشَوْنِ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إلى الإسلام مع ردِّ المظالم، ومخالفة الظالم وقسمة الفيء والغنائم، وأخذ الصدقات من مواضعها ووضعها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مهابة، يهابكم الشريف، ويُكرمكم الضعيف، ويؤثركم مَن لا فضل لكم عليه، ولا يد لكم عنده، تشفعون في الحوائج إذا امتنعت من طلّابها، وتمشون في الطَّريق بهيبة الملوك وكرامة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كُلّ ذلك إنّما نلتموه بما يُرجى عندكم مِن القيام بحقّ الله؟ وإن كنتم عن أكثر حقّه تُقصِّرون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فاستخففتم بحقّ الأئمّة، فأمّا حقّ الضّعفاء فضيّعتم، وأمّا حقّكم بزعمكم فطلبتم، فلا مالاً بذلتموه، ولا نفساً خاطرتم بها للذي خلقها، ولا عشيرة عاديتموها في ذات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تتمنّون على الله جنّته ومجاورة رُسله وأماناً مِن عذابه، لقد خشيت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المتمنّون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بكم نقمة من نقماته؛ لأنّكم بلغتم من كرامة الله منزلةً فُضِّلتم بها، ومَن يَعرفُ بالله لا تُكرِمُون، وأنتم بالله في عباده 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ترون عهود </w:t>
      </w:r>
    </w:p>
    <w:p>
      <w:pPr>
        <w:pStyle w:val="BookText"/>
        <w:rPr/>
      </w:pPr>
      <w:r>
        <w:rPr>
          <w:rFonts w:ascii="Amiri" w:hAnsi="Amiri" w:eastAsia="Amiri" w:cs="Amiri"/>
          <w:color w:val="111111"/>
          <w:sz w:val="28"/>
          <w:sz w:val="28"/>
          <w:szCs w:val="28"/>
          <w:rtl w:val="true"/>
          <w:lang w:bidi="ar-SA"/>
        </w:rPr>
        <w:t>الله منقوضةً فلا تفزعون، وأنتم لبعض ذمم آبائكم تفزعون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وذمّة رسول الله مخفورة، والعُمي والبُكم والزمنى في المدائن مهملة لا ترحمون، ولا في منزلتكم تعلمون، ولا من عمل فيها تُعينون، وبالادّهان والمصانعة عند الظلمة تأمَنوُن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أمركم الله به من النَّهي والتَّناهي وأنتم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 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صبرتم على الأذى وتحمّلتم المؤُونة في ذات الله كانت أُمور الله عليكم تَرِدُ وعنكم تصدر وإليكم ترجع، ولكنَّكم مكَّنتم الظَّلمة من منزلتكم، وأسلمتم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 في كُلّ بلد منهم على منبره خطيب مصقع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لهم شاغرة، وأيديهم فيها مبسوطة، والنّاس لهم خَوَل، لا يدفعون يدَ لامس، فمِن بين جبّار عنيد، وذي سطوة على الضَّعفة شديد، مطاع لا يعرف المبدئ المعُيد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من غاشٍّ غشُوم، ومتصدِّق ظَلوم، وعامل على المؤمنين بهم غير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الحاكم فيما فيه تنازعنا، والقاضي بحكمه فيما شجر بيننا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من فضول الحُطام، ولكن لنُري المعالم من دينك، ونُظهر الإصلاح في بلادك، ويأمن المظلومون من عبادك، </w:t>
      </w:r>
      <w:bookmarkStart w:id="111" w:name="pg10991_100481"/>
    </w:p>
    <w:p>
      <w:pPr>
        <w:pStyle w:val="BookText"/>
        <w:rPr/>
      </w:pPr>
      <w:bookmarkEnd w:id="111"/>
      <w:r>
        <w:rPr>
          <w:rFonts w:ascii="Amiri" w:hAnsi="Amiri" w:eastAsia="Amiri" w:cs="Amiri"/>
          <w:color w:val="111111"/>
          <w:sz w:val="28"/>
          <w:sz w:val="28"/>
          <w:szCs w:val="28"/>
          <w:rtl w:val="true"/>
          <w:lang w:bidi="ar-SA"/>
        </w:rPr>
        <w:t>ويُعمل بفرائضك وسُننك وأحكامك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لا تنصرونا وتُنصِفُونا قَويت الظلمة عليكم، وعَمِلوا في إطفاء نور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وعليه توكُلّنا وإليه أنبنا وإليه المصير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8288790_2870459653"/>
      <w:bookmarkStart w:id="113" w:name="_Toc38"/>
      <w:bookmarkEnd w:id="112"/>
      <w:r>
        <w:rPr>
          <w:rtl w:val="true"/>
        </w:rPr>
        <w:t>نقاط مهمّة</w:t>
      </w:r>
      <w:bookmarkEnd w:id="113"/>
    </w:p>
    <w:p>
      <w:pPr>
        <w:pStyle w:val="BookText"/>
        <w:rPr/>
      </w:pPr>
      <w:r>
        <w:rPr>
          <w:rFonts w:ascii="Amiri" w:hAnsi="Amiri" w:eastAsia="Amiri" w:cs="Amiri"/>
          <w:color w:val="111111"/>
          <w:sz w:val="28"/>
          <w:sz w:val="28"/>
          <w:szCs w:val="28"/>
          <w:rtl w:val="true"/>
          <w:lang w:bidi="ar-SA"/>
        </w:rPr>
        <w:t>أمام هذه الخطبة المُهمّة نحاول أن نورد بعض الملاحظات السريعة في نقاط، فإنّ تفصيلها بكاملها يحتاج إلى مجال لا تسعه هذه السطور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هذه الخُطبة نراه علیه السلام يؤكِّد على ظلامة أهل البيت علیهم السلام وشيعتهم وما عانوه في ظّل ذلك الحكم الطاغوتي، وهو أمر كان واضحاً لدى جميع المسلمين، فلا يخفى على واحد من المسلمين ما فعله النظام الأُموي وأدواته القمعيّة بشيعة أهل البيت علیهم السلام ، ومن هنا اختصر ولم يُطنب،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رأيتم وعلمتم وشهدتم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لتفصيل الأفعال الطاغوتية للسلطة الأُموية؛ لأنّها واضحة للجميع آنذاك، وقد وقعت بمرأى وبمسمع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المقدّمة القصيرة يبدأ علیه السلام ببيان فضائل أهل البيت ومكانتهم في الإسلام، تلك المكانة العليا التي شادها الله ورسوله، والتي تجعلهم الأَولى والأحقّ والأجدر بتبوّء هذا المنصب الكبير في الأُمّة الإسلاميّة، تلك الفضائل التي جهد المشروع الأُموي على طمسها وإخفائها وتشويهها في أذهان المسلمين، وخصوصاً الأجيال الشابّة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بأن عرض عليهم تلك الفضائل، وإنمّا استشهدهم عليها وأقرّوا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ركّز على حديث الغدير الذي يمثّل السند الأساس لولاية الإمام علي علیه السلام كما ركّز على حديث الثقلين الذي يؤكد مرجعية أهل البيت علیهم السلام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نراه علیه السلام يوجّه انتقاداً لاذعاً إلى علماء الأُمّة ووجهائها، ويندّد </w:t>
      </w:r>
    </w:p>
    <w:p>
      <w:pPr>
        <w:pStyle w:val="BookText"/>
        <w:rPr/>
      </w:pPr>
      <w:r>
        <w:rPr>
          <w:rFonts w:ascii="Amiri" w:hAnsi="Amiri" w:eastAsia="Amiri" w:cs="Amiri"/>
          <w:color w:val="111111"/>
          <w:sz w:val="28"/>
          <w:sz w:val="28"/>
          <w:szCs w:val="28"/>
          <w:rtl w:val="true"/>
          <w:lang w:bidi="ar-SA"/>
        </w:rPr>
        <w:t>بسكوتهم وخنوعهم، وإقرارهم للظلم، وتركهم الأمرَ بالمعروف والنهي عن المنكر، وعدم مواجهتهم للانحرافات الكبرى التي أحدثها بنو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مهابة، يهابكم الشريف ويكرمكم الضعيف ويؤثركم مَن لا فضل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ذلك إنّما نلتموه بما يُرجى عندكم من القيام بحقّ الله؟ وإن كنتم عن أكثر حقّه تُقصّرون فاستخففتم بحقّ الأئمّة، فأمّا حقّ الضُّعفاء فضيّعتم، وأمّا حقُّكم بزعمكم فطلبتم، فلا مالاً بذلتموه، ولا نفساً خاطرتم بها للذي خلقها، ولا عشيرة عاديّتموها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الأُمّة لهم الصدارة فيها، تهابهم النّاس وإليهم تصدر وعنهم ترد، وهم أَولى النّاس بالقيام بحقّ الله تعالى ومواجهة المنكر والدفاع عن المظلومين، فسكوتهم وسكونهم وعدم استعدادهم للتضحية في سبيل الله والمخاطرة بالنفس من أجله هو الذي جرَّ على الأُمّة الويلات في زمان بني أُمية؛ وجعلهم يتحكّمون في مقدّرات البلاد ورقاب العباد، وهذا ما قرّره في كلمته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 بعظيم مسؤوليتهم تجاه الأُمّة، وواجبهم التغييري تجاه الأوضاع المُزرية التي ترزح تحتها، ويستنكر عدم استعدادهم للتضّحية في سبيل التغيير، وخوفهم من الموت الذي أصابهم بهذا الشلل المقيت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مكّنتم الظلمة من منزلتكم، وأسلمتم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أوضح لهم أنّ هذا الاستخفاف الأُموي بوجهاء الأُمّة وعلمائها، وعدم احترامه لأيِّ رمز فيها إنّما سَببه هم لا غير، فموقفهم كان ضعيفاً ومهزوزاً؛ ممَّا جعل </w:t>
      </w:r>
    </w:p>
    <w:p>
      <w:pPr>
        <w:pStyle w:val="BookText"/>
        <w:rPr/>
      </w:pPr>
      <w:r>
        <w:rPr>
          <w:rFonts w:ascii="Amiri" w:hAnsi="Amiri" w:eastAsia="Amiri" w:cs="Amiri"/>
          <w:color w:val="111111"/>
          <w:sz w:val="28"/>
          <w:sz w:val="28"/>
          <w:szCs w:val="28"/>
          <w:rtl w:val="true"/>
          <w:lang w:bidi="ar-SA"/>
        </w:rPr>
        <w:t>الحُكّام لا يُعيرون لهم أيَّ أهمّية، ولا يحسبون لهم أيَّ حساب، ولو صبروا وتحمّلوا وواجهوا لكانت الأُمور بأيديهم لا بأيدي صبيان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صبرتم على الأذى وتحمّلتم المؤونة في ذات الله كانت أُمور الله عليكم ترد وعنكم تصدر وإليكم ترجع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يذكّرهم بالفريضة الإلهية المنسيّة والمعطّلة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الفريضة التي إن أُقيمت لم يبقَ فساد ولا ظلم في ربوع المجتمع، وما هذا الفساد المنتشر والظلم المستحكم إلّا ثمرة من ثمرات تركهم لهذه الفريضة الإلهية الكبيرة والمهمة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إلى الإسلام مع ردّ المظالم ومخالفة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أمركم الله به من النهي والتناهي وأنتم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يوضِّح لهم أنَّ الساحة لا تبقى خالية وشاغرة، فإذا لم يشغلها الصالحون وتقاعسوا عن مسؤولياتهم فسوف يشغلها الظالمون ولا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فالأرض لهم شاغرة، وأيديهم فيها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فأيّ موقف سلبي واعتزالي من قِبل الصالحين سوف يؤدّي بالنتيجة إلى أن يملأ الفاسدون تلك المواقع في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يبيِّن لهم أخيراً أنّ أهل البيت علیهم السلام ليسوا طامعين في منصب أو كرسيّ، وليسوا من الذين تَتْوُقُ نفوسهم إلى السلطان، وإنّما كُلّ همهم هو إصلاح أمر هذه الأُمّة وتقويم مسارها وردّ المظالم لأهلها، ويكرّر كلمة أبيه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لهم في الخاتمة أنّ تقاعسهم عن نصرة أهل البيت علیهم السلام سوف يعود بالضرر </w:t>
      </w:r>
      <w:bookmarkStart w:id="114" w:name="pg10991_100484"/>
    </w:p>
    <w:p>
      <w:pPr>
        <w:pStyle w:val="BookText"/>
        <w:rPr/>
      </w:pPr>
      <w:bookmarkEnd w:id="114"/>
      <w:r>
        <w:rPr>
          <w:rFonts w:ascii="Amiri" w:hAnsi="Amiri" w:eastAsia="Amiri" w:cs="Amiri"/>
          <w:color w:val="111111"/>
          <w:sz w:val="28"/>
          <w:sz w:val="28"/>
          <w:szCs w:val="28"/>
          <w:rtl w:val="true"/>
          <w:lang w:bidi="ar-SA"/>
        </w:rPr>
        <w:t xml:space="preserve">عليهم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الأُمّة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يرجع إلى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إن لا تنصرونا وتنصفونا قويت الظلمة عليكم، وعملوا في إطفاء نور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وعليه توكلنا وإليه أنبنا وإليه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الفقرات في تلك الكلمة المباركة هو ما ذكره أوّلاً من دعوته للمجتمِعين بأن ينتشروا في الأرض ويدعوا لأهل البيت علیهم السلام مَن يثقون به، ويكشفوا للنّاس زيف الحكومة الأُموية الظالمة، ويبيّنوا لهم حقّ منزلة أهل البيت علیهم السلام وحقّهم المضيَّع والمغتصب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مقالتي واكتبوا قولي، ثمَّ ارجعوا إلى أمصاركم وقبائلكم، فمَن أمنتم من النّاس ووثقتم به فادعوهم إلى ما تعلمون من حقّنا</w:t>
      </w:r>
      <w:r>
        <w:rPr>
          <w:rFonts w:eastAsia="IRNazanin" w:cs="IRNazanin"/>
          <w:color w:val="111111"/>
          <w:sz w:val="28"/>
          <w:szCs w:val="28"/>
          <w:rtl w:val="true"/>
          <w:lang w:bidi="fa-IR"/>
        </w:rPr>
        <w:t>».</w:t>
      </w:r>
    </w:p>
    <w:p>
      <w:pPr>
        <w:pStyle w:val="Heading3"/>
        <w:numPr>
          <w:ilvl w:val="2"/>
          <w:numId w:val="1"/>
        </w:numPr>
        <w:rPr/>
      </w:pPr>
      <w:bookmarkStart w:id="115" w:name="__RefHeading___Toc8288792_2870459653"/>
      <w:bookmarkStart w:id="116" w:name="_Toc39"/>
      <w:bookmarkEnd w:id="115"/>
      <w:r>
        <w:rPr>
          <w:rtl w:val="true"/>
        </w:rPr>
        <w:t>معاوية في أيّامه الأخيرة</w:t>
      </w:r>
      <w:bookmarkEnd w:id="116"/>
    </w:p>
    <w:p>
      <w:pPr>
        <w:pStyle w:val="BookText"/>
        <w:rPr/>
      </w:pPr>
      <w:r>
        <w:rPr>
          <w:rFonts w:ascii="Amiri" w:hAnsi="Amiri" w:eastAsia="Amiri" w:cs="Amiri"/>
          <w:color w:val="111111"/>
          <w:sz w:val="28"/>
          <w:sz w:val="28"/>
          <w:szCs w:val="28"/>
          <w:rtl w:val="true"/>
          <w:lang w:bidi="ar-SA"/>
        </w:rPr>
        <w:t>حاول معاوية جاهداً أن يُمهِّد الأُمور ليزيد، وقد أخذ له البيعة بالترغيب والترهيب من أغلب الأمصار الإسلاميّة المهمّة آنذاك، سوى المدينة وبعض شخصياتها، لكنّ معاوية يعلم جيداً أنّ الأُمور لن تكون سهلة من بعده، وأنّ مستقبل يزيد لن يكون مزروعاً بالورود، فالأُمّة كانت ساخطة في دواخلها على تلك البيعة المشؤومة، وإذا كان بإمكانه أن يضبط الأُمور في حياته فمن الصعب على يزيد أن يفعل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يقدِّم لولده بعض النصائح الضرورية لاستحكام حكمه، فقد روى الطبري في تاريخه عن ابن مخرمة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لمّا مرض مرضته التي هلك فيها دعا يزيد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كفيتك الرحلة والترحال، ووطَّأت لك الأشياء وذلَّلت لك الأعداء، وأخضعت لك أعناق العرب، وجمعت لك من جمع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أخاف أن يُنازعك هذا الأمر الذي استتب لك إلّا أربعة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وعبد الله بن عمر، وعبد الله بن الزبير، وعبد الرحمن بن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عبد الله بن عمر فرجل قد وقذته العبادة، وإذا لم يبقَ أحد غيره 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علي، فإنّ أهل العراق لن يدعوه حتى يخرجوه، فإن خرج عليك فظفرت به فاصفح عنه، فإنّ له رحماً ماسّة وحقّاً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أبي بكر، فرجل إن رأى أصحابه صنعوا شيئاً صنع مثلهم، ليس له همّة إلّا في النساء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يجثم لك جثوم الأسد ويراوغك مراوغة الثعلب فإذا أمكنته فرصة وثب فذلك ابن الزبير، فإن هو فعلها بك فقدرت عليه فقطعه إرباً إرباً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عن أبي عبد الله الصادق علیه السلام أنّ معاوية أوصى يزيد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قد ذلّلت لك الرقاب الصعاب، ووطّدت لك البلاد، وجعلت المُلْك وما فيه لك طعمة، وإنّي أخشى عليك من ثلاثة نفر يخالفون عليك بجهدهم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 وعبد الله بن الزبير، والحسين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عبد الله بن عمر، فهو معك فالزمه ولا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الزبير، فقطّعه إن ظفرت به إرباً إرباً؛ فإنّه يجثو لك كما يجثو الأسد لفريسته، ويواربك مواربة الثعلب للكلب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 فقد عرفت حظّه من رسول الله، وهو من لحم رسول الله ودمه، وقد علمت لا محالة أنّ أهل العراق سيُخرجونه إليهم ثمّ يخذلونه ويضيّعونه، فإن ظفرت به فاعرف حقّه ومنزلته من رسول الله، ولا تؤاخذه بفعله، ومع ذلك فإنّ لنا به خُلطة ورحماً، وإيّاك أن تناله بسوء أو يرى منك مكروها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7" w:name="pg10991_100486"/>
    </w:p>
    <w:p>
      <w:pPr>
        <w:pStyle w:val="BookText"/>
        <w:rPr/>
      </w:pPr>
      <w:bookmarkEnd w:id="117"/>
      <w:r>
        <w:rPr>
          <w:rFonts w:ascii="IRNazanin" w:hAnsi="IRNazanin" w:eastAsia="IRNazanin"/>
          <w:color w:val="111111"/>
          <w:sz w:val="28"/>
          <w:sz w:val="28"/>
          <w:szCs w:val="28"/>
          <w:rtl w:val="true"/>
          <w:lang w:bidi="fa-IR"/>
        </w:rPr>
        <w:t>إنّ تحليل معاوية لحقيقة كُلّ واحد من تلك الشخصيات تحليل دقيق، فابن عمر لا يُخشى منه، وهذا ما يشهد به تاريخه؛ حيث لم يُعهد منه أنّه وقف موقفاً صريحاً وجريئاً من الظالمين حتى في أخطر الظروف التي مرّت بها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الزبير، فهو شخصية انتهازية مراوغة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الحسين علیه السلام ، فهو ابن رسول الله وسيّد شباب أهل الجنّة، وله قاعدة جماهيريّة تتفاعل معه، وهو لا شكّ خارج على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لكنّنا نتسائل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وصية معاوية بالرفق بالإمام الحسين علیه السلام وعدم التعرّض له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نابعة من حرصه على الحسين علیه السلام كما يبدو منها، أم من حرصه على يزيد ومُلكه؟ إنّنا نرى الثاني، فمتى كان معاوية حريصاً على الحسين علیه السلام أو مراعياً لقرابة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مهتمّاً بقرابة رسول الله فلماذا سمّ أخاه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الحسن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القضيّة أعمق من ذلك، إنّه يعرف التبعات الكارثية لمقتل الإمام الحسين علیه السلام على المشروع الأُموي برمّته وعلى مُلك يزيد بالذات؛ نظراً لمكانته الكبيرة في الأُمّة ولحبّ النّاس له وتطلّعهم نحوه، وهذا ما نراه واضحاً في النّص الذي رواه ابن أبي الحديد من الوصية، حيث وصف معاويةُ فيها الإمامَ الحسين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القلوب إليه مائلة، والأهواء نحوه جانحة، والأعين إليه طامحة، وهو الحسين بن علي</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أوصاه أن لا يتعرّض له بسوء، بينما نراه يحثّه على أن يقطّع ابن الزبير إرباً إرباً؛ لأنّ قتله وتقطيعه سوف لن تكون له أيُّ ارتدادات خطيرة على السلطان الأُموي</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288794_2870459653"/>
      <w:bookmarkStart w:id="119" w:name="_Toc40"/>
      <w:bookmarkEnd w:id="118"/>
      <w:r>
        <w:rPr>
          <w:rtl w:val="true"/>
        </w:rPr>
        <w:t>الانتقال السلس للسُلطة</w:t>
      </w:r>
      <w:bookmarkEnd w:id="1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معاوية بعد مُدّة من المرض في شهر رجب سنة ستّين للهجرة، وكان يزيد غائباً عن العاصمة، فكتبوا له بذلك فحضر، ثمَّ صعد المنبر وخطب النّاس وعزّاهم، وتولّى </w:t>
      </w:r>
    </w:p>
    <w:p>
      <w:pPr>
        <w:pStyle w:val="BookText"/>
        <w:rPr/>
      </w:pPr>
      <w:r>
        <w:rPr>
          <w:rFonts w:ascii="Amiri" w:hAnsi="Amiri" w:eastAsia="Amiri" w:cs="Amiri"/>
          <w:color w:val="111111"/>
          <w:sz w:val="28"/>
          <w:sz w:val="28"/>
          <w:szCs w:val="28"/>
          <w:rtl w:val="true"/>
          <w:lang w:bidi="ar-SA"/>
        </w:rPr>
        <w:t>السُلطة بعد أبيه بطريقة سلسلة ومن دون أيّة 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مَهَّد له الطريق والأسباب وذلّل له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رغم ذلك لم يطمئن على مستقبل حُكمه؛ لأنّ هناك في المدينة مَن رفض البيعة له، ولا يمكن أن يرتاح باله ما لم يأخذ البيعة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يزيد يعلم جيداً أنّ هناك ناراً تحت الرماد، وسخطاً متوارياً في النفوس تجاه تسلّمه السلطة، وأنّه إن لم يأخذ البيعة من أهل المدينة فسوف لن يستقرّ ملكه، لما تمثِّله المدينة من ثقل في المجتمع الإسلامي آنذاك، فهي مدينة الرسول صلی الله علیه و اله وعاصمة حُكمه، وهي مقرّ علية القوم من الصحابة والتابعين، وأنّ فيها الحسين علیه السلام الذي القلوب إليه مائلة، والأهواء نحوه جانحة، والأعيُن إليه طامحة كما ورد في وصيّة أبيه له، فإذا لم تبايع المدينة وأهل الحَلّ والعقد فيها فلن تتمّ له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حريصاً أن يأخذ البيعة من أهل المدينة بأسرع وقت ممكن؛ فكان أوّل عمل قام به بعد تولّيه السلطة هو أن كتب إلى واليه على المدينة الوليد بن عتبة بأخذ البيعة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أرسل يزيد كتابين إلى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عامّاً يأمره فيه بأخذ البيعة من أهل المدينة عامّةً، وكتاباً خاصاً وصفه المؤرِّخون 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بأخذ البيعة من الإمام الحسين علیه السلام ، وعبد الله بن عمر، وعبد الله بن الزبير خاصّة،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إليه في صحيفة كأنّها أُذن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فخُذْ حسيناً وعبد الله بن عمر وعبد الله بن الزبير بالبيعة أخذاً شديداً ليست فيه رخصة حتى يبايعوا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إلى الوليد بن عُتبة بن أبي سفيان وهو عامل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فأحضر الحسين بن علي وعبد الله بن الزبير، فخذهما بالبيعة لي، فإن امتنعا فاضرب أعناقهما وابعث إليَّ برؤوسهما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وصفهم للكتاب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كأُذن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صغر ذلك الكتاب، وربما </w:t>
      </w:r>
    </w:p>
    <w:p>
      <w:pPr>
        <w:pStyle w:val="BookText"/>
        <w:rPr/>
      </w:pPr>
      <w:r>
        <w:rPr>
          <w:rFonts w:ascii="Amiri" w:hAnsi="Amiri" w:eastAsia="Amiri" w:cs="Amiri"/>
          <w:color w:val="111111"/>
          <w:sz w:val="28"/>
          <w:sz w:val="28"/>
          <w:szCs w:val="28"/>
          <w:rtl w:val="true"/>
          <w:lang w:bidi="ar-SA"/>
        </w:rPr>
        <w:t xml:space="preserve">يعود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الشيخ القرشي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يزيد قد حسب أنّ الوليد سينفّذ ما عهد إليه من قتل الحسين وابن الزبير، ومن الطبيعي أن يتبع ذلك كثير من المضاعفات السيئة، ومن أهمّها ما يلحقه من التذمّر والسخط الشامل بين المسلمين، فأراد أن يجعل التبعة على الوليد، وأنّه لم يعهد إليه بقتلهما، وإنّه لو أمره بذلك لأصدر مرسوماً خاصّاً مطوَّلاً به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الكتاب إلى الوليد ودعا الإمام الحسين علیه السلام للبيعة، فرفض ذلك رفضاً قاطعاً، وقرّر الخروج من المدينة معلِناً ثورتَه المباركة، وهذا ما سنقف على تفاصيله في القسم التالي من هذه المقالة عندما نتحدّث عن الثورة ومنطلقاتها إن شاء الله تعالى</w:t>
      </w:r>
      <w:r>
        <w:rPr>
          <w:rFonts w:eastAsia="IRNazanin" w:cs="IRNazanin"/>
          <w:color w:val="111111"/>
          <w:sz w:val="28"/>
          <w:szCs w:val="28"/>
          <w:rtl w:val="true"/>
          <w:lang w:bidi="fa-IR"/>
        </w:rPr>
        <w:t xml:space="preserve">. </w:t>
      </w:r>
      <w:bookmarkStart w:id="120" w:name="pg10991_100489"/>
    </w:p>
    <w:p>
      <w:pPr>
        <w:pStyle w:val="Heading3"/>
        <w:numPr>
          <w:ilvl w:val="2"/>
          <w:numId w:val="1"/>
        </w:numPr>
        <w:rPr/>
      </w:pPr>
      <w:bookmarkStart w:id="121" w:name="__RefHeading___Toc8288796_2870459653"/>
      <w:bookmarkStart w:id="122" w:name="_Toc41"/>
      <w:bookmarkEnd w:id="120"/>
      <w:bookmarkEnd w:id="121"/>
      <w:r>
        <w:rPr>
          <w:rtl w:val="true"/>
        </w:rPr>
        <w:t>فلسفة البكاء على الإمام الحسين علیه السلام</w:t>
      </w:r>
      <w:bookmarkEnd w:id="122"/>
    </w:p>
    <w:p>
      <w:pPr>
        <w:pStyle w:val="Heading3"/>
        <w:numPr>
          <w:ilvl w:val="2"/>
          <w:numId w:val="1"/>
        </w:numPr>
        <w:rPr/>
      </w:pPr>
      <w:bookmarkStart w:id="123" w:name="__RefHeading___Toc8288798_2870459653"/>
      <w:bookmarkStart w:id="124" w:name="_Toc42"/>
      <w:bookmarkEnd w:id="123"/>
      <w:r>
        <w:rPr>
          <w:rtl w:val="true"/>
        </w:rPr>
        <w:t>د</w:t>
      </w:r>
      <w:r>
        <w:rPr>
          <w:rtl w:val="true"/>
        </w:rPr>
        <w:t xml:space="preserve">. </w:t>
      </w:r>
      <w:r>
        <w:rPr>
          <w:rtl w:val="true"/>
        </w:rPr>
        <w:t>الشيخ مهدي رستم نجاد</w:t>
      </w:r>
      <w:bookmarkEnd w:id="12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رستم نجاد</w:t>
      </w:r>
      <w:r>
        <w:rPr>
          <w:rStyle w:val="FootnoteAnchor"/>
          <w:rtl w:val="true"/>
        </w:rPr>
        <w:footnoteReference w:id="85"/>
      </w:r>
    </w:p>
    <w:p>
      <w:pPr>
        <w:pStyle w:val="Heading3"/>
        <w:numPr>
          <w:ilvl w:val="2"/>
          <w:numId w:val="1"/>
        </w:numPr>
        <w:rPr/>
      </w:pPr>
      <w:bookmarkStart w:id="125" w:name="__RefHeading___Toc8288800_2870459653"/>
      <w:bookmarkStart w:id="126" w:name="_Toc43"/>
      <w:bookmarkEnd w:id="125"/>
      <w:r>
        <w:rPr>
          <w:rtl w:val="true"/>
        </w:rPr>
        <w:t>المقدمة</w:t>
      </w:r>
      <w:bookmarkEnd w:id="126"/>
    </w:p>
    <w:p>
      <w:pPr>
        <w:pStyle w:val="BookText"/>
        <w:rPr/>
      </w:pPr>
      <w:r>
        <w:rPr>
          <w:rFonts w:ascii="Amiri" w:hAnsi="Amiri" w:eastAsia="Amiri" w:cs="Amiri"/>
          <w:color w:val="111111"/>
          <w:sz w:val="28"/>
          <w:sz w:val="28"/>
          <w:szCs w:val="28"/>
          <w:rtl w:val="true"/>
          <w:lang w:bidi="ar-SA"/>
        </w:rPr>
        <w:t>يُعتبر البكاء أهمّ مظهر من مظاهر العزاء على سيّد الشهداء، وقد حثّت عليه الروايات بوضوح؛ مما يجعله في أولويات الشعائر الدينيّة، لكنّ الحديث عن حكمة ذلك التأكيد وفلسفته ظلّت محل تحليلات متعددة، نستعرض في هذا المقال الآراء والتحليلات المقدّمة في فلسفة البكاء، ودراسة تلك التحليلات وتقويمها، ثم نقدّم الرؤية المناسبة لفلسفة البكاء والتي تنسجم مع روح روايات البكاء، علماً أنّ محورية البحث في هذا المقال في إطار علل الحثّ على البكاء ومحاولة فهم حكمته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288802_2870459653"/>
      <w:bookmarkStart w:id="128" w:name="_Toc44"/>
      <w:bookmarkEnd w:id="127"/>
      <w:r>
        <w:rPr>
          <w:rtl w:val="true"/>
        </w:rPr>
        <w:t>تحليلات في فلسفة البكاء</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تأكيد الروايات الواردة في إقامة مجالس العزاء والبكاء على مصاب الإمام الحسين علیه السلام لم ترد في أيّ من الأئمّة المعصومين علیهم السلام حتى رسول الله صلی الله علیه و اله ، وكأنّ هنالك سرّاً في هذه المسألة دعا إلى تلك التأكيدات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تحدثت الروايات عن </w:t>
      </w:r>
      <w:bookmarkStart w:id="129" w:name="pg10991_100490"/>
    </w:p>
    <w:p>
      <w:pPr>
        <w:pStyle w:val="BookText"/>
        <w:rPr/>
      </w:pPr>
      <w:bookmarkEnd w:id="129"/>
      <w:r>
        <w:rPr>
          <w:rFonts w:ascii="IRNazanin" w:hAnsi="IRNazanin" w:eastAsia="IRNazanin"/>
          <w:color w:val="111111"/>
          <w:sz w:val="28"/>
          <w:sz w:val="28"/>
          <w:szCs w:val="28"/>
          <w:rtl w:val="true"/>
          <w:lang w:bidi="fa-IR"/>
        </w:rPr>
        <w:t xml:space="preserve">عِظم ثواب هذه المجالس مما جعل بعضاً يراها نوعاً من المبالغة، فأنكرها ونسبها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أن يكون هناك تناسب بين العمل والجزاء، فكيف يكون لهذا العمل البسيط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كالبكاء على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الثواب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وبالمقابل يرى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البكاء على الإمام الحسين علیه السلام ولو بقدر جناح ذبابة كافٍ في نجاة الفرد، وإن غرق في بحر الذنوب والمعاصي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الرأي يرى أنّ قطرة دمع تُذرف على الامام الحسين علیه السلام كافية لأن تغسل كُلّ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تنطلق من رؤية واضحة وتحليل صحيح جامع للروايات الواردة في عظم ثواب العزاء، والواقع أنّهم عجزوا عن إدراك فلسفة العزاء من خلال قراءة الروايات قراءة علميّة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سنقدّم فيما يلي عرضاً لبعض الرؤى في بيان فلسفة البكاء</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288804_2870459653"/>
      <w:bookmarkStart w:id="131" w:name="_Toc45"/>
      <w:bookmarkEnd w:id="130"/>
      <w:r>
        <w:rPr/>
        <w:t>1</w:t>
      </w:r>
      <w:r>
        <w:rPr>
          <w:rtl w:val="true"/>
        </w:rPr>
        <w:t xml:space="preserve">- </w:t>
      </w:r>
      <w:r>
        <w:rPr>
          <w:rtl w:val="true"/>
        </w:rPr>
        <w:t>نيل الثواب وشفاعة أهل البيت علیهم السلام</w:t>
      </w:r>
      <w:bookmarkEnd w:id="131"/>
    </w:p>
    <w:p>
      <w:pPr>
        <w:pStyle w:val="BookText"/>
        <w:rPr/>
      </w:pPr>
      <w:r>
        <w:rPr>
          <w:rFonts w:ascii="IRNazanin" w:hAnsi="IRNazanin" w:eastAsia="IRNazanin"/>
          <w:color w:val="111111"/>
          <w:sz w:val="28"/>
          <w:sz w:val="28"/>
          <w:szCs w:val="28"/>
          <w:rtl w:val="true"/>
          <w:lang w:bidi="fa-IR"/>
        </w:rPr>
        <w:t xml:space="preserve">في ضوء هذا التحليل فإن المسلمين يُقيمون مجالس العزاء من أجل الحصول على الثواب ونيل شفاعة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هذا التحليل واضح؛ ففرض الثواب على عمل ما فرع وجود حكمة ومصلحة في نفس ذلك العمل، فالعمل لا يستبطنن أيّ ثواب ما لم تكن فيه مصلحة وحكمة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ننشده في هذا البحث فلسفة إقامة العزاء،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العمل وحكمته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الكلّام عن الثواب في إطار معلولات الحكم، لا محلّ له في هذا المجال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إثارة عواطف ملايين الأفراد وإبكائهم طيلة التاريخ لغرض تحصيل الثواب؟ ثم هل يسع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العواطف ما لم يكن هنالك عشق وقلب مُفعم بالحُبِّ والحماس؟</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32" w:name="pg10991_100491"/>
    </w:p>
    <w:p>
      <w:pPr>
        <w:pStyle w:val="Heading3"/>
        <w:numPr>
          <w:ilvl w:val="2"/>
          <w:numId w:val="1"/>
        </w:numPr>
        <w:rPr/>
      </w:pPr>
      <w:bookmarkStart w:id="133" w:name="__RefHeading___Toc8288806_2870459653"/>
      <w:bookmarkStart w:id="134" w:name="_Toc46"/>
      <w:bookmarkEnd w:id="132"/>
      <w:bookmarkEnd w:id="133"/>
      <w:r>
        <w:rPr/>
        <w:t>2</w:t>
      </w:r>
      <w:r>
        <w:rPr>
          <w:rtl w:val="true"/>
        </w:rPr>
        <w:t xml:space="preserve">- </w:t>
      </w:r>
      <w:r>
        <w:rPr>
          <w:rtl w:val="true"/>
        </w:rPr>
        <w:t>شُكر الإمام الحسين علیه السلام</w:t>
      </w:r>
      <w:bookmarkEnd w:id="134"/>
    </w:p>
    <w:p>
      <w:pPr>
        <w:pStyle w:val="BookText"/>
        <w:rPr/>
      </w:pPr>
      <w:r>
        <w:rPr>
          <w:rFonts w:ascii="IRNazanin" w:hAnsi="IRNazanin" w:eastAsia="IRNazanin"/>
          <w:color w:val="111111"/>
          <w:sz w:val="28"/>
          <w:sz w:val="28"/>
          <w:szCs w:val="28"/>
          <w:rtl w:val="true"/>
          <w:lang w:bidi="fa-IR"/>
        </w:rPr>
        <w:t>يستند هذا التحليل إلى أنّ الإمام الحسين علیه السلام ضحّى بنفسه لتُغفر ذنوب الأُمّة، فالإمام أبو عبد الله علیه السلام كفّارة معاصي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الاعتقاد الباطل لدى المسيحيين بأنّ المسيح علیه السلام صُلِب ليطهرهم من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فالقائلون بهذا التحليل تمسَّكوا ببعض العبارات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باب نجاة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ليخلصوا إلى أنّ الحسين علیه السلام بنيله للشهادة كان سبباً لغفران ذنوب فسقة الأُمّة، وبالتالي سبب لنجاتهم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وبالمقابل، فإن الأُمّة بإقامتها لمجالس العزاء إنّما تشكر الإمام علیه السلام وتستحقّ بذلك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الإمام علیه السلام وصَحبه ليكون الآخرون أحراراً في مقارفة ما شاءوا من الذنوب والمعاصي، وكأنّ التكلّيف ساقط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التفكير جعل بعضاً يعتقد بأنّ النجاة عاقبة كُلّ مَن بكى على الإمام الحسين علیه السلام مهما غرق في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ترسّخت هذه الفكرة الخاطئة حتى اخترقت أوساط السلاطين والجبابرة الظلمة الذين أرسوا دعائم حكوماتهم على أساس الظلم والجور وتلطّخت أيديهم بدماء الأبرياء، فأخذوا يُقيمون مجالس العزاء، أو ينخرطون في هيئات العزاء يلطمون صدورهم؛ ليعتبروا ذلك من سُبل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وبالطبع، لا يستطيع أحدٌ إنكار الشفاعة، لكنّها تخضع لضوابط وشروط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التحليل لا ينسجم مع مبادئ الدين وأُصوله المسلَّمة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288808_2870459653"/>
      <w:bookmarkStart w:id="136" w:name="_Toc47"/>
      <w:bookmarkEnd w:id="135"/>
      <w:r>
        <w:rPr/>
        <w:t>3</w:t>
      </w:r>
      <w:r>
        <w:rPr>
          <w:rtl w:val="true"/>
        </w:rPr>
        <w:t xml:space="preserve">- </w:t>
      </w:r>
      <w:r>
        <w:rPr>
          <w:rtl w:val="true"/>
        </w:rPr>
        <w:t>الحُسن الذاتي للبكاء</w:t>
      </w:r>
      <w:bookmarkEnd w:id="1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الآثار الإيجابيّة البدنية والنفسية للبكاء ودوره في تنقية روح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الذاتي للبكاء هو سرّ تأكيد الأئمة علیهم السلام على إقامة مراسم العزاء؛ 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البكاء من الملامح الطبيعية والتوازن العاطفي لدى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فالأشخاص الذين يبكون قليلاً ولا يستطيعون التنفيس عن عُقدهم الباطنية وتبديد </w:t>
      </w:r>
    </w:p>
    <w:p>
      <w:pPr>
        <w:pStyle w:val="BookText"/>
        <w:rPr/>
      </w:pPr>
      <w:r>
        <w:rPr>
          <w:rFonts w:ascii="Amiri" w:hAnsi="Amiri" w:eastAsia="Amiri" w:cs="Amiri"/>
          <w:color w:val="111111"/>
          <w:sz w:val="28"/>
          <w:sz w:val="28"/>
          <w:szCs w:val="28"/>
          <w:rtl w:val="true"/>
          <w:lang w:bidi="ar-SA"/>
        </w:rPr>
        <w:t>همومهم وأحزانهم عن هذا الطريق لا يتمتعون عادة بسلامة نفسية وبدنية متوازنة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يعتقد علماء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النساء أقل عُقداً من الرجال بسبب سرعة تنفيسهن عن الضغوط النفسية بواسطة البكاء، وهذه إحدى أسرار سلامتهن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يرون أنّ البكاء يحدّ من الضغوط الناشئة من العُقد المتراكمة في باطن الإنسان، وعلاج لأكثر آلامه ومعاناته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بمثابة صمّام الأمان الذي يؤدّي إلى الاتزان الروحي للإنسان في الظروف الطارئة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ويعتقد هؤلاء أنّ الحُسن الذاتي للبكاء هو السبب في بكاء يعقوب علیه السلام لسنوات على فراق ولده، كما بكى رسول الله صلی الله علیه و اله بشدّة على فقد ولده إبراهيم </w:t>
      </w:r>
      <w:r>
        <w:rPr>
          <w:rStyle w:val="FootnoteAnchor"/>
          <w:rtl w:val="true"/>
        </w:rPr>
        <w:footnoteReference w:id="88"/>
      </w:r>
      <w:r>
        <w:rPr>
          <w:rFonts w:ascii="Amiri" w:hAnsi="Amiri" w:eastAsia="Amiri" w:cs="Amiri"/>
          <w:color w:val="111111"/>
          <w:sz w:val="28"/>
          <w:sz w:val="28"/>
          <w:szCs w:val="28"/>
          <w:rtl w:val="true"/>
          <w:lang w:bidi="ar-SA"/>
        </w:rPr>
        <w:t xml:space="preserve">والصحابي الجليل عثمان بن مظعون </w:t>
      </w:r>
      <w:r>
        <w:rPr>
          <w:rStyle w:val="FootnoteAnchor"/>
          <w:rtl w:val="true"/>
        </w:rPr>
        <w:footnoteReference w:id="89"/>
      </w:r>
      <w:r>
        <w:rPr>
          <w:rFonts w:ascii="Amiri" w:hAnsi="Amiri" w:eastAsia="Amiri" w:cs="Amiri"/>
          <w:color w:val="111111"/>
          <w:sz w:val="28"/>
          <w:sz w:val="28"/>
          <w:szCs w:val="28"/>
          <w:rtl w:val="true"/>
          <w:lang w:bidi="ar-SA"/>
        </w:rPr>
        <w:t xml:space="preserve">، كما بكى حين قُتِل جمع من أصحابه، وكذلك في شهادة عمه الحمزة وحثّ نساء المدينة على البكاء على الحمزة </w:t>
      </w:r>
      <w:r>
        <w:rPr>
          <w:rStyle w:val="FootnoteAnchor"/>
          <w:rtl w:val="true"/>
        </w:rPr>
        <w:footnoteReference w:id="90"/>
      </w:r>
      <w:r>
        <w:rPr>
          <w:rFonts w:ascii="IRNazanin" w:hAnsi="IRNazanin" w:eastAsia="IRNazanin"/>
          <w:color w:val="111111"/>
          <w:sz w:val="28"/>
          <w:sz w:val="28"/>
          <w:szCs w:val="28"/>
          <w:rtl w:val="true"/>
          <w:lang w:bidi="fa-IR"/>
        </w:rPr>
        <w:t>، وهذا ما جعل الزهراء صلی الله علیه و اله تبكي رسول الله صلی الله علیه و اله ليلاً نهاراً</w:t>
      </w:r>
      <w:r>
        <w:rPr>
          <w:rStyle w:val="FootnoteAnchor"/>
          <w:rtl w:val="true"/>
        </w:rPr>
        <w:footnoteReference w:id="91"/>
      </w:r>
      <w:r>
        <w:rPr>
          <w:rFonts w:ascii="IRNazanin" w:hAnsi="IRNazanin" w:eastAsia="IRNazanin"/>
          <w:color w:val="111111"/>
          <w:sz w:val="28"/>
          <w:sz w:val="28"/>
          <w:szCs w:val="28"/>
          <w:rtl w:val="true"/>
          <w:lang w:bidi="fa-IR"/>
        </w:rPr>
        <w:t xml:space="preserve">، والامام زين العابدين علیه السلام لسنوات على أبيه الحسين علیه السلام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آثار البكاء الإيجابيّة في تنقية روح الإنسان وتكامله ممّا لا يمكن إنكاره، إلّا أن هذا التحليل لا يسعه أن يكون سرّ كُلّ هذا التأكيد من الأئمة علیهم السلام في البكاء على الإمام الحسين علیه السلام وذلك الثواب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ويُدرك كُلّ مَن تأمّل الروايات الإسلاميّة أنّ هناك </w:t>
      </w:r>
      <w:bookmarkStart w:id="137" w:name="pg10991_100493"/>
    </w:p>
    <w:p>
      <w:pPr>
        <w:pStyle w:val="BookText"/>
        <w:rPr/>
      </w:pPr>
      <w:bookmarkEnd w:id="137"/>
      <w:r>
        <w:rPr>
          <w:rFonts w:ascii="Amiri" w:hAnsi="Amiri" w:eastAsia="Amiri" w:cs="Amiri"/>
          <w:color w:val="111111"/>
          <w:sz w:val="28"/>
          <w:sz w:val="28"/>
          <w:szCs w:val="28"/>
          <w:rtl w:val="true"/>
          <w:lang w:bidi="ar-SA"/>
        </w:rPr>
        <w:t>هدفاً آخر وراء حثّ أهل البيت على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وجود هذه الآثار الايجابية في البكاء، إلّا أن بحثنا هنا في سرّ تأكيد الأئمة على البكاء وفلسفته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8288810_2870459653"/>
      <w:bookmarkStart w:id="139" w:name="_Toc48"/>
      <w:bookmarkEnd w:id="138"/>
      <w:r>
        <w:rPr>
          <w:rtl w:val="true"/>
        </w:rPr>
        <w:t>التحليل الصحيح لفلسفة البكاء</w:t>
      </w:r>
      <w:bookmarkEnd w:id="139"/>
    </w:p>
    <w:p>
      <w:pPr>
        <w:pStyle w:val="BookText"/>
        <w:rPr/>
      </w:pPr>
      <w:r>
        <w:rPr>
          <w:rFonts w:ascii="IRNazanin" w:hAnsi="IRNazanin" w:eastAsia="IRNazanin"/>
          <w:color w:val="111111"/>
          <w:sz w:val="28"/>
          <w:sz w:val="28"/>
          <w:szCs w:val="28"/>
          <w:rtl w:val="true"/>
          <w:lang w:bidi="fa-IR"/>
        </w:rPr>
        <w:t>بعد أن عرفنا أنّ ما طُرح من تحليل لفلسفة البكاء على أبي الأحرار علیه السلام لا يرتقي إلى مستوى الروايات الواردة عن أهل البيت علیهم السلام نُشير هنا إلى التحليلات التي نراها صحيحة ومنطقية في موضوع فلسفة العزاء ضمن أربعة محاور</w:t>
      </w:r>
      <w:r>
        <w:rPr>
          <w:rFonts w:eastAsia="IRNazanin" w:cs="IRNazanin"/>
          <w:color w:val="111111"/>
          <w:sz w:val="28"/>
          <w:szCs w:val="28"/>
          <w:rtl w:val="true"/>
          <w:lang w:bidi="fa-IR"/>
        </w:rPr>
        <w:t>:</w:t>
      </w:r>
    </w:p>
    <w:p>
      <w:pPr>
        <w:pStyle w:val="Heading3"/>
        <w:numPr>
          <w:ilvl w:val="2"/>
          <w:numId w:val="1"/>
        </w:numPr>
        <w:rPr/>
      </w:pPr>
      <w:bookmarkStart w:id="140" w:name="__RefHeading___Toc8288812_2870459653"/>
      <w:bookmarkStart w:id="141" w:name="_Toc49"/>
      <w:bookmarkEnd w:id="140"/>
      <w:r>
        <w:rPr/>
        <w:t>1</w:t>
      </w:r>
      <w:r>
        <w:rPr>
          <w:rtl w:val="true"/>
        </w:rPr>
        <w:t xml:space="preserve">- </w:t>
      </w:r>
      <w:r>
        <w:rPr>
          <w:rtl w:val="true"/>
        </w:rPr>
        <w:t>الثناء على جهاد الإمام علیه السلام وتعظيم الشعائر</w:t>
      </w:r>
      <w:bookmarkEnd w:id="141"/>
    </w:p>
    <w:p>
      <w:pPr>
        <w:pStyle w:val="BookText"/>
        <w:rPr/>
      </w:pPr>
      <w:r>
        <w:rPr>
          <w:rFonts w:ascii="IRNazanin" w:hAnsi="IRNazanin" w:eastAsia="IRNazanin"/>
          <w:color w:val="111111"/>
          <w:sz w:val="28"/>
          <w:sz w:val="28"/>
          <w:szCs w:val="28"/>
          <w:rtl w:val="true"/>
          <w:lang w:bidi="fa-IR"/>
        </w:rPr>
        <w:t>إنّ العزاء على شخص نوع من التعظيم والتكريم، ورعاية لموقعه وشخصيته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النبي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لا بواكي عليه، لا إعزاز له</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ولا سيمّا العزاء على أولياء الله الذي يُعدّ من المصاديق البارزة لتعظيم شعائر الله والثناء على عقيدتهم وتكريم نهجهم وجهادهم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حين رجع رسول الله صلی الله علیه و اله من معركة أُحد ورأى قبيلتي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تبكيان شهداءهما ولا بواكي لعمه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 اليوم</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نسوة المدينة اجتمعن في دار حمزة وأخذن يندبنه ويُقمن العزاء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أُبلغ رسول الله صلی الله علیه و اله بشهادة جعفر الطيار في مؤتة ذهب إلى بيت جعفر، ثم الزهراء صلی الله علیه و اله ، فرآها باكية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42" w:name="pg10991_100494"/>
    </w:p>
    <w:p>
      <w:pPr>
        <w:pStyle w:val="BookText"/>
        <w:rPr/>
      </w:pPr>
      <w:bookmarkEnd w:id="142"/>
      <w:r>
        <w:rPr>
          <w:rFonts w:ascii="Amiri" w:hAnsi="Amiri" w:eastAsia="Amiri" w:cs="Amiri"/>
          <w:color w:val="111111"/>
          <w:sz w:val="28"/>
          <w:sz w:val="28"/>
          <w:szCs w:val="28"/>
          <w:rtl w:val="true"/>
          <w:lang w:bidi="ar-SA"/>
        </w:rPr>
        <w:t>ويعبّر القرآن الكريم عن تلك الطائفة من قوم موسى الذين سلكوا سبيل الغي والضلال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هذه العبارة أنّ عدم استحقاق بكاء الآخرين نوع من التحقير والتفاهة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نفهم وصية الأئمة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فإقامة مراسم العزاء على الإمام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الشخصية الفذّة والفريدة من أهل بيت العصمة والطهارة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المصاديق البارزة لتعظيم شعائر الله، مضافاً إلى تخليد المقام الرفيع لذلك الإمام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يكون كذلك والصفا والمروة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أكثر من مكان، لكنها عامرة بطاعة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الحسين علیه السلام الذي تعامل مع الله بكُلّ كيانه وقدِم نحو الشهادة بجميع أهل بيته ليقدّم تلك القرابين في سبيل الله لمن أعظم شعائر الله، وإقامة مجالس العزاء عليه إنّما تُعتبر تعظيماً لأحد أعظم شعائر الله</w:t>
      </w:r>
      <w:r>
        <w:rPr>
          <w:rFonts w:eastAsia="IRNazanin" w:cs="IRNazanin"/>
          <w:color w:val="111111"/>
          <w:sz w:val="28"/>
          <w:szCs w:val="28"/>
          <w:rtl w:val="true"/>
          <w:lang w:bidi="fa-IR"/>
        </w:rPr>
        <w:t>.</w:t>
      </w:r>
    </w:p>
    <w:p>
      <w:pPr>
        <w:pStyle w:val="Heading3"/>
        <w:numPr>
          <w:ilvl w:val="2"/>
          <w:numId w:val="1"/>
        </w:numPr>
        <w:rPr/>
      </w:pPr>
      <w:bookmarkStart w:id="143" w:name="__RefHeading___Toc8288814_2870459653"/>
      <w:bookmarkStart w:id="144" w:name="_Toc50"/>
      <w:bookmarkEnd w:id="143"/>
      <w:r>
        <w:rPr/>
        <w:t>2</w:t>
      </w:r>
      <w:r>
        <w:rPr>
          <w:rtl w:val="true"/>
        </w:rPr>
        <w:t xml:space="preserve">- </w:t>
      </w:r>
      <w:r>
        <w:rPr>
          <w:rtl w:val="true"/>
        </w:rPr>
        <w:t>حفظ مدرسة أهل البيت علیهم السلام</w:t>
      </w:r>
      <w:bookmarkEnd w:id="1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يعترف العدو والصديق بأن مجالس العزاء على الإمام الحسين علیه السلام أعظم قوّة تقف وراء يقظة الناس، والنهج الذي حدَّده الإمام لأتباعه وهو الضامن لبقاء الإسلام وديمومته</w:t>
      </w:r>
      <w:r>
        <w:rPr>
          <w:rFonts w:eastAsia="IRNazanin" w:cs="IRNazanin"/>
          <w:color w:val="111111"/>
          <w:sz w:val="28"/>
          <w:szCs w:val="28"/>
          <w:rtl w:val="true"/>
          <w:lang w:bidi="fa-IR"/>
        </w:rPr>
        <w:t xml:space="preserve">. </w:t>
      </w:r>
      <w:bookmarkStart w:id="145" w:name="pg10991_100495"/>
    </w:p>
    <w:p>
      <w:pPr>
        <w:pStyle w:val="BookText"/>
        <w:rPr/>
      </w:pPr>
      <w:bookmarkEnd w:id="145"/>
      <w:r>
        <w:rPr>
          <w:rFonts w:ascii="IRNazanin" w:hAnsi="IRNazanin" w:eastAsia="IRNazanin"/>
          <w:color w:val="111111"/>
          <w:sz w:val="28"/>
          <w:sz w:val="28"/>
          <w:szCs w:val="28"/>
          <w:rtl w:val="true"/>
          <w:lang w:bidi="fa-IR"/>
        </w:rPr>
        <w:t>إنّ أهمّية إقامة هذه المجالس وسرّ تأكيد الأئمّة الأطهار علیهم السلام على حفظها تبدو أوضح حين نلاحظ وضع الشيعة في عصر صدور هذه الروايات؛ حيث كانوا يعيشون عزلة خانقة وضغوطاً شديدة تمارسها ضدهم الحكومات الأُموية والعباسية، ويتعذّر عليهم ممارسة أدنى نشاط سياسي واجتماعي حتى أشرفوا على الانهيار، لكن مجالس العزاء الحسينية أنقذتهم وخلقت لديهم حالة من الانسجام والوئام، لتجعلهم قدرة ذات شوكة في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عبّرت بعض الروايات عن إقامة هذه المجالس بإحياء أمر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في هذه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تلك المجالس أُحبها فأحيوا أمرنا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الخميني بشأن هذه المجالس في عبارة 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وينبغي أن نُدرك جميعاً أنّ ما يوجب الوحدة بين المسلمين هذه المراسم السياسيّة، ومراسم العزاء على الأئمّة الأطهار علیهم السلام هي التي حفظت هوية المسلمين ولا سيما الشيعة الإمامية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8288816_2870459653"/>
      <w:bookmarkStart w:id="147" w:name="_Toc51"/>
      <w:bookmarkEnd w:id="146"/>
      <w:r>
        <w:rPr>
          <w:rtl w:val="true"/>
        </w:rPr>
        <w:t>اعتراف غير المسلمين بهذا الأمر</w:t>
      </w:r>
      <w:bookmarkEnd w:id="1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الكاتب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عن قلّة عدد الشيعة في العهود الإسلاميّة الأُولى، وبسبب عدم تسلّمهم الحكم، وتعرضهم لظلم الحكَّام وجورهم وتقتيلهم ونهب أموالهم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أحد أئمة الشيعة أوصاهم بالتقية لحفظهم من الأعداء، فأدى ذلك إلى اقتدار الشيعة بشكل تدريجي، ولم يجد العدو ما يتذرّع به لقتلهم وسلب أموالهم، وأخذ الشيعة يعقدون المجالس في الخفاء ويبكون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عنصر يقف وراء تقدمهم هو إقامة مجالس العزاء على الحسين علیه السلام ، وهذه العاطفة والتوجّه القلبي استحكمت في </w:t>
      </w:r>
      <w:bookmarkStart w:id="148" w:name="pg10991_100496"/>
    </w:p>
    <w:p>
      <w:pPr>
        <w:pStyle w:val="BookText"/>
        <w:rPr/>
      </w:pPr>
      <w:bookmarkEnd w:id="148"/>
      <w:r>
        <w:rPr>
          <w:rFonts w:ascii="Amiri" w:hAnsi="Amiri" w:eastAsia="Amiri" w:cs="Amiri"/>
          <w:color w:val="111111"/>
          <w:sz w:val="28"/>
          <w:sz w:val="28"/>
          <w:szCs w:val="28"/>
          <w:rtl w:val="true"/>
          <w:lang w:bidi="ar-SA"/>
        </w:rPr>
        <w:t xml:space="preserve">قلوب الشيعة وزادت بشكل تدريجي، فكان كُلّ شيعي في الواقع يدعو الآخرين إلى مذهبه دون التفات سائر المسلمين، بل لعل الشيعة أنفسهم لم يلتفتوا إلى فائدة هذا العمل، وكانوا يظّنون أنهم إنّما يحصلون على الثواب الأُخروي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أعتقد أنّ سرّ تطوّر الإسلام وتكامل المسلمين يكمن في شهادة الإمام الحسين علیه السلام وتلك الحوادث الأليمة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288818_2870459653"/>
      <w:bookmarkStart w:id="150" w:name="_Toc52"/>
      <w:bookmarkEnd w:id="149"/>
      <w:r>
        <w:rPr/>
        <w:t>3</w:t>
      </w:r>
      <w:r>
        <w:rPr>
          <w:rtl w:val="true"/>
        </w:rPr>
        <w:t xml:space="preserve">- </w:t>
      </w:r>
      <w:r>
        <w:rPr>
          <w:rtl w:val="true"/>
        </w:rPr>
        <w:t>تعبئة المسلمين</w:t>
      </w:r>
      <w:bookmarkEnd w:id="150"/>
    </w:p>
    <w:p>
      <w:pPr>
        <w:pStyle w:val="BookText"/>
        <w:rPr/>
      </w:pPr>
      <w:r>
        <w:rPr>
          <w:rFonts w:ascii="IRNazanin" w:hAnsi="IRNazanin" w:eastAsia="IRNazanin"/>
          <w:color w:val="111111"/>
          <w:sz w:val="28"/>
          <w:sz w:val="28"/>
          <w:szCs w:val="28"/>
          <w:rtl w:val="true"/>
          <w:lang w:bidi="fa-IR"/>
        </w:rPr>
        <w:t>إنّ الأئمة الأطهار علیهم السلام بتأكيدهم على إقامة مراسم العزاء إنّما جعلوا نهضته علیه السلام محوراً لوحدة النّاس، بحيث يجتمع اليوم أيّام شهادته ملايين الأفراد على اختلاف مستوياتهم وأعراقهم وأديانهم؛ ليشاركوا في مراسم العزاء ويلتفّوا حول الراية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أُمة بحاجة لعنصر الوحدة، بغية ديمومتها وموفقتيّها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شك فيه أنّ أفضل عنصر لوحدة أتباع أهل البيت علیه السلام هو هذه المراسم الحسينية؛ لأنها تستقطب التجمعات المليونية حول محور معيّن بأقل ما 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لو تمتّعت أُمّة بمثل هذه القوّة التي يُمكّنها حشد طاقاتها المتفرقة وتوجيهها في مُدّة زمنية قياسية وشيء من الإعلام لاستطاعت القضاء على أيّة عقبة تعترض سبيل رقيّها وتقدّمها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الأئمة علیهم السلام إنّما حالوا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بحثّهم الناس على إقامة هذه 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تشتّت تلك الطاقات، وعبّأوا الجموع المتفرقة وخلقوا منهم قوّة مقتدرة من خلال إيجاد الوحدة والانسجام، والحركة العفوية للجماهير أيام شهرَيْ محرم وصفر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سيما عاشوراء التي تهزّ عروش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تكشف النقاب عن سرّ تأكيدات الأئمّة في محورية النهضة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ولعلّنا لم نكن نقف على سرّ تأكيد الأئمة علیهم السلام على إقامة هذه المجالس لو لم نشهد تفجير تلك الطاقات الكامنة في هذه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المؤرخ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جهل بعض مؤرخينا جعلهم ينسبون الشيعة للجنون، وهذه مجرّد تُهمٍ، فإننا لم نشاهد بين الشعوب قوماً كالشيعة؛ حيث سلكوا بواسطة مجالس العزاء سياسة عقلائية أنتجت نهضات دينيّة مثمرة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المؤرخ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هنالك ما يوازي مراسم العزاء الحسيني في خلق هذا الوعي السياسي لدى المسلمين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الآخر على مدى خشية الحكومات من هذه القوة العظيمة معارضة خصوم الإسلام لإقامة هذه المجالس وسعيهم لإيقافها، حتى إقدامهم على هدم قبر الإمام الحسين علیه السلام والمنع من زيارته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51" w:name="pg10991_100498"/>
    </w:p>
    <w:p>
      <w:pPr>
        <w:pStyle w:val="BookText"/>
        <w:rPr/>
      </w:pPr>
      <w:bookmarkEnd w:id="151"/>
      <w:r>
        <w:rPr>
          <w:rFonts w:ascii="Amiri" w:hAnsi="Amiri" w:eastAsia="Amiri" w:cs="Amiri"/>
          <w:color w:val="111111"/>
          <w:sz w:val="28"/>
          <w:sz w:val="28"/>
          <w:szCs w:val="28"/>
          <w:rtl w:val="true"/>
          <w:lang w:bidi="ar-SA"/>
        </w:rPr>
        <w:t xml:space="preserve">ولا يخفى الرعب الذي يعيشه أعداء الدين من إقامة هذه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بذلوا قُصارى جهدهم من خلال كيل التُّهم الشنيعة بواسطة عملائهم أحياناً، وأُخرى عن طريق إثارة الطواغيت السائرين في فلكهم، كما سعوا لإفراغ هذه المجالس من محتواها بغية القضاء على الشعائر الحسينية، وإنّنا لنلمس من خلال نظرة عابرة لتاريخ الإسلام بعد حادثة كربلاء كيف غدت هذه المجالس والشعارات الحسينية أُسوة لنهضات المجاهدين في سبيل الله ومواجهة الطواغيت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نتساءل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انفتح جميع المسلمين على هذه المجالس كما ينبغي، وطهّروا أوساطهم ممّا عَلِقَ بها من فساد ودَنَسٍ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بوسيلة هذا العنصر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يتمكّن الظلمة من الهيمنة على البلاد الإسلاميّة؟ وهل باستطاعة الناهبين التطاول على ثروات البلدان الإسلاميّة لو فُعِّلت هذه المجالس ومبادئ النهضة الحسيّنية؟</w:t>
      </w:r>
    </w:p>
    <w:p>
      <w:pPr>
        <w:pStyle w:val="Heading3"/>
        <w:numPr>
          <w:ilvl w:val="2"/>
          <w:numId w:val="1"/>
        </w:numPr>
        <w:rPr/>
      </w:pPr>
      <w:bookmarkStart w:id="152" w:name="__RefHeading___Toc8288820_2870459653"/>
      <w:bookmarkStart w:id="153" w:name="_Toc53"/>
      <w:bookmarkEnd w:id="152"/>
      <w:r>
        <w:rPr/>
        <w:t>4</w:t>
      </w:r>
      <w:r>
        <w:rPr>
          <w:rtl w:val="true"/>
        </w:rPr>
        <w:t xml:space="preserve">- </w:t>
      </w:r>
      <w:r>
        <w:rPr>
          <w:rtl w:val="true"/>
        </w:rPr>
        <w:t xml:space="preserve">التَّزكية والتهذيب </w:t>
      </w:r>
      <w:r>
        <w:rPr>
          <w:rtl w:val="true"/>
        </w:rPr>
        <w:t>(</w:t>
      </w:r>
      <w:r>
        <w:rPr>
          <w:rtl w:val="true"/>
        </w:rPr>
        <w:t>الاقتداء</w:t>
      </w:r>
      <w:r>
        <w:rPr>
          <w:rtl w:val="true"/>
        </w:rPr>
        <w:t>)</w:t>
      </w:r>
      <w:bookmarkEnd w:id="153"/>
    </w:p>
    <w:p>
      <w:pPr>
        <w:pStyle w:val="BookText"/>
        <w:rPr/>
      </w:pPr>
      <w:r>
        <w:rPr>
          <w:rFonts w:ascii="IRNazanin" w:hAnsi="IRNazanin" w:eastAsia="IRNazanin"/>
          <w:color w:val="111111"/>
          <w:sz w:val="28"/>
          <w:sz w:val="28"/>
          <w:szCs w:val="28"/>
          <w:rtl w:val="true"/>
          <w:lang w:bidi="fa-IR"/>
        </w:rPr>
        <w:t>تُعدّ مجالس العزاء على الإمام الحسين علیه السلام مجالس التحوّل الروحي، ومراكز تزكية النفس وتهذيبها، فالنّاس يقتدون بالإمام الحسين علیه السلام ببكائهم على مظلوميّته في هذه المجالس، فهم يخلقون الأرضية الخصبة لديهم في محاكاة سيرته العلميّة، والتأثير الذي تخلّفه هذه المجالس تحوّلاً حقيقياً وعزماً على ترك الذنب والمعصية، حيث يوجد عدد من الأفراد عزموا على ترك الذنوب والمعاصي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تنبّه بعض الضالين إثر حضورهم تلك المجالس فعادوا إلى أنفسهم وساروا على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المجالس تُعلّم الإنسان درس العزّة والكرامة والإيثار والتّضحية ودروس الأخلاق والورع والتقوى؛ وبالتالي فهي مصنع الأبطال وعشاق الحق والعدالة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هذه المجالس هي في الواقع مدارس تعرّف الجماهير من خلالها إلى المعارف والحقائق الدينيّة والتاريخ والرجال والأحكام ومختلف الموضوعات، </w:t>
      </w:r>
    </w:p>
    <w:p>
      <w:pPr>
        <w:pStyle w:val="BookText"/>
        <w:rPr/>
      </w:pPr>
      <w:r>
        <w:rPr>
          <w:rFonts w:ascii="Amiri" w:hAnsi="Amiri" w:eastAsia="Amiri" w:cs="Amiri"/>
          <w:color w:val="111111"/>
          <w:sz w:val="28"/>
          <w:sz w:val="28"/>
          <w:szCs w:val="28"/>
          <w:rtl w:val="true"/>
          <w:lang w:bidi="ar-SA"/>
        </w:rPr>
        <w:t>وتُعدّ واحدة من أنجح مراكز التزكية والتهذيب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المؤرخ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لن يعيشوا الذلة ما دامت لديهم هذه المجالس التي يتعلّمون فيها دروس الشجاعة والتضحية، ومن خلال هذا الطريق يتعلّم الشيعة درس الشجاعة والبطولة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وفتح الأئمة الأطهار علیهم السلام لهذا الباب وحثّ الناس عليه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إلى التربية والتعليم في هذه الجامعة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المرحوم الفيض الكاشاني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توضيحه لحديث النبي الأكرم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ذكر الصالحين تنزل الرحمة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ذكر الصالحين وسجاياهم الأخلاقية تجعل الآخرين يتأسّون بهم فيستحقون نزول رحمة الله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ثقة الإسلام الكُليني وشيخ الطائفة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أوقف من مالي كذا وكذا للنوادب تندبني عشر سنين بمِنى أيام مِنى</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ولصاحب الجواهر في كتاب الطهارة كلام في بيان حكمة وفلسفة هذه الوصية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يُستفاد منه استحباب ذلك، إذا كان المندوب ذا صفاتٍ تستحقّ النّشر ليُتقدى بها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فتخليد ذكراهم فعل حَسن وعمل مطلوب</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0991_100501"/>
      <w:bookmarkStart w:id="155" w:name="pg10991_100501"/>
      <w:bookmarkEnd w:id="155"/>
    </w:p>
    <w:p>
      <w:pPr>
        <w:pStyle w:val="Heading3"/>
        <w:numPr>
          <w:ilvl w:val="2"/>
          <w:numId w:val="1"/>
        </w:numPr>
        <w:rPr/>
      </w:pPr>
      <w:bookmarkStart w:id="156" w:name="pg10991_100501"/>
      <w:bookmarkStart w:id="157" w:name="__RefHeading___Toc8288822_2870459653"/>
      <w:bookmarkStart w:id="158" w:name="_Toc54"/>
      <w:bookmarkEnd w:id="156"/>
      <w:bookmarkEnd w:id="157"/>
      <w:r>
        <w:rPr>
          <w:rtl w:val="true"/>
        </w:rPr>
        <w:t>المؤسسة الشعائرية</w:t>
      </w:r>
      <w:bookmarkEnd w:id="158"/>
    </w:p>
    <w:p>
      <w:pPr>
        <w:pStyle w:val="Heading3"/>
        <w:numPr>
          <w:ilvl w:val="2"/>
          <w:numId w:val="1"/>
        </w:numPr>
        <w:rPr/>
      </w:pPr>
      <w:bookmarkStart w:id="159" w:name="__RefHeading___Toc8288824_2870459653"/>
      <w:bookmarkStart w:id="160" w:name="_Toc55"/>
      <w:bookmarkEnd w:id="159"/>
      <w:r>
        <w:rPr>
          <w:rtl w:val="true"/>
        </w:rPr>
        <w:t>القسم الأول</w:t>
      </w:r>
      <w:r>
        <w:rPr>
          <w:rtl w:val="true"/>
        </w:rPr>
        <w:t>:(</w:t>
      </w:r>
      <w:r>
        <w:rPr>
          <w:rtl w:val="true"/>
        </w:rPr>
        <w:t>التأسيس والسيرورة</w:t>
      </w:r>
      <w:r>
        <w:rPr>
          <w:rtl w:val="true"/>
        </w:rPr>
        <w:t>)</w:t>
      </w:r>
      <w:bookmarkEnd w:id="160"/>
    </w:p>
    <w:p>
      <w:pPr>
        <w:pStyle w:val="Heading3"/>
        <w:numPr>
          <w:ilvl w:val="2"/>
          <w:numId w:val="1"/>
        </w:numPr>
        <w:rPr/>
      </w:pPr>
      <w:bookmarkStart w:id="161" w:name="__RefHeading___Toc8288826_2870459653"/>
      <w:bookmarkStart w:id="162" w:name="_Toc56"/>
      <w:bookmarkEnd w:id="161"/>
      <w:r>
        <w:rPr>
          <w:rtl w:val="true"/>
        </w:rPr>
        <w:t>الشيخ عامر الجابري</w:t>
      </w:r>
      <w:bookmarkEnd w:id="162"/>
    </w:p>
    <w:p>
      <w:pPr>
        <w:pStyle w:val="BookText"/>
        <w:rPr/>
      </w:pPr>
      <w:r>
        <w:rPr>
          <w:rFonts w:ascii="Amiri" w:hAnsi="Amiri" w:eastAsia="Amiri" w:cs="Amiri"/>
          <w:color w:val="111111"/>
          <w:sz w:val="28"/>
          <w:sz w:val="28"/>
          <w:szCs w:val="28"/>
          <w:rtl w:val="true"/>
          <w:lang w:bidi="ar-SA"/>
        </w:rPr>
        <w:t>الشيخ عامر الجابري</w:t>
      </w:r>
      <w:r>
        <w:rPr>
          <w:rStyle w:val="FootnoteAnchor"/>
          <w:rtl w:val="true"/>
        </w:rPr>
        <w:footnoteReference w:id="111"/>
      </w:r>
    </w:p>
    <w:p>
      <w:pPr>
        <w:pStyle w:val="Heading3"/>
        <w:numPr>
          <w:ilvl w:val="2"/>
          <w:numId w:val="1"/>
        </w:numPr>
        <w:rPr/>
      </w:pPr>
      <w:bookmarkStart w:id="163" w:name="__RefHeading___Toc8288828_2870459653"/>
      <w:bookmarkStart w:id="164" w:name="_Toc57"/>
      <w:bookmarkEnd w:id="163"/>
      <w:r>
        <w:rPr>
          <w:rtl w:val="true"/>
        </w:rPr>
        <w:t>مقدمة</w:t>
      </w:r>
      <w:bookmarkEnd w:id="164"/>
    </w:p>
    <w:p>
      <w:pPr>
        <w:pStyle w:val="BookText"/>
        <w:rPr/>
      </w:pPr>
      <w:r>
        <w:rPr>
          <w:rFonts w:ascii="Amiri" w:hAnsi="Amiri" w:eastAsia="Amiri" w:cs="Amiri"/>
          <w:color w:val="111111"/>
          <w:sz w:val="28"/>
          <w:sz w:val="28"/>
          <w:szCs w:val="28"/>
          <w:rtl w:val="true"/>
          <w:lang w:bidi="ar-SA"/>
        </w:rPr>
        <w:t>ينظر علم الكلام الإمامي إلى أئمة أهل البيت علیهم السلام بوصفهم كياناً مترابط الأجزاء، ومجموعة من الأفراد الكاملين المنتجبين والمصطفين من قِبَل السماء لإنجاز مشروعها في الأرض، المتمثل بإيصال البشرية إلى كمالها المنشود الذي عبَّر عنه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وحدة مشروع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إليهم بهذا المعنى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مجرد افتراض نبحث عن مبرراته التاريخية، وإنّما هو مما تفرضه العقيدة نفسها وفكرة الإمامة بالذات؛ لأنّ الإمامة واحدة في الجميع بمسؤولياتها وشروطها، فيجب أن </w:t>
      </w:r>
    </w:p>
    <w:p>
      <w:pPr>
        <w:pStyle w:val="BookText"/>
        <w:rPr/>
      </w:pPr>
      <w:r>
        <w:rPr>
          <w:rFonts w:ascii="IRNazanin" w:hAnsi="IRNazanin" w:eastAsia="IRNazanin"/>
          <w:color w:val="111111"/>
          <w:sz w:val="28"/>
          <w:sz w:val="28"/>
          <w:szCs w:val="28"/>
          <w:rtl w:val="true"/>
          <w:lang w:bidi="fa-IR"/>
        </w:rPr>
        <w:t xml:space="preserve">تنعكس انعكاساً واحداً في شروط الأئمة علیهم السلام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التأكيد على القول بوحدة مشروع أهل البيت علیهم السلام غير أنّ أدوارهم قد تنوّعت وتغايرات بتنوع وتغاير الأجواء والظروف الفكرية والاجتماعية والسياسيّة التي مرّت بها الأُمة، فقام كل واحد منهم علیهم السلام بما يتناسب وتلك الأجواء والظروف من جهة، وما ينسجم مع مشروعهم وهدفهم الإلهي الكبير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الرسول الكريم صلی الله علیه و اله إلى تلك الحقيقة بقوله في الحسنين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فقوله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إشارة إلى وحدة المشروع ووحدة الهدف،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اختلاف الأدوار وتعددها، وإنّ هذا الاختلاف والتعدُّد في الأدوار لا يضرّ بوحدة المشروع والهدف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نذهب إلى ما ذهب إليه عدة من المفكرين الشيعة من أن دور أهل البيت علیه السلام بعد الفاجعة، قد تركّز على بناء كيان التشيّع وتشييده وتأسيس المؤسسات التي تضمن ديمومته وتوسّعه وازدهاره تدريجياً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سعى أئمة أهل البيت علیهم السلام بشتى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ومختلف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تحقيق هذا الغرض، ومن أهمّ تلك الوسائل والسبل هو توظيف المظلومية الحسينية ومأساة كربلاء واستثمارها في هذا المجال، عبر حث الناس على زيارة الإمام الحسين علیه السلام وتعاهد قبره الشريف، وشدّ الناس نحوه بشتّى الطرق، وإقامة العزاء عليه، وغير ذلك مما يمكن اختصاره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الحسينية</w:t>
      </w:r>
      <w:r>
        <w:rPr>
          <w:rFonts w:eastAsia="IRNazanin" w:cs="IRNazanin"/>
          <w:color w:val="111111"/>
          <w:sz w:val="28"/>
          <w:szCs w:val="28"/>
          <w:rtl w:val="true"/>
          <w:lang w:bidi="fa-IR"/>
        </w:rPr>
        <w:t xml:space="preserve">). </w:t>
      </w:r>
      <w:bookmarkStart w:id="165" w:name="pg10991_100503"/>
    </w:p>
    <w:p>
      <w:pPr>
        <w:pStyle w:val="BookText"/>
        <w:rPr/>
      </w:pPr>
      <w:bookmarkEnd w:id="165"/>
      <w:r>
        <w:rPr>
          <w:rFonts w:ascii="IRNazanin" w:hAnsi="IRNazanin" w:eastAsia="IRNazanin"/>
          <w:color w:val="111111"/>
          <w:sz w:val="28"/>
          <w:sz w:val="28"/>
          <w:szCs w:val="28"/>
          <w:rtl w:val="true"/>
          <w:lang w:bidi="fa-IR"/>
        </w:rPr>
        <w:t>فالشعائر الحسينية هي مؤسسة اجتماعية ثقافية كبرى، وقد نشأت هذه المؤسسة وتبلورت في ظلّ توجيهات وإرشادات أهل البيت علیهم السلام ، وفقهائهم من بعدهم، من أجل تكميل كيان التشيّع، وترسيخ قدمه، وإيجاد ما يضمن معه التوسع والتمدد والانتشار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وسنحاول في هذا البحث تسليط الضوء على بدايات تأسيس هذه المؤسسة وتكوّنها، ورسم الملامح العامة والخطوط العريضة التي انتهت إليها في عصر المعصومين علیهم السلام ، ثم نحاول بيان دور هذه المؤسسة وارتباطها ببناء وبلورة كيان التشيّع الذي توجهت إليه أنظار المعصومين علیهم السلام بعد الفاجعة، وعلى أساس ذلك رأينا أن نقسّم الكلام على مبحثين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الشعائرية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 والسيرورة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الشعائرية ودورها في تكميل كيان التشيع</w:t>
      </w:r>
    </w:p>
    <w:p>
      <w:pPr>
        <w:pStyle w:val="Heading3"/>
        <w:numPr>
          <w:ilvl w:val="2"/>
          <w:numId w:val="1"/>
        </w:numPr>
        <w:rPr/>
      </w:pPr>
      <w:bookmarkStart w:id="166" w:name="__RefHeading___Toc8288830_2870459653"/>
      <w:bookmarkStart w:id="167" w:name="_Toc58"/>
      <w:bookmarkEnd w:id="166"/>
      <w:r>
        <w:rPr>
          <w:rtl w:val="true"/>
        </w:rPr>
        <w:t>القسم الأول</w:t>
      </w:r>
      <w:bookmarkEnd w:id="167"/>
    </w:p>
    <w:p>
      <w:pPr>
        <w:pStyle w:val="Heading3"/>
        <w:numPr>
          <w:ilvl w:val="2"/>
          <w:numId w:val="1"/>
        </w:numPr>
        <w:rPr/>
      </w:pPr>
      <w:bookmarkStart w:id="168" w:name="__RefHeading___Toc8288832_2870459653"/>
      <w:bookmarkStart w:id="169" w:name="_Toc59"/>
      <w:bookmarkEnd w:id="168"/>
      <w:r>
        <w:rPr>
          <w:rtl w:val="true"/>
        </w:rPr>
        <w:t xml:space="preserve">المؤسسة الشعائرية </w:t>
      </w:r>
      <w:r>
        <w:rPr>
          <w:rtl w:val="true"/>
        </w:rPr>
        <w:t>(</w:t>
      </w:r>
      <w:r>
        <w:rPr>
          <w:rtl w:val="true"/>
        </w:rPr>
        <w:t>التأسيس والسيرورة</w:t>
      </w:r>
      <w:r>
        <w:rPr>
          <w:rtl w:val="true"/>
        </w:rPr>
        <w:t>)</w:t>
      </w:r>
      <w:bookmarkEnd w:id="169"/>
    </w:p>
    <w:p>
      <w:pPr>
        <w:pStyle w:val="BookText"/>
        <w:rPr/>
      </w:pPr>
      <w:r>
        <w:rPr>
          <w:rFonts w:ascii="IRNazanin" w:hAnsi="IRNazanin" w:eastAsia="IRNazanin"/>
          <w:color w:val="111111"/>
          <w:sz w:val="28"/>
          <w:sz w:val="28"/>
          <w:szCs w:val="28"/>
          <w:rtl w:val="true"/>
          <w:lang w:bidi="fa-IR"/>
        </w:rPr>
        <w:t>نعني بالمؤسسة الشعائرية هي مجموعة الممارسات والفعاليات الحسينية التي حثّ عليها أهل البيت علیهم السلام ، بالنصّ الخاص أو النصّ العام، والتي تنحلُّ إلى مؤسستين عملاقتين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المأتم الحسيني، ومؤسسة زيارة الحسين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فالمآتم الحسينية وزيارة الحسين علیه السلام يشكّلان مؤسسة فكرية اجتماعية تربوية كبرى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الشعائرية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أراد من ورائها أهل البيت علیهم السلام توظيف المظلومية الحسينية ومأساة كربلاء لبناء كيان التشيع، والحفاظ عليه وديمومته وترسيخ هويته، وتوسيع رقعته مع مرور الليالي الأيام، وهذا ما سنركز عليه ونتحدث عنه في المبحث الثاني</w:t>
      </w:r>
      <w:r>
        <w:rPr>
          <w:rFonts w:eastAsia="IRNazanin" w:cs="IRNazanin"/>
          <w:color w:val="111111"/>
          <w:sz w:val="28"/>
          <w:szCs w:val="28"/>
          <w:rtl w:val="true"/>
          <w:lang w:bidi="fa-IR"/>
        </w:rPr>
        <w:t xml:space="preserve">. </w:t>
      </w:r>
      <w:bookmarkStart w:id="170" w:name="pg10991_100504"/>
    </w:p>
    <w:p>
      <w:pPr>
        <w:pStyle w:val="BookText"/>
        <w:rPr/>
      </w:pPr>
      <w:bookmarkEnd w:id="170"/>
      <w:r>
        <w:rPr>
          <w:rFonts w:ascii="IRNazanin" w:hAnsi="IRNazanin" w:eastAsia="IRNazanin"/>
          <w:color w:val="111111"/>
          <w:sz w:val="28"/>
          <w:sz w:val="28"/>
          <w:szCs w:val="28"/>
          <w:rtl w:val="true"/>
          <w:lang w:bidi="fa-IR"/>
        </w:rPr>
        <w:t>وسنركز في القسم الأول من الدراسة على بدايات تأسيس هذه المؤسسة وتكوّنها، ورسم الملامح العامة والخطوط العريضة التي انتهت إليها في عصر المعصومين علیهم السلام ، من خلال مطلبين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المأتم الحسيني</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زيارة الإمام الحسين علیه السلام</w:t>
      </w:r>
    </w:p>
    <w:p>
      <w:pPr>
        <w:pStyle w:val="Heading3"/>
        <w:numPr>
          <w:ilvl w:val="2"/>
          <w:numId w:val="1"/>
        </w:numPr>
        <w:rPr/>
      </w:pPr>
      <w:bookmarkStart w:id="171" w:name="__RefHeading___Toc8288834_2870459653"/>
      <w:bookmarkStart w:id="172" w:name="_Toc60"/>
      <w:bookmarkEnd w:id="171"/>
      <w:r>
        <w:rPr>
          <w:rtl w:val="true"/>
        </w:rPr>
        <w:t>المبحث الأول</w:t>
      </w:r>
      <w:r>
        <w:rPr>
          <w:rtl w:val="true"/>
        </w:rPr>
        <w:t xml:space="preserve">: </w:t>
      </w:r>
      <w:r>
        <w:rPr>
          <w:rtl w:val="true"/>
        </w:rPr>
        <w:t>مؤسسة المأتم الحسيني</w:t>
      </w:r>
      <w:bookmarkEnd w:id="172"/>
    </w:p>
    <w:p>
      <w:pPr>
        <w:pStyle w:val="BookText"/>
        <w:rPr/>
      </w:pPr>
      <w:r>
        <w:rPr>
          <w:rFonts w:ascii="IRNazanin" w:hAnsi="IRNazanin" w:eastAsia="IRNazanin"/>
          <w:color w:val="111111"/>
          <w:sz w:val="28"/>
          <w:sz w:val="28"/>
          <w:szCs w:val="28"/>
          <w:rtl w:val="true"/>
          <w:lang w:bidi="fa-IR"/>
        </w:rPr>
        <w:t xml:space="preserve">يدور الحديث في هذا المطلب حول المأتم الحسيني بمعناه المؤسساتي المنظّم والموجّه، والمُؤسَّس في ضوء إرشادات أئمة أهل البيت علیهم السلام وتعاليمهم، ولسنا معنيين هنا بالحديث عن تلك المآتم التي أُقيمت في ساحة المعركة بعد مصرع الإمام الحسين علیه السلام ، أو التي أُقيمت في الكوفة عند مرور موكب السبايا بها، أو في الطريق بين الكوفة والشام، أو في قصر يزيد، أو عند رجوع السبايا إلى المدينة، فإن تلك المآتم كانت 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عفوي وتلقائي وبدوافع عاطفية، ولم تكن موجّهة نحو غاية مقصودة وهدف مدروس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مرادنا من المأتم الحسيني المؤسساتي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المأتم المنبعث عن خلفية دينية وعقدية، والمرتكز على أساس النصوص الواردة عن أهل البيت علیهم السلام ، والذي نعتقده أن بذرته الأُولى وضعت على يد الإمام السجاد علیه السلام ، ثم تطوّر تطوراً تدريجياً على أيدي بقية الأئمة علیهم السلام ، بحسب ما سمحت به الظروف لكل واحد منهم</w:t>
      </w:r>
      <w:r>
        <w:rPr>
          <w:rFonts w:eastAsia="IRNazanin" w:cs="IRNazanin"/>
          <w:color w:val="111111"/>
          <w:sz w:val="28"/>
          <w:szCs w:val="28"/>
          <w:rtl w:val="true"/>
          <w:lang w:bidi="fa-IR"/>
        </w:rPr>
        <w:t>.</w:t>
      </w:r>
    </w:p>
    <w:p>
      <w:pPr>
        <w:pStyle w:val="Heading3"/>
        <w:numPr>
          <w:ilvl w:val="2"/>
          <w:numId w:val="1"/>
        </w:numPr>
        <w:rPr/>
      </w:pPr>
      <w:bookmarkStart w:id="173" w:name="__RefHeading___Toc8288836_2870459653"/>
      <w:bookmarkStart w:id="174" w:name="_Toc61"/>
      <w:bookmarkEnd w:id="173"/>
      <w:r>
        <w:rPr>
          <w:rtl w:val="true"/>
        </w:rPr>
        <w:t>الإمام السجاد علیه السلام واضع بذرة المأتم الحسيني</w:t>
      </w:r>
      <w:bookmarkEnd w:id="1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عاش الإمام السجاد علیه السلام فاجعة الطف بجميع فصولها، وشاهد جميع مشاهدها المؤلمة، فرأى بأُمّ عينيه مصرع أبيه وأخويه علي الأكبر وعبد الله الرضيع، </w:t>
      </w:r>
    </w:p>
    <w:p>
      <w:pPr>
        <w:pStyle w:val="BookText"/>
        <w:rPr/>
      </w:pPr>
      <w:r>
        <w:rPr>
          <w:rFonts w:ascii="Amiri" w:hAnsi="Amiri" w:eastAsia="Amiri" w:cs="Amiri"/>
          <w:color w:val="111111"/>
          <w:sz w:val="28"/>
          <w:sz w:val="28"/>
          <w:szCs w:val="28"/>
          <w:rtl w:val="true"/>
          <w:lang w:bidi="ar-SA"/>
        </w:rPr>
        <w:t>وعمّه قمر العشيرة، وسائر فتيان بني هاشم والأنصار، ثم عانى ما عانى من مرارة السبي، وما زالت تلك المشاهد والصور عالقة في ذهنه إلى آخر لحظات حياته، فكان كلّما تذكرها ذرفت عيناه دموعها وأجهش بالبكاء، حتى يبكي لبكائه مَن رآه من الناس؛ رحمة له، وما وُضِع طعام بين يديه إلّا وبكى، وكان إذا أخذ ماءً بكى حتى يملأه بدموعه، حتى خيف على عينيه، فكانت هذه حاله طوال الأعوام التي عاشها بعد الطف، فعدّ أحد البكّائين الخمسة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أراد الإمام علیه السلام من خلال هذا البكاء المستمر أن يضع البذرة الأُولى لمؤسسة المأتم الحسيني؛ إذ أنّ الظرف السياسي للإمام علیه السلام كان يمنعه من الدعوة العلنية إلى تأسيس مأتم الحسين علیه السلام ، فالتجأ إلى أُسلوب الدعوة الصامتة، فالسلطة لن تتمكن من تجريمه بسبب هذا الفعل، بل قد تعدّ عمله هذا عملاً سلبياً، لا يشكّل خطراً على الدولة ولا يهدد كيانها، ولا يضر بمصالحها، وبهذا يكون الإمام علیه السلام قد سعى إلى توظيف المظلومية الحسينية ومأساة كربلاء بشكل عملي من دون أن يستفزّ السلطة، وقد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الفترة المظلمة التي عاشها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البذرة الأُولى لمؤسسة المأتم الحسيني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يرد عن الإمام علي بن الحسين علیه السلام أنه قد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علني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يمكن اعتباره النواة الأُولى لمؤسسة المأتم الحسيني إلّا في موارد نادرة ومحدودة جداً،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بسنده عن الإمام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دمعت عيناه لقتل الحسين بن علي علیهما السلام دمعة حتى تسيل على خده لأذى مسّنا من عدونا في الدنيا بوّأه الله مبوّأ صدق في الجنة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5" w:name="pg10991_100506"/>
    </w:p>
    <w:p>
      <w:pPr>
        <w:pStyle w:val="BookText"/>
        <w:rPr/>
      </w:pPr>
      <w:bookmarkEnd w:id="175"/>
      <w:r>
        <w:rPr>
          <w:rFonts w:ascii="Amiri" w:hAnsi="Amiri" w:eastAsia="Amiri" w:cs="Amiri"/>
          <w:color w:val="111111"/>
          <w:sz w:val="28"/>
          <w:sz w:val="28"/>
          <w:szCs w:val="28"/>
          <w:rtl w:val="true"/>
          <w:lang w:bidi="ar-SA"/>
        </w:rPr>
        <w:t>ويقول محمد مهدي شمس الدين معلِّقاً على هذه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ونُقدِّر أن هذا البيان وأمثاله قد أعطى توجيهاً معيناً لهذه التجمعات العفوية التي كانت تُعقد بعد نهاية الثورة، هذا التوجيه يقوم على الفكرة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التجمعات سيكون لها مبرِّر مستمر هو البكاء على الحسين علیه السلام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8288838_2870459653"/>
      <w:bookmarkStart w:id="177" w:name="_Toc62"/>
      <w:bookmarkEnd w:id="176"/>
      <w:r>
        <w:rPr>
          <w:rtl w:val="true"/>
        </w:rPr>
        <w:t>مؤسسة المأتم الحسيني في عهد الإمام الباقر علیه السلام</w:t>
      </w:r>
      <w:bookmarkEnd w:id="177"/>
    </w:p>
    <w:p>
      <w:pPr>
        <w:pStyle w:val="BookText"/>
        <w:rPr/>
      </w:pPr>
      <w:r>
        <w:rPr>
          <w:rFonts w:ascii="IRNazanin" w:hAnsi="IRNazanin" w:eastAsia="IRNazanin"/>
          <w:color w:val="111111"/>
          <w:sz w:val="28"/>
          <w:sz w:val="28"/>
          <w:szCs w:val="28"/>
          <w:rtl w:val="true"/>
          <w:lang w:bidi="fa-IR"/>
        </w:rPr>
        <w:t xml:space="preserve">لم تطرأ في بدايات عهد الإمام الباقر علیه السلام أيَّة تطورات شكلية أو جوهرية بخصوص مؤسسة المأتم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شدة ضغط الأُمويين عليه وعلى آله وصحبه؛ الأمر الذي كان يدعو الإمام علیه السلام وآله إلى اتخاذ جانب الحيطة والحذر والتقية، وإقامة مثل هذه المآتم في بيوتهم الخاصة وراء الأستار الكثيفة ولم يحضرها سوى خاصتهم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هذا الضغط بدأ يخفُّ تدريجاً في نهايات حياة الإمام الباقر علیه السلام ، فاستثمر الإمام علیه السلام هذه الفرصة؛ فقام بعدَّة خطوات من أجل تطوير المأتم الحسيني وبلورته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فأُولى الخطوات التي قام بها في هذا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مواصلة ما بدأ به الإمام السجاد علیه السلام من الحثّ على الاجتماعات التي تُعقد باسم أهل البيت علیهم السلام عموماً، والإمام الحسين علیه السلام خصوصاً، وإذا كان الإمام زين العابدين علیه السلام يدعو إلى هذه الاجتماعات بشكل غير مباشر، فإن الإمام الباقر علیه السلام كان يدعو إليها بشكل مباشر ومعلَن،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اجتمع مع آخر، فتذاكر أمرنا فإنّ ثالثهما مَلَك يستغفر لهما، وما اجتمع اثنان على ذكرنا إلّا باهى الله تعالى بهما الملائكة، فإذا اجتمعتم </w:t>
      </w:r>
    </w:p>
    <w:p>
      <w:pPr>
        <w:pStyle w:val="BookText"/>
        <w:rPr/>
      </w:pPr>
      <w:r>
        <w:rPr>
          <w:rFonts w:ascii="Amiri" w:hAnsi="Amiri" w:eastAsia="Amiri" w:cs="Amiri"/>
          <w:color w:val="111111"/>
          <w:sz w:val="28"/>
          <w:sz w:val="28"/>
          <w:szCs w:val="28"/>
          <w:rtl w:val="true"/>
          <w:lang w:bidi="ar-SA"/>
        </w:rPr>
        <w:t>فاشتغلوا بالذكر، فإنّ في اجتماعكم ومذاكرتكم إحياءنا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خطوة أُخرى مهمة أحدثها الإمام الباقر علیه السلام على هذا الصعيد، تتمثل بتشريعه استحباب تجديد الحزن بذكرى يوم عاشوراء، فقد روى الشيخ في مصباح المتهجد بسنده عن الباقر علیه السلام في حديثٍ حول وظيفة مَن لم يستطع الحضور يوم العاشر عند الحسين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ليندب الحسين علیه السلام ويبكيه ويأمر مَن في داره ممن لا يتقيه بالبكاء عليه، ويُقيم في داره المصيبة بإظهار الجزع عليه، وليُعزِّ بعضهم بعضاً بمصابهم بالحسين علیه السلام ، وأنا الضامن لهم إذا فعلوا ذلك على الله تعالى جميع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الضامن ذلك لهم والزعيم؟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وأنا الزعيم لمن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يُعزّي بعضنا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أعظم الله أجورنا بمصابنا بالحسين، وجعلنا وإياكم من الطالبين بثأره مع وليه الإمام المهدي من آل محمد علیهم السلام ، وإن استطعت أن لا تنتشر يومك في حاجة فافعل؛ فإنّه يوم نحس لا تُقضى فيه حاجة مؤمن، فإن قُضيت لم يُبارَك ولم يُرَ فيها رُشداً، ولا يدّخرن أحدكم لمنزله فيه شيئاً، فمن ادّخر في ذلك اليوم شيئاً لم يُبارَك له فيما ادّخره، ولم يُبارَك له في أهله، فإذا فعلوا ذلك كتب الله تعالى لهم ثواب ألف حجة وألف عمرة وألف غزوة كلها مع رسول الله صلی الله علیه و اله ، وكان له أجر وثواب مصيبة كل نبي ورسول ووصي وصديق وشهيد مات أو قُتِل منذ خلق الله الدنيا إلى أن تقوم الساعة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أقدم نصّ يتحدّث عن استحباب تجديد ذكرى يوم عاشوراء، وهو ما أكّدت عليه نصوص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تندفع الشبهة التي يردّدها بعضهم </w:t>
      </w:r>
    </w:p>
    <w:p>
      <w:pPr>
        <w:pStyle w:val="BookText"/>
        <w:rPr/>
      </w:pPr>
      <w:r>
        <w:rPr>
          <w:rFonts w:ascii="Amiri" w:hAnsi="Amiri" w:eastAsia="Amiri" w:cs="Amiri"/>
          <w:color w:val="111111"/>
          <w:sz w:val="28"/>
          <w:sz w:val="28"/>
          <w:szCs w:val="28"/>
          <w:rtl w:val="true"/>
          <w:lang w:bidi="ar-SA"/>
        </w:rPr>
        <w:t>من أنّ إحياء ذكرى يوم عاشوراء من مخترعات الدولة البويهية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نحن لا ننكر ما للبويهيين عموماً ولمعز الدولة خصوصاً من دور كبير في إحياء الشعائر الحسينية بشكل عام، وإحياء يوم العاشر بشكل خاص، حيث أصدر أوامره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يُغلِق الناس دكاكينهم في عاشر المحرم، ويُبطَّلوا الأسواق والبيع الشراء، ويُظهروا النياحة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الناس ذلك</w:t>
      </w:r>
      <w:r>
        <w:rPr>
          <w:rStyle w:val="FootnoteAnchor"/>
          <w:rtl w:val="true"/>
        </w:rPr>
        <w:footnoteReference w:id="122"/>
      </w:r>
      <w:r>
        <w:rPr>
          <w:rFonts w:ascii="Amiri" w:hAnsi="Amiri" w:eastAsia="Amiri" w:cs="Amiri"/>
          <w:color w:val="111111"/>
          <w:sz w:val="28"/>
          <w:sz w:val="28"/>
          <w:szCs w:val="28"/>
          <w:rtl w:val="true"/>
          <w:lang w:bidi="ar-SA"/>
        </w:rPr>
        <w:t>، وصارت الجماعات من القائمين بهذه المآتم تجوب أسواق بغداد، بأعلامها الخاصة، لاطمة صدورها ورؤوسها، كما أن معز الدولة البويهي كان يرتدي رداء الحداد والحزن، ويتقدم عسكره المشترِك في هذا المأتم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لا يعني أنّ معزّ الدولة قد ابتدع هذه العادة، كما يحلو لبعض الباحثين أن يُعبِّر، بل إنه فعَّل ما كان مجمّداً، وأحيى ما كان ينبغي أن يُحيى طوال السنين التي سبقت مجيء البويهيين إلى الحكم، وعدم إحيائه هو بسبب ما كان يمرّ به الشيعة من ظروف حالت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والخطوة الثالثة التي قام بها الإمام الباقر علیه السلام من أجل دعم مؤسسة المأتم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استقباله للشعراء وتشجيعهم على النظم في الإمام الحسين علیه السلام ، وهذا الأمر وإن بدأ يتعاظم في عصر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بوادره قد بدأت في عصر الإمام الباقر علیه السلام ، ومن ذلك استقباله للكميت وإنشاده له ميميّته، وقد ذكروا أنه لما بلغ الكميت قوله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وقتيل بالطف غودر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غوغاء أُمّة وطغام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بكى الإمام علیه السلام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كميت، لو كان عندنا مال لأعطيناك، ولكن لك ما </w:t>
      </w:r>
      <w:bookmarkStart w:id="178" w:name="pg10991_100509"/>
    </w:p>
    <w:p>
      <w:pPr>
        <w:pStyle w:val="BookText"/>
        <w:rPr/>
      </w:pPr>
      <w:bookmarkEnd w:id="178"/>
      <w:r>
        <w:rPr>
          <w:rFonts w:ascii="IRNazanin" w:hAnsi="IRNazanin" w:eastAsia="IRNazanin"/>
          <w:color w:val="111111"/>
          <w:sz w:val="28"/>
          <w:sz w:val="28"/>
          <w:szCs w:val="28"/>
          <w:rtl w:val="true"/>
          <w:lang w:bidi="fa-IR"/>
        </w:rPr>
        <w:t>قال رسول الله صلی الله علیه و اله 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مؤيَّداً بروح القدس، ما ذببت عن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8288840_2870459653"/>
      <w:bookmarkStart w:id="180" w:name="_Toc63"/>
      <w:bookmarkEnd w:id="179"/>
      <w:r>
        <w:rPr>
          <w:rtl w:val="true"/>
        </w:rPr>
        <w:t>الإمام الصادق علیه السلام والعصر الذهبي لمؤسسة المأتم الحسيني</w:t>
      </w:r>
      <w:bookmarkEnd w:id="180"/>
    </w:p>
    <w:p>
      <w:pPr>
        <w:pStyle w:val="BookText"/>
        <w:rPr/>
      </w:pPr>
      <w:r>
        <w:rPr>
          <w:rFonts w:ascii="IRNazanin" w:hAnsi="IRNazanin" w:eastAsia="IRNazanin"/>
          <w:color w:val="111111"/>
          <w:sz w:val="28"/>
          <w:sz w:val="28"/>
          <w:szCs w:val="28"/>
          <w:rtl w:val="true"/>
          <w:lang w:bidi="fa-IR"/>
        </w:rPr>
        <w:t xml:space="preserve">يُعدّ عصر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العصور التي مرّت على الشيعة؛ إذ عاصر علیه السلام نهايات الدولة الأُموية وبدايات الدولة العباسية، فخفّت الضغوط خلال هذه الفترة على الإمام علیه السلام وشيعته، وتحرّك الإمام علیه السلام تحرّكاً واسعاً على صعيد تقوية بناء التشيع وبلورة كيانه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فكثرت التوجيهات والتعليمات التي كان الإمام علیه السلام يُصدِرها ويُكمل بها بناء التشيع، وكثرت تجمعات الشيعة، وطوّروا مؤسساتهم الثقافية، وفي مقدمتها مؤسسة المأتم الحسيني والزيارة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تلخيص جهود الإمام الصادق علیه السلام فيما يخصّ مؤسسة المأتم الحسيني في النقاط التالية</w:t>
      </w:r>
      <w:r>
        <w:rPr>
          <w:rFonts w:eastAsia="IRNazanin" w:cs="IRNazanin"/>
          <w:color w:val="111111"/>
          <w:sz w:val="28"/>
          <w:szCs w:val="28"/>
          <w:rtl w:val="true"/>
          <w:lang w:bidi="fa-IR"/>
        </w:rPr>
        <w:t>:</w:t>
      </w:r>
    </w:p>
    <w:p>
      <w:pPr>
        <w:pStyle w:val="Heading3"/>
        <w:numPr>
          <w:ilvl w:val="2"/>
          <w:numId w:val="1"/>
        </w:numPr>
        <w:rPr/>
      </w:pPr>
      <w:bookmarkStart w:id="181" w:name="__RefHeading___Toc8288842_2870459653"/>
      <w:bookmarkStart w:id="182" w:name="_Toc64"/>
      <w:bookmarkEnd w:id="181"/>
      <w:r>
        <w:rPr>
          <w:rtl w:val="true"/>
        </w:rPr>
        <w:t>النقطة الأُولى</w:t>
      </w:r>
      <w:r>
        <w:rPr>
          <w:rtl w:val="true"/>
        </w:rPr>
        <w:t xml:space="preserve">: </w:t>
      </w:r>
      <w:r>
        <w:rPr>
          <w:rtl w:val="true"/>
        </w:rPr>
        <w:t>حثّه على البكاء والإبكاء على الحسين علیه السلام</w:t>
      </w:r>
      <w:bookmarkEnd w:id="182"/>
    </w:p>
    <w:p>
      <w:pPr>
        <w:pStyle w:val="BookText"/>
        <w:rPr/>
      </w:pPr>
      <w:r>
        <w:rPr>
          <w:rFonts w:ascii="IRNazanin" w:hAnsi="IRNazanin" w:eastAsia="IRNazanin"/>
          <w:color w:val="111111"/>
          <w:sz w:val="28"/>
          <w:sz w:val="28"/>
          <w:szCs w:val="28"/>
          <w:rtl w:val="true"/>
          <w:lang w:bidi="fa-IR"/>
        </w:rPr>
        <w:t>حثّ الإمام الصادق علیه السلام على الإبكاء والبكاء لمصاب الإمام الحسين علیه السلام في أقواله وتوجيهاته التي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ذُكر الحسين علیه السلام عنده فخرج من عينيه من الدموع مقدار جناح ذباب، كان ثوابه على الله عز وجل، ولم يرضَ له بدون الجنة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ذُكرنا عنده ففاضت عيناه ولو مثل جناح الذباب غُفر له ذنوبه ولو كانت مثل زبد البحر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83" w:name="pg10991_100510"/>
    </w:p>
    <w:p>
      <w:pPr>
        <w:pStyle w:val="BookText"/>
        <w:rPr/>
      </w:pPr>
      <w:bookmarkEnd w:id="18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ذُكرنا عنده ففاضت عيناه حرّم الله وجهه على النار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التذكير الذي ذكرته الروايات المتقدمة لا يكون سبباً لاستدرار الدمع ما لم يكن بأُسلوب مؤثر في السامع، ونعتقد أنّ أمثال هذه الروايات هي التي نشأت بسببها مجالس العزاء الحسيني، ولو بشكلها البدائي والبسيط، ومما يؤكد ذلك قول الإمام الصادق علیه السلام للفضيل بن يسار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المجالس أُحبّها، فأحيوا أمرنا رحم الله مَن أحيا أمرنا، يا فضيل؛ مَن ذَكرنا أو ذُكرنا عنده، فخرج من عينه مثل جناح الذباب، غفر الله ذنوبه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من هذه الرواية أنّ مجالس العزاء الحسيني قد بدأت تتشكّل منذ ذلك العهد المبكّر على شكل جماعة يجلسون ويتذاكرون مصائب الإمام الحسين علیه السلام ، وهذه هي البدايات الأُولى لنشوء المأتم الحسيني</w:t>
      </w:r>
      <w:r>
        <w:rPr>
          <w:rFonts w:eastAsia="IRNazanin" w:cs="IRNazanin"/>
          <w:color w:val="111111"/>
          <w:sz w:val="28"/>
          <w:szCs w:val="28"/>
          <w:rtl w:val="true"/>
          <w:lang w:bidi="fa-IR"/>
        </w:rPr>
        <w:t>.</w:t>
      </w:r>
    </w:p>
    <w:p>
      <w:pPr>
        <w:pStyle w:val="Heading3"/>
        <w:numPr>
          <w:ilvl w:val="2"/>
          <w:numId w:val="1"/>
        </w:numPr>
        <w:rPr/>
      </w:pPr>
      <w:bookmarkStart w:id="184" w:name="__RefHeading___Toc8288844_2870459653"/>
      <w:bookmarkStart w:id="185" w:name="_Toc65"/>
      <w:bookmarkEnd w:id="184"/>
      <w:r>
        <w:rPr>
          <w:rtl w:val="true"/>
        </w:rPr>
        <w:t>النقطة الثانية</w:t>
      </w:r>
      <w:r>
        <w:rPr>
          <w:rtl w:val="true"/>
        </w:rPr>
        <w:t xml:space="preserve">: </w:t>
      </w:r>
      <w:r>
        <w:rPr>
          <w:rtl w:val="true"/>
        </w:rPr>
        <w:t>حث الإمام الصادق علیه السلام على نظم الشعر في الإمام الحسين علیه السلام</w:t>
      </w:r>
      <w:bookmarkEnd w:id="185"/>
    </w:p>
    <w:p>
      <w:pPr>
        <w:pStyle w:val="BookText"/>
        <w:rPr/>
      </w:pPr>
      <w:r>
        <w:rPr>
          <w:rFonts w:ascii="IRNazanin" w:hAnsi="IRNazanin" w:eastAsia="IRNazanin"/>
          <w:color w:val="111111"/>
          <w:sz w:val="28"/>
          <w:sz w:val="28"/>
          <w:szCs w:val="28"/>
          <w:rtl w:val="true"/>
          <w:lang w:bidi="fa-IR"/>
        </w:rPr>
        <w:t>وهذا الأمر قد بدأت بوادره في عصر الإمام الباقر علیه السلام وبدأ يتنامى في عصر الإمام الصادق علیه السلام ، فقد روى عنه ابن قولويه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أنشد في الحسين بيت شعر فبكى وأبكى عشرة فله ولهم الجنة، ومن أنشد في الحسين بيتاً فبكى وأبكى تسعة فله ولهم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انشد في الحسين بيتاً فبكى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تباكى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الجنة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وأبكى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أبكى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صريحة للتجمعات وعقد المجالس الشعرية باسم الإمام الحسين علیه السلام ، كما أنه دعوة صريحة للتركيز على الجانب المأساوي في واقعة كربلاء؛ ولذا نجد أنّ أكثر أدب الطف قد نحى هذا المنحى وانطبع بهذا الطابع نتيجة لمثل هذا التوجيه</w:t>
      </w:r>
      <w:r>
        <w:rPr>
          <w:rFonts w:eastAsia="IRNazanin" w:cs="IRNazanin"/>
          <w:color w:val="111111"/>
          <w:sz w:val="28"/>
          <w:szCs w:val="28"/>
          <w:rtl w:val="true"/>
          <w:lang w:bidi="fa-IR"/>
        </w:rPr>
        <w:t xml:space="preserve">. </w:t>
      </w:r>
      <w:bookmarkStart w:id="186" w:name="pg10991_100511"/>
    </w:p>
    <w:p>
      <w:pPr>
        <w:pStyle w:val="BookText"/>
        <w:rPr/>
      </w:pPr>
      <w:bookmarkEnd w:id="186"/>
      <w:r>
        <w:rPr>
          <w:rFonts w:ascii="IRNazanin" w:hAnsi="IRNazanin" w:eastAsia="IRNazanin"/>
          <w:color w:val="111111"/>
          <w:sz w:val="28"/>
          <w:sz w:val="28"/>
          <w:szCs w:val="28"/>
          <w:rtl w:val="true"/>
          <w:lang w:bidi="fa-IR"/>
        </w:rPr>
        <w:t>وبسبب هذا التوجيه وأمثاله برز شعراء تخصصوا في نظم الشعر في الإمام الحسين علیه السلام ، وكان الإمام الصادق علیه السلام يشجعهم ويقرّبهم ويدنيهم،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عفان الطائي الكوفي الذي دخل في يوم من الأيام على الإمام الصادق علیه السلام فقرّبه وأدناه،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تقول الشعر في الحسين وتجيد؟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ومَن حوله، حتى صارت الدموع على وجهه ولحيته،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والله، لقد شهدت الملائكة المقربون هاهنا يسمعون قولك في الحسين علیه السلام ، ولقد بكوا كما بكينا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في الحسين شعراً، فبكى وأبكى به إلّا أوجب الله له الجنة، وغفر له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عبد الله بن غالب الأسدي الذي 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مَلكاً يُلقنك الشعر وإني لأعرف ذلك المَلك</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كامل الزيارات بسنده إلى عبد الله بن غالب،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فأنشدته مرثية الحسين علیه السلام ، فلما انتهيت إلى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لِبَلِيّةٍ تسقو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فصاحت باكية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8288846_2870459653"/>
      <w:bookmarkStart w:id="188" w:name="_Toc66"/>
      <w:bookmarkEnd w:id="187"/>
      <w:r>
        <w:rPr>
          <w:rtl w:val="true"/>
        </w:rPr>
        <w:t>النقطة الثالثة</w:t>
      </w:r>
      <w:r>
        <w:rPr>
          <w:rtl w:val="true"/>
        </w:rPr>
        <w:t xml:space="preserve">: </w:t>
      </w:r>
      <w:r>
        <w:rPr>
          <w:rtl w:val="true"/>
        </w:rPr>
        <w:t>دعمه علیه السلام للمنشدين الحسينيين</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 جانب الشعراء الناظمين في الحسين علیه السلام ظهر في أيام الإمام الصادق علیه السلام ما كانوا يعرفون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والمُنشد هو شخص حَسن الصوت يحفظ الشعر الرثائي الحسيني ويقرأه بطريقة حزينة ورقيقة ومؤثرة في السامعين</w:t>
      </w:r>
      <w:r>
        <w:rPr>
          <w:rFonts w:eastAsia="IRNazanin" w:cs="IRNazanin"/>
          <w:color w:val="111111"/>
          <w:sz w:val="28"/>
          <w:szCs w:val="28"/>
          <w:rtl w:val="true"/>
          <w:lang w:bidi="fa-IR"/>
        </w:rPr>
        <w:t xml:space="preserve">. </w:t>
      </w:r>
      <w:bookmarkStart w:id="189" w:name="pg10991_100512"/>
    </w:p>
    <w:p>
      <w:pPr>
        <w:pStyle w:val="BookText"/>
        <w:rPr/>
      </w:pPr>
      <w:bookmarkEnd w:id="189"/>
      <w:r>
        <w:rPr>
          <w:rFonts w:ascii="IRNazanin" w:hAnsi="IRNazanin" w:eastAsia="IRNazanin"/>
          <w:color w:val="111111"/>
          <w:sz w:val="28"/>
          <w:sz w:val="28"/>
          <w:szCs w:val="28"/>
          <w:rtl w:val="true"/>
          <w:lang w:bidi="fa-IR"/>
        </w:rPr>
        <w:t>ومن أوائل مَن عُرِف بالمُنشد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موسى بن عمير الكوفي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هارون المكفوف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أصحاب الإمامين الباقر والصادق علیهما السلام ، كان يُنشد قصائد السيد الحميري وغيره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يروي ابن قولويه عن أبي هارون المكفوف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هارون، أنشدني في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كما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الزكية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القصيدة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وسمعت البكاء من خلف الستر،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مَن أنشد في الحسين علیه السلام 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 علیه السلام عنده فخرج من عينه من الدموع مقدار جناح ذباب كان ثوابه على الله، ولم يرضَ له بدون الجنة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أنّ هناك تطوراً شكلياً في المأتم الحسيني أُخذ فيه بالحسبان مراعاة حسن الصوت وطريقة الإنشاد؛ كي يتمّ التفاعل العاطفي الحزين مع واقعة كربلاء</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288848_2870459653"/>
      <w:bookmarkStart w:id="191" w:name="_Toc67"/>
      <w:bookmarkEnd w:id="190"/>
      <w:r>
        <w:rPr>
          <w:rtl w:val="true"/>
        </w:rPr>
        <w:t>النقطة الرابعة</w:t>
      </w:r>
      <w:r>
        <w:rPr>
          <w:rtl w:val="true"/>
        </w:rPr>
        <w:t xml:space="preserve">: </w:t>
      </w:r>
      <w:r>
        <w:rPr>
          <w:rtl w:val="true"/>
        </w:rPr>
        <w:t>تشجيعه علیه السلام للقُصّاص الحسينيين</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تطوّر آخر برز في المأتم الحسيني في عصر الإمام الصادق علیه السلام ، يتمثّل هذا التطور في ظهور ما 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والقصاصون أو القُصّاص جمع 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يقصّ على الناس، ويكون من علمه التفسير والأثر وأخبار الأُمم البائدة، وهو ينقل ذلك لغرض التعليم أو الموعظة، ثم صار القصص، مما يلقى في مسجد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لزم ذلك مسلم بن جندب الهذلي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بعض النصوص التاريخية أن القصاصين كانوا موجودين قبل واقعة الطف، وتحديداً في زمن معاوية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الإشارة إلى مشاركة هذه الفئة في نقل أحداث ووقائع كربلاء في حديث عن الإمام الصادق علیه السلام ، يقول فيه مخاطباً 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قوماً يأتونه من نواحي الكوفة وناساً من غيرهم ونساءً يندبنه، وذلك في النصف من شعبان، فمن بين قارئ يقرأ، وقاصّ يقص، ونادب يندب، وقائل يقول المراثي؟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قد شهدت بعض ما 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 الناس مَن يَفِدُ إلينا ويمدحنا ويرثي لنا، وجعل عدونا مَن يطعن عليهم من قرابتنا وغيرهم يهدرونهم ويقبحون ما يصنعون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بعض هؤلاء القصاص الذين يتلون على الناس مأساة كربلاء متخصصاً في قصص الطف، كما هو الحال في بعض الشعراء والمنشدين الحسينيين، وقد يكون من القصاص غير المتخصصين في حقل خاص وقد جذبه المأتم الحسيني بعد أن غدا مؤسسة نامية لها قاعدتها الجماهيرية العريضة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بروز فئتي المنشدين والقصاصين الحسينيين من أهمّ التطورات الشكلية التي </w:t>
      </w:r>
      <w:bookmarkStart w:id="192" w:name="pg10991_100514"/>
    </w:p>
    <w:p>
      <w:pPr>
        <w:pStyle w:val="BookText"/>
        <w:rPr/>
      </w:pPr>
      <w:bookmarkEnd w:id="192"/>
      <w:r>
        <w:rPr>
          <w:rFonts w:ascii="IRNazanin" w:hAnsi="IRNazanin" w:eastAsia="IRNazanin"/>
          <w:color w:val="111111"/>
          <w:sz w:val="28"/>
          <w:sz w:val="28"/>
          <w:szCs w:val="28"/>
          <w:rtl w:val="true"/>
          <w:lang w:bidi="fa-IR"/>
        </w:rPr>
        <w:t xml:space="preserve">طرأت على المأتم في عصر الإمام الصادق علیه السلام ، وقد اندمجت هاتان الفئتان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مرور زمن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ليتشكّل منهما ما يُعرف اليوم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خطباء المنبر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فالمنشد الحسيني كما عرّفناه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شخص حسن الصوت يحفظ الشعر الرثائي الحسيني ويقرأه بطريقة حزينة ورقيقة ومؤثرة في السامعين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والقاص الحسيني يمكن تعريفه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يتولّى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سرد قصة الإمام الحسين علیه السلام وسيرته، وحوادث كربلاء، 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خطيب المنبر الحسيني اليوم يقوم بإنشاد أبيات من الشعر الرثائي، إضافة إلى ذكر شيء من قصة كربلاء</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8288850_2870459653"/>
      <w:bookmarkStart w:id="194" w:name="_Toc68"/>
      <w:bookmarkEnd w:id="193"/>
      <w:r>
        <w:rPr>
          <w:rtl w:val="true"/>
        </w:rPr>
        <w:t>النقطة الخامسة</w:t>
      </w:r>
      <w:r>
        <w:rPr>
          <w:rtl w:val="true"/>
        </w:rPr>
        <w:t xml:space="preserve">: </w:t>
      </w:r>
      <w:r>
        <w:rPr>
          <w:rtl w:val="true"/>
        </w:rPr>
        <w:t>تأكيده علیه السلام على إحياء يوم عاشوراء</w:t>
      </w:r>
      <w:bookmarkEnd w:id="1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بالحثّ والتأكيد على إحياء عاشوراء، وسار الإمام الصادق علیه السلام على المنوال ذاته، فعن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يوم عاشوراء إلى دار إمامي جعفر الصادق علیه السلام فرأيته ساجداً في محرابه، فجلست من ورائه حتى فرغ، فأطال في سجوده وبكائه، فسمعته يُناجي ربه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الإمام علیه السلام يدعو لأهل الإيمان ولزوار قبر الحسين وهو ساجد في محرابه، فلما رفع رأسه، أتيت إليه، وسلّمت عليه وتأمّلت وجهه، وإذا هو كاسف اللون متغير الحال ظاهر الحزن، ودموعه تنحدر على خديه كاللؤلؤ الرطب،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ممّ بكاؤك؟ لا أبكى الله لك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حلّ بك؟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غفلة عن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جدي الحسين علیه السلام قد قُتل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لبكائه وحزنت لحزنه،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فما الذي أفعل في مثل هذا اليوم؟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وهب، زُرِ الحسين علیه السلام من بعيد أقصى ومن قريب أدنى، وجدّد الحزن عليه وأكثر البكاء والشجون له</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95" w:name="pg10991_100515"/>
    </w:p>
    <w:p>
      <w:pPr>
        <w:pStyle w:val="Heading3"/>
        <w:numPr>
          <w:ilvl w:val="2"/>
          <w:numId w:val="1"/>
        </w:numPr>
        <w:rPr/>
      </w:pPr>
      <w:bookmarkStart w:id="196" w:name="__RefHeading___Toc8288852_2870459653"/>
      <w:bookmarkStart w:id="197" w:name="_Toc69"/>
      <w:bookmarkEnd w:id="195"/>
      <w:bookmarkEnd w:id="196"/>
      <w:r>
        <w:rPr>
          <w:rtl w:val="true"/>
        </w:rPr>
        <w:t>النقطة السادسة</w:t>
      </w:r>
      <w:r>
        <w:rPr>
          <w:rtl w:val="true"/>
        </w:rPr>
        <w:t xml:space="preserve">: </w:t>
      </w:r>
      <w:r>
        <w:rPr>
          <w:rtl w:val="true"/>
        </w:rPr>
        <w:t>ضبط وتقنين مسألة الشعائر</w:t>
      </w:r>
      <w:bookmarkEnd w:id="197"/>
    </w:p>
    <w:p>
      <w:pPr>
        <w:pStyle w:val="BookText"/>
        <w:rPr/>
      </w:pPr>
      <w:r>
        <w:rPr>
          <w:rFonts w:ascii="IRNazanin" w:hAnsi="IRNazanin" w:eastAsia="IRNazanin"/>
          <w:color w:val="111111"/>
          <w:sz w:val="28"/>
          <w:sz w:val="28"/>
          <w:szCs w:val="28"/>
          <w:rtl w:val="true"/>
          <w:lang w:bidi="fa-IR"/>
        </w:rPr>
        <w:t xml:space="preserve">وضع الإمام الصادق علیه السلام جملة من المحددات والأُطر العامة على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تكون تلك المحددات والأُطر بدرجة من المرونة تجعلها قابلة للتمدد عبر الزمان والمكان، ومستوعبة للمارسات والفعاليات الحسينية المستجدة والمستحدثة التي سيفرضها تطور المجتمعات البشرية، واختلاف الشعوب والأقوام في تعاطيها مع مسألة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وسنكتفي هنا بالإشارة إلى ثلاثة نماذج من تلك المحددات والأُطر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288854_2870459653"/>
      <w:bookmarkStart w:id="199" w:name="_Toc70"/>
      <w:bookmarkEnd w:id="198"/>
      <w:r>
        <w:rPr/>
        <w:t>1</w:t>
      </w:r>
      <w:r>
        <w:rPr>
          <w:rtl w:val="true"/>
        </w:rPr>
        <w:t xml:space="preserve">- </w:t>
      </w:r>
      <w:r>
        <w:rPr>
          <w:rtl w:val="true"/>
        </w:rPr>
        <w:t>الإبكاء</w:t>
      </w:r>
      <w:bookmarkEnd w:id="199"/>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قال في الحسين شعراً، فبكى وأبكى به إلّا أوجب الله له الجنة، وغفر له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أنشد في الحسين بن علي شعراً فأبكى خمسين فله الجنة، ومَن أنشد في الحسين شعراً فأبكى ثلاثين فله الجنة، ومَن أنشد في الحسين شعراً فأبكى عشرة فله الجنة، ومَن أنشد في الحسين شعراً فأبكى واحداً فله الجنة</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فهم الفقهاء من أمثال هذين النصّين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تسبب في إبكاء الناس على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وتوسط في استدرار الدمع من عيونهم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ينطبق عليه أحد العناوين المحرمة في الشريعة، دخل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يُذكَر بعينه في الروايات، ومن ذلك على سبيل المثال ما يُسمَّى بالشبيه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المسرح الحسيني 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0" w:name="pg10991_100516"/>
    </w:p>
    <w:p>
      <w:pPr>
        <w:pStyle w:val="BookText"/>
        <w:rPr/>
      </w:pPr>
      <w:bookmarkEnd w:id="200"/>
      <w:r>
        <w:rPr>
          <w:rFonts w:ascii="IRNazanin" w:hAnsi="IRNazanin" w:eastAsia="IRNazanin"/>
          <w:color w:val="111111"/>
          <w:sz w:val="28"/>
          <w:sz w:val="28"/>
          <w:szCs w:val="28"/>
          <w:rtl w:val="true"/>
          <w:lang w:bidi="fa-IR"/>
        </w:rPr>
        <w:t xml:space="preserve">وهو من الشعائر التي تَعْود أُصولها إلى أيام الصفويين، فهو لم يكن موجوداً في عصر المعصومين علیهم السلام ، ومع ذلك أفتى كثير من الفقهاء بجوازه أو 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يتضمّن هتكاً أو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أحد الأُمور المسببة للبكاء</w:t>
      </w:r>
      <w:r>
        <w:rPr>
          <w:rStyle w:val="FootnoteAnchor"/>
          <w:rtl w:val="true"/>
        </w:rPr>
        <w:footnoteReference w:id="146"/>
      </w:r>
      <w:r>
        <w:rPr>
          <w:rFonts w:ascii="Amiri" w:hAnsi="Amiri" w:eastAsia="Amiri" w:cs="Amiri"/>
          <w:color w:val="111111"/>
          <w:sz w:val="28"/>
          <w:sz w:val="28"/>
          <w:szCs w:val="28"/>
          <w:rtl w:val="true"/>
          <w:lang w:bidi="ar-SA"/>
        </w:rPr>
        <w:t>، بل لعل تأثيره في المتلقين أبلغ بكثير من الاستماع لقراءة المقتل، وهو واضح لمن حضر تلك المسرحيات، وشاهد التفاعل والتجاوب من قِبَل الحاضرين، وكأنهم يتفاعلون مع أحداث واقعية تحصل أمامهم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288856_2870459653"/>
      <w:bookmarkStart w:id="202" w:name="_Toc71"/>
      <w:bookmarkEnd w:id="201"/>
      <w:r>
        <w:rPr/>
        <w:t>2</w:t>
      </w:r>
      <w:r>
        <w:rPr>
          <w:rtl w:val="true"/>
        </w:rPr>
        <w:t xml:space="preserve">- </w:t>
      </w:r>
      <w:r>
        <w:rPr>
          <w:rtl w:val="true"/>
        </w:rPr>
        <w:t>الجزع</w:t>
      </w:r>
      <w:bookmarkEnd w:id="202"/>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والبكاء مكروه، ما خَلا الجزع والبكاء لقتل الحسين علیه السلام </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البكاء والجزع مكروه للعبد في كلّ ما جزع، ما خلا البكاء على الحسين بن عليّ علیه السلام فإنّه فيه مأجور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بعض العلماء بأمثال هذه الروايات في جملة ما ستدل به على جواز التطبير،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والجزع ضد الصبر، وليس التطبير إلّا من أهون معاني الجزع</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8288858_2870459653"/>
      <w:bookmarkStart w:id="204" w:name="_Toc72"/>
      <w:bookmarkEnd w:id="203"/>
      <w:r>
        <w:rPr/>
        <w:t>3</w:t>
      </w:r>
      <w:r>
        <w:rPr>
          <w:rtl w:val="true"/>
        </w:rPr>
        <w:t xml:space="preserve">- </w:t>
      </w:r>
      <w:r>
        <w:rPr>
          <w:rtl w:val="true"/>
        </w:rPr>
        <w:t>إحياء أمر أهل البيت علیهم السلام</w:t>
      </w:r>
      <w:bookmarkEnd w:id="2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فأحيوا أمرنا رحم الله مَن أحيى أمرنا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05" w:name="pg10991_100517"/>
    </w:p>
    <w:p>
      <w:pPr>
        <w:pStyle w:val="BookText"/>
        <w:rPr/>
      </w:pPr>
      <w:bookmarkEnd w:id="205"/>
      <w:r>
        <w:rPr>
          <w:rFonts w:ascii="IRNazanin" w:hAnsi="IRNazanin" w:eastAsia="IRNazanin"/>
          <w:color w:val="111111"/>
          <w:sz w:val="28"/>
          <w:sz w:val="28"/>
          <w:szCs w:val="28"/>
          <w:rtl w:val="true"/>
          <w:lang w:bidi="fa-IR"/>
        </w:rPr>
        <w:t>قال الشيخ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إحياء أمرهم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 على إحياء العزاء الحسيني ومذاكرة ما جرى على أهل البيت علیهم السلام من مصائب، فيتناول الشعائر الحسينيّة، سواء المرسومة في زمنهم علیهم السلام أو المستجدّة المستحدَثة المتّخذة، ولا يُقتصر على الشعائر القديمة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8288860_2870459653"/>
      <w:bookmarkStart w:id="207" w:name="_Toc73"/>
      <w:bookmarkEnd w:id="206"/>
      <w:r>
        <w:rPr>
          <w:rtl w:val="true"/>
        </w:rPr>
        <w:t>مؤسسة المأتم الحسيني في عصر الأئمة من ذرية الإمام الصادق علیه السلام</w:t>
      </w:r>
      <w:bookmarkEnd w:id="207"/>
    </w:p>
    <w:p>
      <w:pPr>
        <w:pStyle w:val="BookText"/>
        <w:rPr/>
      </w:pPr>
      <w:r>
        <w:rPr>
          <w:rFonts w:ascii="IRNazanin" w:hAnsi="IRNazanin" w:eastAsia="IRNazanin"/>
          <w:color w:val="111111"/>
          <w:sz w:val="28"/>
          <w:sz w:val="28"/>
          <w:szCs w:val="28"/>
          <w:rtl w:val="true"/>
          <w:lang w:bidi="fa-IR"/>
        </w:rPr>
        <w:t xml:space="preserve">لقد كان حال مؤسسة المأتم الحسيني في العصر المتأخر عن عصر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الأئمة من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 وجزر، وهبوط وصعود تبعاً للظروف والأوضاع السياسيّة التي عاشها كلّ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عصر الإمام الكاظم علیه السلام حصل تراجع في مؤسسة المأتم الحسيني؛ نتيجة للضغوط الشديدة التي مارسها العباسيون ضد الإمام علیه السلام وشيعته، فقد كان عهد الإمام الكاظم علیه السلام من أسوأ العهود التي مرت على أهل البيت علیهم السلام وشيعتهم، وقد قضى الإمام الكاظم علیه السلام أكثر أيام حياته في سجون العباسيين حتى توفِّي مسموماً شهيداً مظلوماً في أحد سجون بغداد في أيام الرشيد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فإنّ الإمام الكاظم علیه السلام وشيعته لم يتركوا مواصلة إحياء المأتم الحسيني سرّاً، بعد أن منعوا عنه في العلن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 ما كان عليه حال أبيه الإمام الكاظم عند دخول محرم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إذا دخل المحرم لا يُرى ضاحكاً، وكانت الكآبة تغلب عليه حتى تمضي منه عشرة أيام، فإذا كان اليوم العاشر منه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جدي الحسين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عهد الإمام الرضا علیه السلام حيث تنعّمت الشيعة بشيءٍ من الحرية عادت المآتم الحسينية إلى سيرتها الأُولى، كما كانت في أيام الإمام الصادق علیه السلام ، والتأمّل في النصوص الواردة عن الإمام الرضا علیه السلام في خصوص المأتم الحسيني يكشف عن منهج موحّد كان يسير عليه أئمة أهل البيت علیهم السلام في التعاطي مع هذه المسألة، وكان كل واحد منهم يعمل بهذا المنهج بمقدار ما تسمح به الظروف وتسنح الفرضة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جهود الإمام الرضا علیه السلام في هذا المجال صورة مكررة للجهود التي كان يبذلها جده الإمام الصادق علیه السلام في حثه على البكاء والإبكاء</w:t>
      </w:r>
      <w:r>
        <w:rPr>
          <w:rStyle w:val="FootnoteAnchor"/>
          <w:rtl w:val="true"/>
        </w:rPr>
        <w:footnoteReference w:id="153"/>
      </w:r>
      <w:r>
        <w:rPr>
          <w:rFonts w:ascii="Amiri" w:hAnsi="Amiri" w:eastAsia="Amiri" w:cs="Amiri"/>
          <w:color w:val="111111"/>
          <w:sz w:val="28"/>
          <w:sz w:val="28"/>
          <w:szCs w:val="28"/>
          <w:rtl w:val="true"/>
          <w:lang w:bidi="ar-SA"/>
        </w:rPr>
        <w:t>، ودعمه للشعراء والمنشدين الحسينيين</w:t>
      </w:r>
      <w:r>
        <w:rPr>
          <w:rStyle w:val="FootnoteAnchor"/>
          <w:rtl w:val="true"/>
        </w:rPr>
        <w:footnoteReference w:id="154"/>
      </w:r>
      <w:r>
        <w:rPr>
          <w:rFonts w:ascii="Amiri" w:hAnsi="Amiri" w:eastAsia="Amiri" w:cs="Amiri"/>
          <w:color w:val="111111"/>
          <w:sz w:val="28"/>
          <w:sz w:val="28"/>
          <w:szCs w:val="28"/>
          <w:rtl w:val="true"/>
          <w:lang w:bidi="ar-SA"/>
        </w:rPr>
        <w:t>، وتركيزه على إحياء يوم عاشوراء وما ينبغي أن يكون عليه الشيعي في هذا اليوم</w:t>
      </w:r>
      <w:r>
        <w:rPr>
          <w:rStyle w:val="FootnoteAnchor"/>
          <w:rtl w:val="true"/>
        </w:rPr>
        <w:footnoteReference w:id="155"/>
      </w:r>
      <w:r>
        <w:rPr>
          <w:rFonts w:ascii="Amiri" w:hAnsi="Amiri" w:eastAsia="Amiri" w:cs="Amiri"/>
          <w:color w:val="111111"/>
          <w:sz w:val="28"/>
          <w:sz w:val="28"/>
          <w:szCs w:val="28"/>
          <w:rtl w:val="true"/>
          <w:lang w:bidi="ar-SA"/>
        </w:rPr>
        <w:t>، وضبطه وتقنينه لمسألة الشعائر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اعتبار عصر الإمام الجواد علیه السلام امتداداً لعصر أبيه الإمام الرضا علیه السلام من جهة الحرية النسبية التي كان يتمتع بها الشيعة في عصره، فقد كان المأمون متسامحاً مع الإمام علیه السلام وشيعته، ولعل لزواج الإمام علیه السلام من ابنته أمّ الفضل مدخلية في هذا التسامح، فكانت المآتم على الإمام الحسين علیه السلام تُقام في دور العلويين بشكل علني ودون أيّ ضغط، وقد استمرّت هذه الحالة إلى عهد المعتصم أيضاً، الذي كان يسعى لمراعاة شعور العلويين والموالين لآل البيت علیهم السلام إلى حدّ ما، ويسمح لهم بإقامة المناحات على الحسين علیه السلام في دورهم وخارجها، سرّاً وعلناً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08" w:name="pg10991_100519"/>
    </w:p>
    <w:p>
      <w:pPr>
        <w:pStyle w:val="BookText"/>
        <w:rPr/>
      </w:pPr>
      <w:bookmarkEnd w:id="208"/>
      <w:r>
        <w:rPr>
          <w:rFonts w:ascii="IRNazanin" w:hAnsi="IRNazanin" w:eastAsia="IRNazanin"/>
          <w:color w:val="111111"/>
          <w:sz w:val="28"/>
          <w:sz w:val="28"/>
          <w:szCs w:val="28"/>
          <w:rtl w:val="true"/>
          <w:lang w:bidi="fa-IR"/>
        </w:rPr>
        <w:t>ومع ذلك لم يرد عن الإمام الجواد علیه السلام في خصوص المأتم الحسيني شيء يُذكر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وردت عنه رواية واحدة يُقارن فيها بين وقعة الطف ووقعة فخٍّ، وهي أجنبية عمّا نحن فيه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عصر الأئمة من ذرية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والإمام العسكري، والإمام المهدي علیهم السلام فلم تستقرّ مؤسسة المأتم الحسيني على حال واحد، بل كانت تقوى وتضعف بحسب الظروف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كان عهد المتوكل العباسي ومَن بعده عهد قسوة وجور في التعامل مع الشيعة وأئمة أهل البيت علیهم السلام ، ولم تشهد هذه المرحلة إلّا انفراجات بسيطة لا قيمة لها في سير الأحداث</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استمرت مؤسسة المأتم الحسيني على هذا الحال إلى ما بعد انقضاء فترة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الدول الشيعية، كالدولة البويهية في إيران والعراق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والحمدانية في الموصل وحلب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والفاطمية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دخلت مؤسسة المأتم الحسيني مع مجيء هذه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البويهيين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جديد أضفى عليها الكثير من التغييرات الشكلية والجوهرية، وهو ما لا نريد الخوض فيه فعلاً؛ لخروجه عن حقل دراستنا هذه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288862_2870459653"/>
      <w:bookmarkStart w:id="210" w:name="_Toc74"/>
      <w:bookmarkEnd w:id="209"/>
      <w:r>
        <w:rPr>
          <w:rtl w:val="true"/>
        </w:rPr>
        <w:t>المبحث الثاني</w:t>
      </w:r>
      <w:r>
        <w:rPr>
          <w:rtl w:val="true"/>
        </w:rPr>
        <w:t xml:space="preserve">: </w:t>
      </w:r>
      <w:r>
        <w:rPr>
          <w:rtl w:val="true"/>
        </w:rPr>
        <w:t>مؤسسة زيارة الإمام الحسين علیه السلام</w:t>
      </w:r>
      <w:bookmarkEnd w:id="2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تشترك مؤسسة الزيارة الحسينية مع مؤسسة المأتم الحسيني بتاريخ واحد ومتداخل في أحيان كثيرة، فالظروف التي حكمت نشوء ونموّ مؤسسة المأتم الحسيني هي بعينها الظروف التي حكمت نشوء ونموّ مؤسسة الزيارة الحسينية، ونظرة الحكّام الأُمويين والعباسيين لهذه المؤسسة لا تختلف عن نظرتهم لمؤسسة المأتم الحسيني، </w:t>
      </w:r>
      <w:bookmarkStart w:id="211" w:name="pg10991_100520"/>
    </w:p>
    <w:p>
      <w:pPr>
        <w:pStyle w:val="BookText"/>
        <w:rPr/>
      </w:pPr>
      <w:bookmarkEnd w:id="211"/>
      <w:r>
        <w:rPr>
          <w:rFonts w:ascii="Amiri" w:hAnsi="Amiri" w:eastAsia="Amiri" w:cs="Amiri"/>
          <w:color w:val="111111"/>
          <w:sz w:val="28"/>
          <w:sz w:val="28"/>
          <w:szCs w:val="28"/>
          <w:rtl w:val="true"/>
          <w:lang w:bidi="ar-SA"/>
        </w:rPr>
        <w:t xml:space="preserve">فكلتاهما تنهلان من منهل واحد وتصبّان في مصب واحد،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ألفاظ وأُسلوب الزيارة أنّها نوع نُدبة ومأتم يُقيمه المؤمن خلال فترة الزيارة؛ ليتذكّر من خلاله ما جرى عليهم من مصائب</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فلو قصرنا النظر على عنصر النُّدبة والرثاء الذي تتضمنه الزيارة لكانت الزيارة جزءاً من المأتم، ولكن لو لاحظنا العناصر الأُخرى التي تتضمنها الزيارة كالعنصر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ودعاء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استقلالية مؤسسة الزيارة عن مؤسسة المأتم ومغايرة إحداهما للأُخرى مفهوماً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8288864_2870459653"/>
      <w:bookmarkStart w:id="213" w:name="_Toc75"/>
      <w:bookmarkEnd w:id="212"/>
      <w:r>
        <w:rPr>
          <w:rtl w:val="true"/>
        </w:rPr>
        <w:t>التوافد والتعاهد العفوي لقبر الإمام الحسين علیه السلام</w:t>
      </w:r>
      <w:bookmarkEnd w:id="213"/>
    </w:p>
    <w:p>
      <w:pPr>
        <w:pStyle w:val="BookText"/>
        <w:rPr/>
      </w:pPr>
      <w:r>
        <w:rPr>
          <w:rFonts w:ascii="IRNazanin" w:hAnsi="IRNazanin" w:eastAsia="IRNazanin"/>
          <w:color w:val="111111"/>
          <w:sz w:val="28"/>
          <w:sz w:val="28"/>
          <w:szCs w:val="28"/>
          <w:rtl w:val="true"/>
          <w:lang w:bidi="fa-IR"/>
        </w:rPr>
        <w:t>مما لا ريب فيه أن زيارة الحسين علیه السلام وتعاهد قبره المطهّر قد بدأت بوادره منذ عهد مبكر يرجع إلى الأيام الأُولى بعد استشهاده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بني أسد هم أول مَن تعاهد القبر الشريف، وأقام عليه رسماً، كما نُقل ذلك عن ابن طاووس</w:t>
      </w:r>
      <w:r>
        <w:rPr>
          <w:rStyle w:val="FootnoteAnchor"/>
          <w:rtl w:val="true"/>
        </w:rPr>
        <w:footnoteReference w:id="161"/>
      </w:r>
      <w:r>
        <w:rPr>
          <w:rFonts w:ascii="Amiri" w:hAnsi="Amiri" w:eastAsia="Amiri" w:cs="Amiri"/>
          <w:color w:val="111111"/>
          <w:sz w:val="28"/>
          <w:sz w:val="28"/>
          <w:szCs w:val="28"/>
          <w:rtl w:val="true"/>
          <w:lang w:bidi="ar-SA"/>
        </w:rPr>
        <w:t>، ولا ريب في أنهم قد استمرّوا بزيارة القبر الشريف وتعاهده كلّما سنحت لهم سانحة؛ نظراً لقرب منازلهم وديارهم من تلك البقعة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أوائل مَن زار تلك البقعة الطاهرة ووقف على مصارع الشهداء واستغفر لهم ورثاهم، هو عبيد الله بن الحر الجعفي الذي ندم على تركه نصرة الإمام الحسين علیه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العشرين من صفر زاره الصحابي الجليل جابر بن عبد الله الأنصاري برفقة عطية العوفي، ومما جاء في قصة زيارتهما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 يا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فألمسته إياه؛ فخرّ على القبر مغشيّاً عليه</w:t>
      </w:r>
      <w:r>
        <w:rPr>
          <w:rFonts w:eastAsia="Amiri" w:cs="Amiri" w:ascii="Amiri" w:hAnsi="Amiri"/>
          <w:color w:val="111111"/>
          <w:sz w:val="28"/>
          <w:szCs w:val="28"/>
          <w:rtl w:val="true"/>
          <w:lang w:bidi="ar-SA"/>
        </w:rPr>
        <w:t>... »</w:t>
      </w:r>
      <w:r>
        <w:rPr>
          <w:rStyle w:val="FootnoteAnchor"/>
          <w:rtl w:val="true"/>
        </w:rPr>
        <w:footnoteReference w:id="163"/>
      </w:r>
      <w:r>
        <w:rPr>
          <w:rFonts w:ascii="Amiri" w:hAnsi="Amiri" w:eastAsia="Amiri" w:cs="Amiri"/>
          <w:color w:val="111111"/>
          <w:sz w:val="28"/>
          <w:sz w:val="28"/>
          <w:szCs w:val="28"/>
          <w:rtl w:val="true"/>
          <w:lang w:bidi="ar-SA"/>
        </w:rPr>
        <w:t xml:space="preserve">، ويكشف هذا المقطع عن أن </w:t>
      </w:r>
    </w:p>
    <w:p>
      <w:pPr>
        <w:pStyle w:val="BookText"/>
        <w:rPr/>
      </w:pPr>
      <w:r>
        <w:rPr>
          <w:rFonts w:ascii="Amiri" w:hAnsi="Amiri" w:eastAsia="Amiri" w:cs="Amiri"/>
          <w:color w:val="111111"/>
          <w:sz w:val="28"/>
          <w:sz w:val="28"/>
          <w:szCs w:val="28"/>
          <w:rtl w:val="true"/>
          <w:lang w:bidi="ar-SA"/>
        </w:rPr>
        <w:t>القبر كان بارزاً ومرتفعاً قليلاً عن الأرض، وهذا ما يؤكد ما قلناه من تعاهد بني أسد له وبنائهم على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محمد باقر المدرس أنه ما بين عامي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مسجد عند رأس الحسين علیه السلام </w:t>
      </w:r>
      <w:r>
        <w:rPr>
          <w:rStyle w:val="FootnoteAnchor"/>
          <w:rtl w:val="true"/>
        </w:rPr>
        <w:footnoteReference w:id="164"/>
      </w:r>
      <w:r>
        <w:rPr>
          <w:rFonts w:ascii="Amiri" w:hAnsi="Amiri" w:eastAsia="Amiri" w:cs="Amiri"/>
          <w:color w:val="111111"/>
          <w:sz w:val="28"/>
          <w:sz w:val="28"/>
          <w:szCs w:val="28"/>
          <w:rtl w:val="true"/>
          <w:lang w:bidi="ar-SA"/>
        </w:rPr>
        <w:t>، ولعل بني أسد هم مَن قام ببناء هذا المسجد، كما تُشير نصوص أُخرى</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الرحالة الهندي محمد هارون إلى أن أول مَن بنى صندوق الضريح بهيئة حسنة وشكل مليح بنو النظير وبنو قينقاع، وذلك في عام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دائرة المعارف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المراقد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ويظهر أن التوابين عندما قصدوا زيارة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ربيع الأول من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قبل رحيلهم إلى عين الوردة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طافوا حول هذا الصندوق، وكان عددهم يُقارب أربعة آلاف رجل، فازدحموا حول القبر أكثر من ازدحام الحجاج على الحجر الأسود عند لثمه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وعندما استولى المختار بن أبي عبيدة الثقفي على الكوفة عمّر على مرقده الشريف قبّة من الجصّ والآجر</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تقديري أنّ هذا التوافد والتعاهد لقبر أبي عبد 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عرضنا في النصوص السابقة صوراً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نشأ بأحد دافعين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كلاهما مجتمعين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العبادي الفردي؛ فإنّ الذهنية الإسلاميّة بنحو عام والذهنية الشيعية </w:t>
      </w:r>
    </w:p>
    <w:p>
      <w:pPr>
        <w:pStyle w:val="BookText"/>
        <w:rPr/>
      </w:pPr>
      <w:r>
        <w:rPr>
          <w:rFonts w:ascii="IRNazanin" w:hAnsi="IRNazanin" w:eastAsia="IRNazanin"/>
          <w:color w:val="111111"/>
          <w:sz w:val="28"/>
          <w:sz w:val="28"/>
          <w:szCs w:val="28"/>
          <w:rtl w:val="true"/>
          <w:lang w:bidi="fa-IR"/>
        </w:rPr>
        <w:t>بشكل خاص كانتا مشحونتين بما يرجّح زيارة القبور بشكل عام، وزيارة الأنبياء والأئمة والصالحين بشكل خاص، فكان كثيراً من هؤلاء مدفوعين نحو الزيارة بهذا التوجيه المعنوي العام، وربما لم يسمع أحدهم بما لزيارة الحسين علیه السلام من فضل وثواب خاصّين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 العاطفي الثوري، وهو ما ينطبق على حالة عبيد الله بن الحر الجعفي؛ فإن وفوده إلى قبر الإمام الحسين علیه السلام لم يكن بدافع نيل الأجر والثواب المترتب على الزيارة بقدر ما كان الدافع له هو إظهار الندم والحسرة على ما فاته من نصرة الإمام الحسين علیه السلام ، وكذا ما يتعلّق بحشود التوابين؛ فإنهم لم يزدحموا على القبر الطاهر لمجرد التبرّك وكسب الحسنات، بل كان الدافع الأكبر لهم هو إبراز توبتهم، والإعلان عن تقصيرهم تجاه صاحب القبر المقدس وبيان تعاطفهم وتضامنهم مع نهجه في الثورة والقيام ضد الظالمين والمستبدين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زيارة الإمام الحسين علیه السلام كانت تحصل في السنين الأُولى التي تلت شهادته بشكل عفوي وتلقائي، ولم تكن ناشئة عن توجيهات خاصة من أئمة أهل البيت علیهم السلام ، وهذا يعني أن زيارة الحسين علیه السلام بوصفها مؤسسة فكرية توجيهية تربوية لم تكن قد وُلدت بعد، فالإمام السجاد علیه السلام الذي كان معاصراً لتلك الفترة كان يعيش في تقيّة مكثّفة جداً، وكان إصدار أيّ توجيه علني بهذا الخصوص يُعتبر عملاً سياسياً يعرّض حياته للخطر، وربما وفد إلى زيارة قبر أبيه الشهيد علیه السلام سرّاً وبعيداً عن عيون السلطات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الكليني بسنده إلى أبي حمزة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عرفت من علي بن الحسين علیهما السلام أني رأيت رجلاً دخل من باب الفيل فصلّى أربع ركعات فتبعته حتى أتى بئر الركوة، وإذا بناقتين معقولتين ومعهما غلام أسود،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إليه وسلمت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أقدمك بلاداً قُتل فيها أبوك </w:t>
      </w:r>
      <w:bookmarkStart w:id="214" w:name="pg10991_100523"/>
    </w:p>
    <w:p>
      <w:pPr>
        <w:pStyle w:val="BookText"/>
        <w:rPr/>
      </w:pPr>
      <w:bookmarkEnd w:id="214"/>
      <w:r>
        <w:rPr>
          <w:rFonts w:ascii="Amiri" w:hAnsi="Amiri" w:eastAsia="Amiri" w:cs="Amiri"/>
          <w:color w:val="111111"/>
          <w:sz w:val="28"/>
          <w:sz w:val="28"/>
          <w:szCs w:val="28"/>
          <w:rtl w:val="true"/>
          <w:lang w:bidi="ar-SA"/>
        </w:rPr>
        <w:t>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أبي وصلّيت في هذا المسجد</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محمد مهدي شمس الدين معقّباً على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ويبدو من سؤال السائل أنه فوجئ بوجود الإمام علي بن الحسين علیهما السلام ، وهذا يوحي بأن الزيارة لم تكن شاعت بعدُ، وغدت أمراً مألوفاً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فنحن نستغرب من نسبة ابن قولويه في كامل الزيارت رواية إلى علي بن الحسين علیهما السلام يُعطي فيها توجيهاً معيناً بخصوص الزيارة الشعبانية</w:t>
      </w:r>
      <w:r>
        <w:rPr>
          <w:rStyle w:val="FootnoteAnchor"/>
          <w:rtl w:val="true"/>
        </w:rPr>
        <w:footnoteReference w:id="170"/>
      </w:r>
      <w:r>
        <w:rPr>
          <w:rFonts w:ascii="IRNazanin" w:hAnsi="IRNazanin" w:eastAsia="IRNazanin"/>
          <w:color w:val="111111"/>
          <w:sz w:val="28"/>
          <w:sz w:val="28"/>
          <w:szCs w:val="28"/>
          <w:rtl w:val="true"/>
          <w:lang w:bidi="fa-IR"/>
        </w:rPr>
        <w:t xml:space="preserve">فإن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تتعدى المستوى النظري إلى المستوى العملي التطبيقي إلّا في نطاق محدود جداً، لا يرقى إلى درجة ما يمكن تسميته بثقافة الزيارات المخصوصة؛ نظراً للضغط الشديد الذي كان يمارسه الأُمويون على الشيعة، وإنما كانت البداية الحقيقية لبثّ ثقافة الزيارة من حيث المبدأ والزيارات المخصوصة بنحو خاصّ في أواخر أيام الإمام الباقر علیه السلام حين حصل شيء من الانفراج، كما سنُبين في السطور التالية</w:t>
      </w:r>
      <w:r>
        <w:rPr>
          <w:rFonts w:eastAsia="IRNazanin" w:cs="IRNazanin"/>
          <w:color w:val="111111"/>
          <w:sz w:val="28"/>
          <w:szCs w:val="28"/>
          <w:rtl w:val="true"/>
          <w:lang w:bidi="fa-IR"/>
        </w:rPr>
        <w:t>.</w:t>
      </w:r>
    </w:p>
    <w:p>
      <w:pPr>
        <w:pStyle w:val="Heading3"/>
        <w:numPr>
          <w:ilvl w:val="2"/>
          <w:numId w:val="1"/>
        </w:numPr>
        <w:rPr/>
      </w:pPr>
      <w:bookmarkStart w:id="215" w:name="__RefHeading___Toc8288866_2870459653"/>
      <w:bookmarkStart w:id="216" w:name="_Toc76"/>
      <w:bookmarkEnd w:id="215"/>
      <w:r>
        <w:rPr>
          <w:rtl w:val="true"/>
        </w:rPr>
        <w:t>الإمام الباقر علیه السلام واضع البذرة الأُولى لمؤسسة الزيارة</w:t>
      </w:r>
      <w:bookmarkEnd w:id="2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تحدثنا في المطلب السابق عن الانفراج اليسير الذي حصل في أواخر حياة الإمام الباقر علیه السلام ، وكيف أن الإمام علیه السلام قد استغل هذا الانفراج لتطوير مؤسسة المأتم الحسيني وبلورتها بمقدار ما سمحت له الظروف، وسنتحدث هنا عمّا كان له من إسهام في وضع البذرة الأُولى لمؤسسة الزيارة عن طريق ما أصدره من توجيهات وتعليمات تحث على زيارة الحسين علیه السلام ، وتؤكد على مشروعيتها من حيث المبدأ،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شيعتنا بزيارة قبر الحسين علیه السلام ؛ فإنّ إتيانه مفترض على كل مؤمن </w:t>
      </w:r>
    </w:p>
    <w:p>
      <w:pPr>
        <w:pStyle w:val="BookText"/>
        <w:rPr/>
      </w:pPr>
      <w:r>
        <w:rPr>
          <w:rFonts w:ascii="IRNazanin" w:hAnsi="IRNazanin" w:eastAsia="IRNazanin"/>
          <w:color w:val="111111"/>
          <w:sz w:val="28"/>
          <w:sz w:val="28"/>
          <w:szCs w:val="28"/>
          <w:rtl w:val="true"/>
          <w:lang w:bidi="fa-IR"/>
        </w:rPr>
        <w:t>يقرّ للحسين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يحملان على الوجوب العيني أو الكفائي أو على الاستحباب المؤكد، على الخلاف المعروف في مسألة حكم زيارة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يُحمل هذا النص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رأي مطهري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السياق التاريخي الذي ظهر فيه، على الحكم التاريخي،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حكماً إلهياً ثابتاً لكل زمان ومكان، بل هو حكم وقتي فرضته مصلحة أدركها الإمام علیه السلام في ذلك الظرف التاريخي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نلمح تلك المصلحة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إتيانه مفترض على كل مؤمن يقر للحسين علیه السلام بالإمامة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إذ يبدو من خلال ذلك أن زيارة الحسين علیه السلام في ذلك الزمان لم تكن مجرد عمل عبادي فردي، وإن كان هذا البُعد ثابتاً لها على كل حال، وإنما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ذا مدلول اجتماعي ومذهبي،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بعض الحُقب التاريخية كان التشيع مهدَّداً في وجوده بالخطر، وكانت زيارة المراقد تعبيراً عنيفاً عن حضور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وجدنا النصوص تؤكد وجوب الزيارة، لا لأنها واجبة وجوباً إلهياً، بل لأنّ الظرف الزمكاني كان يستدعي وجوبها، وعندما زال هذا الظرف، وكذا قبل أن يأتي، وجدنا النصوص تفيد الاستحباب</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يؤكد المعنى المشار إليه بما ورد عنه علیه السلام من حثّ على مدوامة الزيارة وشدّ الرحال إلى كربلاء حتى في حال الخوف ومضايقة السلطات، فعن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فيمن زار أباك على 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يؤمنه الله يوم الفزع الأكبر وتلقاه الملائكة بالبشارة،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يومك الذي فيه فوزك</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17" w:name="pg10991_100525"/>
    </w:p>
    <w:p>
      <w:pPr>
        <w:pStyle w:val="BookText"/>
        <w:rPr/>
      </w:pPr>
      <w:bookmarkEnd w:id="217"/>
      <w:r>
        <w:rPr>
          <w:rFonts w:ascii="Amiri" w:hAnsi="Amiri" w:eastAsia="Amiri" w:cs="Amiri"/>
          <w:color w:val="111111"/>
          <w:sz w:val="28"/>
          <w:sz w:val="28"/>
          <w:szCs w:val="28"/>
          <w:rtl w:val="true"/>
          <w:lang w:bidi="ar-SA"/>
        </w:rPr>
        <w:t>فهذا مما يؤكد أنّ المسألة كانت ذات مغزى اجتماعي، ولم تكن مجرد عبادة فردية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أكد الإمام الباقر علیه السلام على مشروعية زيارة الحسين علیه السلام من حيث المبدأ وفي كل الأزمان، فقد أكد على زيارته في أزمان بعينها، وهو ما يعرف في كتب الزيارات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وصلنا من ذلك تأكيده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عاشوراء، فقد روى الشيخ في مصباح المتهجد بسنده إلى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بن علي علیهما السلام في يوم عاشوراء من المحرم حتى يظل عنده باكياً لقي الله عزّ وجلّ يوم يلقاه بثواب ألفي حجة وألفي عمرة وألفي غزوة، ثواب كل غزوة وحجة وعمرة كثواب من حج واعتمر وغزا مع رسول الله صلی الله علیه و اله ، ومع الأئمة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لمن كان في بعيد البلاد وأقاصيه ولم يمكنه المصير إليه في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كذلك برز إلى الصحراء أو صعد سطحاً مرتفعاً في داره وأومأ إليه بالسلام، واجتهد في الدعاء على قاتله، وصلى من بَعدُ ركعتين، وليكن ذلك في صدر النهار قبل أن تزول الشمس</w:t>
      </w:r>
      <w:r>
        <w:rPr>
          <w:rFonts w:eastAsia="IRNazanin" w:cs="IRNazanin"/>
          <w:color w:val="111111"/>
          <w:sz w:val="28"/>
          <w:szCs w:val="28"/>
          <w:rtl w:val="true"/>
          <w:lang w:bidi="fa-IR"/>
        </w:rPr>
        <w:t>...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فيما سبق قد نقلنا ذيل هذه الرواية، وهو ما يتعلق بتشريع استحباب يوم عاشوراء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 الشعبانية، ففي كامل الزيارات بسنده عن الإمام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الحسين علیه السلام في النصف من شعبان يُغفر له ذنوبه، ولن يُكتب عليه سيئة في سنة حتى يحول عليه الحول، فإن زار في السنة المقبلة غفر الله له ذنوبه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8288868_2870459653"/>
      <w:bookmarkStart w:id="219" w:name="_Toc77"/>
      <w:bookmarkEnd w:id="218"/>
      <w:r>
        <w:rPr>
          <w:rtl w:val="true"/>
        </w:rPr>
        <w:t>مؤسسة الزيارة في عصر الإمام الصادق علیه السلام</w:t>
      </w:r>
      <w:bookmarkEnd w:id="2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ألقى المتابع نظرة سريعة على عشرات الأبواب التي ذكرها صاحب كتاب كامل الزيارات والمرتبطة بزيارة الحسين علیه السلام </w:t>
      </w:r>
      <w:r>
        <w:rPr>
          <w:rStyle w:val="FootnoteAnchor"/>
          <w:rtl w:val="true"/>
        </w:rPr>
        <w:footnoteReference w:id="177"/>
      </w:r>
      <w:r>
        <w:rPr>
          <w:rFonts w:ascii="Amiri" w:hAnsi="Amiri" w:eastAsia="Amiri" w:cs="Amiri"/>
          <w:color w:val="111111"/>
          <w:sz w:val="28"/>
          <w:sz w:val="28"/>
          <w:szCs w:val="28"/>
          <w:rtl w:val="true"/>
          <w:lang w:bidi="ar-SA"/>
        </w:rPr>
        <w:t xml:space="preserve">، ولاحظ أن أكثر نصوص تلك </w:t>
      </w:r>
    </w:p>
    <w:p>
      <w:pPr>
        <w:pStyle w:val="BookText"/>
        <w:rPr/>
      </w:pPr>
      <w:r>
        <w:rPr>
          <w:rFonts w:ascii="IRNazanin" w:hAnsi="IRNazanin" w:eastAsia="IRNazanin"/>
          <w:color w:val="111111"/>
          <w:sz w:val="28"/>
          <w:sz w:val="28"/>
          <w:szCs w:val="28"/>
          <w:rtl w:val="true"/>
          <w:lang w:bidi="fa-IR"/>
        </w:rPr>
        <w:t>الأبواب هي مما روي عن الإمام الصادق علیه السلام ؛ لعرف ما لهذا الإمام علیه السلام من أثر كبير في تفعيل مؤسسة الزيارة وتنميتها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النصوص ما يتحدث عن مشروعية الزيارة من حيث المبدأ وحجم الثواب المترتب عليها، ومنها ما يتضمن الحث على الزيارة في أيام بعينها، كزيارته يوم عاشوراء، ويوم الخامس عشر من شهر شعبان، واليوم الأول من شهر رجب، ومنها ما يدل على شمول مشروعية الزيارة للرجال والنساء على حدّ سواء، ومنها ما يتناول مشروعية الزيارة عن بُعد مما يتيح فرصة المشاركة للجميع، ومنها ما يتكلم عما يكره اتّخاذه للزيارة، وكيف يجب أن يكون زائر الحسين بن علي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هذه العيّنات والنماذج من النصوص الواردة عن الإمام الصادق علیه السلام في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أحدكم حجّ دهره ثم لم يزر الحسين بن علي علیهما السلام لكان تاركاً حقاً من حقوق رسول الله صلی الله علیه و اله ؛ لأنّ حقّ الحسين علیه السلام فريضة من الله واجبة على كل مسلم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طويل عن عبد الله بن بكير، عن أبي عبد الله علیه السلام أنه خاطبه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بكير، هل تدري ما لمن زار قبر أبي عبد الله الحسين علیه السلام إذ جهله الجاهل؟ ما من صباح إلّا وعلى قبره هاتف من الملائكة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 الخير، أقبِلْ إلى خالصة الله ترحل بالكرامة وتأمن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أهل المشرق وأهل المغرب إلّا الثقلين، ولا يبقى في الأرض مَلك من الحفظة إلّا عطف عليه عند رقاد العبد حتى يُسبِّح الله عنده، ويسأل الله الرضا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يبقى مَلك في الهوى يسمع الصوت إلّا أجاب بالتقديس لله تعالى؛ فتشتدّ أصوات </w:t>
      </w:r>
    </w:p>
    <w:p>
      <w:pPr>
        <w:pStyle w:val="BookText"/>
        <w:rPr/>
      </w:pPr>
      <w:r>
        <w:rPr>
          <w:rFonts w:ascii="IRNazanin" w:hAnsi="IRNazanin" w:eastAsia="IRNazanin"/>
          <w:color w:val="111111"/>
          <w:sz w:val="28"/>
          <w:sz w:val="28"/>
          <w:szCs w:val="28"/>
          <w:rtl w:val="true"/>
          <w:lang w:bidi="fa-IR"/>
        </w:rPr>
        <w:t>الملائكة، فيجيبهم أهل السماء الدنيا؛ فتشتدّ أصوات الملائكة وأهل السماء الدنيا، حتى تبلغ أهل السماء السابعة، فيسمع أصواتهم النبيّون، فيترحمون ويصلّون على الحسين علیه السلام ، ويدعون لمن زاره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أبي عبد الله علیه السلام فقد وصل رسول الله صلی الله علیه و اله ووصلنا، وحرمت غيبته، وحرم لحمه على النار، وأعطاه الله بكل درهم أنفقه عشرة آلاف مدينة له في كتاب محفوظ، وكان الله له من وراء حوائجه، وحُفظ في كل ما خَلَفَ، ولم يسأل الله شيئاً إلّا أعطاه وأجابه فيه، إمّا أن يُعجلِّه وإمّا أن يؤخّره له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الحسين بن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مَن خرج من منزله يريد زيارة قبر الحسين بن علي علیهما السلام إن كان ماشياً كتب الله له بكل خطوة حسنة ومحا عنه سيئة، حتى إذا صار في الحائر كتبه الله من المفلحين المنجحين، حتى إذا قضى مناسكه كتبه الله من الفائزين، حتى إذا أراد الانصراف 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لك ما مضى</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ليخرج إلى قبر الحسين علیه السلام فله إذا خرج من أهله بأول خطوة مغفرة ذنوبه، ثم لم يزل يقدّس بكل خطوة حتى يأتيه، فإذا أتاه ناجاه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سلني أُعطك، اُدعني أُجبك، اُطلب مني أُعطك، سلني حاجة اَقضها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على الله أن يُعطي ما بذل</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 بسبب هذه النصوص وغيرها مناخ ثقافي اجتماعي شيعي فيما يتّصل بالزيارة، كوّن تياراً بشرياً جارفاً، يتعاظم باستمرار ومن جميع الأعمار والأوطان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كانت تستخدم في السفر إلى زيارة قبر الحسين علیه السلام جميع وسائل النقل المعروفة في ذلك الحين بالإضافة إلى المشي، وغالب النصوص تبرز أهمية المشي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الشواهد الدالة على نمو مؤسسة الزيارة في عصر الإمام الصادق علیه السلام ، وبلوغها إلى مستوى الرسوخ والتجذّر والتغلغل في عمق الوجدان الشعبي الشيعي ما رُوي عنه علیه السلام مخاطباً 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قوماً يأتونه من نواحي الكوفة وناساً من غيرهم، ونساء يندبنه، وذلك في النصف من شعبان، فمن بين قارئ يقرأ، وقاصّ يقص، ونادب يندب، وقائل يقول المراثي؟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قد شهدت بعض ما 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 الناس مَن يَفِدُ إلينا ويمدحنا ويرثي لنا، وجعل عدونا مَن يطعن عليهم من قرابتنا، وغيرهم يهدرونهم ويقبّحون ما يصنعون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يكشف بوضوح عن رواج ثقافة الزيارة الحسينية بشكل عام، وثقافة الزيارات المخصوصة بشكل خاص، وما ذلك إلّا بفضل الجهود المكثفة التي بذلها الإمام علیه السلام في هذا المجال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لنا أنّ هذا الانتعاش والازدهار الذي حصل في مؤسسة الزيارة كان في فترة قيام العباسيين ضد الأُمويين؛ حيث انشغل الطرفان ببعضهما، وقد استمرّ طيلة فترة حكم أبي العباس السفاح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ساير الشيعة كثيراً؛ ليستعين بهم ضد بقايا الأُمويين؛ إذ سمح لهم بإقامة شعائرهم ومآتمهم، وبزيارة قبر الحسين علیه السلام </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ولكن الأمر قد تغيّر تماماً مع مجيء المنصور الدوانيقي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أول مَن ارتكب جريمة هدم قبر الحسين علیه السلام ؛ وذلك بعد قضائه على ثورة الحسنيين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ﻫ</w:t>
      </w:r>
      <w:r>
        <w:rPr>
          <w:rStyle w:val="FootnoteAnchor"/>
          <w:rtl w:val="true"/>
        </w:rPr>
        <w:footnoteReference w:id="186"/>
      </w:r>
      <w:r>
        <w:rPr>
          <w:rFonts w:ascii="Amiri" w:hAnsi="Amiri" w:eastAsia="Amiri" w:cs="Amiri"/>
          <w:color w:val="111111"/>
          <w:sz w:val="28"/>
          <w:sz w:val="28"/>
          <w:szCs w:val="28"/>
          <w:rtl w:val="true"/>
          <w:lang w:bidi="ar-SA"/>
        </w:rPr>
        <w:t>، ولا ريب في أنّ هذا الإجراء كان مقدمة لإجراءات أُخرى لمنع الزائرين الوافدين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الصادق علیه السلام يوصي شيعته بمقابلة هذا المنع بالتحدي والرفض، ومداومة هذه المسيرة وعدم التراجع عنها مع أخذ الحيطة والحذر من السلطات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بكير،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أنزل الأَرجان</w:t>
      </w:r>
      <w:r>
        <w:rPr>
          <w:rStyle w:val="FootnoteAnchor"/>
          <w:rtl w:val="true"/>
        </w:rPr>
        <w:footnoteReference w:id="187"/>
      </w:r>
      <w:r>
        <w:rPr>
          <w:rFonts w:ascii="IRNazanin" w:hAnsi="IRNazanin" w:eastAsia="IRNazanin"/>
          <w:color w:val="111111"/>
          <w:sz w:val="28"/>
          <w:sz w:val="28"/>
          <w:szCs w:val="28"/>
          <w:rtl w:val="true"/>
          <w:lang w:bidi="fa-IR"/>
        </w:rPr>
        <w:t>وقلبي ينازعني إلى قبر أبيك، فإذا خرجت فقلبي وَجِلٌ مشفق حتى أرجع؛ خوفاً من السلطان والسعاة وأصحاب 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بكير، أما تحب أن يراك الله فينا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مَن خاف لخوفنا أظلّه الله في ظلّ عرشه، وكان محدّثه الحسين علیه السلام تحت العرش، وآمنه الله من أفزاع يوم القيامة، يفزع الناس ولا يفزع، فإن فزع وقّرته الملائكة، وسكّنت قلبه بالبشارة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معاوية بن وهب،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معاوية، لا تدع زيارة قبر الحسين علیه السلام لخوف؛ فإن مَن تركه رأى من الحسرة ما يتمنَّى أن قبره كان عنده، أما تُحب أن يرى الله شخصك وسوادك فيمن يدعو له رسول الله صلی الله علیه و اله وعلي وفاطمة والأئمة علیهم السلام ؟ أما تُحب أن </w:t>
      </w:r>
      <w:bookmarkStart w:id="220" w:name="pg10991_100530"/>
    </w:p>
    <w:p>
      <w:pPr>
        <w:pStyle w:val="BookText"/>
        <w:rPr/>
      </w:pPr>
      <w:bookmarkEnd w:id="220"/>
      <w:r>
        <w:rPr>
          <w:rFonts w:ascii="IRNazanin" w:hAnsi="IRNazanin" w:eastAsia="IRNazanin"/>
          <w:color w:val="111111"/>
          <w:sz w:val="28"/>
          <w:sz w:val="28"/>
          <w:szCs w:val="28"/>
          <w:rtl w:val="true"/>
          <w:lang w:bidi="fa-IR"/>
        </w:rPr>
        <w:t xml:space="preserve">تكون ممن ينقلب بالمغفرة لما مضى، ويُغفر له ذنوب سبعين سنة؟ أما تُحب أن تكون ممن يخرج من الدنيا وليس عليه ذنب يُتبع به؟ أما تُحب أن تكون غداً ممن يصافحه رسول الله صلی الله علیه و اله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ظبيان،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قبر الحسين علیه السلام في حال التقية؟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الفرات فاغتسل، ثم البس أثوابك الطاهرة، ثم تمرّ بإزاء القبر،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 صلّى الله عليك يا أبا عبد الله، صلّى الله عليك يا أبا عبد الله، فقد تمّت زيارتك</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8288870_2870459653"/>
      <w:bookmarkStart w:id="222" w:name="_Toc78"/>
      <w:bookmarkEnd w:id="221"/>
      <w:r>
        <w:rPr>
          <w:rtl w:val="true"/>
        </w:rPr>
        <w:t>مؤسسة الزيارة بعد عصر الإمام الصادق علیه السلام</w:t>
      </w:r>
      <w:bookmarkEnd w:id="222"/>
    </w:p>
    <w:p>
      <w:pPr>
        <w:pStyle w:val="BookText"/>
        <w:rPr/>
      </w:pPr>
      <w:r>
        <w:rPr>
          <w:rFonts w:ascii="IRNazanin" w:hAnsi="IRNazanin" w:eastAsia="IRNazanin"/>
          <w:color w:val="111111"/>
          <w:sz w:val="28"/>
          <w:sz w:val="28"/>
          <w:szCs w:val="28"/>
          <w:rtl w:val="true"/>
          <w:lang w:bidi="fa-IR"/>
        </w:rPr>
        <w:t xml:space="preserve">استُشهد الإمام الصادق علیه السلام مسموماً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المنصور الدوانيقي جالساً على كرسي الحكم، وتولّى الإمام الكاظم علیه السلام مهامّ الإمامة في ظلّ حكم دكتاتوري إرهابي قلّ نظيره في التاريخ، ولنا أن نفترض أنّ القبر قد بقي مهدوماً، والمنع من الزيارة ظلّ سارياً طيلة السنوات العشر الأُولى من مدة إمامة الإمام الكاظم علیه السلام ، وهي المدة التي عاصر فيها المنصور الدوانيقي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هلاك الدوانيقي ومجيء المهدي إلى السلطة تساهل هذا الأخير مع الشيعة، وأمر بأن تُعاد سقيفة قبر الإمام علیه السلام ، وفسح المجال للشيعة بزيارة القبر الشريف، وسهّل لهم أمر الشخوص إليه</w:t>
      </w:r>
      <w:r>
        <w:rPr>
          <w:rStyle w:val="FootnoteAnchor"/>
          <w:rtl w:val="true"/>
        </w:rPr>
        <w:footnoteReference w:id="191"/>
      </w:r>
      <w:r>
        <w:rPr>
          <w:rFonts w:ascii="Amiri" w:hAnsi="Amiri" w:eastAsia="Amiri" w:cs="Amiri"/>
          <w:color w:val="111111"/>
          <w:sz w:val="28"/>
          <w:sz w:val="28"/>
          <w:szCs w:val="28"/>
          <w:rtl w:val="true"/>
          <w:lang w:bidi="ar-SA"/>
        </w:rPr>
        <w:t>، وقد كانت مدة خلافته عشر سنين استعاد فيها الشيعة بعض الحرية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نفترض أن ما ورد في كتاب كامل الزيارات وغيره، من توجيهات الإمام الكاظم علیه السلام وإرشاداته ودعمه المعنوي لمؤسسة الزيارة كان في أثناء مدة حكم </w:t>
      </w:r>
    </w:p>
    <w:p>
      <w:pPr>
        <w:pStyle w:val="BookText"/>
        <w:rPr/>
      </w:pPr>
      <w:r>
        <w:rPr>
          <w:rFonts w:ascii="IRNazanin" w:hAnsi="IRNazanin" w:eastAsia="IRNazanin"/>
          <w:color w:val="111111"/>
          <w:sz w:val="28"/>
          <w:sz w:val="28"/>
          <w:szCs w:val="28"/>
          <w:rtl w:val="true"/>
          <w:lang w:bidi="fa-IR"/>
        </w:rPr>
        <w:t>المهدي، ويبدو من خلال إشارات بعض النصوص أنّ تيار الزيارة قد عاد إلى التدفّق في هذه المدة بنفس القوة التي كان عليها في أيام الإمام الصادق علیه السلام ، وربما أكبر، ومن تلك الإشارات ما رُوي عن أحد الأتقياء من أصحاب الإمام الكاظم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قد زاره الناس مَن يعرف هذا الأمر ومَن يُنكره، وركبت إليه النساء ووقع حال الشهرة، وقد انقبضت منه لما رأيت من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مليّاً لا يجيبني، 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عراقي، إنّ شهروا أنفسهم فلا تشهر أنت نفسك؛ فوالله، ما أتى الحسين علیه السلام آتٍ عارفاً بحقه إلّا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اعتبار مدة حكم الهادي امتداداً لحكم والده المهدي؛ إذ إنّه لم يمكث في كرسي الخلافة سوى عام واحد، وهي مدة قليلة جداً لا تؤهله لأن يتّخذ موقفاً إيجابياً أو سلبياً تجاه مسألة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فترة حكم الرشيد، فكانت من أسوأ الفترات التي مرّ بها التشيّع، فقد كان أقسم على استئصال العلويين، وكل مَن يتشيّع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أصبر على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لأقتلنهم وأقتل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بإخراجهم من بغداد إلى المدينة، وعندما أرسل الجلودي لحرب محمد بن جعفر بن محمد أمره أن يغير على دور آل أبي طالب ويسلب ما على نسائهم من الثياب، ولا يترك لكل واحدة منهن إلّا ثوباً واحداً يسترها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قبل ذلك قد أمر بهدم قبر الحسين علیه السلام وأمر بقطع السدرة التي كان يُستدلّ بها على القبر ويستضلّ بها الزوار، وقد جاء في حديث عن رسول الله صلی الله علیه و اله 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 الله قاطع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يكتفِ هارون العباسي بتلك الموبقات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 موبقاته كلّها بحبس الإمام موسى بن جعفر علیه السلام ، وأخيراً بقتله بالسم بواسطة جلاديه وجلاوزته، وفي عهده امتلأت سجونه من العلويين وشيعتهم، وكل مَن يتهمّ بالتشيّع</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صالح الشهرستاني أنّ الحال بقيت على هذه الوتيرة حتى توفّي الرشيد، وأصبح ابنه الأمين يتساهل مع الشيعة إلى حدّ ما، وجدّد بناء سقيفة قبر الحسين علیه السلام ، وسمح لهم بإقامة المآتم والمناحات على القبر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أخذ المأمون يُساير الشيعة، وخفّف من وطأة الضغط عليهم، وسمح تدريجاً للوافدين على الطفّ بزيارة قبر الإمام الشهيد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خلافة المعتصم والواثق، كان العلويون في رخاء وحرية إلى حدّ ما، من حيث عدم الضغط عليهم، وكانت وفود الزوار على عهديهما ترد على قبر الإمام الشهيد علیه السلام في كربلاء جماعات وأفراداً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كثرت في هذه الفترة التوجيهات والتعليمات الصادرة عن الإمام الرضا علیه السلام بخصوص مؤسسة الزيارة، ومنها على سبيل المثال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إمام عهداً في عنق أوليائه وشيعته، وإنّ من تمام الوفاء بالعهد وحُسن الأداء زيارة قبورهم، فمَن زارهم رغبةً في زيارتهم وتصديقاً لما رغبوا فيه كان أئمتهم شفعاءهم يوم القيامة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جرير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علیه السلام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علیهما السلام عارفاً بحقّه كان من محدّثي الله فوق عرشه،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شهر نزور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من رجب والنصف من شعبان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بقيت مؤسسة الزيارة في تقدُّم وازدهار إلى أن جاء الخليفة العباسي العاشر المتوكل الذي استلم زمام الحكم عام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ورث من جدّه هارون حقده وبغضه لعلي وآل علي وشيعتهم، واتفق له أن وزيره عبيد الله بن يحيى بن خاقان كان يسيء الرأي فيهم، فحسَّن له القبيح في معاملتهم، فبلغ فيهم ما لم يبلغه أحد من خلفاء بني العباس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ذلك أن حرث قبر الحسين علیه السلام وعَفَّى آثاره، ووضع على سائر الطرق مسالح له، لا يجدون أحداً زاره إلّا أتوه به، فقتله، أو أنهكه عقوبة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بهدم قبر الحسين بن علي، وهدم ما حوله من المنازل والدور، وأن يُحرث ويُبذر ويُسقى موضع قبره، وأن يُمنع الناس من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عامل صاحب الشرطة نادى في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وجدناه عند قبره بعد ثلاثة بعثنا به إلى المطبق</w:t>
      </w:r>
      <w:r>
        <w:rPr>
          <w:rStyle w:val="FootnoteAnchor"/>
          <w:rtl w:val="true"/>
        </w:rPr>
        <w:footnoteReference w:id="201"/>
      </w:r>
      <w:r>
        <w:rPr>
          <w:rFonts w:ascii="Amiri" w:hAnsi="Amiri" w:eastAsia="Amiri" w:cs="Amiri"/>
          <w:color w:val="111111"/>
          <w:sz w:val="28"/>
          <w:sz w:val="28"/>
          <w:szCs w:val="28"/>
          <w:rtl w:val="true"/>
          <w:lang w:bidi="ar-SA"/>
        </w:rPr>
        <w:t>، فهرب الناس، وامتنعوا من المصير إليه، وحُرث ذلك الموضع، وزُرع ما حواليه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 مجموع النصوص التي وردت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محاولة المتوكل لهدم القبر الشريف قد دامت نحو سنة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استطاع أن يمنع الزوار من زيارته ويهدمه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الشيعة واصلوا تحدي السلطة والذهاب إلى الزيارة أكثر من عشر سنين حتى هلك المتوكل، وواصل هو خلال تلك الفترة محاولاته في هدم القبر الشريف ومنع الزوار ومطاردتهم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الهادي علیه السلام ، فقد كان في تلك الفترة في أشدّ حالات التقية؛ إذ كان في سامراء تحت رقابة عيون السلطة، معزولاً عن شيعته وأتباعه، ومع ذلك فقد كان يراقب الأوضاع عن بُعد، وكان لا يتوانى عن تقديم الدعم المعنوي لمؤسسة الزيارة ما استطاع إلى ذلك سبيلاً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أنه حينما مرض كان يصرّ علیه السلام على إرسال شخص من خواصّ أصحابه يزور الحسين علیه السلام ويدعو له في عند قبره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الكليني بسنده عن أبي هشام الجعفري،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إليَّ أبو الحسن علیه السلام في مرضه وإلى محمد بن حمزة، فسبقني إليه محمد بن حمزة، وأخبرني محمد ما زال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الحير، ابعثوا إلى 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إلى الحير؟ ثم دخلت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إلى 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ليس له سرّ من زيد بن علي، وأنا أكره أن يسمع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لعلي بن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يصنع بالحير وهو 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العسكر، فدخلت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أردت القيام، فلما رأيته أنس بي ذكرت له قول علي بن بلال،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اله كان يطوف بالبيت ويُقبّل الحجر، وحرمة النبي والمؤمن أعظم </w:t>
      </w:r>
    </w:p>
    <w:p>
      <w:pPr>
        <w:pStyle w:val="BookText"/>
        <w:rPr/>
      </w:pPr>
      <w:r>
        <w:rPr>
          <w:rFonts w:ascii="Amiri" w:hAnsi="Amiri" w:eastAsia="Amiri" w:cs="Amiri"/>
          <w:color w:val="111111"/>
          <w:sz w:val="28"/>
          <w:sz w:val="28"/>
          <w:szCs w:val="28"/>
          <w:rtl w:val="true"/>
          <w:lang w:bidi="ar-SA"/>
        </w:rPr>
        <w:t>من حرمة البيت، وأمره الله عز وجل أن يقف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مواطن يحبّ الله أن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يُدعى الله لي حيث يحبّ الله أن يُدعى فيها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بقيت مؤسسة الزيارة الحسينية على هذه الوتيرة، تتقدم وتنتعش في بعض الفترات، وتتراجع وتنكمش في فترات أُخرى بحسب سياسة الحاكم العباسي، ولم تحصل بعد هلاك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انفراجات يسيرة لم تطرأ فيها أيّة تغييرات صورية أو جوهرية على هذه المؤسسة، وقد استمر هذا الحال إلى بداية الغيبة الكبرى وقيام الدول الشيعية، فدخلت مؤسسة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مؤسسة الشعائر الحسينية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جديدة، كما أشرنا في المطلب السابق</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0991_100537"/>
      <w:bookmarkStart w:id="224" w:name="pg10991_100537"/>
      <w:bookmarkEnd w:id="224"/>
    </w:p>
    <w:p>
      <w:pPr>
        <w:pStyle w:val="Heading2"/>
        <w:numPr>
          <w:ilvl w:val="1"/>
          <w:numId w:val="1"/>
        </w:numPr>
        <w:rPr/>
      </w:pPr>
      <w:bookmarkStart w:id="225" w:name="pg10991_100537"/>
      <w:bookmarkStart w:id="226" w:name="__RefHeading___Toc8288872_2870459653"/>
      <w:bookmarkStart w:id="227" w:name="_Toc79"/>
      <w:bookmarkEnd w:id="225"/>
      <w:bookmarkEnd w:id="226"/>
      <w:r>
        <w:rPr>
          <w:rtl w:val="true"/>
        </w:rPr>
        <w:t>دراسات في تاريخ وتراث النهضة الحسينية</w:t>
      </w:r>
      <w:bookmarkEnd w:id="227"/>
    </w:p>
    <w:p>
      <w:pPr>
        <w:pStyle w:val="Heading3"/>
        <w:numPr>
          <w:ilvl w:val="2"/>
          <w:numId w:val="1"/>
        </w:numPr>
        <w:rPr/>
      </w:pPr>
      <w:bookmarkStart w:id="228" w:name="__RefHeading___Toc8288874_2870459653"/>
      <w:bookmarkStart w:id="229" w:name="_Toc80"/>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حجاجية السؤال في خطاب الإمام الحسين علیه السلام</w:t>
      </w:r>
    </w:p>
    <w:p>
      <w:pPr>
        <w:pStyle w:val="BookText"/>
        <w:rPr/>
      </w:pPr>
      <w:r>
        <w:rPr>
          <w:rFonts w:ascii="Amiri" w:hAnsi="Amiri" w:eastAsia="Amiri" w:cs="Amiri"/>
          <w:color w:val="111111"/>
          <w:sz w:val="28"/>
          <w:sz w:val="28"/>
          <w:szCs w:val="28"/>
          <w:rtl w:val="true"/>
          <w:lang w:bidi="ar-SA"/>
        </w:rPr>
        <w:t>الشعر الحسيني في الدراسات الأدبية الحديثة</w:t>
      </w:r>
    </w:p>
    <w:p>
      <w:pPr>
        <w:pStyle w:val="BookText"/>
        <w:rPr/>
      </w:pPr>
      <w:r>
        <w:rPr>
          <w:rFonts w:ascii="Amiri" w:hAnsi="Amiri" w:eastAsia="Amiri" w:cs="Amiri"/>
          <w:color w:val="111111"/>
          <w:sz w:val="28"/>
          <w:sz w:val="28"/>
          <w:szCs w:val="28"/>
          <w:rtl w:val="true"/>
          <w:lang w:bidi="ar-SA"/>
        </w:rPr>
        <w:t xml:space="preserve">قراءة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بين شعراء الشعوب الإسلاميّة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النثر في ثورتي التوابين والمختار الثقفي وتأثره بالنص القرآني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0991_100539"/>
      <w:bookmarkStart w:id="231" w:name="pg10991_100539"/>
      <w:bookmarkEnd w:id="231"/>
    </w:p>
    <w:p>
      <w:pPr>
        <w:pStyle w:val="Heading3"/>
        <w:numPr>
          <w:ilvl w:val="2"/>
          <w:numId w:val="1"/>
        </w:numPr>
        <w:rPr/>
      </w:pPr>
      <w:bookmarkStart w:id="232" w:name="pg10991_100539"/>
      <w:bookmarkStart w:id="233" w:name="__RefHeading___Toc8288876_2870459653"/>
      <w:bookmarkStart w:id="234" w:name="_Toc81"/>
      <w:bookmarkEnd w:id="232"/>
      <w:bookmarkEnd w:id="233"/>
      <w:r>
        <w:rPr>
          <w:rtl w:val="true"/>
        </w:rPr>
        <w:t>حجاجية السؤال في خطاب الإمام الحسين علیه السلام</w:t>
      </w:r>
      <w:bookmarkEnd w:id="234"/>
    </w:p>
    <w:p>
      <w:pPr>
        <w:pStyle w:val="Heading3"/>
        <w:numPr>
          <w:ilvl w:val="2"/>
          <w:numId w:val="1"/>
        </w:numPr>
        <w:rPr/>
      </w:pPr>
      <w:bookmarkStart w:id="235" w:name="__RefHeading___Toc8288878_2870459653"/>
      <w:bookmarkStart w:id="236" w:name="_Toc82"/>
      <w:bookmarkEnd w:id="235"/>
      <w:r>
        <w:rPr>
          <w:rtl w:val="true"/>
        </w:rPr>
        <w:t>د</w:t>
      </w:r>
      <w:r>
        <w:rPr>
          <w:rtl w:val="true"/>
        </w:rPr>
        <w:t xml:space="preserve">. </w:t>
      </w:r>
      <w:r>
        <w:rPr>
          <w:rtl w:val="true"/>
        </w:rPr>
        <w:t>خالد حويِّر</w:t>
      </w:r>
      <w:bookmarkEnd w:id="23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حويِّر</w:t>
      </w:r>
      <w:r>
        <w:rPr>
          <w:rStyle w:val="FootnoteAnchor"/>
          <w:rtl w:val="true"/>
        </w:rPr>
        <w:footnoteReference w:id="205"/>
      </w:r>
    </w:p>
    <w:p>
      <w:pPr>
        <w:pStyle w:val="Heading3"/>
        <w:numPr>
          <w:ilvl w:val="2"/>
          <w:numId w:val="1"/>
        </w:numPr>
        <w:rPr/>
      </w:pPr>
      <w:bookmarkStart w:id="237" w:name="__RefHeading___Toc8288880_2870459653"/>
      <w:bookmarkStart w:id="238" w:name="_Toc83"/>
      <w:bookmarkEnd w:id="237"/>
      <w:r>
        <w:rPr>
          <w:rtl w:val="true"/>
        </w:rPr>
        <w:t>المقدمة</w:t>
      </w:r>
      <w:bookmarkEnd w:id="238"/>
    </w:p>
    <w:p>
      <w:pPr>
        <w:pStyle w:val="BookText"/>
        <w:rPr/>
      </w:pPr>
      <w:r>
        <w:rPr>
          <w:rFonts w:ascii="IRNazanin" w:hAnsi="IRNazanin" w:eastAsia="IRNazanin"/>
          <w:color w:val="111111"/>
          <w:sz w:val="28"/>
          <w:sz w:val="28"/>
          <w:szCs w:val="28"/>
          <w:rtl w:val="true"/>
          <w:lang w:bidi="fa-IR"/>
        </w:rPr>
        <w:t>إن تراث أهل البيت علیهم السلام جدير بالدراسة والتحليل؛ فهو المَعين الذي لا ينضب من جهة تكوينه الفلسفي والعقدي والفقهي واللساني والسياسي والاجتماعي والاقتصادي والتربوي، وغير ذلك من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إضفاء المشروعية على تلك المعارف حاول أهل البيت علیهم السلام إقامة الأدلة الساطعة، والحجج القوية لإثبات هذه المضامين الحقة، وإقناع المتلقي بها عن طريق تقنيات حجاجية جمة سجلتها اللسانيات الحجاجية في العصر الحديث، ومن تلك التقنيات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حجاجية السؤال ذات أهمية كبرى في الخطاب، تعود إلى كونه حجاجاً موقفيّاً أكثر التصاقاً بالجمهور، يرومُ مُلقيه استمالةَ المتلقي وإذعانه، والتراجع عمَّا هو متوغل فيه، ومنعه من الانخراط في طريق مغاير لما يراه المُحاجّ</w:t>
      </w:r>
      <w:r>
        <w:rPr>
          <w:rFonts w:eastAsia="Amiri" w:cs="Amiri" w:ascii="Amiri" w:hAnsi="Amiri"/>
          <w:color w:val="111111"/>
          <w:sz w:val="28"/>
          <w:szCs w:val="28"/>
          <w:rtl w:val="true"/>
          <w:lang w:bidi="ar-SA"/>
        </w:rPr>
        <w:t xml:space="preserve">. </w:t>
      </w:r>
      <w:bookmarkStart w:id="239" w:name="pg10991_100540"/>
    </w:p>
    <w:p>
      <w:pPr>
        <w:pStyle w:val="BookText"/>
        <w:rPr/>
      </w:pPr>
      <w:bookmarkEnd w:id="239"/>
      <w:r>
        <w:rPr>
          <w:rFonts w:ascii="Amiri" w:hAnsi="Amiri" w:eastAsia="Amiri" w:cs="Amiri"/>
          <w:color w:val="111111"/>
          <w:sz w:val="28"/>
          <w:sz w:val="28"/>
          <w:szCs w:val="28"/>
          <w:rtl w:val="true"/>
          <w:lang w:bidi="ar-SA"/>
        </w:rPr>
        <w:t>وحينئذ؛ إذا كان المتكلم والسائل يجهل الجواب فإنَّ كلامه يخلو من أي حجاج، وأما إذا كان يعيه، فيحمل هذا شحنة حجاجية يريد أنْ يوصلها صاحب السؤال إلى المتلقّي لتغيير قناعاته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لتحقيق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عن أدوات الاستفهام التي حملت معنى حجاجيّاً في خطاب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المتلقّي المعني بإلقاء الحجة من لدن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بأهم الدلالات والأغراض التي جيء من أجلها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فسيكون البحث موزعاً على محورين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الأول للتعريف بالحجاج وبيان معناه لدى اليونان والمسلمين، وعند الغرب في العصر الحديث وصولاً إلى ميشال مايير </w:t>
      </w:r>
      <w:r>
        <w:rPr>
          <w:rFonts w:eastAsia="Times New Roman" w:cs="Times New Roman" w:ascii="Times New Roman" w:hAnsi="Times New Roman"/>
          <w:color w:val="111111"/>
          <w:sz w:val="28"/>
          <w:szCs w:val="28"/>
          <w:lang w:val="en-US" w:bidi="en-US"/>
        </w:rPr>
        <w:t>Michael Mayer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ونظريته القائمة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والنظر من خلالها إلى السؤال في الخطاب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ووضع المحور الثاني لإجلاء صور السؤال، وهي أدوات الاستفهام المعروفة بحسب ما وردت في خطابه علیه السلام مع بيان عَلَاقات الخطاب وأثرها في إبداء الحجة</w:t>
      </w:r>
      <w:r>
        <w:rPr>
          <w:rFonts w:eastAsia="IRNazanin" w:cs="IRNazanin"/>
          <w:color w:val="111111"/>
          <w:sz w:val="28"/>
          <w:szCs w:val="28"/>
          <w:rtl w:val="true"/>
          <w:lang w:bidi="fa-IR"/>
        </w:rPr>
        <w:t>.</w:t>
      </w:r>
    </w:p>
    <w:p>
      <w:pPr>
        <w:pStyle w:val="Heading3"/>
        <w:numPr>
          <w:ilvl w:val="2"/>
          <w:numId w:val="1"/>
        </w:numPr>
        <w:rPr/>
      </w:pPr>
      <w:bookmarkStart w:id="240" w:name="__RefHeading___Toc8288882_2870459653"/>
      <w:bookmarkStart w:id="241" w:name="_Toc84"/>
      <w:bookmarkEnd w:id="240"/>
      <w:r>
        <w:rPr>
          <w:rtl w:val="true"/>
        </w:rPr>
        <w:t>المحور الأول</w:t>
      </w:r>
      <w:r>
        <w:rPr>
          <w:rtl w:val="true"/>
        </w:rPr>
        <w:t xml:space="preserve">: </w:t>
      </w:r>
      <w:r>
        <w:rPr>
          <w:rtl w:val="true"/>
        </w:rPr>
        <w:t>معنى الحجاج والخطاب</w:t>
      </w:r>
      <w:bookmarkEnd w:id="241"/>
    </w:p>
    <w:p>
      <w:pPr>
        <w:pStyle w:val="BookText"/>
        <w:rPr/>
      </w:pPr>
      <w:r>
        <w:rPr>
          <w:rFonts w:ascii="IRNazanin" w:hAnsi="IRNazanin" w:eastAsia="IRNazanin"/>
          <w:color w:val="111111"/>
          <w:sz w:val="28"/>
          <w:sz w:val="28"/>
          <w:szCs w:val="28"/>
          <w:rtl w:val="true"/>
          <w:lang w:bidi="fa-IR"/>
        </w:rPr>
        <w:t>يتناول هذا المحور إيضاحاً لمفهومين اثنين، هما مفهوم الحجاج، ومفهوم الخطاب مطلقاً، وسيتم تطبيقهما على خطابات الإمام الحسين علیه السلام ، وهما</w:t>
      </w:r>
      <w:r>
        <w:rPr>
          <w:rFonts w:eastAsia="IRNazanin" w:cs="IRNazanin"/>
          <w:color w:val="111111"/>
          <w:sz w:val="28"/>
          <w:szCs w:val="28"/>
          <w:rtl w:val="true"/>
          <w:lang w:bidi="fa-IR"/>
        </w:rPr>
        <w:t>:</w:t>
      </w:r>
    </w:p>
    <w:p>
      <w:pPr>
        <w:pStyle w:val="Heading3"/>
        <w:numPr>
          <w:ilvl w:val="2"/>
          <w:numId w:val="1"/>
        </w:numPr>
        <w:rPr/>
      </w:pPr>
      <w:bookmarkStart w:id="242" w:name="__RefHeading___Toc8288884_2870459653"/>
      <w:bookmarkStart w:id="243" w:name="_Toc85"/>
      <w:bookmarkEnd w:id="242"/>
      <w:r>
        <w:rPr/>
        <w:t>1</w:t>
      </w:r>
      <w:r>
        <w:rPr>
          <w:rtl w:val="true"/>
        </w:rPr>
        <w:t xml:space="preserve">- </w:t>
      </w:r>
      <w:r>
        <w:rPr>
          <w:rtl w:val="true"/>
        </w:rPr>
        <w:t>معنى الحجاج</w:t>
      </w:r>
      <w:bookmarkEnd w:id="243"/>
    </w:p>
    <w:p>
      <w:pPr>
        <w:pStyle w:val="BookText"/>
        <w:rPr/>
      </w:pPr>
      <w:r>
        <w:rPr>
          <w:rFonts w:ascii="Amiri" w:hAnsi="Amiri" w:eastAsia="Amiri" w:cs="Amiri"/>
          <w:color w:val="111111"/>
          <w:sz w:val="28"/>
          <w:sz w:val="28"/>
          <w:szCs w:val="28"/>
          <w:rtl w:val="true"/>
          <w:lang w:bidi="ar-SA"/>
        </w:rPr>
        <w:t>يعدّ الحجاج من أخصب المجالات اللسانية في العالم العربي هذه الأيام، وقدمت دراسات عديدة للمساوقة بينه وبين البلاغة، ويمكن تلمُّس ذلك من جانبين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البُعد الكلي الذي يتمثل بمهمة البلاغة الكلية القائمة على الجمال والإقناع، وهذه هي هُويَّة الحجاج؛ كونه يرتبط بالإقناع والتواصل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البعد التجزيئي، من خلال تناول البلاغيين له في موضوعات البلاغة وأبوابها،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إلجام الخصم بالحجة أو المذهب الكلامي، وغير 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والتشبيه والاستعارة والمجاز عند حملها شحنات حجاجية وإقناعية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فكرة التأصيل تلك انشغل العرب ببيان مفهومه وأنواعه وتطبيقاته في المنظومة اللسانية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مشتق من الجذر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مشتقاته في المعجم العربي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والطريق، والدليل، والبرهان، والوجه الذي يكون به الظفر عند الخصومة، وانتزاع الحجة، والغَلَبة فيها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طه عبد الرحمن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ساواه بالمجاز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 كل منطوق به موجَّه إلى الغير لإفهامه دعوى مخصوصة يحق له الاعتراض عليها بحسب القيمة التي تحملها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يرض البعض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الهادي الشهري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التعريف مبدياً 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وبالرغم من صحة هذا التعريف، إلّا أنَّه لا يشمل سوى الجانب الشكلي، أو الإطار الذي يظهر به الحجاج، أي التلفظ، ومن ثَمَّ الإفهام، لكنه لا يتجاوز ذلك إلى الغرض التداولي من الحجاج، وهو تحصيل الإقناع</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ويطرح الشهري تعريف شايم بيرلمان </w:t>
      </w:r>
      <w:r>
        <w:rPr>
          <w:rFonts w:eastAsia="Times New Roman" w:cs="Times New Roman" w:ascii="Times New Roman" w:hAnsi="Times New Roman"/>
          <w:color w:val="111111"/>
          <w:sz w:val="28"/>
          <w:szCs w:val="28"/>
          <w:lang w:val="en-US" w:bidi="en-US"/>
        </w:rPr>
        <w:t>Chaïm Perelman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ويراه الأجدر، ومفاده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كل حجاج أنْ يجعل العقول تذعن لما يُطرح عليها، أو يزيد في درجة ذلك الإذعان، فأنجع الحجاج ما وفِّق في جعل حدة الإذعان تقوى درجتها لدى السامعين بشكل يبعثهم على العمل المطلوب إنجازه أو الإمساك عنه، أو هو ما وفِّق </w:t>
      </w:r>
    </w:p>
    <w:p>
      <w:pPr>
        <w:pStyle w:val="BookText"/>
        <w:rPr/>
      </w:pPr>
      <w:r>
        <w:rPr>
          <w:rFonts w:ascii="Amiri" w:hAnsi="Amiri" w:eastAsia="Amiri" w:cs="Amiri"/>
          <w:color w:val="111111"/>
          <w:sz w:val="28"/>
          <w:sz w:val="28"/>
          <w:szCs w:val="28"/>
          <w:rtl w:val="true"/>
          <w:lang w:bidi="ar-SA"/>
        </w:rPr>
        <w:t>على الأقل في جعل السامعين مهيئين لذلك العمل في اللحظة المناسبة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في هذه المقدمة ذكر مصدر هذه النظرية، فهي انبثقت من صلب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لأوستين </w:t>
      </w:r>
      <w:r>
        <w:rPr>
          <w:rFonts w:eastAsia="Times New Roman" w:cs="Times New Roman" w:ascii="Times New Roman" w:hAnsi="Times New Roman"/>
          <w:color w:val="111111"/>
          <w:sz w:val="28"/>
          <w:szCs w:val="28"/>
          <w:lang w:val="en-US" w:bidi="en-US"/>
        </w:rPr>
        <w:t>Austin. L. 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نظر الدارسين</w:t>
      </w:r>
      <w:r>
        <w:rPr>
          <w:rStyle w:val="FootnoteAnchor"/>
          <w:rtl w:val="true"/>
        </w:rPr>
        <w:footnoteReference w:id="210"/>
      </w:r>
      <w:r>
        <w:rPr>
          <w:rFonts w:ascii="Amiri" w:hAnsi="Amiri" w:eastAsia="Amiri" w:cs="Amiri"/>
          <w:color w:val="111111"/>
          <w:sz w:val="28"/>
          <w:sz w:val="28"/>
          <w:szCs w:val="28"/>
          <w:rtl w:val="true"/>
          <w:lang w:bidi="ar-SA"/>
        </w:rPr>
        <w:t>، وهو نظر منطقي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نظرية أوستين </w:t>
      </w:r>
      <w:r>
        <w:rPr>
          <w:rFonts w:eastAsia="Times New Roman" w:cs="Times New Roman" w:ascii="Times New Roman" w:hAnsi="Times New Roman"/>
          <w:color w:val="111111"/>
          <w:sz w:val="28"/>
          <w:szCs w:val="28"/>
          <w:lang w:val="en-US" w:bidi="en-US"/>
        </w:rPr>
        <w:t>Austin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لها أركانها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القول، وعمل القول، والتأثير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والتأثير لا يحدث إلّا عِبْر الحجة والإقتناع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تنفع في الاعتراف بالعَلَاقة بين التداولية والحجاج، ويشهد لذلك طه عبد الرحمن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الحجاج أنَّه فعالية تداولية جدلية، فهو تداولي؛ لأنَّ طابعه الفكري مقامي واجتماعي، إذ يأخذ بعين الاعتبار مقتضيات الحال من معارف مشتركة ومطالب إخبارية وتوجهات ظرفية، ويهدف إلى الاشتراك جماعيّاً في إنشاء معرفة عملية إنشاءً موجّهاً بقدر الحاجة</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الموقفية تنعكس على السؤال الحجاجي القائم على تغيير القناعات وإذعان الأذهان في المقام التداولي المنطلق من التواصل والإقناع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التأسيس المفهومي للحجاج وعَلَاقته بالمسار التداولي ظهرت نظريات حجاجية لدى الغرب، وقبل أنْ نعرضها باختصار، نودّ عرض إرهاصات هذه النظرية لدى اليونان والمسلمين، ورعاية للاختصار نقتصر على ما بيّنه أرسطو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اليونان، ونجم الدين الطوفي ت</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الجذل في </w:t>
      </w:r>
      <w:bookmarkStart w:id="244" w:name="pg10991_100543"/>
    </w:p>
    <w:p>
      <w:pPr>
        <w:pStyle w:val="BookText"/>
        <w:rPr/>
      </w:pPr>
      <w:bookmarkEnd w:id="244"/>
      <w:r>
        <w:rPr>
          <w:rFonts w:ascii="Amiri" w:hAnsi="Amiri" w:eastAsia="Amiri" w:cs="Amiri"/>
          <w:color w:val="111111"/>
          <w:sz w:val="28"/>
          <w:sz w:val="28"/>
          <w:szCs w:val="28"/>
          <w:rtl w:val="true"/>
          <w:lang w:bidi="ar-SA"/>
        </w:rPr>
        <w:t>علم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المسلمين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8288886_2870459653"/>
      <w:bookmarkStart w:id="246" w:name="_Toc86"/>
      <w:bookmarkEnd w:id="245"/>
      <w:r>
        <w:rPr>
          <w:rtl w:val="true"/>
        </w:rPr>
        <w:t>إرهاصات النظرية لدى اليونان والمسلمين</w:t>
      </w:r>
      <w:bookmarkEnd w:id="246"/>
    </w:p>
    <w:p>
      <w:pPr>
        <w:pStyle w:val="BookText"/>
        <w:rPr/>
      </w:pPr>
      <w:r>
        <w:rPr>
          <w:rFonts w:ascii="Amiri" w:hAnsi="Amiri" w:eastAsia="Amiri" w:cs="Amiri"/>
          <w:color w:val="111111"/>
          <w:sz w:val="28"/>
          <w:sz w:val="28"/>
          <w:szCs w:val="28"/>
          <w:rtl w:val="true"/>
          <w:lang w:bidi="ar-SA"/>
        </w:rPr>
        <w:t xml:space="preserve">وإجالة سريعة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لأرسطو تجعلك تؤمن بأنَّه جعل الميدان الأفضل للحجاج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تساوي الإقناع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نحدَّ الخطابة بأنَّها الكشف عن الطرق الممكنة للإقناع في أي موضوع كان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وعنده الحجاج والإقناع يتوزعان على مفاصل الحياة المتنوعة،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والهندسة، وغيرها من العلوم والفنون</w:t>
      </w:r>
      <w:r>
        <w:rPr>
          <w:rStyle w:val="FootnoteAnchor"/>
          <w:rtl w:val="true"/>
        </w:rPr>
        <w:footnoteReference w:id="213"/>
      </w:r>
      <w:r>
        <w:rPr>
          <w:rFonts w:ascii="Amiri" w:hAnsi="Amiri" w:eastAsia="Amiri" w:cs="Amiri"/>
          <w:color w:val="111111"/>
          <w:sz w:val="28"/>
          <w:sz w:val="28"/>
          <w:szCs w:val="28"/>
          <w:rtl w:val="true"/>
          <w:lang w:bidi="ar-SA"/>
        </w:rPr>
        <w:t>، وقسَّم الخطابة على ثلاثة أنواع،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الجدل والإقناع للقاضي وإزاحة الخصم على وفق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الإقناع من لدن الخطيب في التجمعات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تلقى في المحافل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هذه الأنواع على فن الإقناع،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مخاطبة الجموع مخاطبة شفوية بغاية الإقناع وتحفيز الفعل</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وتغطية النوع الأول عِبْر ما سمَّاه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الصناعية، أي التي لا دخل للخطيب في صناعتها وإنَّما هي جاهزة،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التصديقات فبعضها غير صناعية، وبعضها 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 بالأولى تلك التي لم نأت بها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فكانت عنده على أنواع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والعقود، والاعترافات المنتزعة بالتعذيب، والقوانين، </w:t>
      </w:r>
    </w:p>
    <w:p>
      <w:pPr>
        <w:pStyle w:val="BookText"/>
        <w:rPr/>
      </w:pPr>
      <w:r>
        <w:rPr>
          <w:rFonts w:ascii="Amiri" w:hAnsi="Amiri" w:eastAsia="Amiri" w:cs="Amiri"/>
          <w:color w:val="111111"/>
          <w:sz w:val="28"/>
          <w:sz w:val="28"/>
          <w:szCs w:val="28"/>
          <w:rtl w:val="true"/>
          <w:lang w:bidi="ar-SA"/>
        </w:rPr>
        <w:t>والأيمان، وهي وسائل التأثير في القاضي ودفع الخصم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الحجج المشاورية فهي تعتمد على الحجج الصناعية، وهي ما يصنعها الخطيب بحيلته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وتتوقف تلك التصديقات على أركان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واعتنى كثيراً بالباثّ، وضرورة توافر ثلاث خصال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ولابد للخطيب أنْ يتحلى بثلاث خصال كيما يحدث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بصرف النظر عن البراهين فإنَّ الأمور التي تؤدي إلى الاعتقاد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 والفضيلة،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الخطيب الذي يبدو أنَّه يملك هذه الخصال الثلاث سيقنع سامعيه لا محالة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ونخلص إلى أنَّ الفكر اليوناني وظّف الحجاج في إقناع المتلقّي وأسهب أرسطو بتفصيل هذا الأمر، وجعل الحجاج طريقاً للإقناع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للمسلمين فقد عالجوا المسألة أيضاً في تراثهم، ومثالنا هو نجم الدين الطوفي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الجذل في علم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لأداء المناظرة، والمجادلة، والمحاججة بتعبيرنا، وغايته بيان جدل القرآن وحجاجه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كتابه على خمسة أبواب، الأربعة الأولى منها نظرية، والخامس تطبيقي على القرآن الكريم، يبيِّن فيه كيف يدعو القرآن المتلقي إلى دعوة ما، ثم يدلي النص بحججه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 تلك الأبواب مقدمة بيَّن فيها اشتقاقات الجدل، واللافت للنظر أنَّه رادف بين الجدل والحجاج من خلال الموازنة بينهما في عملية الاشتقاق؛ إذ يرى الجدل تارة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في الجدَل معنى الشد والإحكام؛ لأنَّ كلاً من الخصمين يشتد على خصمه ويضايقه بالحجة التي اجتهد في إحكامها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ويراه أخرى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الأرض،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كل واحد من المتجادلين يقصد غلبة صاحبه وصرعه في مقام النطق، كما يجدل الفارس قِرنه أنْ يرميه بالجدالة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كل واحد من المتجادلين يقصد الاستعلاء والارتفاع على صاحبه في الحجة حتى يكون منه كموضع الجدال وهو البلح من النخلة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الاشتقاقات التي تقارب بين الجدل والحجة، ولا يقف الطوفي عند هذا الحد، بل يلتقي في تعريفه للجدل مع الحجة تماماً ومع وظيفتها في العصر الحديث،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رسم الجدل في الاصطلاح،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قانون صناعي يعرف أحوال المباحث من الخطأ والصواب على وجه يدفع عن نفس الناظر والمُناظر الشك والارتياب</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يريد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يصنعه المجادل أو المحاجج، وهو هنا يلتقي مع أرسطو كما رأينا، ويلقي بالأمر على عاتق المتكلم ومهارته في جعل المتلقي يذعن لمقولاته، وهذا ما جاءت به وسجَّلته نظريات الحجاج الحديثة، ومنها نظرية شايم بيرلمان </w:t>
      </w:r>
      <w:r>
        <w:rPr>
          <w:rFonts w:eastAsia="Times New Roman" w:cs="Times New Roman" w:ascii="Times New Roman" w:hAnsi="Times New Roman"/>
          <w:color w:val="111111"/>
          <w:sz w:val="28"/>
          <w:szCs w:val="28"/>
          <w:lang w:val="en-US" w:bidi="en-US"/>
        </w:rPr>
        <w:t>Chaïm Perelman</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أنَّ الطوفي يلتقي مرة أخرى بأرسطو حينما أشار إلى العناصر الخطابية في عملية الحجاج التي رصدتها اللسانيات الحجاجية لاسيما مايير </w:t>
      </w:r>
      <w:r>
        <w:rPr>
          <w:rFonts w:eastAsia="Times New Roman" w:cs="Times New Roman" w:ascii="Times New Roman" w:hAnsi="Times New Roman"/>
          <w:color w:val="111111"/>
          <w:sz w:val="28"/>
          <w:szCs w:val="28"/>
          <w:lang w:val="en-US" w:bidi="en-US"/>
        </w:rPr>
        <w:t>Mayer</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والمتلقي، والنص الحامل للحجة</w:t>
      </w:r>
      <w:r>
        <w:rPr>
          <w:rStyle w:val="FootnoteAnchor"/>
          <w:rtl w:val="true"/>
        </w:rPr>
        <w:footnoteReference w:id="221"/>
      </w:r>
      <w:r>
        <w:rPr>
          <w:rFonts w:ascii="Amiri" w:hAnsi="Amiri" w:eastAsia="Amiri" w:cs="Amiri"/>
          <w:color w:val="111111"/>
          <w:sz w:val="28"/>
          <w:sz w:val="28"/>
          <w:szCs w:val="28"/>
          <w:rtl w:val="true"/>
          <w:lang w:bidi="ar-SA"/>
        </w:rPr>
        <w:t xml:space="preserve">، وسمَّاها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 الدليل، يطلب به الوصول إلى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الحكم المطلوب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والمستدَل له،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إطلاقه على السائل المعترض</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التقابل على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 الطوفي الضوء على أنواع الحجج في بحثه لأنواع الاستدلال المتعددة، ومنها الاستدلال الشرعي المتكون من الاستدلال بالقرآن، والحديث الشريف، والإجماع،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شرائط للاحتجاج بهذه الأنواع، فلا يحتج بالقرآن إذا كان مجملاً،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الاستدلال بالكتاب فهو؛ إما نص أو ظاهر أو مجمل، والمجمل لا يحتج به ما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والظاهر فكلاهما متواتر، فلا اعتراض عليهما من جهة السند</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الاستدلال بالسُّنة، فهي؛ إما تواتر أو آحاد، فإنْ كان تواتراً، فحكمه في نصه وظاهره حكم الكتاب في السؤال والجواب، وإنْ كان آحاداً ورد على نصه وظاهره ما وَرَدَ على نص الكتاب ومتواتر السُّنة وظاهرها</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يشترط التحقيق في استدلال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الاستدلال بالإجماع، وَرَدَ عليه بالجملة أسئلة بحسب النزاع في تحقيقه ومسائله، كما عرف في أصول الفقه</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الاستدلال بالقياس، فيحتاج إلى بيان حقيقته وأركانه، ثم إلى ذِكر الاعتراضات الواردة عليها وجوابها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وبعيداً عن الإطالة في أنواع الحجج وسرد تفصيلاتها، نصل إلى النتيجة المهمة،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تماشي الحجاجيين المحدثين مع الطوفي في رصد الحجج للبرهنة والاستدلال </w:t>
      </w:r>
    </w:p>
    <w:p>
      <w:pPr>
        <w:pStyle w:val="BookText"/>
        <w:rPr/>
      </w:pPr>
      <w:r>
        <w:rPr>
          <w:rFonts w:ascii="Amiri" w:hAnsi="Amiri" w:eastAsia="Amiri" w:cs="Amiri"/>
          <w:color w:val="111111"/>
          <w:sz w:val="28"/>
          <w:sz w:val="28"/>
          <w:szCs w:val="28"/>
          <w:rtl w:val="true"/>
          <w:lang w:bidi="ar-SA"/>
        </w:rPr>
        <w:t xml:space="preserve">على ما يلتزمه المستدِل، وهذا ما وجدته لدى شايم بيرلمان </w:t>
      </w:r>
      <w:r>
        <w:rPr>
          <w:rFonts w:eastAsia="Times New Roman" w:cs="Times New Roman" w:ascii="Times New Roman" w:hAnsi="Times New Roman"/>
          <w:color w:val="111111"/>
          <w:sz w:val="28"/>
          <w:szCs w:val="28"/>
          <w:lang w:val="en-US" w:bidi="en-US"/>
        </w:rPr>
        <w:t>Chaïm Perelman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الحجج المؤسسة لبنية الواقع حينما ركز على الاستشهاد والتبيين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وحملت نظرية شايم بيرلمان </w:t>
      </w:r>
      <w:r>
        <w:rPr>
          <w:rFonts w:eastAsia="Times New Roman" w:cs="Times New Roman" w:ascii="Times New Roman" w:hAnsi="Times New Roman"/>
          <w:color w:val="111111"/>
          <w:sz w:val="28"/>
          <w:szCs w:val="28"/>
          <w:lang w:val="en-US" w:bidi="en-US"/>
        </w:rPr>
        <w:t>Chaïm Perelman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تصورات حجاجية تقوم على المقدمات،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والحقائق، والافتراضات، والقيم، وهرميتها، والمواضع، وكل واضح من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ينطلق من تقنيات حجاجية اتصالية تهتم بإقامة روابط علاقية بين العناصر، وانفصالية تعتمد على الابتعاد بين تلك 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الاتصالية على حجج شبه منطقية، وضمّت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والتعدية، والتماثل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 مؤسَّسَة على بنية الواقع، وأخرى مؤسِّسَة 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وصف نظرية بيرلمان </w:t>
      </w:r>
      <w:r>
        <w:rPr>
          <w:rFonts w:eastAsia="Times New Roman" w:cs="Times New Roman" w:ascii="Times New Roman" w:hAnsi="Times New Roman"/>
          <w:color w:val="111111"/>
          <w:sz w:val="28"/>
          <w:szCs w:val="28"/>
          <w:lang w:val="en-US" w:bidi="en-US"/>
        </w:rPr>
        <w:t>Perelman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وزميلته بأنَّها منطقية بلاغية، يقابلها نظرية اوزفالد ديكرو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بالفرنسية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Oswald Ducrot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نظرية لسانية الطراز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تهتم بالوسائل اللغوية وبإمكانات اللغات الطبيعية التي يتوافر عليها المتكلم، وذلك بقصد توجيه خطابه وجهة ما، تُمَكِّنه من تحقيق بعض الأهداف الحجاجية، ثم إنَّها تنطلق من الفكرة الشائعة التي مؤداها أنَّنا نتكلم عامة بقصد التأثير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المرتكزات الرئيسة لهذه النظرية،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يقيناً، أحياناً، تقريباً،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والروابط الحجاجية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لكن، لأنَّ، كي،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والسلالم الحجاجية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الحجج مع مرتبيتها في التأثير والقوة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هاتان أبرز نظريتين في اللسانيات الحجاجية الغربية، وتوجد هناك نظريات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لميشال مايير </w:t>
      </w:r>
      <w:r>
        <w:rPr>
          <w:rFonts w:eastAsia="Times New Roman" w:cs="Times New Roman" w:ascii="Times New Roman" w:hAnsi="Times New Roman"/>
          <w:color w:val="111111"/>
          <w:sz w:val="28"/>
          <w:szCs w:val="28"/>
          <w:lang w:val="en-US" w:bidi="en-US"/>
        </w:rPr>
        <w:t>Michael Mayer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الفيلسوف البلجيكي، المُنْطَلِقة من أنَّ كلّ كلامنا يقوم على التساؤلات التي تنطلق من الافتراضات المسبقة لدى المستمع، وهذا ما سمّي المبدأ الافتراضي في النظرية، ومبدأ الاختلاف الإشكالي داخل الأقوال، أي الأقوال المختلفة</w:t>
      </w:r>
      <w:r>
        <w:rPr>
          <w:rStyle w:val="FootnoteAnchor"/>
          <w:rtl w:val="true"/>
        </w:rPr>
        <w:footnoteReference w:id="231"/>
      </w:r>
      <w:r>
        <w:rPr>
          <w:rFonts w:ascii="Amiri" w:hAnsi="Amiri" w:eastAsia="Amiri" w:cs="Amiri"/>
          <w:color w:val="111111"/>
          <w:sz w:val="28"/>
          <w:sz w:val="28"/>
          <w:szCs w:val="28"/>
          <w:rtl w:val="true"/>
          <w:lang w:bidi="ar-SA"/>
        </w:rPr>
        <w:t>، ويمكن تلخيص أهمّ الركائز فيها على وفق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والبلاغة،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والجواب،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الضمني والمصرّح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والمتطلع لهذه النظرية يصاب بالإحباط بسبب تقصير الدراسات العربية والترجمة بإيصال مفهومها، فقد اقتصرت على التركيز على الأمر الأول، وبيانه، وتفصيل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والمجاز لدى مايير </w:t>
      </w:r>
      <w:r>
        <w:rPr>
          <w:rFonts w:eastAsia="Times New Roman" w:cs="Times New Roman" w:ascii="Times New Roman" w:hAnsi="Times New Roman"/>
          <w:color w:val="111111"/>
          <w:sz w:val="28"/>
          <w:szCs w:val="28"/>
          <w:lang w:val="en-US" w:bidi="en-US"/>
        </w:rPr>
        <w:t>Mayer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يؤدي إلى خلق تساؤل لدى المتلقّي، ويبحث عبر المسافة التأويلية إلى احتمال مطروح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العَلَاقة بين زيد والأسد، ومن أي جهة تتم المشابهة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هذا الفيلسوف أنَّ طبيعة الكلام المبنية على السؤال والجواب هي المنتجة للحجاج، ذلك أنَّ السؤال والجواب يولدان النقاش والتفاوض بين المتحاورين، والذي بدوره يمثل الحجاج</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يلتقي مع أرسطو في ما سمَّاه بالحجاج الجدلي الذي يقوم بالتركيز على السؤال والسائل أكثر من المجيب</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ضبط أرسطو قواعد </w:t>
      </w:r>
      <w:bookmarkStart w:id="247" w:name="pg10991_100549"/>
    </w:p>
    <w:p>
      <w:pPr>
        <w:pStyle w:val="BookText"/>
        <w:rPr/>
      </w:pPr>
      <w:bookmarkEnd w:id="247"/>
      <w:r>
        <w:rPr>
          <w:rFonts w:ascii="Amiri" w:hAnsi="Amiri" w:eastAsia="Amiri" w:cs="Amiri"/>
          <w:color w:val="111111"/>
          <w:sz w:val="28"/>
          <w:sz w:val="28"/>
          <w:szCs w:val="28"/>
          <w:rtl w:val="true"/>
          <w:lang w:bidi="ar-SA"/>
        </w:rPr>
        <w:t>صياغة الأسئلة وقواعد ترتيبها وعرض القواعد التي ينبغي على المجيب أنْ يراعيها، وذكر المواطن التي يسمح له فيها أنْ يستفسر أو يعترض</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وقد وضع تلك القواعد أيضاً الطوفي وأضاف إليها فيما يتوجب على السائل</w:t>
      </w:r>
      <w:r>
        <w:rPr>
          <w:rStyle w:val="FootnoteAnchor"/>
          <w:rtl w:val="true"/>
        </w:rPr>
        <w:footnoteReference w:id="236"/>
      </w:r>
      <w:r>
        <w:rPr>
          <w:rFonts w:ascii="Amiri" w:hAnsi="Amiri" w:eastAsia="Amiri" w:cs="Amiri"/>
          <w:color w:val="111111"/>
          <w:sz w:val="28"/>
          <w:sz w:val="28"/>
          <w:szCs w:val="28"/>
          <w:rtl w:val="true"/>
          <w:lang w:bidi="ar-SA"/>
        </w:rPr>
        <w:t xml:space="preserve">، وهذا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والمجيب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يقودك إلى ما يسمَّى بالمعنى الضمني والمصرّح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فالمصرّح به هو ظاهر السؤال، أما ما هو ضمني فتلك الإمكانات المختلفة للإجابة عن السؤال الواحد</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السؤال والجواب كما يبدو على أدوات الاستفهام المعروفة، لاسيَّما وأنَّ العرب خلطوا بين السؤال والاستفهام، ولم يفرِّقوا بينهما عند شرح ماهية الاستفهام وأدواته، فعبَّروا عن المستفهم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المتلقّي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الموضوع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السؤال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288888_2870459653"/>
      <w:bookmarkStart w:id="249" w:name="_Toc87"/>
      <w:bookmarkEnd w:id="248"/>
      <w:r>
        <w:rPr/>
        <w:t>2</w:t>
      </w:r>
      <w:r>
        <w:rPr>
          <w:rtl w:val="true"/>
        </w:rPr>
        <w:t xml:space="preserve">- </w:t>
      </w:r>
      <w:r>
        <w:rPr>
          <w:rtl w:val="true"/>
        </w:rPr>
        <w:t>مفهوم الخطاب مطلقا</w:t>
      </w:r>
      <w:bookmarkEnd w:id="2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الإطالة في مفهوم الخطاب، ومعالجة إشكاليته، ومدى تداخله مع النص، وعرض وجهات النظر في ذلك، بل بإيجاز،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يطلق الخطاب منذ بنفينيست </w:t>
      </w:r>
      <w:r>
        <w:rPr>
          <w:rFonts w:eastAsia="Times New Roman" w:cs="Times New Roman" w:ascii="Times New Roman" w:hAnsi="Times New Roman"/>
          <w:color w:val="111111"/>
          <w:sz w:val="28"/>
          <w:szCs w:val="28"/>
          <w:lang w:val="en-US" w:bidi="en-US"/>
        </w:rPr>
        <w:t>Benveniste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النص الملفوظ الملموس مقابل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مدارس خاصة في العالم الانجليزي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به الخطاب الشفوي مقابل النصوص المكتوبة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يصمد هذا التعريف أمام النقد أو التفنيد، لخواء منطلقه أو معياره القائم على الشفوية؛ إذ هنالك من المكتوب كثير ممَّا يطلق عليه خطاباً، ويكفينا حجة القرآن الكريم، فهو الكتاب المكتوب، أو شعر التشيّع الواصل إلينا من العصور القديمة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هذا من مخلّفات اللسانيات الوظيفية؛ لأنَّها نظرت إلى الخطاب بوصفه ما تجاوز الجملة من المكتوب أو المسموع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مفهوم لساني يدل فيه على المعنى المضمر واستجلائه بناء على التحليل،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يتصل بما لاحظه الفيلسوف 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غرايس </w:t>
      </w:r>
      <w:r>
        <w:rPr>
          <w:rFonts w:eastAsia="Times New Roman" w:cs="Times New Roman" w:ascii="Times New Roman" w:hAnsi="Times New Roman"/>
          <w:color w:val="111111"/>
          <w:sz w:val="28"/>
          <w:szCs w:val="28"/>
          <w:lang w:val="en-US" w:bidi="en-US"/>
        </w:rPr>
        <w:t>Grice. P. 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من أنَّ للكلام دلالات غير ملفوظة يدركها المتحدث والسامع دون علامة معلنة أو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أنْ يقول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تزورني؟ فلا يفهم السامع من الجملة أنَّها سؤال على الرغم من أنَّ ذلك هو شكلها النحوي، وإنَّما يفهم أنَّها دعوة للزيارة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الخطاب على مجال استعماله، أو الجملة، أو النص، يقول فوكو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اعتقد أنَّنِي أضفت معاني جديدة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اعتبرته أحياناً المجال لكل الأقوال الخبرية، وأحيانًا مجموعة من الأقوال الخبرية الفردية، وأحياناً أُخرى ممارسة منظمة تحمل عدداً من الأقوال الخبرية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الشطر الأول من تعريف فوكو يكون الخطاب أوسع من النص، أي الايديولوجيا المحرِّكة له، فيكون عندها المجال السياسي والاقتصادي والعلمي والأدبي والديني والفلسفي، ويسمَّى في هذه الحال الخطاب السياسي، والخطاب الاقتصادي، والخطاب التربوي،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عنه 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bookmarkStart w:id="250" w:name="pg10991_100551"/>
    </w:p>
    <w:p>
      <w:pPr>
        <w:pStyle w:val="BookText"/>
        <w:rPr/>
      </w:pPr>
      <w:bookmarkEnd w:id="250"/>
      <w:r>
        <w:rPr>
          <w:rFonts w:ascii="Amiri" w:hAnsi="Amiri" w:eastAsia="Amiri" w:cs="Amiri"/>
          <w:color w:val="111111"/>
          <w:sz w:val="28"/>
          <w:sz w:val="28"/>
          <w:szCs w:val="28"/>
          <w:rtl w:val="true"/>
          <w:lang w:bidi="ar-SA"/>
        </w:rPr>
        <w:t>مصداق لهذا التحليل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شبكة معقدة من العَلَاقات الاجتماعية والسياسيّة والثقافية التي تبرز فيها الكيفية التي ينتج فيها الكلام كخطاب ينطوي على الهيمنة والمخاطر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8288890_2870459653"/>
      <w:bookmarkStart w:id="252" w:name="_Toc88"/>
      <w:bookmarkEnd w:id="251"/>
      <w:r>
        <w:rPr>
          <w:rtl w:val="true"/>
        </w:rPr>
        <w:t>الخطاب الحسيني</w:t>
      </w:r>
      <w:bookmarkEnd w:id="252"/>
    </w:p>
    <w:p>
      <w:pPr>
        <w:pStyle w:val="BookText"/>
        <w:rPr/>
      </w:pPr>
      <w:r>
        <w:rPr>
          <w:rFonts w:ascii="IRNazanin" w:hAnsi="IRNazanin" w:eastAsia="IRNazanin"/>
          <w:color w:val="111111"/>
          <w:sz w:val="28"/>
          <w:sz w:val="28"/>
          <w:szCs w:val="28"/>
          <w:rtl w:val="true"/>
          <w:lang w:bidi="fa-IR"/>
        </w:rPr>
        <w:t>وتأسيساً على ما سبق ينظر إلى كلام الإمام الحُسين علیه السلام على أنَّه خطاب؛ بفعل منابعه المعرفية المتعددة من سياسة واقتصاد وفقه وشريعة وأخلاق وتربية روحية للفرد وإنساني موظفاً في غضون ذلك الجزئيات اللغوية لخدمة تلك المجالات، فجمع بين الفكر والنص الثري بالصوت والصرف والنحو والمعجم وعَلَاقاته الدلالية، والبلاغة والسياق، والأبعاد التداولية والحجاجية، وغير ذلك</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سياق الحديث عن حجاجه، يجدر التنويه إلى سبب لجوئه إلى إبداء الحجج، لاسيما في وقت قتاله دفاعاً عن دينه، مع أنَّه يعلم بمصيره المحتوم؛ فالله فوقه، والعدو أمامه، والموت يطلبه كما يعبر هو، ولكنْ حيال ذلك طرح حججه على المتلقي الأبدي، وعلى خاصته؛ بغية إقناعه واحتراماً لرسالته، وعلى أعدائه؛ لأنَّه يفكر فيهم وبمصيرهم الأخروي، فتمنَّى عليهم الاقتناع والتراجع عمَّا هم فيه من موقف معادٍ له، على وفق ما قدَّمه من حجج، وليس عن طريق الإكراه والقمع الذي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ولجأ إلى حجج متنوعة، منها استعمال السؤال، أو المساءلة من خلال إثارة الضمير فيهم عن طريق الاستفهام التقريري؛ لمِا يحمله من شحنة حجاجية في لحظة علم المتلقي بالجواب، فيكون الاستفهام حجة عليه بعد تذكيره بالبديهيات المعروفة؛ ليُذكِي تصورات المخاطَب، ويدعوه لإعادة ترتيب أفكاره، وهذه أهمّ سمة أكّدها مايير </w:t>
      </w:r>
      <w:r>
        <w:rPr>
          <w:rFonts w:eastAsia="Times New Roman" w:cs="Times New Roman" w:ascii="Times New Roman" w:hAnsi="Times New Roman"/>
          <w:color w:val="111111"/>
          <w:sz w:val="28"/>
          <w:szCs w:val="28"/>
          <w:lang w:val="en-US" w:bidi="en-US"/>
        </w:rPr>
        <w:t>Mayer</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مايير يشترط في السؤال الحجاجي أنْ يكون </w:t>
      </w:r>
    </w:p>
    <w:p>
      <w:pPr>
        <w:pStyle w:val="BookText"/>
        <w:rPr/>
      </w:pPr>
      <w:r>
        <w:rPr>
          <w:rFonts w:ascii="Amiri" w:hAnsi="Amiri" w:eastAsia="Amiri" w:cs="Amiri"/>
          <w:color w:val="111111"/>
          <w:sz w:val="28"/>
          <w:sz w:val="28"/>
          <w:szCs w:val="28"/>
          <w:rtl w:val="true"/>
          <w:lang w:bidi="ar-SA"/>
        </w:rPr>
        <w:t>حاملًا لطرافة فكرية يكون بحثُ المخاطب عن دلالاتها مصدرَ متعةٍ له من جهة، وتأييداً منه لمضمون الفرضيات المقدمة من جهة أُخرى</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هذا من جهة، ومن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المخاطَب في حالة اضطرار إلى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يجعل المخاطب يجيب في الاتجاه الذي يرسمه السؤال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هاتين الميزتين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الطرافة والعلم بالجواب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حجاجه هنالك ميزة ثالثة هي أنَّه كان خاصّاً بموقف، وهذا انحسر في مساحات واسعة من خطابه في الطف، وقلَّ تقريباً في الباحات الأُخر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والحِكَم، والأحاديث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آخر ميزات سؤاله الحجاجي أنَّه لم يأت في أدوات الاستفهام المعروفة كلها، بل لم أجد استعمالًا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ومع ذلك دخول الهمزة على النفي بكثرة شكلت ظاهرة في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السؤالات في أنماط خطابية معينة، وغابت في أُخريات، ومن المستحسن تسجيل ما توارد فيه السؤال الحجاجي على وفق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في واقعة الطف يوم عاشوراء، ومنها ما جاء في خطبة له أكثر فيها من توبيخ القاتلين بعد أنْ حمد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فانسبوني، فانظروا من أنا، ثم ارجعوا إلى أنفسكم وعاتبوها، وانظروا هل يصلح لكم قتلي وانتهاك حرمتي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دعاء عرفة، وأدعية الصباح والمساء، يقول في دعاء عرفة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وبسريرتي فلا تخزني، وبعملي فلا تبتلني، ونعمك فلا تسلبني، وإلى </w:t>
      </w:r>
    </w:p>
    <w:p>
      <w:pPr>
        <w:pStyle w:val="BookText"/>
        <w:rPr/>
      </w:pPr>
      <w:r>
        <w:rPr>
          <w:rFonts w:ascii="Amiri" w:hAnsi="Amiri" w:eastAsia="Amiri" w:cs="Amiri"/>
          <w:color w:val="111111"/>
          <w:sz w:val="28"/>
          <w:sz w:val="28"/>
          <w:szCs w:val="28"/>
          <w:rtl w:val="true"/>
          <w:lang w:bidi="ar-SA"/>
        </w:rPr>
        <w:t>غيرك فلا تكلني، إلهي إلى من تكلني؟ إلى قريب فيقطعني؟ أم إلى بعيد فيتجهّمني؟</w:t>
      </w:r>
      <w:r>
        <w:rPr>
          <w:rStyle w:val="FootnoteAnchor"/>
          <w:rtl w:val="true"/>
        </w:rPr>
        <w:footnoteReference w:id="247"/>
      </w:r>
      <w:r>
        <w:rPr>
          <w:rFonts w:ascii="Amiri" w:hAnsi="Amiri" w:eastAsia="Amiri" w:cs="Amiri"/>
          <w:color w:val="111111"/>
          <w:sz w:val="28"/>
          <w:sz w:val="28"/>
          <w:szCs w:val="28"/>
          <w:rtl w:val="true"/>
          <w:lang w:bidi="ar-SA"/>
        </w:rPr>
        <w:t>أم إلى المستضعفين لي، وأنت ربي ومليك أمري؟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رسالته إلى معاوية التي بيَّن فيها جرائمه البشعة،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كتابك، تذكر أنه قد بلغك عني أمور أنت لي عنها راغب وأنا لغيرها عندك 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القاتل حجر بن عدي أخا كندة، والمصلين العابدين؟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ورد في اتخاذ الزهد متاعاً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تفكّر،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ملوك الدنيا وأربابها الذين عمروا واحتفروا أنهارها، وغرسوا أشجارها، ومدّنوا مدائنها؟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محاورته مع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يتركوني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هوان هذه الدنيا على الله تعالى أنه أتي برأس يحيى بن زكريا عليه السلام إلى بغية من بغايا بني إسرائيل، والرأس ينطق بالحجة عليهم؟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مسيره إلى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الدنيا قد تغيرت وتنكرت وأدبر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الله محقاً، فإنِّي لا أرى الموت إلّا سعادة ولا الحياة مع الظالمين إلّا برماً، 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53" w:name="pg10991_100554"/>
    </w:p>
    <w:p>
      <w:pPr>
        <w:pStyle w:val="BookText"/>
        <w:rPr/>
      </w:pPr>
      <w:bookmarkEnd w:id="25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جاء في سؤال رجل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8288892_2870459653"/>
      <w:bookmarkStart w:id="255" w:name="_Toc89"/>
      <w:bookmarkEnd w:id="254"/>
      <w:r>
        <w:rPr>
          <w:rtl w:val="true"/>
        </w:rPr>
        <w:t>المحور الثاني</w:t>
      </w:r>
      <w:r>
        <w:rPr>
          <w:rtl w:val="true"/>
        </w:rPr>
        <w:t xml:space="preserve">: </w:t>
      </w:r>
      <w:r>
        <w:rPr>
          <w:rtl w:val="true"/>
        </w:rPr>
        <w:t>أدوات السؤال الحجاجي في الخطاب الحُسيني</w:t>
      </w:r>
      <w:bookmarkEnd w:id="255"/>
    </w:p>
    <w:p>
      <w:pPr>
        <w:pStyle w:val="BookText"/>
        <w:rPr/>
      </w:pPr>
      <w:r>
        <w:rPr>
          <w:rFonts w:ascii="IRNazanin" w:hAnsi="IRNazanin" w:eastAsia="IRNazanin"/>
          <w:color w:val="111111"/>
          <w:sz w:val="28"/>
          <w:sz w:val="28"/>
          <w:szCs w:val="28"/>
          <w:rtl w:val="true"/>
          <w:lang w:bidi="fa-IR"/>
        </w:rPr>
        <w:t>حَمَلَ السؤال قيمة حجاجية في خطاب الإمام الحُسين علیه السلام ، وجاء بأدوات الاستفهام المعروفة في مبحث علم المعاني، بشَكليها المتعارف عليهما،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الاستفهام، وأسماء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وتكون دراسة الحجاج على وفق خطاطة معينة، وهي تشخيص الأداة، والعَلَاقات الخطابية التي أسهمت في التشكّيلة الخطابية بحسب الموضوع أو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يعنينا هنا البحث عن الشكلين المتعارفين من ادوات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حرفا الاستفهام، والاسم</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8288894_2870459653"/>
      <w:bookmarkStart w:id="257" w:name="_Toc90"/>
      <w:bookmarkEnd w:id="256"/>
      <w:r>
        <w:rPr/>
        <w:t>1</w:t>
      </w:r>
      <w:r>
        <w:rPr>
          <w:rtl w:val="true"/>
        </w:rPr>
        <w:t xml:space="preserve">- </w:t>
      </w:r>
      <w:r>
        <w:rPr>
          <w:rtl w:val="true"/>
        </w:rPr>
        <w:t>حرفا الاستفهام</w:t>
      </w:r>
      <w:bookmarkEnd w:id="257"/>
    </w:p>
    <w:p>
      <w:pPr>
        <w:pStyle w:val="Heading4"/>
        <w:numPr>
          <w:ilvl w:val="3"/>
          <w:numId w:val="1"/>
        </w:numPr>
        <w:rPr/>
      </w:pPr>
      <w:bookmarkStart w:id="258" w:name="__RefHeading___Toc8288896_2870459653"/>
      <w:bookmarkStart w:id="259" w:name="_Toc91"/>
      <w:bookmarkEnd w:id="258"/>
      <w:r>
        <w:rPr>
          <w:rtl w:val="true"/>
        </w:rPr>
        <w:t>أ</w:t>
      </w:r>
      <w:r>
        <w:rPr>
          <w:rtl w:val="true"/>
        </w:rPr>
        <w:t xml:space="preserve">) </w:t>
      </w:r>
      <w:r>
        <w:rPr>
          <w:rtl w:val="true"/>
        </w:rPr>
        <w:t>الهمزة</w:t>
      </w:r>
      <w:bookmarkEnd w:id="2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مثّلت الهمزة حضوراً واضحاً في الخطاب الحُسيني، وحملت طاقة حجاجية عالية، ولمتلقين متنوعين،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دعائه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ومولاي، أ لمقامع الحديد خلقت أعضائي؟ أم لشُرب الحميم خلقت أمعائي؟ إلهي لئن طالبتني بذنوبي لأطالبنك بكرمك</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لحاظ طبيعة مقام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بنمط خطابي مؤدب من جانب، وتذللي توسلي من جانب آخر؛ بغية النيل من كرمه تعالى ولطفه، كأنه يميل بالسؤال الحجاجي نحو التوظيف العاطفي للحجة واستمالة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تخليصه من أثقال الحديد، والشراب الحميم الذي يجهد الأمعاء، وهو على يقين من ذلك لكرمه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سياق المتلقي المفرد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يوجد سؤال حجاجي بالهمزة لمتلقٍ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تكون مجموعة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كإرادة أهل الكوفة في احتجاجه عليهم لِما فعلوه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وأثنى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فانسبوني، فانظروا من أنا؟ ثم ارجعوا إلى أنفسكم وعاتبوها، فانظروا هل يحلُّ لكم قتلي، وانتهاك حرمتي؟ ألستُ ابن بنت نبيكم صلی الله علیه و اله ، وابن وصيه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حمزة سيد الشهداء عم أبي؟ أوليس جعفر الشهيد الطيار ذو الجناحين عمي؟ أو لم يبلغكم قول مستفيض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تعالى عليه وآله وسلم قال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المتلقّي هنا أيضاً فرض عليه طبيعة حجاجية تبلورت في تكرار الأداة الحجاجية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عدة للتكثيف من طاقتها؛ بغية إقناعهم بعدم مقاتلته؛ لكونه يتمتع بشرف الانتساب، الذي بيَّنه بطريقة الإجمال،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هل يحلُّ لكم قتلي، وانتهاك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فصَّل، وأوضح المجمل بذكر أمه أولاً، وأبيه ثانياً، وعمّه ثالثاً، وقول الرسول فيه وفي أخيه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يقدّم حجة أخرى بعد أنْ يأس منهم، تنسجم هذه الحجة مع طريقة تفكيرهم، وثقافتهم، وهي تهمة الثأر، وسرقة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أتطلبوني بقتيل منكم قتلته، أو بمال لكم استهلكته، أو بقصاص من جراحة؟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خطاب له ينصح أهل الكوفة بعدم خذلانه، والتوجُّه نحو نصرته، وترك نصرة الشذّاذ؛ معاوية وأنصاره، فيغير من طريقة سؤاله الحجاجية، فيستعمل الهمزة لمرة واحدة بعد توبيخهم، وذمهم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 وترحاً وبؤساً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استصرختمونا ولهين، فأصرخناكم موجفين، فشحذتم علينا سيفاً كان في أيدينا، وحمشتم علينا ناراً أضرمناها على عدوكم وعدونا، فأصبحتم إلْباً على أوليائكم، ويداً على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لكم الويلات إذ كرهتمونا والسيف مشيم، والجأش طامن، والرأي لم 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فهؤلاء تعضدون، وعنّا تتخاذلون؟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فطرح السؤال عليهم بعد بيان حقيقتهم وتقديم النصيحة إليهم؛ دعوة منه إليهم لمؤازرته، وإثارتهم للتخلي عن بني أمية من خلال الإشارة الازدرائية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والمقارنة بقيمة أهل البيت المسكوت عنها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وعنّا تتخاذلون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تشكيلة خطابية له علیه السلام يخاطب متلقّياً خاصاً، وهم قادة الجيش الذين كتبوا إليه قبل قدومه،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شِبْث بن رِبْعي، يا حجَّار بن أبجُر، يا قيس بن الأشعث، ويا يزيد بن الحارث، أ لم تكتبوا إليَّ أنْ قد أينعت الثمار، وأخضر الجنابُ، وطمّت الجِمام، وإنَّما تقدِم على جند لك مجند، فأقبِل؟</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يغير استراتيجيته بندائهم بحرف النداء، وذِكْر أسمائهم، ومن ثمَّ الهمزة الحجاجية لتتخذ وظيفة إقناعهم بخيانتهم، وانسحابهم ليس إلَّا، وإنْ جاء النص في سياق مخاطبته أهل الكوفة بعدم مقاتلته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واستطاع الإمام علیه السلام أنْ ينوِّع استعمال الهمزة، وينوع استعمالها الحجاجي والإقناعي من خطاب الجمع إلى خطاب المفرد، فيخاطب معاوية في رسالة جوابية ردّاً على رسالة أرسلها معاوية له يحذِّره فيها من الخروج عليه، أو مناصرة أهل الكوفة، أو دعوته لتطبيق </w:t>
      </w:r>
      <w:bookmarkStart w:id="260" w:name="pg10991_100557"/>
    </w:p>
    <w:p>
      <w:pPr>
        <w:pStyle w:val="BookText"/>
        <w:rPr/>
      </w:pPr>
      <w:bookmarkEnd w:id="260"/>
      <w:r>
        <w:rPr>
          <w:rFonts w:ascii="Amiri" w:hAnsi="Amiri" w:eastAsia="Amiri" w:cs="Amiri"/>
          <w:color w:val="111111"/>
          <w:sz w:val="28"/>
          <w:sz w:val="28"/>
          <w:szCs w:val="28"/>
          <w:rtl w:val="true"/>
          <w:lang w:bidi="ar-SA"/>
        </w:rPr>
        <w:t>بنود الصلح التي تعهّد بها معاوية</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الإمام الحُسين علیه السلام في خطابه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القاتل حُجر بن عدي أخا كندة، والمصلين العابدين الذين ينكرون الظلم ويستعظمون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أولستَ قاتل عمرو بن الحمق صاحب رسول الله صلی الله علیه و اله العبد الصالح، الذي أبلته العبادة، فنحل جسمه وصفرت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المدَّعي زياد بن سميَّة المولود على فراش عبيد ثقيف، فزعمت أنَّه ابن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صاحب الحضرميين الذين كتب فيهم ابن سمية أنّهم كانوا على دين علي علیه السلام ؟ فكتب إليه أن اقتل كل من كان على دين علي، فقتلهم ومثلهم؟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فالسؤال بالهمزة التي شكّلت سلَّماً حجاجيّاً حملت طبيعة هجومية وتقريعية عكس ما جاء في بدء استعمالها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جاء ليقدح في مخيلة معاوية تلك الجرائم التي قام بها تجاه العباد المخلَصين، علَّه يقتلع من نفسه حالة الانبهار بها وبقدرته على محاربة الحُسين والكيد له، لاسيَّما وأنَّه قد هدَّد الحُسين لمَّا فسّر خطوة الإمام على أنّها عمل عدائي له، فجاءت كلمات الإمام لتحتقره وتفضحه أمام نفسه، وتقنعه بنقضه ببنود الصلح، ما سبب قتل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وفيت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نقضت عهدك بقتلك هؤلاء النفر الذين قتلتهم بعد الصلح والأيمان والعهود والمواثيق</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8288898_2870459653"/>
      <w:bookmarkStart w:id="262" w:name="_Toc92"/>
      <w:bookmarkEnd w:id="261"/>
      <w:r>
        <w:rPr>
          <w:rtl w:val="true"/>
        </w:rPr>
        <w:t>ب</w:t>
      </w:r>
      <w:r>
        <w:rPr>
          <w:rtl w:val="true"/>
        </w:rPr>
        <w:t xml:space="preserve">) </w:t>
      </w:r>
      <w:r>
        <w:rPr>
          <w:rtl w:val="true"/>
        </w:rPr>
        <w:t xml:space="preserve">حرف الاستفهام </w:t>
      </w:r>
      <w:r>
        <w:rPr>
          <w:rtl w:val="true"/>
        </w:rPr>
        <w:t>(</w:t>
      </w:r>
      <w:r>
        <w:rPr>
          <w:rtl w:val="true"/>
        </w:rPr>
        <w:t>هل</w:t>
      </w:r>
      <w:r>
        <w:rPr>
          <w:rtl w:val="true"/>
        </w:rPr>
        <w:t>)</w:t>
      </w:r>
      <w:bookmarkEnd w:id="2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البرهنة على منزلته، وعلى انتمائه للدين الإسلامي الحنيف، وعليه هو يستحق أنْ ينال الخلافة والإمارة على المسلمين، وهذا جزء من استرداد حقه من العصابة الشريرة، وكان ذلك في خطبة له قبل أنْ يأتي إلى كربلاء </w:t>
      </w:r>
    </w:p>
    <w:p>
      <w:pPr>
        <w:pStyle w:val="BookText"/>
        <w:rPr/>
      </w:pPr>
      <w:r>
        <w:rPr>
          <w:rFonts w:ascii="IRNazanin" w:hAnsi="IRNazanin" w:eastAsia="IRNazanin"/>
          <w:color w:val="111111"/>
          <w:sz w:val="28"/>
          <w:sz w:val="28"/>
          <w:szCs w:val="28"/>
          <w:rtl w:val="true"/>
          <w:lang w:bidi="fa-IR"/>
        </w:rPr>
        <w:t xml:space="preserve">ناشد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متلقّياً جماعيّاً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بنو هاشم رجالاً ونساءً قبل موت معاوية بسنتين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ليعدّهم إعداداً صالحاً، بعد كلام طويل فاستخدم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لإقناعهم بذلك الحق، وكسْبِ تأييدهم، وولائهم،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هل تعلمون أنَّ رسول الله صلی الله علیه و اله اشترى موضع مسجده ومنازله، فابتناه ثم ابتنى عشرة منازل تسعة له، وجعل عاشرها في وسطها لأبي، ثم سدَّ كل باب شارع إلى المسجد غير بابه؟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وبقى محور الانتساب للأُسرة المقرّبة عند المولى تعالى، وتاريخها الحافل بالمكرمات والاستشهاد في سبيله، بقى محرّكاً أساسيّاً في خطاب الإمام الحُسين علیه السلام ، وعوّل عليه بوصفه حجة يحتج بها على المخاطَب، وهم الأعداء يوم عاشوراء في سبيل إقناعهم بالتراجع عن استباحة دمه مستعملاً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الخطاب بصورة مكررة، وكل مرة ترد في سياق بعدها حجة أقوى من حجة، مرتبة على شكل سُلَّم حجاجي؛ طمعًا في التأثير فيهم في خطبة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بالله 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صلى الله عليه وآله وسبطه،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أنَّ جدي رسول الله صلى الله عليه 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أنَّ أمي فاطمة بنت محمد صلی الله علیه و اله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أنَّ أبي علي بن أبي طالب علیه السلام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أنَّ جدتي خديجة بنت خويلد أول نساء هذه الأمة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أنَّ سيد الشهداء حمزة عم أبي؟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تستحلِّون دمي، وأبي الذائد عن الحوض غداً يذود عنه رجالاً، كما يذاد البعير الصادي عن الماء؟</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63" w:name="pg10991_100559"/>
    </w:p>
    <w:p>
      <w:pPr>
        <w:pStyle w:val="Heading3"/>
        <w:numPr>
          <w:ilvl w:val="2"/>
          <w:numId w:val="1"/>
        </w:numPr>
        <w:rPr/>
      </w:pPr>
      <w:bookmarkStart w:id="264" w:name="__RefHeading___Toc8288900_2870459653"/>
      <w:bookmarkStart w:id="265" w:name="_Toc93"/>
      <w:bookmarkEnd w:id="263"/>
      <w:bookmarkEnd w:id="264"/>
      <w:r>
        <w:rPr/>
        <w:t>2</w:t>
      </w:r>
      <w:r>
        <w:rPr>
          <w:rtl w:val="true"/>
        </w:rPr>
        <w:t xml:space="preserve">- </w:t>
      </w:r>
      <w:r>
        <w:rPr>
          <w:rtl w:val="true"/>
        </w:rPr>
        <w:t>أسماء الاستفهام</w:t>
      </w:r>
      <w:bookmarkEnd w:id="265"/>
    </w:p>
    <w:p>
      <w:pPr>
        <w:pStyle w:val="BookText"/>
        <w:rPr/>
      </w:pPr>
      <w:r>
        <w:rPr>
          <w:rFonts w:ascii="Amiri" w:hAnsi="Amiri" w:eastAsia="Amiri" w:cs="Amiri"/>
          <w:color w:val="111111"/>
          <w:sz w:val="28"/>
          <w:sz w:val="28"/>
          <w:szCs w:val="28"/>
          <w:rtl w:val="true"/>
          <w:lang w:bidi="ar-SA"/>
        </w:rPr>
        <w:t>امتاز البحث في أدوات الاستفهام بأنَّه ابتعد عن التصورات البلاغية والبحث عن الدلالات المجازية الكامنة وراء أدوات هذا الأسلوب، وإنَّما تكفَّل بالتفتيش عن القيم الحجاجية لتلك الأدوات بشقّيها الحروف والأسماء، وقد رأينا ذلك في حَرْفَيه، وسنرى هذه المرة في الأسماء، بحسب المتلقّي، الذي كان الله تعالى، أو الإنسان الكوني، أو الإنسان المفرد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أحد أدعية الإمام علیه السلام باسم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إليها ﭐسم الإشارة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كررت، وبعدها الاسم الموصول، وبطريقة العكس والتبديل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أشرقت الأنوار في قلوب أوليائك حتى عرفوك ووحدوك،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وجد مَنْ فقدَك؟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فَقَدَ مَنْ وجَدَك؟</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المحتوى القضوي للنص هو بيان عظمة الخالق تعالى والحثّ على التمسك بها، والانبهار بها، والتعجب ممن يتخلّى عنها، فجاءت هذه الموضوعة مفتاحاً لتوسله عن طريق الاستفهام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عن صفات من فقد تلك العظمة، وعن صفات من وجدها وما الذي خسره عند التمسك؛ بها ليكون له هذا الاستفهام حجة عليه تعالى للتوسل وقَبُول الاعتراف، ومن ثمَّ الاستثابة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الاستفهام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دعاء عرفة الذي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وبسريرتي فلا تخزني وبعملي فلا تبتلني، ونعمك فلا تسلبني، وإلى غيرك فلا تكلني، إلهي إلى مَن تكلني؟ إلى قريب فيقطعني؟ أم إلى بعيد فيتجهمني؟ أم إلى المستضعفين لي، وأنت ربي ومليك أمري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السؤال في طور تحديد عجز البشر عموماً عن إدارة شؤونهم؛ لتمتعهم بخصال فضح السريرة، وسلب النعم،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السؤال للإقناع بالاعتراف بهذه الصفات له فقط، والطلب منه بعدم تركه والتخلي عنه؛ لأنَّه يعترف بأنَّ لا أحد يسيّر أموره سواه تعالى، وهي الحجة نفسها في استعمال اسمي الاستفهام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ترددي في الآثار يوجب بُعد المزار، فاجمعني عليك بخدمة توصلني إليك، كيف يستدل عليك بما هو في وجوده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المظهر لك، 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عليها رقيباً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أومأ إلى أنّ وجود الإنسان لا يكون إلّا بوجوده تعالى، ويجعل روح التأبيد في وجوده وحفظه له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يجعل إقراره بالوجود القاصر للإنسان طرائق تضرع للاستغفار أو العناية العالية منه تعالى تجاهه، أو تجاه الداعي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الدعاء نفسه يخاطب المولى بالاعتراف بعجزه وكشف حقيقته ويرجو شموله برعايته؛ لأنَّه ليس بإمكان العبد إنكار ما يقوم به ولا يتسنى له جحود ذلك في أي حال وفي أي زمان، وعاور بين أداة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عدم توافر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 أنا ذا بين يديك يا سيدي، خاضعاً ذليلا حقيراً، لا ذو براءة فأعتذر، ولا ذو قوة فأنتصر، ولا حجة لي فأحتج بها، ولا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أجترح ولم أعمل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الجحود لو جحدت يا مولاي فينفعني، وكيف وأنّى ذلك وجوارحي كلها شاهدة علي بما قد عملت؟</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اليوم العاشر من المحرم يدعو الله تعالى ويتضرع إليه بأنْ يرزقه الصبر، والقوة على البلاء والكرب الذي حلَّ فيه في ذلك اليوم المهول ممَّا رآه من جرائم وتقتيل، مستعملاً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حجم التوكّل عليه والضَّعْف عنده، والتسليم إليه في كل المواقف؛ ليكون حجة قوية في دعمه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همٍّ يضعف فيه الفؤاد، وتقل فيه الحيلة، ويخذل فيه الصديق، ويشمت به العدو أنزلته بك وشكوته إليك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حضوره مخاطَباً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للإمام يعظه فيها بالتفكّر، ويطرح عليه سؤالاً يقود جوابُه إلى الإقناع بعدم وجود أي مَلِك على الأرض؛ لذا هذا الأمر مدعاة للتواضع والزهد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تفكّر،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ملوك الدنيا وأربابها الذين عمروا واحتفروا أنهارها، وغرسوا أشجارها، ومدَّنوا مدائنها؟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الموضوع نفسه والحجة نفسها يخاطب المتلقّي العام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اذكر مصارع آبائك وأبنائك كيف كانوا وحيث حلوا؟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حضور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لو قيس بالمتلقي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المتلقي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خوطب بأسئلة ذات موضوعات وأدوات متنوعة، منها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وداع أبي ذر حين نفته السلطة الجائرة، ليقنعه بتفاهة ما منعوه منه من أمور زائلة ودنيوية، ويقنعه أيضاً بالقيمة العليا لموقفه الذي اتخذه ضدهم؛ ليهدّئ من روعه ويقلل من حجم الألم الذي لحقه، فقال الامام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عمّاه، إنَّ الله تبارك وتعالى قادر أنْ يغير ما قد ترى، إنَّ الله كل يوم هو في شأن، وقد منعك القوم دنياهم، ومنعهتم دينك، فما </w:t>
      </w:r>
    </w:p>
    <w:p>
      <w:pPr>
        <w:pStyle w:val="BookText"/>
        <w:rPr/>
      </w:pPr>
      <w:r>
        <w:rPr>
          <w:rFonts w:ascii="Amiri" w:hAnsi="Amiri" w:eastAsia="Amiri" w:cs="Amiri"/>
          <w:color w:val="111111"/>
          <w:sz w:val="28"/>
          <w:sz w:val="28"/>
          <w:szCs w:val="28"/>
          <w:rtl w:val="true"/>
          <w:lang w:bidi="ar-SA"/>
        </w:rPr>
        <w:t>أغناك عمّا منعوك؟ وأحوجهم إلى ما منعتهم؟ فاسأل الله الصبر، واستعذ به من الجشع والجزع</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متخذة على عاتقها إقناع المتلقي الذي سأله 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بإقناعه بأنَّه فقير إلى الله تعالى في كل أحواله، وهذا الفقر مصدر قوة له؛ لأنَّه مسدد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ويعدّ الرجل الذي شغل بال الإمام الحُسين علیه السلام ، وأخذ حيزاً من تفكيره هو معاوية لا سيما في سعيه لأخذ البيعة منه ومن سائر المسلمين لابنه يزيد، فاستخدم الإمام علیه السلام في خطابه الحجاجي طريق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لتذكي في داخله فعل التراجع عما يقوم به؛ لأنَّ الحكم والخلافة للرسول صلی الله علیه و اله ولذريته انطلاقاً من قوله للمهاجرين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يعمل عليكم بعد اليوم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الوارد في قول الحسين علیه السلام الذي جاء في رواية طويلة عن حادثة يقصها ابن قتيبة حول اجتماع الحسين علیه السلام وعبد الله بن عباس بمعاوية، فقال الامام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يا معشر المهاجرين، لا يعمل عليكم بعد اليوم غيري، فكيف تحتج بالمنسوخ من فعل الرسول في أوكد الأحكام وأولاها بالمجمع عليه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كيف صاحبت بصاحب تابعاً وحولك من يؤمن في صحبته، ويعتمد في دينه وقرابته، وتتخطاهم إلى مسرف مفتون؟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تجد أنَّ منتوج الإمام الحسين علیه السلام خطاب ديني وسياسي، له أجناس عدة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والخطبة والحديث والجواب على سؤال، ومن حيث آليته هو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حجاجي تعدّد متلقّيه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 جمعاء إلى خاص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وبعض الأفراد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أو أحد السائلين، أو أبو ذر الغَفَاري، أو غيرهم، والمتكلم واحد هو الإمام، وقد توافرت عليه خصال الركن الأول من أركان الحجاج وهو الصدق، وهدف الإقناع بعيداً عن السفسطة في موضوعات ذات بعد إسلامي فيه من القيم الوجودية والتربوية، وبعض القيم التي تحقق ديمومة الفرد تجاه خالقه تعالى، وأوصل تلك القيم عن طريق توظيف تقنيات الحجاج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يعنينا منها أدوات السؤال التي أعطاها قيماً حجاجية، مع الارتكاز أحياناً على السلَّم الحجاجي في توارد الأسئلة بحسب طبيعة المتلقي، فإذا كان الله تعالى كان الهدف التذلل، والتوسل، والتضرع طلباً للمغفرة، وإن كان خصماً كان الهدف الإقناع والدعوة نحو سبيل الخير</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0991_100565"/>
      <w:bookmarkStart w:id="267" w:name="pg10991_100565"/>
      <w:bookmarkEnd w:id="267"/>
    </w:p>
    <w:p>
      <w:pPr>
        <w:pStyle w:val="Heading3"/>
        <w:numPr>
          <w:ilvl w:val="2"/>
          <w:numId w:val="1"/>
        </w:numPr>
        <w:rPr/>
      </w:pPr>
      <w:bookmarkStart w:id="268" w:name="pg10991_100565"/>
      <w:bookmarkStart w:id="269" w:name="__RefHeading___Toc8288902_2870459653"/>
      <w:bookmarkStart w:id="270" w:name="_Toc94"/>
      <w:bookmarkEnd w:id="268"/>
      <w:bookmarkEnd w:id="269"/>
      <w:r>
        <w:rPr>
          <w:rtl w:val="true"/>
        </w:rPr>
        <w:t>الشعر الحسيني في الدراسات الأدبية الحديثة</w:t>
      </w:r>
      <w:bookmarkEnd w:id="270"/>
    </w:p>
    <w:p>
      <w:pPr>
        <w:pStyle w:val="Heading3"/>
        <w:numPr>
          <w:ilvl w:val="2"/>
          <w:numId w:val="1"/>
        </w:numPr>
        <w:rPr/>
      </w:pPr>
      <w:bookmarkStart w:id="271" w:name="__RefHeading___Toc8288904_2870459653"/>
      <w:bookmarkStart w:id="272" w:name="_Toc95"/>
      <w:bookmarkEnd w:id="271"/>
      <w:r>
        <w:rPr>
          <w:rtl w:val="true"/>
        </w:rPr>
        <w:t xml:space="preserve">قراءة في كتاب </w:t>
      </w:r>
      <w:r>
        <w:rPr>
          <w:rtl w:val="true"/>
        </w:rPr>
        <w:t>(</w:t>
      </w:r>
      <w:r>
        <w:rPr>
          <w:rtl w:val="true"/>
        </w:rPr>
        <w:t>كربلاء بين شعراء الشعوب الإسلاميّة</w:t>
      </w:r>
      <w:r>
        <w:rPr>
          <w:rtl w:val="true"/>
        </w:rPr>
        <w:t>)</w:t>
      </w:r>
      <w:bookmarkEnd w:id="272"/>
    </w:p>
    <w:p>
      <w:pPr>
        <w:pStyle w:val="Heading3"/>
        <w:numPr>
          <w:ilvl w:val="2"/>
          <w:numId w:val="1"/>
        </w:numPr>
        <w:rPr/>
      </w:pPr>
      <w:bookmarkStart w:id="273" w:name="__RefHeading___Toc8288906_2870459653"/>
      <w:bookmarkStart w:id="274" w:name="_Toc96"/>
      <w:bookmarkEnd w:id="273"/>
      <w:r>
        <w:rPr>
          <w:rtl w:val="true"/>
        </w:rPr>
        <w:t>د</w:t>
      </w:r>
      <w:r>
        <w:rPr>
          <w:rtl w:val="true"/>
        </w:rPr>
        <w:t xml:space="preserve">. </w:t>
      </w:r>
      <w:r>
        <w:rPr>
          <w:rtl w:val="true"/>
        </w:rPr>
        <w:t>علي مجيد البديري</w:t>
      </w:r>
      <w:bookmarkEnd w:id="27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مجيد البديري</w:t>
      </w:r>
      <w:r>
        <w:rPr>
          <w:rStyle w:val="FootnoteAnchor"/>
          <w:rtl w:val="true"/>
        </w:rPr>
        <w:footnoteReference w:id="274"/>
      </w:r>
    </w:p>
    <w:p>
      <w:pPr>
        <w:pStyle w:val="Heading3"/>
        <w:numPr>
          <w:ilvl w:val="2"/>
          <w:numId w:val="1"/>
        </w:numPr>
        <w:rPr/>
      </w:pPr>
      <w:bookmarkStart w:id="275" w:name="__RefHeading___Toc8288908_2870459653"/>
      <w:bookmarkStart w:id="276" w:name="_Toc97"/>
      <w:bookmarkEnd w:id="275"/>
      <w:r>
        <w:rPr>
          <w:rtl w:val="true"/>
        </w:rPr>
        <w:t>مقدمة</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مثَّلتْ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بحثٍ جاذبة للكُتّاب والدارسين من مختلف الأمكنة والأزمنة، وهي قبل ذلك كانت وما تزال موضوعاً إبداعيّاً متجدّداً قابلاً للتوظيف الإبداعي والاستنطاق الفني، لِسِعَة معطيات المكان وما دارت عليه من أحداث تاريخيّة مهمّة، تعددتْ دلالاتُها وامتدّتْ، لتتجاوز زمنها وحدودها الجغرافيّة باتجاه وأُفق إنساني مفتوح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ونتيجةً لذلك أُضيفت للمكتبة العربيّة عناوين مهمّة اختصّت بدراسة الأدب المكتوب في كربلاء، أو بنوع من أنواعه وأجناسه، وقد حظي الشّعر بعناية وافرة واهتمامٍ كبيرٍ فاق الأجناس الأدبية الأُخرى، لاعتبارات ومزايا فنيّة اختصّ بها الشّعر، وأُخرى متعلقة بسياقاته الثقافيّة، جعلته قريباً من الواقع والقارئ على حد سواء، فكُتبت بحوثٌ ورسائلُ علميةٌ وأطاريحُ جامعيّة تناولت الإمام الحسين علیه السلام في الشّعر العربي قديمه وحديثه</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الإمام الحسين في الشّعر العراقي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عبد حبوب الساعدي، أطروحة دكتوراه، جامعة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دار العلوم،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استدعاء شخصية الحسين بن علي في الشّعر العربي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عبد الرحمن، أطروحة دكتوراه، جامعة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دار العلوم،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مراثي الإمام الحسين علیه السلام في العصر الأُموي، دراسة 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مجبل عزيز جاسم، رسالة ماجستير، كلية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رثاء الإمام الحسين علیه السلام في العراق ابتداءً من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حتى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دراسة 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كاظم حميدي الحميداوي، رسالة ماجستير، كلية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الكوفة نيسان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بالإضافة إلى دراسات ومقالات نقديّة كثيرة تناولت وجهاً من وجوه الطفّ أو حدثاً من أحداثه، أو أثراً من آثاره الكبيرة والكثيرة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افتقرت إليه المكتبة العربيّة هو الدراسات التي تُعنى بالكشف عن توظيف كربلاء في شعر اللغات والآداب الأُخرى؛ وذلك لما يتطلّبه هذا الأمر من متابعة دقيقة وعدّة بحثيّة فائقة، أهمها إجادة عدد من اللغات الأجنبيّة والاطلاع على ثقافاتها وآدابها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بخاف أنّ الحقل البحثي المختص بدراسة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يسعى إلى الكشف عن العلاقات التي بين الأحداث والوقائع المنتمية إلى جماعات مختلفة ومتباعدة غالباً، من أجل استخلاص القواعد والقوانين التي توجِّه هذه الوقائع، وتحقيق معرفةٍ أوسعَ وأدق بطبيعة تشكُّلِها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مجيب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بين شعراء الشعوب الإسلاميّة، دراسة في الأدب الإسلامي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 عن الدار الثقافية </w:t>
      </w:r>
      <w:bookmarkStart w:id="277" w:name="pg10991_100567"/>
    </w:p>
    <w:p>
      <w:pPr>
        <w:pStyle w:val="BookText"/>
        <w:rPr/>
      </w:pPr>
      <w:bookmarkEnd w:id="277"/>
      <w:r>
        <w:rPr>
          <w:rFonts w:ascii="Amiri" w:hAnsi="Amiri" w:eastAsia="Amiri" w:cs="Amiri"/>
          <w:color w:val="111111"/>
          <w:sz w:val="28"/>
          <w:sz w:val="28"/>
          <w:szCs w:val="28"/>
          <w:rtl w:val="true"/>
          <w:lang w:bidi="ar-SA"/>
        </w:rPr>
        <w:t xml:space="preserve">للنشر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أهمّيّةً كبيرةً في مكتبة الدراسات الأدبيّة المقارنة عامّة، وفي الدراسات المتعلقة بكربلاء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الكتاب فريداً في بابه؛ إذ لم يسبقه أحدٌ من الدارسين إلى الكتابة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نحاول تسليط الضوء على هذا الكاتب والكتاب، وسنقف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الكتاب في بعض فصوله ضمن ثلاثة محاور رئيسيّة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288910_2870459653"/>
      <w:bookmarkStart w:id="279" w:name="_Toc98"/>
      <w:bookmarkEnd w:id="278"/>
      <w:r>
        <w:rPr>
          <w:rtl w:val="true"/>
        </w:rPr>
        <w:t>المحور الأول</w:t>
      </w:r>
      <w:r>
        <w:rPr>
          <w:rtl w:val="true"/>
        </w:rPr>
        <w:t xml:space="preserve">: </w:t>
      </w:r>
      <w:r>
        <w:rPr>
          <w:rtl w:val="true"/>
        </w:rPr>
        <w:t>مؤلف الكتاب</w:t>
      </w:r>
      <w:bookmarkEnd w:id="279"/>
    </w:p>
    <w:p>
      <w:pPr>
        <w:pStyle w:val="BookText"/>
        <w:rPr/>
      </w:pPr>
      <w:r>
        <w:rPr>
          <w:rFonts w:ascii="Amiri" w:hAnsi="Amiri" w:eastAsia="Amiri" w:cs="Amiri"/>
          <w:color w:val="111111"/>
          <w:sz w:val="28"/>
          <w:sz w:val="28"/>
          <w:szCs w:val="28"/>
          <w:rtl w:val="true"/>
          <w:lang w:bidi="ar-SA"/>
        </w:rPr>
        <w:t xml:space="preserve">وُلِد عميد الأدب الإسلامي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مجيب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القاهرة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اتَّسمت مسيرته مع اللغات الأجنبيّة المختلفة بالنشاط الكبير والمتابعة الدؤوبة، فقد أجاد ثماني لغات إجادة تامّة، من خلال انتسابه إلى معهد اللغات الشرقيّة الذي درس فيه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الأرديّة، والإيطاليّة، والألمانيّة، والروسيّة، وكان يترجم منها إلى اللغة العربية ما يعجبه من شعر ونثر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الباحث الإسلامي الأوّل الذي اشتغل في حقل الأدب الإسلامي المقارن ودعا الباحثين والكتّاب إلى العناية به والتأليف في موضوعاته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للمكتبة العربيّة عشرات المؤلفات والدراسات، مستفيداً في ذلك من ذخيرته المعرفيّة واللغات التي كان يُجيدها ويترجم عنها ويكتب بها أحياناً، فمن مؤلفاته البارزة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فارسيات وتركيّات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أدب الفرس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يُعدّان باكورة مقارناته ما بين الأدبيَن الفارسي والتركي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في الشّعر العربي والفارسي والتركي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بين العرب والفرس والترك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 عند العرب والترك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بين شعراء العربيّة والفارسيّة والتركيّة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فيه أهمّ </w:t>
      </w:r>
      <w:bookmarkStart w:id="280" w:name="pg10991_100568"/>
    </w:p>
    <w:p>
      <w:pPr>
        <w:pStyle w:val="BookText"/>
        <w:rPr/>
      </w:pPr>
      <w:bookmarkEnd w:id="280"/>
      <w:r>
        <w:rPr>
          <w:rFonts w:ascii="Amiri" w:hAnsi="Amiri" w:eastAsia="Amiri" w:cs="Amiri"/>
          <w:color w:val="111111"/>
          <w:sz w:val="28"/>
          <w:sz w:val="28"/>
          <w:szCs w:val="28"/>
          <w:rtl w:val="true"/>
          <w:lang w:bidi="ar-SA"/>
        </w:rPr>
        <w:t>مظاهر الفنّ الإسلامي والعمارة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غزوات الرسول بين شعراء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الفرس في حضارة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 الشعبي الإسلامي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الدكتور المصري الشّعر بالعربيّة والتركيّة والفارسيّة والفرنسيّة؛ ومن دواوينه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شمعة وفراشة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 وبلبل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همسة ونسمة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عنايته بمقارنة الأدب العربي بالآداب الإسلاميّة الأُخرى من اعتقاده بأنّ الأدب العربي يمثّل رصيداً إبداعيّاً ضخماً يستمدّ منه شعراء الشعوب الإسلاميّة وأُدباؤها كثيراً من المعاني والقيم، ولاحظ من خلال متابعته لهذه الآداب أن هناك تشابهاً واضحاً بين الأدب العربيّ وآداب هذه الشعوب نتيجة التأثر بالإسلام وقِيمه وحضارته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مجيب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معطاءً، لم يتوقف قلمه عن الكتابة حتى وفاته رحمة الله في يوم السَّبت الثامن والعشرين من شوال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الموافق الحادي عشر من شهر كانون الأول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8288912_2870459653"/>
      <w:bookmarkStart w:id="282" w:name="_Toc99"/>
      <w:bookmarkEnd w:id="281"/>
      <w:r>
        <w:rPr>
          <w:rtl w:val="true"/>
        </w:rPr>
        <w:t>المحور الثاني</w:t>
      </w:r>
      <w:r>
        <w:rPr>
          <w:rtl w:val="true"/>
        </w:rPr>
        <w:t xml:space="preserve">: </w:t>
      </w:r>
      <w:r>
        <w:rPr>
          <w:rtl w:val="true"/>
        </w:rPr>
        <w:t>جولة تأمّلية في كتابه</w:t>
      </w:r>
      <w:bookmarkEnd w:id="282"/>
    </w:p>
    <w:p>
      <w:pPr>
        <w:pStyle w:val="Heading3"/>
        <w:numPr>
          <w:ilvl w:val="2"/>
          <w:numId w:val="1"/>
        </w:numPr>
        <w:rPr/>
      </w:pPr>
      <w:bookmarkStart w:id="283" w:name="__RefHeading___Toc8288914_2870459653"/>
      <w:bookmarkStart w:id="284" w:name="_Toc100"/>
      <w:bookmarkEnd w:id="283"/>
      <w:r>
        <w:rPr>
          <w:rtl w:val="true"/>
        </w:rPr>
        <w:t>وقفة عامة مع الكتاب</w:t>
      </w:r>
      <w:bookmarkEnd w:id="284"/>
    </w:p>
    <w:p>
      <w:pPr>
        <w:pStyle w:val="BookText"/>
        <w:rPr/>
      </w:pPr>
      <w:r>
        <w:rPr>
          <w:rFonts w:ascii="Amiri" w:hAnsi="Amiri" w:eastAsia="Amiri" w:cs="Amiri"/>
          <w:color w:val="111111"/>
          <w:sz w:val="28"/>
          <w:sz w:val="28"/>
          <w:szCs w:val="28"/>
          <w:rtl w:val="true"/>
          <w:lang w:bidi="ar-SA"/>
        </w:rPr>
        <w:t>ينبئ عنوان الكتاب بجهدٍ علميّ كبيرٍ بذله المؤلف في التَّحريّ عن النّصوص الشّعريّة المكتوبة حول كربلاء في الآداب الإسلاميّة المختلفة، واختيار المناسب منها وترجمتها إلى اللغة العربية، ومن ثمّ التَّعريف بكتّابها، وتحليل الجوانب الفنيّة الخاصّة بها، وعقد المقارنة الأدبيّة فيما بينها كلّما اقتضت الدراسة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وحريّ بعمل كهذا أن تقف خلفه دوافع علميّة كبيرة تؤمّن استمراره واكتماله، فالمساحتان الزمانيّة والمكانيّة للموضوع لهما من السعة ما يفرض على الباحث المتابعة </w:t>
      </w:r>
    </w:p>
    <w:p>
      <w:pPr>
        <w:pStyle w:val="BookText"/>
        <w:rPr/>
      </w:pPr>
      <w:r>
        <w:rPr>
          <w:rFonts w:ascii="Amiri" w:hAnsi="Amiri" w:eastAsia="Amiri" w:cs="Amiri"/>
          <w:color w:val="111111"/>
          <w:sz w:val="28"/>
          <w:sz w:val="28"/>
          <w:szCs w:val="28"/>
          <w:rtl w:val="true"/>
          <w:lang w:bidi="ar-SA"/>
        </w:rPr>
        <w:t>الدقيقة والدؤوبة، وهو ما توفّر فعلاً في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الانطلاقة من رؤية منهجيّة علميّة ترى أنّ من شأن الدِّراسة المقارنة للظواهر والموضوعات المشتركة بين آداب الأُمم الإسلاميّة أن توسّع آفاق المعرفة بالتراث الإسلامي وتكمّلها لدى القارئ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اختيار كربلاء موضوعاً للدراسة له ما لا يخفى من الأهمّيّة، فهي ظاهرة تاريخيّة مهمّة في التاريخ الإسلامي، تتجه إلى قلوب المسلمين أجمعين وإلى الإنسانيّة جمعاء في قاصية الشرق والغرب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ويرى في مصرع الإمام الحسين علیه السلام أنّه يمثّل المواجهة الأزليّة الأبديّة بين الخير والشرّ، والحقّ والباطل، والإيثار والأثرة، والتَّضحية والانتهازية، وأن ما وقع في كربلاء إنّما يعرض لنا تاريخاً لخلفاء بني أُميّة، وهو تاريخ أصحّ وأدقّ مما قال المؤرخون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ويُثير هذا الرأي الأخير عدّة أُمور تتعلق بطبيعة علاقة الشّعر بالتاريخ، وحدود التسجيل الشّعري للتاريخ، من غير أن يطغى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الكتاب لا يقف عند مناقشة ذلك، ويستمرّ في بيان أهمّيّة كربلاء موضوعاً ورمزاً شعرياً، فهي مدينة طَبَقت شهرتها الآفاق على مرّ العصور والدهور، فالمسلم يزورها للعبرة والذكرى، وغير المسلم للنّظر والمشاهدة، وهي اليوم مزار للزوّار من جميع الأجناس، وسوف يدوم ذلك لها ما دام دين الحقّ على وجه الأرض، وما دام في الدنيا عباد المبدأ وأنصار الحقّ والعدل، إنّ لها في التاريخ الإسلامي منزلة لا تُسامى؛ لأنّها مدينة إسلامية خالصة، فقد امتزج ترابها بدم الحسين الشّهيد، وهو من دم رسول الله صلی الله علیه و اله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الكتاب</w:t>
      </w:r>
      <w:r>
        <w:rPr>
          <w:rStyle w:val="FootnoteAnchor"/>
          <w:rtl w:val="true"/>
        </w:rPr>
        <w:footnoteReference w:id="276"/>
      </w:r>
      <w:r>
        <w:rPr>
          <w:rFonts w:ascii="Amiri" w:hAnsi="Amiri" w:eastAsia="Amiri" w:cs="Amiri"/>
          <w:color w:val="111111"/>
          <w:sz w:val="28"/>
          <w:sz w:val="28"/>
          <w:szCs w:val="28"/>
          <w:rtl w:val="true"/>
          <w:lang w:bidi="ar-SA"/>
        </w:rPr>
        <w:t>على مقدّمة، وفصلين تمهيديين؛ حمل الفصل الأوّل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التّشيّع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 بتعريف التّشيّع وعرض أُصوله تاريخيّاً، وقد اعتمد المؤلف في ذلك </w:t>
      </w:r>
      <w:bookmarkStart w:id="285" w:name="pg10991_100570"/>
    </w:p>
    <w:p>
      <w:pPr>
        <w:pStyle w:val="BookText"/>
        <w:rPr/>
      </w:pPr>
      <w:bookmarkEnd w:id="285"/>
      <w:r>
        <w:rPr>
          <w:rFonts w:ascii="Amiri" w:hAnsi="Amiri" w:eastAsia="Amiri" w:cs="Amiri"/>
          <w:color w:val="111111"/>
          <w:sz w:val="28"/>
          <w:sz w:val="28"/>
          <w:szCs w:val="28"/>
          <w:rtl w:val="true"/>
          <w:lang w:bidi="ar-SA"/>
        </w:rPr>
        <w:t>على مصادر هي في حقيقتها 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الاكتفاء بها علمياً،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في مناهج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المصادر الرئيسة للتّعريف بالطوائف والمذاهب، واعتماد مصنفات المذهب المراد تعريفه وبيان عقائده، وهو ما لم يفعله المؤلف؛ مما جعل الحقائق ملتبسة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جاء التَّعريف بالتّشيّع مشوّهاً وناقصاً، وكان يريد من هذا الفصل التمهيدي أن يصل إلى ما له صلة بموضوع الكتاب الرئيس، وهو كربلاء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الشّيعة قاطبة يتفقون في غايتهم، إلّا أنهم يختلفون في وسيلتهم عند إعلانهم عن فرط 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أرشد ذلك من صنيعهم إلى تخالفهم في التعبير عن شعورهم على وفق سليقتهم وتفاوتهم في اختيار الرمز والمجاز الذي ينطق عن الحقيقة، وهذا يُعتبر خللاً منهجياً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ويتكرّر الخلل المنهجيّ نفسه في الفصل الثاني الذي 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وعرض فيه أحداث واقعة الطفّ، فنجد الباحث يعتمد من بين المصادر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من غير التثبّت من صحّة بعض الروايات التاريخيّة، لدرجة تناقض معطياتها في أكثر من موضع في الفصل، ولا أرغب في مناقشة المؤلف في تفاصيل ذلك، فغاية المقال هو تسليط الضوء على الجديد من النّصوص الشّعرية الإسلاميّة التي تناولت كربلاء موضوعاً ورمزاً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يتناوله المؤلف في أربعة أبواب رئيسة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8288916_2870459653"/>
      <w:bookmarkStart w:id="287" w:name="_Toc101"/>
      <w:bookmarkEnd w:id="286"/>
      <w:r>
        <w:rPr>
          <w:rtl w:val="true"/>
        </w:rPr>
        <w:t>أبواب وفصول الكتاب</w:t>
      </w:r>
      <w:bookmarkEnd w:id="287"/>
    </w:p>
    <w:p>
      <w:pPr>
        <w:pStyle w:val="Heading3"/>
        <w:numPr>
          <w:ilvl w:val="2"/>
          <w:numId w:val="1"/>
        </w:numPr>
        <w:rPr/>
      </w:pPr>
      <w:bookmarkStart w:id="288" w:name="__RefHeading___Toc8288918_2870459653"/>
      <w:bookmarkStart w:id="289" w:name="_Toc102"/>
      <w:bookmarkEnd w:id="288"/>
      <w:r>
        <w:rPr>
          <w:rtl w:val="true"/>
        </w:rPr>
        <w:t>الباب الأوّل</w:t>
      </w:r>
      <w:r>
        <w:rPr>
          <w:rtl w:val="true"/>
        </w:rPr>
        <w:t xml:space="preserve">: </w:t>
      </w:r>
      <w:r>
        <w:rPr>
          <w:rtl w:val="true"/>
        </w:rPr>
        <w:t>كربلاء في الشّعر العربي</w:t>
      </w:r>
      <w:bookmarkEnd w:id="289"/>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الشّعر العربي</w:t>
      </w:r>
      <w:r>
        <w:rPr>
          <w:rStyle w:val="FootnoteAnchor"/>
          <w:rtl w:val="true"/>
        </w:rPr>
        <w:footnoteReference w:id="27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 هذا الباب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 المؤلف 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الشّعر العربي </w:t>
      </w:r>
    </w:p>
    <w:p>
      <w:pPr>
        <w:pStyle w:val="BookText"/>
        <w:rPr/>
      </w:pPr>
      <w:r>
        <w:rPr>
          <w:rFonts w:ascii="IRNazanin" w:hAnsi="IRNazanin" w:eastAsia="IRNazanin"/>
          <w:color w:val="111111"/>
          <w:sz w:val="28"/>
          <w:sz w:val="28"/>
          <w:szCs w:val="28"/>
          <w:rtl w:val="true"/>
          <w:lang w:bidi="fa-IR"/>
        </w:rPr>
        <w:t xml:space="preserve">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لأبي فرج الأصفهاني من كتابه مقاتل الطالبيّين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رثى الحسين بن علي جماعة من متأخري الشّعراء، أستغني عن ذكرهم في هذا الموضع كراهية الإطالة، أمّا مَن تقدّم فما وقع إلينا شيء رُثي به، وكانت الشُّعراء لا تُقدم على ذلك مخافة من بني أُميّة، وخشية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يُلاحَظ أنّ الكتاب وهو في الافتتاحية يُشير إلى ضياع كثير من هذه النّصوص بفعل القمع السّياسي الأُموي، ثم يختار بعد ذلك البدء بأبيات سليمان بن قتة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القرن الأوّل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رثاء الحسين علیه السلام والتي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على أبيات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ألم تر أنّ الشمس أضحت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وكانوا رجاءً ثم أضحوا 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تلك الرزايا وجلت</w:t>
      </w:r>
    </w:p>
    <w:p>
      <w:pPr>
        <w:pStyle w:val="BookText"/>
        <w:rPr/>
      </w:pPr>
      <w:r>
        <w:rPr>
          <w:rFonts w:ascii="IRNazanin" w:hAnsi="IRNazanin" w:eastAsia="IRNazanin"/>
          <w:color w:val="111111"/>
          <w:sz w:val="28"/>
          <w:sz w:val="28"/>
          <w:szCs w:val="28"/>
          <w:rtl w:val="true"/>
          <w:lang w:bidi="fa-IR"/>
        </w:rPr>
        <w:t>ويذكر المؤلف أنّ شعر الرثاء الحسيني تضمّن بُعداً سياسياً يتعلّق بالثَّورة على فساد الدّولة الأُمويّة، إلى جانب البُعد الديني الذي تجلّى في الصّلة الوثيقة ما بين المؤمن وآل النبي الأكرم صلی الله علیه و اله ، ويُضاف إلى هذين البُعدين ملمحٌ فنيّ من خصائص فنّ الملحمة أو شعر الحرب، يرجئ المؤلف الحديث عنه إلى الفصول الخاصّة بشعر الشعوب الإسلاميّة، متوقّفاً عند شعر السيّد الحميري الذي كان يُعدّ من أكثر الشّعراء شعراً في الجاهليّة والإسلام، ويستشهد بأبياته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لأعظُمه الزكيّة</w:t>
      </w:r>
    </w:p>
    <w:p>
      <w:pPr>
        <w:pStyle w:val="BookText"/>
        <w:rPr/>
      </w:pPr>
      <w:r>
        <w:rPr>
          <w:rFonts w:ascii="Amiri" w:hAnsi="Amiri" w:eastAsia="Amiri" w:cs="Amiri"/>
          <w:color w:val="111111"/>
          <w:sz w:val="28"/>
          <w:sz w:val="28"/>
          <w:szCs w:val="28"/>
          <w:rtl w:val="true"/>
          <w:lang w:bidi="ar-SA"/>
        </w:rPr>
        <w:t>يا أعظُماً لا زلت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وطفاء ساكبة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فإذا مررت بقبره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 به وقف المطيّة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وابكِ المطهّر للمطه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والمطهّرة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p>
    <w:p>
      <w:pPr>
        <w:pStyle w:val="BookText"/>
        <w:rPr/>
      </w:pPr>
      <w:r>
        <w:rPr>
          <w:rFonts w:ascii="Amiri" w:hAnsi="Amiri" w:eastAsia="Amiri" w:cs="Amiri"/>
          <w:color w:val="111111"/>
          <w:sz w:val="28"/>
          <w:sz w:val="28"/>
          <w:szCs w:val="28"/>
          <w:rtl w:val="true"/>
          <w:lang w:bidi="ar-SA"/>
        </w:rPr>
        <w:t>كبكاء معولة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لواحدها المنيّة</w:t>
      </w:r>
    </w:p>
    <w:p>
      <w:pPr>
        <w:pStyle w:val="BookText"/>
        <w:rPr/>
      </w:pPr>
      <w:r>
        <w:rPr>
          <w:rFonts w:ascii="Amiri" w:hAnsi="Amiri" w:eastAsia="Amiri" w:cs="Amiri"/>
          <w:color w:val="111111"/>
          <w:sz w:val="28"/>
          <w:sz w:val="28"/>
          <w:szCs w:val="28"/>
          <w:rtl w:val="true"/>
          <w:lang w:bidi="ar-SA"/>
        </w:rPr>
        <w:t>غير أنَّ ما يُؤاخذ عليه عدم اختياره من القصيدة الأبيات التي هي أقرب لما يتحدّث عنه من أبعاد في شعر الرثاء، واكتفى بذكر الأبيات الدالّة على الحزن والألم، وكان الأجدر اختيار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تضمّن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 خير البريّ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آباؤه أهل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والخلافة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والخير والشيم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المهذبة المطيّبة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والعن صدى عمر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والملمّع بالنقيّة</w:t>
      </w:r>
    </w:p>
    <w:p>
      <w:pPr>
        <w:pStyle w:val="BookText"/>
        <w:rPr/>
      </w:pPr>
      <w:r>
        <w:rPr>
          <w:rFonts w:ascii="Amiri" w:hAnsi="Amiri" w:eastAsia="Amiri" w:cs="Amiri"/>
          <w:color w:val="111111"/>
          <w:sz w:val="28"/>
          <w:sz w:val="28"/>
          <w:szCs w:val="28"/>
          <w:rtl w:val="true"/>
          <w:lang w:bidi="ar-SA"/>
        </w:rPr>
        <w:t>شمر بن جوشن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طاحت به نفس شقيّة</w:t>
      </w:r>
    </w:p>
    <w:p>
      <w:pPr>
        <w:pStyle w:val="BookText"/>
        <w:rPr/>
      </w:pPr>
      <w:r>
        <w:rPr>
          <w:rFonts w:ascii="Amiri" w:hAnsi="Amiri" w:eastAsia="Amiri" w:cs="Amiri"/>
          <w:color w:val="111111"/>
          <w:sz w:val="28"/>
          <w:sz w:val="28"/>
          <w:szCs w:val="28"/>
          <w:rtl w:val="true"/>
          <w:lang w:bidi="ar-SA"/>
        </w:rPr>
        <w:t>جعلوا ابن بنت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 كما تُرمى الدريّة</w:t>
      </w:r>
    </w:p>
    <w:p>
      <w:pPr>
        <w:pStyle w:val="BookText"/>
        <w:rPr/>
      </w:pPr>
      <w:r>
        <w:rPr>
          <w:rFonts w:ascii="Amiri" w:hAnsi="Amiri" w:eastAsia="Amiri" w:cs="Amiri"/>
          <w:color w:val="111111"/>
          <w:sz w:val="28"/>
          <w:sz w:val="28"/>
          <w:szCs w:val="28"/>
          <w:rtl w:val="true"/>
          <w:lang w:bidi="ar-SA"/>
        </w:rPr>
        <w:t>ومن ثمّ يتحدّث عن مذهب السيّد الحميري، ويذكر بعض الآراء في تحديد معتقد الكيّسانية في الإمامة، وانقسامهم بعد وفاة محمد بن الحنفيّة، ثم ينتقل إلى تفسير مفهوم البداء، فيعرض له بشكل مضطرب، يستطرد فيه من غير ضرورة علميّة لذلك، وكان من الممكن أن يكتفي بتعريف بسيط لبعض المفاهيم والإحالة إلى مصادر متخصِّصة في معالجة هذه الموضوعات ومناقشتها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وينتقل المؤلف بشكل مفاجئ إلى شاعر من التوّابين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ويذكر أبيات له في التألّم والحسرة على عدم نصرة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يُورد أبياتاً للشاعر منصور النمري، متوقّفاً عن ردود فعل هارون الرشيد، منتقلاً إلى قصيدة لأبي دهبل وبعدها قصيدة للشّريف الرضي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قتيلاً قوّض الدهر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الدين وأعلام الهدى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قتلوه بعد 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خامس أصحاب العبا </w:t>
      </w:r>
    </w:p>
    <w:p>
      <w:pPr>
        <w:pStyle w:val="BookText"/>
        <w:rPr/>
      </w:pPr>
      <w:r>
        <w:rPr>
          <w:rFonts w:ascii="Amiri" w:hAnsi="Amiri" w:eastAsia="Amiri" w:cs="Amiri"/>
          <w:color w:val="111111"/>
          <w:sz w:val="28"/>
          <w:sz w:val="28"/>
          <w:szCs w:val="28"/>
          <w:rtl w:val="true"/>
          <w:lang w:bidi="ar-SA"/>
        </w:rPr>
        <w:t>كيف لم يستعجل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بانقلاب الأرض أو رجم السما</w:t>
      </w:r>
    </w:p>
    <w:p>
      <w:pPr>
        <w:pStyle w:val="BookText"/>
        <w:rPr/>
      </w:pPr>
      <w:r>
        <w:rPr>
          <w:rFonts w:ascii="Amiri" w:hAnsi="Amiri" w:eastAsia="Amiri" w:cs="Amiri"/>
          <w:color w:val="111111"/>
          <w:sz w:val="28"/>
          <w:sz w:val="28"/>
          <w:szCs w:val="28"/>
          <w:rtl w:val="true"/>
          <w:lang w:bidi="ar-SA"/>
        </w:rPr>
        <w:t>حملوا رأساً يصلّون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الأكرم طوعاً وأبا</w:t>
      </w:r>
    </w:p>
    <w:p>
      <w:pPr>
        <w:pStyle w:val="BookText"/>
        <w:rPr/>
      </w:pPr>
      <w:r>
        <w:rPr>
          <w:rFonts w:ascii="IRNazanin" w:hAnsi="IRNazanin" w:eastAsia="IRNazanin"/>
          <w:color w:val="111111"/>
          <w:sz w:val="28"/>
          <w:sz w:val="28"/>
          <w:szCs w:val="28"/>
          <w:rtl w:val="true"/>
          <w:lang w:bidi="fa-IR"/>
        </w:rPr>
        <w:t>ويتناول بشكل سريع بعض المزايا الفنيّة لهذا النّصّ مؤشراً خروج الشّريف الرضي فيه عن ما هو متعارف من شروط القافية في كتابة الشّعر، ويرى أنَّ مرثية الرضي هذه جاءت دون مستوى مراثيه الجياد في الإمام الحسين علیه السلام ، التي شغلت اثنتي عشرة صفحة من ديوانه، لعدم مراعاته أُصول القافية المتعارف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لا يُقلّل في رأي المؤلف من شاعريّة الرضي، ولا من المضمون الجيّد في 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والفصل الثّاني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الشّعر العربي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ويفتتحه بأبيات من قصيدة 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الإمام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شاعر كما مرَّ بنا، وله عدّة مجاميع شعريّة 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شفق الغروب رأيت فيه دماكا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مقامك جاوز الأفلاكا</w:t>
      </w:r>
    </w:p>
    <w:p>
      <w:pPr>
        <w:pStyle w:val="BookText"/>
        <w:rPr/>
      </w:pPr>
      <w:r>
        <w:rPr>
          <w:rFonts w:ascii="Amiri" w:hAnsi="Amiri" w:eastAsia="Amiri" w:cs="Amiri"/>
          <w:color w:val="111111"/>
          <w:sz w:val="28"/>
          <w:sz w:val="28"/>
          <w:szCs w:val="28"/>
          <w:rtl w:val="true"/>
          <w:lang w:bidi="ar-SA"/>
        </w:rPr>
        <w:t xml:space="preserve">لو أنّ قلبي كان ترسا حاميا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طعنة بالسيف كان حماكا</w:t>
      </w:r>
    </w:p>
    <w:p>
      <w:pPr>
        <w:pStyle w:val="BookText"/>
        <w:rPr/>
      </w:pPr>
      <w:r>
        <w:rPr>
          <w:rFonts w:ascii="Amiri" w:hAnsi="Amiri" w:eastAsia="Amiri" w:cs="Amiri"/>
          <w:color w:val="111111"/>
          <w:sz w:val="28"/>
          <w:sz w:val="28"/>
          <w:szCs w:val="28"/>
          <w:rtl w:val="true"/>
          <w:lang w:bidi="ar-SA"/>
        </w:rPr>
        <w:t xml:space="preserve">لو أنّ صدري كان يصلح واقياً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وطئة لحوافر أنجاك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وبمدمع أجريته في حسرتي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جرحك باسماً ضحّاكاً</w:t>
      </w:r>
    </w:p>
    <w:p>
      <w:pPr>
        <w:pStyle w:val="BookText"/>
        <w:rPr/>
      </w:pPr>
      <w:r>
        <w:rPr>
          <w:rFonts w:ascii="Amiri" w:hAnsi="Amiri" w:eastAsia="Amiri" w:cs="Amiri"/>
          <w:color w:val="111111"/>
          <w:sz w:val="28"/>
          <w:sz w:val="28"/>
          <w:szCs w:val="28"/>
          <w:rtl w:val="true"/>
          <w:lang w:bidi="ar-SA"/>
        </w:rPr>
        <w:t xml:space="preserve">ويُورد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الصاوي شعلان، ومحمد زكي الحلواني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نصيّن يغلب عليهما توثيق أحداث الطفّ ومصرع الإمام، بطريقة تسجيلية، ثم ينتقل إلى المسرح الشّعري، ويذكر مسرحيتي عبد الرحمن الشرقاوي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الكاتب صوّر فيهما الواقعة بالتفصيل الذي ورد في التاريخ، ومنح القارئ فرصة الغوص في أعماق الشخوص بطريقة فنيّة رائعة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إلى شعراء العراق، ويذكر في هامش الموضوع أنّه اعتمد في ذلك على </w:t>
      </w:r>
    </w:p>
    <w:p>
      <w:pPr>
        <w:pStyle w:val="BookText"/>
        <w:rPr/>
      </w:pPr>
      <w:r>
        <w:rPr>
          <w:rFonts w:ascii="Amiri" w:hAnsi="Amiri" w:eastAsia="Amiri" w:cs="Amiri"/>
          <w:color w:val="111111"/>
          <w:sz w:val="28"/>
          <w:sz w:val="28"/>
          <w:szCs w:val="28"/>
          <w:rtl w:val="true"/>
          <w:lang w:bidi="ar-SA"/>
        </w:rPr>
        <w:t xml:space="preserve">ما أرسله له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هادي 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قصائد لشعراء عراقيّين، فيبدأ بقصيدة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الوهاب، ومحسن أبو الحب، والشيخ محمد علي كمونه، والسيد حسين المرعشي، ومحمد مهدي الجواهري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بالحسين، وقصيدة للشاعر محمد علي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الممكن الرجوع إلى دواوين هؤلاء الشّعراء، واختيار النّصوص بشكل تتضح فيه ذائقة المؤلف بشكل أفضل، مضافاً إلى ذلك أنّ هذه المراجعة للدواوين ضرورة منهجية كان يجب على الباحث اعتمادها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النّصوص الأُخرى التي اختارها في هذا الفصل قصيدة لمحمد حسن أبو المحاسن، وأُخرى لصدر الدين الحكيم الشهرستاني، وحسين الكربلائي، وسلمان آل طعمه، وقصيدة السيّد رضا الهندي،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صلَّت على جسم الحسين 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لساجدة الظبى محرابا</w:t>
      </w:r>
    </w:p>
    <w:p>
      <w:pPr>
        <w:pStyle w:val="BookText"/>
        <w:rPr/>
      </w:pPr>
      <w:r>
        <w:rPr>
          <w:rFonts w:ascii="Amiri" w:hAnsi="Amiri" w:eastAsia="Amiri" w:cs="Amiri"/>
          <w:color w:val="111111"/>
          <w:sz w:val="28"/>
          <w:sz w:val="28"/>
          <w:szCs w:val="28"/>
          <w:rtl w:val="true"/>
          <w:lang w:bidi="ar-SA"/>
        </w:rPr>
        <w:t xml:space="preserve">ومضى لهيفاً لم يجد غير 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 ولا غير النجيع شرابا</w:t>
      </w:r>
    </w:p>
    <w:p>
      <w:pPr>
        <w:pStyle w:val="BookText"/>
        <w:rPr/>
      </w:pPr>
      <w:r>
        <w:rPr>
          <w:rFonts w:ascii="Amiri" w:hAnsi="Amiri" w:eastAsia="Amiri" w:cs="Amiri"/>
          <w:color w:val="111111"/>
          <w:sz w:val="28"/>
          <w:sz w:val="28"/>
          <w:szCs w:val="28"/>
          <w:rtl w:val="true"/>
          <w:lang w:bidi="ar-SA"/>
        </w:rPr>
        <w:t xml:space="preserve">ظمآن ذاب فؤاده من 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مست الصخر الأصم لذابا</w:t>
      </w:r>
    </w:p>
    <w:p>
      <w:pPr>
        <w:pStyle w:val="BookText"/>
        <w:rPr/>
      </w:pPr>
      <w:r>
        <w:rPr>
          <w:rFonts w:ascii="Amiri" w:hAnsi="Amiri" w:eastAsia="Amiri" w:cs="Amiri"/>
          <w:color w:val="111111"/>
          <w:sz w:val="28"/>
          <w:sz w:val="28"/>
          <w:szCs w:val="28"/>
          <w:rtl w:val="true"/>
          <w:lang w:bidi="ar-SA"/>
        </w:rPr>
        <w:t xml:space="preserve">لهفي لجسمك في الصَّعيد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 تكسوه الدماء ثيابا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الفصل الثّالث فاختصّ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الشّعر العربي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أمر آخر ينفرد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يتجاهل الاشكاليّات المثارة حول الشّعر الشعبي، ومدى صلاح مادّته للدراسة والبحث، متجاوزاً محدودية مساحة تلقّي هذا الشّعر التي تنحصر عادة في بيئته المحليّة؛ لاعتماده اللهجة الدَّارجة في الكتابة، فيورد نماذج من هذا الشّعر، ويحاول التعليق على بعضها، معتمداً مصدره نفسه، وأعني به ما أرسله له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فيورد نصوصاً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الأمير الشروفي آل طعمه، والحاج عبد الأمير البناء، والسيّد عبد الحميد آل طعمه، وعبد الكريم الكربلائي، وعزيز الجلجاوي، والشيخ كاظم المنظور الكربلائي</w:t>
      </w:r>
      <w:r>
        <w:rPr>
          <w:rFonts w:eastAsia="Amiri" w:cs="Amiri" w:ascii="Amiri" w:hAnsi="Amiri"/>
          <w:color w:val="111111"/>
          <w:sz w:val="28"/>
          <w:szCs w:val="28"/>
          <w:rtl w:val="true"/>
          <w:lang w:bidi="ar-SA"/>
        </w:rPr>
        <w:t xml:space="preserve">). </w:t>
      </w:r>
      <w:bookmarkStart w:id="290" w:name="pg10991_100576"/>
    </w:p>
    <w:p>
      <w:pPr>
        <w:pStyle w:val="Heading3"/>
        <w:numPr>
          <w:ilvl w:val="2"/>
          <w:numId w:val="1"/>
        </w:numPr>
        <w:rPr/>
      </w:pPr>
      <w:bookmarkStart w:id="291" w:name="__RefHeading___Toc8288920_2870459653"/>
      <w:bookmarkStart w:id="292" w:name="_Toc103"/>
      <w:bookmarkEnd w:id="290"/>
      <w:bookmarkEnd w:id="291"/>
      <w:r>
        <w:rPr>
          <w:rtl w:val="true"/>
        </w:rPr>
        <w:t>الباب الثّاني</w:t>
      </w:r>
      <w:r>
        <w:rPr>
          <w:rtl w:val="true"/>
        </w:rPr>
        <w:t xml:space="preserve">: </w:t>
      </w:r>
      <w:r>
        <w:rPr>
          <w:rtl w:val="true"/>
        </w:rPr>
        <w:t>كربلاء في الشِّعر الأُردي</w:t>
      </w:r>
      <w:bookmarkEnd w:id="292"/>
    </w:p>
    <w:p>
      <w:pPr>
        <w:pStyle w:val="BookText"/>
        <w:rPr/>
      </w:pPr>
      <w:r>
        <w:rPr>
          <w:rFonts w:ascii="Amiri" w:hAnsi="Amiri" w:eastAsia="Amiri" w:cs="Amiri"/>
          <w:color w:val="111111"/>
          <w:sz w:val="28"/>
          <w:sz w:val="28"/>
          <w:szCs w:val="28"/>
          <w:rtl w:val="true"/>
          <w:lang w:bidi="ar-SA"/>
        </w:rPr>
        <w:t xml:space="preserve">اعتنى الباب الثّاني من الكتاب بدراسة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الشِّعر الأردي</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وحمل الفصل الأول منه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في الشِّعر الأُردي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ويؤشّر المؤلف على هذا الشعِّر تقيَّده بأغراض خاصّة وابتكار الشُّعراء فيه جديداً في العروض والمجاز والصِّناعة، غير أنّه يفتقر إلى رصانة الأُسلوب ومتانة السبك وهو أمر يُفسّره الاهتمام بدِقّة اللفظ وكيفية استخدامه؛ إذ كان يُنظر إلى هذا الأمر على أنّه الغاية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الشّعراء الأُرديين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يختار له نصّاً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جنود الحسين قضوا نحبهم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كوثر يسَّروا شربهم</w:t>
      </w:r>
    </w:p>
    <w:p>
      <w:pPr>
        <w:pStyle w:val="BookText"/>
        <w:rPr/>
      </w:pPr>
      <w:r>
        <w:rPr>
          <w:rFonts w:ascii="Amiri" w:hAnsi="Amiri" w:eastAsia="Amiri" w:cs="Amiri"/>
          <w:color w:val="111111"/>
          <w:sz w:val="28"/>
          <w:sz w:val="28"/>
          <w:szCs w:val="28"/>
          <w:rtl w:val="true"/>
          <w:lang w:bidi="ar-SA"/>
        </w:rPr>
        <w:t xml:space="preserve">وآل النبي كابدوا كربهم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الجو قد آنسوا تربهم</w:t>
      </w:r>
    </w:p>
    <w:p>
      <w:pPr>
        <w:pStyle w:val="BookText"/>
        <w:rPr/>
      </w:pPr>
      <w:r>
        <w:rPr>
          <w:rFonts w:ascii="IRNazanin" w:hAnsi="IRNazanin" w:eastAsia="IRNazanin"/>
          <w:color w:val="111111"/>
          <w:sz w:val="28"/>
          <w:sz w:val="28"/>
          <w:szCs w:val="28"/>
          <w:rtl w:val="true"/>
          <w:lang w:bidi="fa-IR"/>
        </w:rPr>
        <w:t xml:space="preserve">وهو مقطع من قصيدة طويلة يختارها المؤلف من شعر أنيس في رثاء الإمام الحسين علیه السلام وقد ترجمه شعراً على بحر المتقارب، والشاعر الآخر الذي يختاره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مشهور بكتابة الرثاء في آل البيت علیهم السلام ، وكان يفوق أنيس في خياله الخصب الواسع، وميله إلى إيراد الألفاظ ذات الجرس العالي، مكرّساً معظم شعره الذي يبلغ المجلدين في نظم المراثي، ويذهب أحد النقّاد إلى أن دبير يورد القصة ليحقق تأثيراً في نفس المتلقي عبر حشد التشبيهات والاستعارات والبراعة في استعمال اللغة والخيال، ومن قصائده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سماء وفيها اختلاج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 بمَن كان فيها تميد</w:t>
      </w:r>
    </w:p>
    <w:p>
      <w:pPr>
        <w:pStyle w:val="BookText"/>
        <w:rPr/>
      </w:pPr>
      <w:r>
        <w:rPr>
          <w:rFonts w:ascii="Amiri" w:hAnsi="Amiri" w:eastAsia="Amiri" w:cs="Amiri"/>
          <w:color w:val="111111"/>
          <w:sz w:val="28"/>
          <w:sz w:val="28"/>
          <w:szCs w:val="28"/>
          <w:rtl w:val="true"/>
          <w:lang w:bidi="ar-SA"/>
        </w:rPr>
        <w:t xml:space="preserve">شجاع لهم في القتال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كنورٍ وبين الغمام بهر</w:t>
      </w:r>
    </w:p>
    <w:p>
      <w:pPr>
        <w:pStyle w:val="BookText"/>
        <w:rPr/>
      </w:pPr>
      <w:r>
        <w:rPr>
          <w:rFonts w:ascii="Amiri" w:hAnsi="Amiri" w:eastAsia="Amiri" w:cs="Amiri"/>
          <w:color w:val="111111"/>
          <w:sz w:val="28"/>
          <w:sz w:val="28"/>
          <w:szCs w:val="28"/>
          <w:rtl w:val="true"/>
          <w:lang w:bidi="ar-SA"/>
        </w:rPr>
        <w:t xml:space="preserve">على نحره يده 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الضلالة صوتاً رفع</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اُنظروا واعلموا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مثل هذا إلهي بدع </w:t>
      </w:r>
      <w:bookmarkStart w:id="293" w:name="pg10991_100578"/>
    </w:p>
    <w:p>
      <w:pPr>
        <w:pStyle w:val="BookText"/>
        <w:rPr/>
      </w:pPr>
      <w:bookmarkEnd w:id="293"/>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الشاعرين أنّهما متكاملان متشابهان، يصوّران الواقع بحياديّة، ويحرصان على عرض ملامح الصورة من غير أن يذكرا انطباعهما، وهو أمر غير متوقَّع من شاعرين جعلا الكتابة في كربلاء مركز اهتمامهما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الثّاني من هذا الباب، فحمل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الشّعر الأُردي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 فيه المؤلف نصوصاً لعدة شعراء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العلماء مولانا محمد حسين آزاد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جنة قدم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لفرط أساهم أطالوا البكاء</w:t>
      </w:r>
    </w:p>
    <w:p>
      <w:pPr>
        <w:pStyle w:val="BookText"/>
        <w:rPr/>
      </w:pPr>
      <w:r>
        <w:rPr>
          <w:rFonts w:ascii="Amiri" w:hAnsi="Amiri" w:eastAsia="Amiri" w:cs="Amiri"/>
          <w:color w:val="111111"/>
          <w:sz w:val="28"/>
          <w:sz w:val="28"/>
          <w:szCs w:val="28"/>
          <w:rtl w:val="true"/>
          <w:lang w:bidi="ar-SA"/>
        </w:rPr>
        <w:t xml:space="preserve">فدوى نواح ودمع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النبي أتت كي ترى</w:t>
      </w:r>
    </w:p>
    <w:p>
      <w:pPr>
        <w:pStyle w:val="BookText"/>
        <w:rPr/>
      </w:pPr>
      <w:r>
        <w:rPr>
          <w:rFonts w:ascii="Amiri" w:hAnsi="Amiri" w:eastAsia="Amiri" w:cs="Amiri"/>
          <w:color w:val="111111"/>
          <w:sz w:val="28"/>
          <w:sz w:val="28"/>
          <w:szCs w:val="28"/>
          <w:rtl w:val="true"/>
          <w:lang w:bidi="ar-SA"/>
        </w:rPr>
        <w:t xml:space="preserve">وزهراء كانت إلى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وتبكي وتبكي على ما به</w:t>
      </w:r>
    </w:p>
    <w:p>
      <w:pPr>
        <w:pStyle w:val="BookText"/>
        <w:rPr/>
      </w:pPr>
      <w:r>
        <w:rPr>
          <w:rFonts w:ascii="Amiri" w:hAnsi="Amiri" w:eastAsia="Amiri" w:cs="Amiri"/>
          <w:color w:val="111111"/>
          <w:sz w:val="28"/>
          <w:sz w:val="28"/>
          <w:szCs w:val="28"/>
          <w:rtl w:val="true"/>
          <w:lang w:bidi="ar-SA"/>
        </w:rPr>
        <w:t xml:space="preserve">وظل عليّ عليه ورف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النبي كبرق خطف</w:t>
      </w:r>
    </w:p>
    <w:p>
      <w:pPr>
        <w:pStyle w:val="BookText"/>
        <w:rPr/>
      </w:pPr>
      <w:r>
        <w:rPr>
          <w:rFonts w:ascii="Amiri" w:hAnsi="Amiri" w:eastAsia="Amiri" w:cs="Amiri"/>
          <w:color w:val="111111"/>
          <w:sz w:val="28"/>
          <w:sz w:val="28"/>
          <w:szCs w:val="28"/>
          <w:rtl w:val="true"/>
          <w:lang w:bidi="ar-SA"/>
        </w:rPr>
        <w:t xml:space="preserve">ومن نصّ للشاعر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حبّذا دوحة قد 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 الحسين وقد أثمرت</w:t>
      </w:r>
    </w:p>
    <w:p>
      <w:pPr>
        <w:pStyle w:val="BookText"/>
        <w:rPr/>
      </w:pPr>
      <w:r>
        <w:rPr>
          <w:rFonts w:ascii="Amiri" w:hAnsi="Amiri" w:eastAsia="Amiri" w:cs="Amiri"/>
          <w:color w:val="111111"/>
          <w:sz w:val="28"/>
          <w:sz w:val="28"/>
          <w:szCs w:val="28"/>
          <w:rtl w:val="true"/>
          <w:lang w:bidi="ar-SA"/>
        </w:rPr>
        <w:t xml:space="preserve">وتمَّ التلازم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علي فسر خفي</w:t>
      </w:r>
    </w:p>
    <w:p>
      <w:pPr>
        <w:pStyle w:val="BookText"/>
        <w:rPr/>
      </w:pPr>
      <w:r>
        <w:rPr>
          <w:rFonts w:ascii="Amiri" w:hAnsi="Amiri" w:eastAsia="Amiri" w:cs="Amiri"/>
          <w:color w:val="111111"/>
          <w:sz w:val="28"/>
          <w:sz w:val="28"/>
          <w:szCs w:val="28"/>
          <w:rtl w:val="true"/>
          <w:lang w:bidi="ar-SA"/>
        </w:rPr>
        <w:t xml:space="preserve">ثمّ يعرض نصوصاً أُخرى للشاعرين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حسن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فيضي أحمد فيضي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معلّقاً عليها وشارحاً لبعض مضامينها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8288922_2870459653"/>
      <w:bookmarkStart w:id="295" w:name="_Toc104"/>
      <w:bookmarkEnd w:id="294"/>
      <w:r>
        <w:rPr>
          <w:rtl w:val="true"/>
        </w:rPr>
        <w:t>الباب الثالث</w:t>
      </w:r>
      <w:r>
        <w:rPr>
          <w:rtl w:val="true"/>
        </w:rPr>
        <w:t xml:space="preserve">: </w:t>
      </w:r>
      <w:r>
        <w:rPr>
          <w:rtl w:val="true"/>
        </w:rPr>
        <w:t>كربلاء في الشّعر الفارسي</w:t>
      </w:r>
      <w:bookmarkEnd w:id="2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ويتناول الباحث في الباب الثّالث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الشّعر الفارسي</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عبر فصلين؛ اعتنى الفصل الأوّل بتوظيف كربلاء في الشّعر الفارسي القديم، ويُمهّد للعرض ببيان دور ملوك الدولة الصفوية في تشجيع الشّعراء الفرس على رثاء أهل </w:t>
      </w:r>
    </w:p>
    <w:p>
      <w:pPr>
        <w:pStyle w:val="BookText"/>
        <w:rPr/>
      </w:pPr>
      <w:r>
        <w:rPr>
          <w:rFonts w:ascii="Amiri" w:hAnsi="Amiri" w:eastAsia="Amiri" w:cs="Amiri"/>
          <w:color w:val="111111"/>
          <w:sz w:val="28"/>
          <w:sz w:val="28"/>
          <w:szCs w:val="28"/>
          <w:rtl w:val="true"/>
          <w:lang w:bidi="ar-SA"/>
        </w:rPr>
        <w:t xml:space="preserve">البيت ومدحهم، فقد ذكر عن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يعدّ الشّعر في غير مراثي أهل البيت تدنيساً 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أعظم الشّعراء الذين كتبوا في رثاء الحسين علیه السلام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يُعدّ شاعر بلاط الشاه طهماسب، كتب منظومة من النمط الفارسي المعروف بترجيع بند؛ وهو عبارة عن منظومة تتألّف من عدّة أقسام تُسمى خانات، وكُلّ قسم أو خانة تضمُّ أبياتاً متّفقة في الروي، يتلوها بيت مستقل يتكرر بعد كل قسم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مأتم فيه بكاء للورى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شاهدوا ما قد جرى</w:t>
      </w:r>
    </w:p>
    <w:p>
      <w:pPr>
        <w:pStyle w:val="BookText"/>
        <w:rPr/>
      </w:pPr>
      <w:r>
        <w:rPr>
          <w:rFonts w:ascii="Amiri" w:hAnsi="Amiri" w:eastAsia="Amiri" w:cs="Amiri"/>
          <w:color w:val="111111"/>
          <w:sz w:val="28"/>
          <w:sz w:val="28"/>
          <w:szCs w:val="28"/>
          <w:rtl w:val="true"/>
          <w:lang w:bidi="ar-SA"/>
        </w:rPr>
        <w:t xml:space="preserve">ثم جاء الأولياء يهرعون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لشجيج الرأس كانوا يعولون</w:t>
      </w:r>
    </w:p>
    <w:p>
      <w:pPr>
        <w:pStyle w:val="BookText"/>
        <w:rPr/>
      </w:pPr>
      <w:r>
        <w:rPr>
          <w:rFonts w:ascii="Amiri" w:hAnsi="Amiri" w:eastAsia="Amiri" w:cs="Amiri"/>
          <w:color w:val="111111"/>
          <w:sz w:val="28"/>
          <w:sz w:val="28"/>
          <w:szCs w:val="28"/>
          <w:rtl w:val="true"/>
          <w:lang w:bidi="ar-SA"/>
        </w:rPr>
        <w:t xml:space="preserve">يا لجمر من قلوب جمعوه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 المجتبى قد رفعوه</w:t>
      </w:r>
    </w:p>
    <w:p>
      <w:pPr>
        <w:pStyle w:val="BookText"/>
        <w:rPr/>
      </w:pPr>
      <w:r>
        <w:rPr>
          <w:rFonts w:ascii="IRNazanin" w:hAnsi="IRNazanin" w:eastAsia="IRNazanin"/>
          <w:color w:val="111111"/>
          <w:sz w:val="28"/>
          <w:sz w:val="28"/>
          <w:szCs w:val="28"/>
          <w:rtl w:val="true"/>
          <w:lang w:bidi="fa-IR"/>
        </w:rPr>
        <w:t>يرى المؤلف في شعر كاشاني أنّه يميل إلى تسجيل الواقع التاريخي، عبر سرد قصصي يصوّر المأساة والفجيعة، ويحرص على إشراك القارئ في هذا الجو المفعم بالأسى، وهو لا يتوقف عند هذا، وإنّما يتجاوزه إلى طلب الثأر والإقدام على القصاص من قتلة الإمام علیه السلام ، وهو رأي لا يخفى وضوح البُعد السياسي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الشّعر الفارسي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لحسين واعظ الكاشفي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يُعدّ أقدم كتاب ضمّ قصائد رثاء في الإمام الحسين علیه السلام ،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محزون في هذا البلا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نوح غرقت في ابتلا</w:t>
      </w:r>
    </w:p>
    <w:p>
      <w:pPr>
        <w:pStyle w:val="BookText"/>
        <w:rPr/>
      </w:pPr>
      <w:r>
        <w:rPr>
          <w:rFonts w:ascii="Amiri" w:hAnsi="Amiri" w:eastAsia="Amiri" w:cs="Amiri"/>
          <w:color w:val="111111"/>
          <w:sz w:val="28"/>
          <w:sz w:val="28"/>
          <w:szCs w:val="28"/>
          <w:rtl w:val="true"/>
          <w:lang w:bidi="ar-SA"/>
        </w:rPr>
        <w:t xml:space="preserve">نار نمرود شهدتَ يا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شعلة فاشهد بنار للغليل</w:t>
      </w:r>
    </w:p>
    <w:p>
      <w:pPr>
        <w:pStyle w:val="BookText"/>
        <w:rPr/>
      </w:pPr>
      <w:r>
        <w:rPr>
          <w:rFonts w:ascii="Amiri" w:hAnsi="Amiri" w:eastAsia="Amiri" w:cs="Amiri"/>
          <w:color w:val="111111"/>
          <w:sz w:val="28"/>
          <w:sz w:val="28"/>
          <w:szCs w:val="28"/>
          <w:rtl w:val="true"/>
          <w:lang w:bidi="ar-SA"/>
        </w:rPr>
        <w:t xml:space="preserve">كان هذا للحسين في 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 الغمُّ كُلَّ الأنبياء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ويُنبّه المؤلف القارئ إلى أن الشّعر المجموع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نظم حسين واعظ، فهو مما جمعه وأنشده في مجالس الوعظ والعزاء التي كان يُقيمها أواخر العصر التيّموري في مدينة هراة، ويرى بعض الباحثين والنقّاد أنّ القيمة الفنيّة </w:t>
      </w:r>
    </w:p>
    <w:p>
      <w:pPr>
        <w:pStyle w:val="BookText"/>
        <w:rPr/>
      </w:pPr>
      <w:r>
        <w:rPr>
          <w:rFonts w:ascii="Amiri" w:hAnsi="Amiri" w:eastAsia="Amiri" w:cs="Amiri"/>
          <w:color w:val="111111"/>
          <w:sz w:val="28"/>
          <w:sz w:val="28"/>
          <w:szCs w:val="28"/>
          <w:rtl w:val="true"/>
          <w:lang w:bidi="ar-SA"/>
        </w:rPr>
        <w:t xml:space="preserve">العالية لهذا الكتاب دفعت الشاعر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ترجمته إلى اللغة التركية، مضيفاً إليه بعض النّصوص، ومعدّلاً بعض ما ورد فيها، وقد نقله بعنوان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ويستطرد المؤلف في التَّعريف بالشاعر التركي فضولي البغدادي، في الفصل المخصّص عن الشّعر الفارسي القديم، وكان بإمكانه إرجاء هذا التفصيل إلى الفصل الخاص بالشّعر التركي القديم، وهو خلل منهجي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بعد ذلك إلى الشاعر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المنظومة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تُعدُّ أطول منظومة فارسية، وأوّل ملحمة صوفية في الأدب الفارسي، ولسنائي شُهرة واسعة في الشّعر الصوفي، ويقال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مهّد بغزلياته لأشهر شعراء الفارسيّة بعده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قاله عن كربلاء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في كربلا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جيش لزياد قد وصل</w:t>
      </w:r>
    </w:p>
    <w:p>
      <w:pPr>
        <w:pStyle w:val="BookText"/>
        <w:rPr/>
      </w:pPr>
      <w:r>
        <w:rPr>
          <w:rFonts w:ascii="IRNazanin" w:hAnsi="IRNazanin" w:eastAsia="IRNazanin"/>
          <w:color w:val="111111"/>
          <w:sz w:val="28"/>
          <w:sz w:val="28"/>
          <w:szCs w:val="28"/>
          <w:rtl w:val="true"/>
          <w:lang w:bidi="fa-IR"/>
        </w:rPr>
        <w:t xml:space="preserve">عنه ماء للفرات قد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من حسرات قد مزع</w:t>
      </w:r>
    </w:p>
    <w:p>
      <w:pPr>
        <w:pStyle w:val="BookText"/>
        <w:rPr/>
      </w:pPr>
      <w:r>
        <w:rPr>
          <w:rFonts w:ascii="Amiri" w:hAnsi="Amiri" w:eastAsia="Amiri" w:cs="Amiri"/>
          <w:color w:val="111111"/>
          <w:sz w:val="28"/>
          <w:sz w:val="28"/>
          <w:szCs w:val="28"/>
          <w:rtl w:val="true"/>
          <w:lang w:bidi="ar-SA"/>
        </w:rPr>
        <w:t>وحمل الفصل الثّاني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في الشّعر الفارسي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المؤلف في بدايته انطلاقة الشّعراء المحدثين نحو التغيير والتطوير في أساليبهم الشّعرية من حيث المبنى والمعنى، رغبةً منهم في التجديد ومواكبة الحياة في تطوّرها، وقد شاركهم في ذلك الشّعراء التقليديون أيضاً؛ إذ حاولوا بعث روح التجديد في القوالب الشّعرية القديمة، في الكتابة عن كربلاء وشهدائها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الشّعراء المحدثين الشاعر صفي على شاه، الذي كان من شعراء الصوفيّة المشهورين، ومن شعره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الخيمة عادت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الساحة كانت تطلب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لعطر فاح من شعراته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عيسى كان في حيواته </w:t>
      </w:r>
      <w:bookmarkStart w:id="296" w:name="pg10991_100584"/>
    </w:p>
    <w:p>
      <w:pPr>
        <w:pStyle w:val="BookText"/>
        <w:rPr/>
      </w:pPr>
      <w:bookmarkEnd w:id="296"/>
      <w:r>
        <w:rPr>
          <w:rFonts w:ascii="IRNazanin" w:hAnsi="IRNazanin" w:eastAsia="IRNazanin"/>
          <w:color w:val="111111"/>
          <w:sz w:val="28"/>
          <w:sz w:val="28"/>
          <w:szCs w:val="28"/>
          <w:rtl w:val="true"/>
          <w:lang w:bidi="fa-IR"/>
        </w:rPr>
        <w:t xml:space="preserve">من الشّعراء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يتميّز شعره بمتانة السبك، وابتكار الأغراض الجديدة، يقول في قصيدة له على لسان زينب 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ظامئ الحلق أتاني أكبري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أمطري يا عين دمعاً أمطري</w:t>
      </w:r>
    </w:p>
    <w:p>
      <w:pPr>
        <w:pStyle w:val="BookText"/>
        <w:rPr/>
      </w:pPr>
      <w:r>
        <w:rPr>
          <w:rFonts w:ascii="Amiri" w:hAnsi="Amiri" w:eastAsia="Amiri" w:cs="Amiri"/>
          <w:color w:val="111111"/>
          <w:sz w:val="28"/>
          <w:sz w:val="28"/>
          <w:szCs w:val="28"/>
          <w:rtl w:val="true"/>
          <w:lang w:bidi="ar-SA"/>
        </w:rPr>
        <w:t xml:space="preserve">ليت أُمي لم تلدْ منذ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وأراك اليوم من تحت الأسل</w:t>
      </w:r>
    </w:p>
    <w:p>
      <w:pPr>
        <w:pStyle w:val="BookText"/>
        <w:rPr/>
      </w:pPr>
      <w:r>
        <w:rPr>
          <w:rFonts w:ascii="Amiri" w:hAnsi="Amiri" w:eastAsia="Amiri" w:cs="Amiri"/>
          <w:color w:val="111111"/>
          <w:sz w:val="28"/>
          <w:sz w:val="28"/>
          <w:szCs w:val="28"/>
          <w:rtl w:val="true"/>
          <w:lang w:bidi="ar-SA"/>
        </w:rPr>
        <w:t xml:space="preserve">ويرى حسين مجيب أنّ الشاعر لم يخرج عن التشبيهات التي درج الشّعراء الأقدمون على إيرادها في أشعارهم، على الرغم من أنّ تزاحم الصور البيانية في مخيلة الشاعر جعلت أبياته متوالية من الصور الفنيّة، حيث تُولَد في كُلّ بيت صورة من صورة سابقة، والشاعر مجدّد مبتكر في ذلك على وفق آراء النقّاد، ثم ينتقل إلى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الشّعراء،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منظومة طويلة أفردها لذكر ما جرى في كربلاء، تألّفت من ثلاثة وخمسين بيتاً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لشهر إنه شهر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 حلَّقت فوق الهموم</w:t>
      </w:r>
    </w:p>
    <w:p>
      <w:pPr>
        <w:pStyle w:val="BookText"/>
        <w:rPr/>
      </w:pPr>
      <w:r>
        <w:rPr>
          <w:rFonts w:ascii="Amiri" w:hAnsi="Amiri" w:eastAsia="Amiri" w:cs="Amiri"/>
          <w:color w:val="111111"/>
          <w:sz w:val="28"/>
          <w:sz w:val="28"/>
          <w:szCs w:val="28"/>
          <w:rtl w:val="true"/>
          <w:lang w:bidi="ar-SA"/>
        </w:rPr>
        <w:t xml:space="preserve">قف تأمّل جور ذياك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ستراً لها ما قد هتك</w:t>
      </w:r>
    </w:p>
    <w:p>
      <w:pPr>
        <w:pStyle w:val="BookText"/>
        <w:rPr/>
      </w:pPr>
      <w:r>
        <w:rPr>
          <w:rFonts w:ascii="Amiri" w:hAnsi="Amiri" w:eastAsia="Amiri" w:cs="Amiri"/>
          <w:color w:val="111111"/>
          <w:sz w:val="28"/>
          <w:sz w:val="28"/>
          <w:szCs w:val="28"/>
          <w:rtl w:val="true"/>
          <w:lang w:bidi="ar-SA"/>
        </w:rPr>
        <w:t xml:space="preserve">أضرموا النيران ظلماً في الخباء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فنفرن منه هاتيك الظباء</w:t>
      </w:r>
    </w:p>
    <w:p>
      <w:pPr>
        <w:pStyle w:val="Heading3"/>
        <w:numPr>
          <w:ilvl w:val="2"/>
          <w:numId w:val="1"/>
        </w:numPr>
        <w:rPr/>
      </w:pPr>
      <w:bookmarkStart w:id="297" w:name="__RefHeading___Toc8288924_2870459653"/>
      <w:bookmarkStart w:id="298" w:name="_Toc105"/>
      <w:bookmarkEnd w:id="297"/>
      <w:r>
        <w:rPr>
          <w:rtl w:val="true"/>
        </w:rPr>
        <w:t>الباب الرابع</w:t>
      </w:r>
      <w:r>
        <w:rPr>
          <w:rtl w:val="true"/>
        </w:rPr>
        <w:t xml:space="preserve">: </w:t>
      </w:r>
      <w:r>
        <w:rPr>
          <w:rtl w:val="true"/>
        </w:rPr>
        <w:t>كربلاء في الشّعر التركي</w:t>
      </w:r>
      <w:bookmarkEnd w:id="2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ويخصّص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الباب الرابع والأخير من الكتاب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الشّعر التركي</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من خلال فصلين، يتناول في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في الشّعر التركي القديم، ويبدأ المؤلف فيه بمَن يراه أكثر الشّعراء الأتراك شُهرة، وأوفرهم نصيباً في نظم الرثاء الخاص بالحسين علیه السلام وأهل بيته، وهو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فضولي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يعود من جديد إلى ذكر الجدال الدائر ما بين النقّاد حول نسبة الشّعر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w:t>
      </w:r>
    </w:p>
    <w:p>
      <w:pPr>
        <w:pStyle w:val="BookText"/>
        <w:rPr/>
      </w:pP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فضولي، أو أنّه مجرد نقل وترجمة لما ورد من قصائد في كتاب حسين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الشاعر تصرّف فيه ونقله بأُسلوبه وطريقته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يُورِد أمثلة من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الكون ما الله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ناطقاً كان كذا من ما نطق</w:t>
      </w:r>
    </w:p>
    <w:p>
      <w:pPr>
        <w:pStyle w:val="BookText"/>
        <w:rPr/>
      </w:pPr>
      <w:r>
        <w:rPr>
          <w:rFonts w:ascii="Amiri" w:hAnsi="Amiri" w:eastAsia="Amiri" w:cs="Amiri"/>
          <w:color w:val="111111"/>
          <w:sz w:val="28"/>
          <w:sz w:val="28"/>
          <w:szCs w:val="28"/>
          <w:rtl w:val="true"/>
          <w:lang w:bidi="ar-SA"/>
        </w:rPr>
        <w:t xml:space="preserve">كُلّ عقل كُل ّنفس وفلك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أينما كان سلك</w:t>
      </w:r>
    </w:p>
    <w:p>
      <w:pPr>
        <w:pStyle w:val="BookText"/>
        <w:rPr/>
      </w:pPr>
      <w:r>
        <w:rPr>
          <w:rFonts w:ascii="Amiri" w:hAnsi="Amiri" w:eastAsia="Amiri" w:cs="Amiri"/>
          <w:color w:val="111111"/>
          <w:sz w:val="28"/>
          <w:sz w:val="28"/>
          <w:szCs w:val="28"/>
          <w:rtl w:val="true"/>
          <w:lang w:bidi="ar-SA"/>
        </w:rPr>
        <w:t xml:space="preserve">واجب حتم عليهم في 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مأتم في كُلّ عام</w:t>
      </w:r>
    </w:p>
    <w:p>
      <w:pPr>
        <w:pStyle w:val="BookText"/>
        <w:rPr/>
      </w:pPr>
      <w:r>
        <w:rPr>
          <w:rFonts w:ascii="Amiri" w:hAnsi="Amiri" w:eastAsia="Amiri" w:cs="Amiri"/>
          <w:color w:val="111111"/>
          <w:sz w:val="28"/>
          <w:sz w:val="28"/>
          <w:szCs w:val="28"/>
          <w:rtl w:val="true"/>
          <w:lang w:bidi="ar-SA"/>
        </w:rPr>
        <w:t xml:space="preserve">وينتقل المؤلف بعد ذلك إلى ذكر بعض الشّعراء الذين كتبوا في كربلاء، معتمداً في ذلك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مراثي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معتذراً عن تقديم تعريف بهؤلاء الشّعراء، لعدم وجوده في الكتاب المذكور، فمؤلف هذا الكتاب لم يذكر للشاعر منهم سوى بيتين أو أربعة أبيات من الشّعر، ومنهم الشاعر التركي صافي، وفريدون، والشاعر لامعي، وللأخير شُهرة كبيرة في الشّعر التركي، تُماثل شُهرة الشاعر جامي في الأدب الفارسي القديم، وله منظومة من النمط المعروف بالتركية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في العربية بالمزدوج،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مجيب المصري أنّ لهذه المنظومة ثلاث مخطوطات بمكتبة جامعة القاهرة، لم يتسنَّ له الاطلاع عليها، فاعتمد في ترجمة بعض أبياتها على رسالة ماجستير حول الشاعر حملت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لامعي شاعراً وناثراً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الباحث سمير عباس وقدمها لكلية الآداب جامعة عين شمس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وتُعدّ منظومة لامعي وثيقة تاريخيّة؛ حيث يسرد الشاعر فيها تفصيلات ما وقع على أرض كربلاء، بشكل حرص فيه على مطابقة ما ورد من روايات تاريخية في هذا الشأن، هو يفتتح منظومته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الأفلاك ناري تحرق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لون الحداد الأزرق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 وللجن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 منهم ومَن هُمْ في خفاء </w:t>
      </w:r>
      <w:bookmarkStart w:id="299" w:name="pg10991_100588"/>
    </w:p>
    <w:p>
      <w:pPr>
        <w:pStyle w:val="BookText"/>
        <w:rPr/>
      </w:pPr>
      <w:bookmarkEnd w:id="299"/>
      <w:r>
        <w:rPr>
          <w:rFonts w:ascii="Amiri" w:hAnsi="Amiri" w:eastAsia="Amiri" w:cs="Amiri"/>
          <w:color w:val="111111"/>
          <w:sz w:val="28"/>
          <w:sz w:val="28"/>
          <w:szCs w:val="28"/>
          <w:rtl w:val="true"/>
          <w:lang w:bidi="ar-SA"/>
        </w:rPr>
        <w:t>ما عسى يصنع ليث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خنزير أرادت صدّه</w:t>
      </w:r>
    </w:p>
    <w:p>
      <w:pPr>
        <w:pStyle w:val="BookText"/>
        <w:rPr/>
      </w:pPr>
      <w:r>
        <w:rPr>
          <w:rFonts w:ascii="Amiri" w:hAnsi="Amiri" w:eastAsia="Amiri" w:cs="Amiri"/>
          <w:color w:val="111111"/>
          <w:sz w:val="28"/>
          <w:sz w:val="28"/>
          <w:szCs w:val="28"/>
          <w:rtl w:val="true"/>
          <w:lang w:bidi="ar-SA"/>
        </w:rPr>
        <w:t>وجاء الفصل الثاني من الباب الرابع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الشّعر التركي الحديث، عرض المؤلف فيه نموذجين من الشّعر التركي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للشاعرة التركية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عادلة سلطانة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أميرات القصر السلطاني، وبنت السلطان محمود الثاني، كتبت شعراً دينياً صوفياً، وكان ذلك انعكاساً لحياتها التي عاشتها بتوجه كبير نحو الله سبحانه وتعالى، ويستنتج المؤلف من ملامح حياتها، ومن خبر نظمها لمراثي في آل البيت علیهم السلام أنها قد كتبت شعراً في كربلاء، وفي رثاء الإمام الحسين علیه السلام ، غير أنّه لا يوقفنا على هذا الشّعر؛ لعدم اطلاعه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يُعدّ نقصاً كبيراً في التَّعريف بالشاعرة، ويجعل من ذكرها من دون شعرها في الكتاب أمراً غير ذي جدوى كبيرة للقارئ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الشاعر التركي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صدقي طارانجن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منظومة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بحر ليس فيه غير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يدي الآن مثقوب الإناء</w:t>
      </w:r>
    </w:p>
    <w:p>
      <w:pPr>
        <w:pStyle w:val="BookText"/>
        <w:rPr/>
      </w:pPr>
      <w:r>
        <w:rPr>
          <w:rFonts w:ascii="Amiri" w:hAnsi="Amiri" w:eastAsia="Amiri" w:cs="Amiri"/>
          <w:color w:val="111111"/>
          <w:sz w:val="28"/>
          <w:sz w:val="28"/>
          <w:szCs w:val="28"/>
          <w:rtl w:val="true"/>
          <w:lang w:bidi="ar-SA"/>
        </w:rPr>
        <w:t xml:space="preserve">لا يمر اليوم مراً كالنسيم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إن ذكرنا في القديم</w:t>
      </w:r>
    </w:p>
    <w:p>
      <w:pPr>
        <w:pStyle w:val="BookText"/>
        <w:rPr/>
      </w:pPr>
      <w:r>
        <w:rPr>
          <w:rFonts w:ascii="Amiri" w:hAnsi="Amiri" w:eastAsia="Amiri" w:cs="Amiri"/>
          <w:color w:val="111111"/>
          <w:sz w:val="28"/>
          <w:sz w:val="28"/>
          <w:szCs w:val="28"/>
          <w:rtl w:val="true"/>
          <w:lang w:bidi="ar-SA"/>
        </w:rPr>
        <w:t xml:space="preserve">بدواء لست أشفى من 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والله مكسور الجناح</w:t>
      </w:r>
    </w:p>
    <w:p>
      <w:pPr>
        <w:pStyle w:val="Heading3"/>
        <w:numPr>
          <w:ilvl w:val="2"/>
          <w:numId w:val="1"/>
        </w:numPr>
        <w:rPr/>
      </w:pPr>
      <w:bookmarkStart w:id="300" w:name="__RefHeading___Toc8288926_2870459653"/>
      <w:bookmarkStart w:id="301" w:name="_Toc106"/>
      <w:bookmarkEnd w:id="300"/>
      <w:r>
        <w:rPr>
          <w:rtl w:val="true"/>
        </w:rPr>
        <w:t>المحور الثالث</w:t>
      </w:r>
      <w:r>
        <w:rPr>
          <w:rtl w:val="true"/>
        </w:rPr>
        <w:t xml:space="preserve">: </w:t>
      </w:r>
      <w:r>
        <w:rPr>
          <w:rtl w:val="true"/>
        </w:rPr>
        <w:t>وقفة مع الكتاب</w:t>
      </w:r>
      <w:bookmarkEnd w:id="30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إنحاز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مجيب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منهجه في التأليف ودراسة التراث الإسلامي، القائم على استقراء النّصوص الشّعرية، وتعريف القارئ بشعرائها، مبيناً المرجعيات التاريخية لهذه النّصوص بالتفصيل كلما اقتضت الدراسة ذلك، مؤشراً ما </w:t>
      </w:r>
    </w:p>
    <w:p>
      <w:pPr>
        <w:pStyle w:val="BookText"/>
        <w:rPr/>
      </w:pPr>
      <w:r>
        <w:rPr>
          <w:rFonts w:ascii="Amiri" w:hAnsi="Amiri" w:eastAsia="Amiri" w:cs="Amiri"/>
          <w:color w:val="111111"/>
          <w:sz w:val="28"/>
          <w:sz w:val="28"/>
          <w:szCs w:val="28"/>
          <w:rtl w:val="true"/>
          <w:lang w:bidi="ar-SA"/>
        </w:rPr>
        <w:t>يعدّه كشفاً عن تيّارات روحيّة في العالم الإسلامي لم يعرفها القارئ العربي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حقّقه الباحث، وكان في غاية الأهمّيّة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المسألة الأكثر بروزاً التي يُثيرها منهج الكتاب هي مسألة ترجمة الشّعر ونقله من لغته الأصليّة إلى اللغة الهدف، وما يثار عادة حول هذا الأمر لا يتجاوز ذكر إشكاليات قديمة، ناقشتْها دراسات عديدة سابقة، غير أنّ ما سعت دراسات الترجمة الحديثة إلى مناقشته بشكل علمي دقيق هو دور المترجم وحدود صلاحيته في النقل، ولا شك في أن دخول الذات المترجمة للنّص يُعين المترجم على إجادة عمله وعلى الاقتراب بشكل كبير من تجربة النّصّ وروحه، غير أنّ هذه العملية لا تسلم من خطورة التماهي الكلي مع النّصّ بشكل تنمحي المسافة فيه بين المترجم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دور الدراسة الترجمية هو قياس مدى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في النّصّ وأشكال هذا الحضور وطبيعته</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قام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المصري بترجمة النّصوص الشّعرية إلى اللغة العربيّة وبصورة شعرية، موضحاً أنّ الشّعر يفقد روعته ورواءه إن تُرجِم نثراً، ومنح نفسه مساحة للتحرُّك والتصرّف في النّصّ المنقول، إيماناً منه بأنّ المترجِم هو مَن يقتدر على مراعاة الذوق في النّصّ الذي ينقل عنه، ولا ضير في أن يغيّر الاستعارة أو الكناية أو التشبيه في الأحاسيس وهو يترجم، وأن المترجم الحاذق هو مَن يقتدر على جعل النّقل أروع من الأصل، وأنّ يتصرّف في الترجمة تصرّفاً ضروريّاً، وإلّا لم يحقق من الترجمة ما ينبغي أن يحقق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ضوء ذلك قدّم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نماذج شعرية من الشّعر الأُردي والفارسي والتركي بقالب العروض العربيّة، لاجئاً إلى بحر الرَّمل حيناً وإلى المتقارب حيناً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مارس المترجمون العرب الترجمة، متوسلين بالترجمة المنظومة أو الموزونة، فسعياً إلى الاستجابة إلى قالب عروضي جامد ومحدد سلفاً، نجد الترجمة المنظومة مجبرة على محاكاة القالب والخضوع لسطوته، فتعمل على إطالة القول الشّعري أو إيجازه، على حساب بُنيته الأصلية، وبما أنّ النظم العروضية لمختلف اللغات هي بالأصل متمايزة، فإنّ الانتقال من أحدها إلى الآخر لا يمكن أن يتمّ دون أن يؤثر تأثيراً مباشراً في طبيعة الانفعال الشّعري وجودة المعنى اللذين تُنتجهما الترجمة</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وإذا ما أعدنا قراءة الترجمات التي قدمها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المصري هنا فإنّنا سنلاحظ بشكل جلي هذه الإعاقات التي ألحقتها الترجمة المنظومة بالشّعر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يُقلّل ما نقوله هنا من الجهد الكبير والجديد الذي بذله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في تأليف هذا الكتاب، ويكفيه فرادة أنّه الكتاب الأوّل في مجاله، وأنّ مؤلفه رحمة الله قد أتاح لقراء العربيّة فرصة الاطلاع على آداب أهملتْها الدراساتُ العربية، وشحّتْ مصادرُها في مكتبتها التخصصية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كان لهذا الكتاب رأيُه في نقل النّصوص الشّعرية من لغاتها الأصلية، وهو رأي موضع احترام وتقدير، يوافقه فيه كثير من المترجمين العرب، ولا تخلو النتيجة أيّاً كانت من جديد يجوس أرضاً جديدة</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0991_100596"/>
      <w:bookmarkStart w:id="303" w:name="pg10991_100596"/>
      <w:bookmarkEnd w:id="303"/>
    </w:p>
    <w:p>
      <w:pPr>
        <w:pStyle w:val="Heading3"/>
        <w:numPr>
          <w:ilvl w:val="2"/>
          <w:numId w:val="1"/>
        </w:numPr>
        <w:rPr/>
      </w:pPr>
      <w:bookmarkStart w:id="304" w:name="pg10991_100596"/>
      <w:bookmarkStart w:id="305" w:name="__RefHeading___Toc8288928_2870459653"/>
      <w:bookmarkStart w:id="306" w:name="_Toc107"/>
      <w:bookmarkEnd w:id="304"/>
      <w:bookmarkEnd w:id="305"/>
      <w:r>
        <w:rPr>
          <w:rtl w:val="true"/>
        </w:rPr>
        <w:t>النثر في ثورتي التوابين والمختار الثقفي وتأثره بالنص القرآني</w:t>
      </w:r>
      <w:bookmarkEnd w:id="306"/>
    </w:p>
    <w:p>
      <w:pPr>
        <w:pStyle w:val="Heading3"/>
        <w:numPr>
          <w:ilvl w:val="2"/>
          <w:numId w:val="1"/>
        </w:numPr>
        <w:rPr/>
      </w:pPr>
      <w:bookmarkStart w:id="307" w:name="__RefHeading___Toc8288930_2870459653"/>
      <w:bookmarkStart w:id="308" w:name="_Toc108"/>
      <w:bookmarkEnd w:id="307"/>
      <w:r>
        <w:rPr>
          <w:rtl w:val="true"/>
        </w:rPr>
        <w:t>د</w:t>
      </w:r>
      <w:r>
        <w:rPr>
          <w:rtl w:val="true"/>
        </w:rPr>
        <w:t xml:space="preserve">. </w:t>
      </w:r>
      <w:r>
        <w:rPr>
          <w:rtl w:val="true"/>
        </w:rPr>
        <w:t>هاشم الزرفي</w:t>
      </w:r>
      <w:bookmarkEnd w:id="30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الزرفي</w:t>
      </w:r>
      <w:r>
        <w:rPr>
          <w:rStyle w:val="FootnoteAnchor"/>
          <w:rtl w:val="true"/>
        </w:rPr>
        <w:footnoteReference w:id="284"/>
      </w:r>
    </w:p>
    <w:p>
      <w:pPr>
        <w:pStyle w:val="Heading3"/>
        <w:numPr>
          <w:ilvl w:val="2"/>
          <w:numId w:val="1"/>
        </w:numPr>
        <w:rPr/>
      </w:pPr>
      <w:bookmarkStart w:id="309" w:name="__RefHeading___Toc8288932_2870459653"/>
      <w:bookmarkStart w:id="310" w:name="_Toc109"/>
      <w:bookmarkEnd w:id="309"/>
      <w:r>
        <w:rPr>
          <w:rtl w:val="true"/>
        </w:rPr>
        <w:t>المقدمة</w:t>
      </w:r>
      <w:bookmarkEnd w:id="310"/>
    </w:p>
    <w:p>
      <w:pPr>
        <w:pStyle w:val="BookText"/>
        <w:rPr/>
      </w:pPr>
      <w:r>
        <w:rPr>
          <w:rFonts w:ascii="Amiri" w:hAnsi="Amiri" w:eastAsia="Amiri" w:cs="Amiri"/>
          <w:color w:val="111111"/>
          <w:sz w:val="28"/>
          <w:sz w:val="28"/>
          <w:szCs w:val="28"/>
          <w:rtl w:val="true"/>
          <w:lang w:bidi="ar-SA"/>
        </w:rPr>
        <w:t xml:space="preserve">تعددت الحركات النهضوية على مرّ العصور والأزمان، وتميّزت كُلّ واحدة عن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 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بمميزات تخصُّها، وتفاوتت هذه الخصائص بلحاظ الزمان والمكان والأشخاص، وكذلك من حيث الأهداف والمبادئ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امتازت الثَّورات الإسلاميّة العربيّة آنذاك بطريقتها في شحذ الهمم لبلوغ الغاية؛ حيث كانت الخطابة من أهمّ الطرق التي تساهم في النّصر عسكريّاً وإعلاميّاً، مستلهمين ذلك من سليقتهم العربية الصحيحة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استلهمت أيُّ ثورة وضعها المعنوي والحركي من منبع الإسلام الحقيقي وهو القران الكريم، فإنَّ ذلك سينعكس على واقعها، وخصوصاً في الخطابيات، ولو أُضيف لهذا الشعور بالمسؤولية والاعتراف بالتقصير والندم على أخطاء الماضي، فإنَّ </w:t>
      </w:r>
      <w:bookmarkStart w:id="311" w:name="pg10991_100598"/>
    </w:p>
    <w:p>
      <w:pPr>
        <w:pStyle w:val="BookText"/>
        <w:rPr/>
      </w:pPr>
      <w:bookmarkEnd w:id="311"/>
      <w:r>
        <w:rPr>
          <w:rFonts w:ascii="Amiri" w:hAnsi="Amiri" w:eastAsia="Amiri" w:cs="Amiri"/>
          <w:color w:val="111111"/>
          <w:sz w:val="28"/>
          <w:sz w:val="28"/>
          <w:szCs w:val="28"/>
          <w:rtl w:val="true"/>
          <w:lang w:bidi="ar-SA"/>
        </w:rPr>
        <w:t>وضعها سيزداد قوّة وإصراراً معنويّاً وخطابيّاً لتغيير المستقبل، وهذا ما حصل لثوار وقادة ثورة التوابين، وكذلك ثورة المختار في الجملة، وقد بانَ كُلّ ذلك على خطاباتهم وتأثرهم بالقران الكريم مع شعورهم بالمسؤولية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ومحور بحثنا هو دراسة هذه الخطابات وموادها، وطريقة نثرها، وأساليبها في التعبير، مستعينين ببعض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سنقسّم البحث على محورين رئيسين بعد ذكر تمهيد للبحث نتعرّف فيه على مفهوم النثر الفني ووظيفته، وسيتناول المحور الأوّل أنماط النثر الفني في ثورة التوابين وثورة المختار الثقفي، ونتحدث في المحور الثّاني عن أثر القران الكريم في ثورة التوابين وحركة المختار الثقفي</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8288934_2870459653"/>
      <w:bookmarkStart w:id="313" w:name="_Toc110"/>
      <w:bookmarkEnd w:id="312"/>
      <w:r>
        <w:rPr>
          <w:rtl w:val="true"/>
        </w:rPr>
        <w:t>تمهيد</w:t>
      </w:r>
      <w:r>
        <w:rPr>
          <w:rtl w:val="true"/>
        </w:rPr>
        <w:t xml:space="preserve">: </w:t>
      </w:r>
      <w:r>
        <w:rPr>
          <w:rtl w:val="true"/>
        </w:rPr>
        <w:t>النثر مفهومه ووظيفته</w:t>
      </w:r>
      <w:bookmarkEnd w:id="313"/>
    </w:p>
    <w:p>
      <w:pPr>
        <w:pStyle w:val="Heading3"/>
        <w:numPr>
          <w:ilvl w:val="2"/>
          <w:numId w:val="1"/>
        </w:numPr>
        <w:rPr/>
      </w:pPr>
      <w:bookmarkStart w:id="314" w:name="__RefHeading___Toc8288936_2870459653"/>
      <w:bookmarkStart w:id="315" w:name="_Toc111"/>
      <w:bookmarkEnd w:id="314"/>
      <w:r>
        <w:rPr>
          <w:rtl w:val="true"/>
        </w:rPr>
        <w:t>مفهوم النّثر</w:t>
      </w:r>
      <w:bookmarkEnd w:id="315"/>
    </w:p>
    <w:p>
      <w:pPr>
        <w:pStyle w:val="BookText"/>
        <w:rPr/>
      </w:pPr>
      <w:r>
        <w:rPr>
          <w:rFonts w:ascii="Amiri" w:hAnsi="Amiri" w:eastAsia="Amiri" w:cs="Amiri"/>
          <w:color w:val="111111"/>
          <w:sz w:val="28"/>
          <w:sz w:val="28"/>
          <w:szCs w:val="28"/>
          <w:rtl w:val="true"/>
          <w:lang w:bidi="ar-SA"/>
        </w:rPr>
        <w:t>النّثر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للفعل نثر بمعنى فرّق، ويأتي النّثار بمعنى النّثر، وهو الفتات المتناثرة من المائدة، جاء في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نثر الشيء نَثَرهُ ويَنثُره نثراً ونثاراً رماه متفرّقاً كنثره فانتثرَ وتنثّر وتناثر والنّثارة بالضّم والنّثر بالتّحريك ما تناثر منه، أو الأُولى تخصُّ ما ينتثر من المائدة فيؤكل للثّواب</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ويذكر الزمخشري في أساس البلاغة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يدلُّ على كثرة الكلام،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 ومذياع للأسرار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دخلت هذه اللفظة البيئة الثقافيّة الأدبيّة بنفس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والمتفرق من الكلام، ثم أخذت تقتصر على الكلام الأدبي الذي يرتفع على الكلام العادي في </w:t>
      </w:r>
      <w:bookmarkStart w:id="316" w:name="pg10991_100600"/>
    </w:p>
    <w:p>
      <w:pPr>
        <w:pStyle w:val="BookText"/>
        <w:rPr/>
      </w:pPr>
      <w:bookmarkEnd w:id="316"/>
      <w:r>
        <w:rPr>
          <w:rFonts w:ascii="Amiri" w:hAnsi="Amiri" w:eastAsia="Amiri" w:cs="Amiri"/>
          <w:color w:val="111111"/>
          <w:sz w:val="28"/>
          <w:sz w:val="28"/>
          <w:szCs w:val="28"/>
          <w:rtl w:val="true"/>
          <w:lang w:bidi="ar-SA"/>
        </w:rPr>
        <w:t>التّعبير والمعنى</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واستخدم النقّاد والأُدباء فيما بعد هذا اللفظ في المفهوم ذاته، فعرّفه الدكتور شوقي ضيف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الذي لم يُنظَّم في أوزان وقوافٍ، وهو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الضّرب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 العادي الذي يُقال في لغة التخاطب، وليست لهذا الضّرب قيمة أدبيَّة إلّا ما يجري فيه أحياناً من أمثال 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الضَّرب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 الذي يرتفع فيه أصحابه إلى لغة فيها فنّ ومهارة وبلاغة، وهذا الضرب هو الذي يُعْنى النقّاد في اللغات المختلفة ببحثه ودرسه وبيان ما مرَّ به من أحداث وأطوار، وما يمتاز به في كُلّ طور من صفات وخصائص، وهو يتفرّع إلى جدولين كبيرين، هما الخطابة والكتابة الفنيَّة، ويسمّيهما بعض الباحثين باسم النثر الفني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8288938_2870459653"/>
      <w:bookmarkStart w:id="318" w:name="_Toc112"/>
      <w:bookmarkEnd w:id="317"/>
      <w:r>
        <w:rPr>
          <w:rtl w:val="true"/>
        </w:rPr>
        <w:t>وظيفة النثر</w:t>
      </w:r>
      <w:bookmarkEnd w:id="318"/>
    </w:p>
    <w:p>
      <w:pPr>
        <w:pStyle w:val="BookText"/>
        <w:rPr/>
      </w:pPr>
      <w:r>
        <w:rPr>
          <w:rFonts w:ascii="Amiri" w:hAnsi="Amiri" w:eastAsia="Amiri" w:cs="Amiri"/>
          <w:color w:val="111111"/>
          <w:sz w:val="28"/>
          <w:sz w:val="28"/>
          <w:szCs w:val="28"/>
          <w:rtl w:val="true"/>
          <w:lang w:bidi="ar-SA"/>
        </w:rPr>
        <w:t>يقوم النثر الفني بإداء وظيفتين مهمّتين،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والإفادة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بعض النقَّاد بينهما، وذهب بعضهم إلى التفريق، فيما ذهب فريق ثالث إلى جانب الإفادة وحدها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الجمع بين اللّذة والإفادة يُعدُّ الأقرب إلى طبيعة الأدب، ونظرته إلى وظيفة النّثر الفنّي في التراث الأدبي؛ من الخطابة والرّسالة والمقامة التي تدور في إطار نفع المجتمع وخدمته؛ بإسهامها في التّعبير عن جوانبه الاجتماعيّة والدينيّة والسياسيّة والثقافيّة، وإلى جانب هذه الوظيفة فقد وفّت الكتابة بأشكالها المتعدَّدة بالحاجات </w:t>
      </w:r>
      <w:bookmarkStart w:id="319" w:name="pg10991_100603"/>
    </w:p>
    <w:p>
      <w:pPr>
        <w:pStyle w:val="BookText"/>
        <w:rPr/>
      </w:pPr>
      <w:bookmarkEnd w:id="319"/>
      <w:r>
        <w:rPr>
          <w:rFonts w:ascii="Amiri" w:hAnsi="Amiri" w:eastAsia="Amiri" w:cs="Amiri"/>
          <w:color w:val="111111"/>
          <w:sz w:val="28"/>
          <w:sz w:val="28"/>
          <w:szCs w:val="28"/>
          <w:rtl w:val="true"/>
          <w:lang w:bidi="ar-SA"/>
        </w:rPr>
        <w:t>الجماليّة التي تُحقّق المتعة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الإبانة الدلاليَّة الموجزة لمفهوم النثر ووظيفته سيمضي البحث لتتبع أنماط النثر الفنّي خطباً ورسائل، وعهوداً ووصايا، بأطوارها ومراحلها منذ العصر الجاهلي إلى ثورة التوابين وإمارة المختار الثقفي؛ لتسليط الضوء على مدى الرُّقي الفنّي الذي وصل إليه النثر في هاتين الحقبتين</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288940_2870459653"/>
      <w:bookmarkStart w:id="321" w:name="_Toc113"/>
      <w:bookmarkEnd w:id="320"/>
      <w:r>
        <w:rPr>
          <w:rtl w:val="true"/>
        </w:rPr>
        <w:t>المحور الأول</w:t>
      </w:r>
      <w:r>
        <w:rPr>
          <w:rtl w:val="true"/>
        </w:rPr>
        <w:t xml:space="preserve">: </w:t>
      </w:r>
      <w:r>
        <w:rPr>
          <w:rtl w:val="true"/>
        </w:rPr>
        <w:t>أنماط النثر الفنَّي في ثورة التوابين وإمارة المختار</w:t>
      </w:r>
      <w:bookmarkEnd w:id="321"/>
    </w:p>
    <w:p>
      <w:pPr>
        <w:pStyle w:val="BookText"/>
        <w:rPr/>
      </w:pPr>
      <w:r>
        <w:rPr>
          <w:rFonts w:ascii="Amiri" w:hAnsi="Amiri" w:eastAsia="Amiri" w:cs="Amiri"/>
          <w:color w:val="111111"/>
          <w:sz w:val="28"/>
          <w:sz w:val="28"/>
          <w:szCs w:val="28"/>
          <w:rtl w:val="true"/>
          <w:lang w:bidi="ar-SA"/>
        </w:rPr>
        <w:t>كان النثر الفنّي في هاتين الحقبتين ذا قصديّة عالية من ناحية الأُسلوب والأفكار؛ إذ وظّفه الخطباء والمترسّلون من أجل دعوتهم، فكان الخطيب أو المترسّل يستعين بكل قدراته اللّغويّة والأُسلوبيَّة وملكاته البيانيّة والبلاغيَّة من أجل التّأثير في السَّامعين، والأخذ بجوامع قلوبهم، فكان نتاجهم الأدبي يرتقي بحقٍّ إلى النَّمط العالي في الأداء، وهو ضرب يستحق أَنْ يُدرس دراسة أُسلوبيَّة من خلال تحليل وظائف أصواته وأبنيته وتراكيبه؛ لأنَّ وظيفة الأُسلوبية دراسة الاختيارات اللغوية الخاصَّة التي يستعملها المنشئ في النص، والتي يتميز بها من غيره من المنشئين</w:t>
      </w:r>
      <w:r>
        <w:rPr>
          <w:rStyle w:val="FootnoteAnchor"/>
          <w:rtl w:val="true"/>
        </w:rPr>
        <w:footnoteReference w:id="291"/>
      </w:r>
      <w:r>
        <w:rPr>
          <w:rFonts w:ascii="Amiri" w:hAnsi="Amiri" w:eastAsia="Amiri" w:cs="Amiri"/>
          <w:color w:val="111111"/>
          <w:sz w:val="28"/>
          <w:sz w:val="28"/>
          <w:szCs w:val="28"/>
          <w:rtl w:val="true"/>
          <w:lang w:bidi="ar-SA"/>
        </w:rPr>
        <w:t>، وفيما يلي نستعرض أنماط النثر في هاتين الثورتين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نتعرّف إلى أدبيات الإسلام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خطابة حُقبتي ثورة التوابين وإمارة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صُنعه للخطابة بعد ما كانت الخطب الجاهلية طاغية، وكيف </w:t>
      </w:r>
      <w:bookmarkStart w:id="322" w:name="pg10991_100605"/>
    </w:p>
    <w:p>
      <w:pPr>
        <w:pStyle w:val="BookText"/>
        <w:rPr/>
      </w:pPr>
      <w:bookmarkEnd w:id="322"/>
      <w:r>
        <w:rPr>
          <w:rFonts w:ascii="Amiri" w:hAnsi="Amiri" w:eastAsia="Amiri" w:cs="Amiri"/>
          <w:color w:val="111111"/>
          <w:sz w:val="28"/>
          <w:sz w:val="28"/>
          <w:szCs w:val="28"/>
          <w:rtl w:val="true"/>
          <w:lang w:bidi="ar-SA"/>
        </w:rPr>
        <w:t>أنه قد أزالها، بما فيها خُطب المفاخرات والخصومات، وسجع الكهّان ليُنذر بتحوُّل مهمّ في فنّ الخطابة الذي أصبح مسايراً للحياة الاجتماعية في عصر صدر الإسلام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288942_2870459653"/>
      <w:bookmarkStart w:id="324" w:name="_Toc114"/>
      <w:bookmarkEnd w:id="323"/>
      <w:r>
        <w:rPr>
          <w:rtl w:val="true"/>
        </w:rPr>
        <w:t>الخطابة في الإسلام</w:t>
      </w:r>
      <w:bookmarkEnd w:id="324"/>
    </w:p>
    <w:p>
      <w:pPr>
        <w:pStyle w:val="BookText"/>
        <w:rPr/>
      </w:pPr>
      <w:r>
        <w:rPr>
          <w:rFonts w:ascii="IRNazanin" w:hAnsi="IRNazanin" w:eastAsia="IRNazanin"/>
          <w:color w:val="111111"/>
          <w:sz w:val="28"/>
          <w:sz w:val="28"/>
          <w:szCs w:val="28"/>
          <w:rtl w:val="true"/>
          <w:lang w:bidi="fa-IR"/>
        </w:rPr>
        <w:t>عندما جاء الإسلام أوْلى المسلمون وفي مقدّمتهم الرسول الكريم محمد صلی الله علیه و اله الخطابة عناية خاصة، لما لها من سمات وخصائص تجعلها خير وسيلة من وسائل الدعوة إلى الإسلام؛ لأنها كانت تستوعب أُسلوب المناظرة والمناقشة، والمحاجّة والإقناع، وهذه كلها مهمّة في البيان والإبلاغ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هاجر الرسول الكريم صلی الله علیه و اله إلى المدينة أصبحت الخطابة من وسائل بيان التشريعات الإلهية، والوعظ والإرشاد وتنظيم حياة المسلمين، وعندها حظيت الخطابة في هذا العصر بالتطوُّر والازدهار مقارنة بحالها في عصر ما قبل الإسلام؛ إذ حدث تغيُّر وتحول في هيكلها وأساليبها ومعانيها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تلمّس الباحثون الأسباب التي أدّت إلى تطوّر الخطابة وازدهارها في هذا العصر فوجدوها تكمن في عدة أسباب،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الرسول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اتَّخذها بعد الهجرة أداة لإيضاح تعاليم الإسلام ووعظ المسلمين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أصبحت فرضاً مكتوباً في صلاة الجُمَع والعيدين، وفي مواسم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عَرَفَ العرب ضرباً مُنظَّماً من الخطابة الدينيَّة لم يكونوا يعرفونه في الجاهليَّة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كان لوجود القرآن الكريم الأثر الكبير الذي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تطوُّر الخطابة </w:t>
      </w:r>
    </w:p>
    <w:p>
      <w:pPr>
        <w:pStyle w:val="BookText"/>
        <w:rPr/>
      </w:pPr>
      <w:r>
        <w:rPr>
          <w:rFonts w:ascii="Amiri" w:hAnsi="Amiri" w:eastAsia="Amiri" w:cs="Amiri"/>
          <w:color w:val="111111"/>
          <w:sz w:val="28"/>
          <w:sz w:val="28"/>
          <w:szCs w:val="28"/>
          <w:rtl w:val="true"/>
          <w:lang w:bidi="ar-SA"/>
        </w:rPr>
        <w:t>وارتقائها في العصر الإسلامي وفي العصور التي تلته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تلكم الخصائص اشتمال الخطابة على الوحدة الموضوعية التي كان النثر الجاهلي يفتقر إليها،</w:t>
      </w:r>
    </w:p>
    <w:p>
      <w:pPr>
        <w:pStyle w:val="BookText"/>
        <w:rPr/>
      </w:pPr>
      <w:r>
        <w:rPr>
          <w:rFonts w:ascii="IRNazanin" w:hAnsi="IRNazanin" w:eastAsia="IRNazanin"/>
          <w:color w:val="111111"/>
          <w:sz w:val="28"/>
          <w:sz w:val="28"/>
          <w:szCs w:val="28"/>
          <w:rtl w:val="true"/>
          <w:lang w:bidi="fa-IR"/>
        </w:rPr>
        <w:t>فكان الخطيب يبدأ خطبته بالتحميد والثناء على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والصلاة على رسوله صلی الله علیه و اله </w:t>
      </w:r>
      <w:r>
        <w:rPr>
          <w:rStyle w:val="FootnoteAnchor"/>
          <w:rtl w:val="true"/>
        </w:rPr>
        <w:footnoteReference w:id="295"/>
      </w:r>
      <w:r>
        <w:rPr>
          <w:rFonts w:ascii="Amiri" w:hAnsi="Amiri" w:eastAsia="Amiri" w:cs="Amiri"/>
          <w:color w:val="111111"/>
          <w:sz w:val="28"/>
          <w:sz w:val="28"/>
          <w:szCs w:val="28"/>
          <w:rtl w:val="true"/>
          <w:lang w:bidi="ar-SA"/>
        </w:rPr>
        <w:t xml:space="preserve">، ويعقبها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إلى الغرض من خطبته، ولعلَّ هذه العبارة كانت مستمدَّة من خطب العصر الجاهلي</w:t>
      </w:r>
      <w:r>
        <w:rPr>
          <w:rStyle w:val="FootnoteAnchor"/>
          <w:rtl w:val="true"/>
        </w:rPr>
        <w:footnoteReference w:id="296"/>
      </w:r>
      <w:r>
        <w:rPr>
          <w:rFonts w:ascii="Amiri" w:hAnsi="Amiri" w:eastAsia="Amiri" w:cs="Amiri"/>
          <w:color w:val="111111"/>
          <w:sz w:val="28"/>
          <w:sz w:val="28"/>
          <w:szCs w:val="28"/>
          <w:rtl w:val="true"/>
          <w:lang w:bidi="ar-SA"/>
        </w:rPr>
        <w:t>، فيمكن عدّها تقليداً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أثّر القرآن الكريم في أدب صدر الإسلام بصورة عامّة من خُطب ورسائل، لذلك كان المنهل العذب الذي ترتوي الخطابة منه، وعندها اغترف الخطباء من معينه ووشّحوا كلامهم بلآلئ آياته فأخذوا يقتبسونها اقتباساً، ويحاكونها من حيث الأُسلوب والأفكار والمعاني، وهذا بحدّ ذاته تطوّر كبير لم يألف العرب قبل الإسلام مثله؛ لأنَّ الأسلوب القرآني قد امتاز بأجمل طابع، وأحكم صورة، وأروع سمت بما تهيأ له من حِكَم عالية، ومعان سامية، وحسن ارتباط بين المعاني، وعذوبة محببة في الألفاظ، ويكفي فيه أنَّه أُسلوب ربِّ العالمين وخالق الخلق أجمعين، جلّت قدرته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أثر القرآن الكريم في أدب صدر الإسلام بصورة عامة من شعر ونثر، وبذلك فإنَّ كلّ تغيير حدث في الأدب إنّما كان مصدره الأوَّل القرآن الكريم الذي كان وحده مصدر ثقافة المسلمين الدينيّة والعقلية والاجتماعية والأدبية، وهو الذي أحال خشونة الطباع عذوبةً وسلاسةً، وبدّل حُوشيَّة الألسنة سهولة ووضوحاً وبلاغة</w:t>
      </w:r>
      <w:r>
        <w:rPr>
          <w:rStyle w:val="FootnoteAnchor"/>
          <w:rtl w:val="true"/>
        </w:rPr>
        <w:footnoteReference w:id="298"/>
      </w:r>
      <w:r>
        <w:rPr>
          <w:rFonts w:ascii="Amiri" w:hAnsi="Amiri" w:eastAsia="Amiri" w:cs="Amiri"/>
          <w:color w:val="111111"/>
          <w:sz w:val="28"/>
          <w:sz w:val="28"/>
          <w:szCs w:val="28"/>
          <w:rtl w:val="true"/>
          <w:lang w:bidi="ar-SA"/>
        </w:rPr>
        <w:t>، كما أنَّه أثَّر في أدب العصور الأُخرى التي تلته</w:t>
      </w:r>
      <w:r>
        <w:rPr>
          <w:rFonts w:eastAsia="Amiri" w:cs="Amiri" w:ascii="Amiri" w:hAnsi="Amiri"/>
          <w:color w:val="111111"/>
          <w:sz w:val="28"/>
          <w:szCs w:val="28"/>
          <w:rtl w:val="true"/>
          <w:lang w:bidi="ar-SA"/>
        </w:rPr>
        <w:t xml:space="preserve">. </w:t>
      </w:r>
      <w:bookmarkStart w:id="325" w:name="pg10991_100609"/>
    </w:p>
    <w:p>
      <w:pPr>
        <w:pStyle w:val="Heading3"/>
        <w:numPr>
          <w:ilvl w:val="2"/>
          <w:numId w:val="1"/>
        </w:numPr>
        <w:rPr/>
      </w:pPr>
      <w:bookmarkStart w:id="326" w:name="__RefHeading___Toc8288944_2870459653"/>
      <w:bookmarkStart w:id="327" w:name="_Toc115"/>
      <w:bookmarkEnd w:id="325"/>
      <w:bookmarkEnd w:id="326"/>
      <w:r>
        <w:rPr>
          <w:rtl w:val="true"/>
        </w:rPr>
        <w:t>الخطابة في ثورة التَّوابين وإمارة المختار</w:t>
      </w:r>
      <w:bookmarkEnd w:id="327"/>
    </w:p>
    <w:p>
      <w:pPr>
        <w:pStyle w:val="BookText"/>
        <w:rPr/>
      </w:pPr>
      <w:r>
        <w:rPr>
          <w:rFonts w:ascii="Amiri" w:hAnsi="Amiri" w:eastAsia="Amiri" w:cs="Amiri"/>
          <w:color w:val="111111"/>
          <w:sz w:val="28"/>
          <w:sz w:val="28"/>
          <w:szCs w:val="28"/>
          <w:rtl w:val="true"/>
          <w:lang w:bidi="ar-SA"/>
        </w:rPr>
        <w:t>ازدهرت الخطابة في العصر الأُموي ازدهاراً واسعاً، وكان وراء هذا الازدهار عدَّة أسباب مختلفة؛ منها السياسي، والديني، والعقلي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شهد العصر تأسيس المدارس الدينيّة في مختلف البلدان الإسلاميّة، ليتعلَّم الناس فيها أُصول دينهم وفروعه، وكان العلماء القائمون عليها كثيراً ما يتحاورون في وجهات نظرهم</w:t>
      </w:r>
      <w:r>
        <w:rPr>
          <w:rStyle w:val="FootnoteAnchor"/>
          <w:rtl w:val="true"/>
        </w:rPr>
        <w:footnoteReference w:id="300"/>
      </w:r>
      <w:r>
        <w:rPr>
          <w:rFonts w:ascii="Amiri" w:hAnsi="Amiri" w:eastAsia="Amiri" w:cs="Amiri"/>
          <w:color w:val="111111"/>
          <w:sz w:val="28"/>
          <w:sz w:val="28"/>
          <w:szCs w:val="28"/>
          <w:rtl w:val="true"/>
          <w:lang w:bidi="ar-SA"/>
        </w:rPr>
        <w:t xml:space="preserve">، ولم تلبث أن تمخَّضت عن ذلك الجدال فرق متعدَّدة ومذاهب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باعثاً على ظهور المناظرات، وهي فرعٌ مهمٌ من فروع الخطابة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العقلي، فمرده إلى عناصر الثقافات الأجنبية التي أخذ العقل العربي ينهل منها منذ هذا العصر؛ ممّا فتق فيه الحجاج والجدل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السبب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أدى إلى ازدهار الخطابة على نحو ملحوظ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السبب السياسي المتمثل بكثرة الأحزاب السياسيّة التي عارضت الدولة الأُموية؛ ممّا أسفر عن توالي الثورات ضد هذه الدولة، فهناك النظرية الحقة التي ترى أن الخلافة حق الهي اختاره الله تعالى لأهل بيت الرسول صلی الله علیه و اله ، وهم الورثة الحقيقيون وفقاً للقرآن والسنّة، وفي مقابل ذلك يرى الحزب الزبيري أنَّ الخلافة تقع في قريش، ويجب أن تكون في أحد أبناء أكبر الصحابة؛ وصاروا يدعون لابن الزبير، في حين ظهرت جماعة أُخرى ترى أنَّ الخلافة حق مطلق لعامة المسلمين، فهي لا تقتصر على فئة دون أُخرى، وهذه الجماعة </w:t>
      </w:r>
    </w:p>
    <w:p>
      <w:pPr>
        <w:pStyle w:val="BookText"/>
        <w:rPr/>
      </w:pPr>
      <w:r>
        <w:rPr>
          <w:rFonts w:ascii="Amiri" w:hAnsi="Amiri" w:eastAsia="Amiri" w:cs="Amiri"/>
          <w:color w:val="111111"/>
          <w:sz w:val="28"/>
          <w:sz w:val="28"/>
          <w:szCs w:val="28"/>
          <w:rtl w:val="true"/>
          <w:lang w:bidi="ar-SA"/>
        </w:rPr>
        <w:t>هم الخوارج، وظهر غير هذه الجماعات كثيرٌ ممن عارض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يكون لكل فرقة من هذه الفرق شعراء أو خطباء يدافعون عن قضيَّتهم، ويدحضون آراء خصومهم،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هناك حزب ولا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أو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وخطباء كثيرون ينبرون للترويج لهذا الحزب، أو تلك الثورة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حُقبتي التوابين والمختار تقع ضمن هذا العصر؛ فإنَّ السبب السياسي الذي ذكرناه هو الذي أدّى إلى ظهور النثر بصورة عامة من خُطب ورسائل، بل إنَّ النثر الفني فيهما هو وليد التحولات السياسيّة التي شهدتها تلكم الحقبتان والعصر الأُموي بصورة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ثورة التوابين، فإنَّ البحث قد عرض لأسباب ظهورها، وهي الممارسة القمعية للأُمويين تجاه آل بيت الرسول صلی الله علیه و اله ، وإقدامهم على قتل الإمام الحسين علیه السلام وأهل بيته، بصورة وحشيَّة يندى لها جبين التاريخ، فشعرت جماعة بعد مقتله علیه السلام بالندم؛ لأنَّهم كانوا قد دعوه للخروج إليهم ووعدوه المناصرة والبيعة ولم يوفوا بوعودهم، فلاحظ بعضهم أنَّ هناك شبهاً عظيماً بينهم وبين توابي بني إسرائيل؛ فتدبَّروا أمرهم، وأخذوا يهيئون لحركة يتوبون بها، وبدأت حركتهم سريَّة، فجمعوا الأنصار معتمدين بما لهم من قدرة على الإقناع والبيان، حيث كان في زعمائهم الخطيب والشاعر والدَّاعية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تجمّع هؤلاء القوم وألقى كل واحد منهم خطبة خيّم طابع الندم عليها، كما أنّ خُطبهم لم تقتصر على تجمعاتهم، بل كانت موزَّعة على فترات اجتماعهم إلى ساعة استشهادهم، ومن الطبيعي أن يكون للطرف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أيضاً، فكانت تلك الخطب موزّعة بين التوابين ومناوئيهم وفقاً لتدرجها الزمني وعلى النحو الآتي</w:t>
      </w:r>
      <w:r>
        <w:rPr>
          <w:rFonts w:eastAsia="Amiri" w:cs="Amiri" w:ascii="Amiri" w:hAnsi="Amiri"/>
          <w:color w:val="111111"/>
          <w:sz w:val="28"/>
          <w:szCs w:val="28"/>
          <w:rtl w:val="true"/>
          <w:lang w:bidi="ar-SA"/>
        </w:rPr>
        <w:t xml:space="preserve">: </w:t>
      </w:r>
      <w:bookmarkStart w:id="328" w:name="pg10991_100613"/>
    </w:p>
    <w:p>
      <w:pPr>
        <w:pStyle w:val="Heading3"/>
        <w:numPr>
          <w:ilvl w:val="2"/>
          <w:numId w:val="1"/>
        </w:numPr>
        <w:rPr/>
      </w:pPr>
      <w:bookmarkStart w:id="329" w:name="__RefHeading___Toc8288946_2870459653"/>
      <w:bookmarkStart w:id="330" w:name="_Toc116"/>
      <w:bookmarkEnd w:id="328"/>
      <w:bookmarkEnd w:id="329"/>
      <w:r>
        <w:rPr>
          <w:rtl w:val="true"/>
        </w:rPr>
        <w:t>الفريق الأول</w:t>
      </w:r>
      <w:r>
        <w:rPr>
          <w:rtl w:val="true"/>
        </w:rPr>
        <w:t>: (</w:t>
      </w:r>
      <w:r>
        <w:rPr>
          <w:rtl w:val="true"/>
        </w:rPr>
        <w:t>التوابون وأنصارُهم</w:t>
      </w:r>
      <w:r>
        <w:rPr>
          <w:rtl w:val="true"/>
        </w:rPr>
        <w:t xml:space="preserve">) </w:t>
      </w:r>
      <w:r>
        <w:rPr>
          <w:rtl w:val="true"/>
        </w:rPr>
        <w:t>وهم</w:t>
      </w:r>
      <w:r>
        <w:rPr>
          <w:rtl w:val="true"/>
        </w:rPr>
        <w:t>:</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نجبة الفزاري، من رؤوس التوابين، وله خطبتان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شداد البجلي، من رؤوس التوابين،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من رؤوس التوابين، وله خمس 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وال التميمي، من رؤوس التوابين،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نفيل، من رؤوس التوابين،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سعد بن نفيل،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الحنظل الطائي، وله خطبة واحدة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حذيفة بن اليمان،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المري،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صخير بن حذيفة بن هلال، وله خطبة واحدة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8288948_2870459653"/>
      <w:bookmarkStart w:id="332" w:name="_Toc117"/>
      <w:bookmarkEnd w:id="331"/>
      <w:r>
        <w:rPr>
          <w:rtl w:val="true"/>
        </w:rPr>
        <w:t>الفريق الثاني</w:t>
      </w:r>
      <w:r>
        <w:rPr>
          <w:rtl w:val="true"/>
        </w:rPr>
        <w:t>: (</w:t>
      </w:r>
      <w:r>
        <w:rPr>
          <w:rtl w:val="true"/>
        </w:rPr>
        <w:t>المناوئون</w:t>
      </w:r>
      <w:r>
        <w:rPr>
          <w:rtl w:val="true"/>
        </w:rPr>
        <w:t xml:space="preserve">) </w:t>
      </w:r>
      <w:r>
        <w:rPr>
          <w:rtl w:val="true"/>
        </w:rPr>
        <w:t>وهم</w:t>
      </w:r>
      <w:r>
        <w:rPr>
          <w:rtl w:val="true"/>
        </w:rPr>
        <w:t>:</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الوالي الزبيري على الكوفة، وله خطبتان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طلحة، الوالي الزبيري على خراج الكوفة،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خليفة أُموي في الشام، وله خطبة وحدة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الخطب الخاصَّة بالتوابين تتراوح بين الطّول والقصر، بحسب الحاجة والمقام، فقد يطول بعضها لحاجة الخطيب إلى التفصيل والتماس الحجج وضرب الأمثال، حتّى يتمَّ له إقناع الجمهور، وهذا واضح في خطبتي عبيد الله المري، والمسيب بن نجبة الفزاري، وخطبة ابن صُرَد الأُولى</w:t>
      </w:r>
      <w:r>
        <w:rPr>
          <w:rStyle w:val="FootnoteAnchor"/>
          <w:rtl w:val="true"/>
        </w:rPr>
        <w:footnoteReference w:id="305"/>
      </w:r>
      <w:r>
        <w:rPr>
          <w:rFonts w:ascii="Amiri" w:hAnsi="Amiri" w:eastAsia="Amiri" w:cs="Amiri"/>
          <w:color w:val="111111"/>
          <w:sz w:val="28"/>
          <w:sz w:val="28"/>
          <w:szCs w:val="28"/>
          <w:rtl w:val="true"/>
          <w:lang w:bidi="ar-SA"/>
        </w:rPr>
        <w:t xml:space="preserve">، وقد تقصر الخطب كثيراً حتَّى </w:t>
      </w:r>
      <w:bookmarkStart w:id="333" w:name="pg10991_100615"/>
    </w:p>
    <w:p>
      <w:pPr>
        <w:pStyle w:val="BookText"/>
        <w:rPr/>
      </w:pPr>
      <w:bookmarkEnd w:id="333"/>
      <w:r>
        <w:rPr>
          <w:rFonts w:ascii="Amiri" w:hAnsi="Amiri" w:eastAsia="Amiri" w:cs="Amiri"/>
          <w:color w:val="111111"/>
          <w:sz w:val="28"/>
          <w:sz w:val="28"/>
          <w:szCs w:val="28"/>
          <w:rtl w:val="true"/>
          <w:lang w:bidi="ar-SA"/>
        </w:rPr>
        <w:t>تكاد تكون رأياً من الآراء يُبديه الخطيب في أمر يعرضه لأصحابه، وهذا كما في خطبة ابن صُرَد الخامسة، أو خطبة عبد الله بن الحنظل الطائي التي لم تتجاوز بضع كلمات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الخطابة في إمارة المختار الثقفي، فبلغت اثنتين وعشرين خطبة، وهي كذلك موزَّعة بين المختار ومناصريه من جهة، ومناوئيه من جهة أُخرى،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الثقفي، وله عشر 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شريح، مناصر، وله ثلاث 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وله خطبتان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أنس، وله خطبة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الأشتر، وله خطبتان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المناوئون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مطيع، الوالي الزبيري على الكوفة، وله ثلاث 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الزبير، الوالي الزبيري على البصرة، وله خطبة واحدة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8288950_2870459653"/>
      <w:bookmarkStart w:id="335" w:name="_Toc118"/>
      <w:bookmarkEnd w:id="334"/>
      <w:r>
        <w:rPr>
          <w:rtl w:val="true"/>
        </w:rPr>
        <w:t>النمط الثاني</w:t>
      </w:r>
      <w:r>
        <w:rPr>
          <w:rtl w:val="true"/>
        </w:rPr>
        <w:t xml:space="preserve">: </w:t>
      </w:r>
      <w:r>
        <w:rPr>
          <w:rtl w:val="true"/>
        </w:rPr>
        <w:t>الرسائل الفنيّة</w:t>
      </w:r>
      <w:bookmarkEnd w:id="335"/>
    </w:p>
    <w:p>
      <w:pPr>
        <w:pStyle w:val="BookText"/>
        <w:rPr/>
      </w:pPr>
      <w:r>
        <w:rPr>
          <w:rFonts w:ascii="Amiri" w:hAnsi="Amiri" w:eastAsia="Amiri" w:cs="Amiri"/>
          <w:color w:val="111111"/>
          <w:sz w:val="28"/>
          <w:sz w:val="28"/>
          <w:szCs w:val="28"/>
          <w:rtl w:val="true"/>
          <w:lang w:bidi="ar-SA"/>
        </w:rPr>
        <w:t>لنستوضح كيفية الرسائل الفنيّة التي كانت في زمن الجاهلية، وعصر صدر الإسلام، ومن ثمّ نُعرّج على رسائل أصحاب ثورة التوابين، وكذلك الرسائل الفنيّة للمختار الثقفي آنذاك</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288952_2870459653"/>
      <w:bookmarkStart w:id="337" w:name="_Toc119"/>
      <w:bookmarkEnd w:id="336"/>
      <w:r>
        <w:rPr>
          <w:rtl w:val="true"/>
        </w:rPr>
        <w:t>الرَّسائل الفنيّة بين الجاهليَّة وعصر صدر الإسلام</w:t>
      </w:r>
      <w:bookmarkEnd w:id="3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توجد بين أيدي الباحثين وثائق صحيحة تدلُّ على أنَّ الجاهليين عرفوا الرَّسائل الأدبية وتداولوها، وهذا لا يعني أنَّهم لم يعرفوا الكتابة، فالكتابة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رسماً وخطَّاً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معروفة لدى العرب قبل الإسلام، وهي لا ترقى إلى ما قبل مائة وخمسين عاماً، فوجودها مقرون بوجود الشعر، إذ إنَّهما جناحان لطائر الكلمة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فالكتابة معروفة آنذاك إلّا أنَّ صعوبة وسائلها جعلتهم لا يعتمدونها في الأغراض الأدبيَّة والنثريَّة والشعريَّة،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استخدموها فقط في الأغراض السّياسيَّة والتّجاريَّة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وكانت رسائلهم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فيها الإرسال وتتَّصف بالإيجاز والوضوح والصدق</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وصلنا إلى العصر الإسلامي، فإنَّنا نجد أنَّ الرَّسائل قد لقيت حظَّاً من الاهتمام من لدُن الرَّسول صلی الله علیه و اله ، فقد كان الرَّسول الكريم صلی الله علیه و اله يكاتب الملوك والأُمراء بكثير من الرسائل، ويدعوهم فيها إلى الإسلام الحنيف</w:t>
      </w:r>
      <w:r>
        <w:rPr>
          <w:rStyle w:val="FootnoteAnchor"/>
          <w:rtl w:val="true"/>
        </w:rPr>
        <w:footnoteReference w:id="310"/>
      </w:r>
      <w:r>
        <w:rPr>
          <w:rFonts w:ascii="IRNazanin" w:hAnsi="IRNazanin" w:eastAsia="IRNazanin"/>
          <w:color w:val="111111"/>
          <w:sz w:val="28"/>
          <w:sz w:val="28"/>
          <w:szCs w:val="28"/>
          <w:rtl w:val="true"/>
          <w:lang w:bidi="fa-IR"/>
        </w:rPr>
        <w:t>، وكان كثيراً ما يكتب عهود الأمان والمعاهدات بينه وبين المشركين أو غيرهم من الديانات الأُخرى، وكان صلی الله علیه و اله في معظم هذه الرَّسائل أو العهود لا يعتني بتحبير أو تزويق فنّي، بل كان يؤدي غرضاً سياسيَّاً في صورة موجزة من غير تكلّف أو صنعة</w:t>
      </w:r>
      <w:r>
        <w:rPr>
          <w:rStyle w:val="FootnoteAnchor"/>
          <w:rtl w:val="true"/>
        </w:rPr>
        <w:footnoteReference w:id="311"/>
      </w:r>
      <w:r>
        <w:rPr>
          <w:rFonts w:ascii="Amiri" w:hAnsi="Amiri" w:eastAsia="Amiri" w:cs="Amiri"/>
          <w:color w:val="111111"/>
          <w:sz w:val="28"/>
          <w:sz w:val="28"/>
          <w:szCs w:val="28"/>
          <w:rtl w:val="true"/>
          <w:lang w:bidi="ar-SA"/>
        </w:rPr>
        <w:t xml:space="preserve">، وهي بذلك قد خلت من السَّجع والبديع اللّفظي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لغة المحادثة والتَّخاطب</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الحال في الحقبة التي تلت زمن النبي الأعظم صلی الله علیه و اله ، إذ لم يُطلب في الرسائل التي كتبها الحكّام آنذاك أيّ ضربٍ من ضروب التَّزيين والتَّنميق، فهي كالرَّسائل التي عهدناها في حياة الرَّسول صلی الله علیه و اله ، رسائل أدَّت دورها ببساطةٍ ويُسْرِ على المستوى </w:t>
      </w:r>
      <w:bookmarkStart w:id="338" w:name="pg10991_100619"/>
    </w:p>
    <w:p>
      <w:pPr>
        <w:pStyle w:val="BookText"/>
        <w:rPr/>
      </w:pPr>
      <w:bookmarkEnd w:id="338"/>
      <w:r>
        <w:rPr>
          <w:rFonts w:ascii="Amiri" w:hAnsi="Amiri" w:eastAsia="Amiri" w:cs="Amiri"/>
          <w:color w:val="111111"/>
          <w:sz w:val="28"/>
          <w:sz w:val="28"/>
          <w:szCs w:val="28"/>
          <w:rtl w:val="true"/>
          <w:lang w:bidi="ar-SA"/>
        </w:rPr>
        <w:t>اللّغويّ دون صنعةٍ ولا غموض ولا كهانةٍ ولا لبسٍ</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8288954_2870459653"/>
      <w:bookmarkStart w:id="340" w:name="_Toc120"/>
      <w:bookmarkEnd w:id="339"/>
      <w:r>
        <w:rPr>
          <w:rtl w:val="true"/>
        </w:rPr>
        <w:t>الرَّسائل الفنيّة في ثورة التَّوابين وإمارة المختار</w:t>
      </w:r>
      <w:bookmarkEnd w:id="340"/>
    </w:p>
    <w:p>
      <w:pPr>
        <w:pStyle w:val="BookText"/>
        <w:rPr/>
      </w:pPr>
      <w:r>
        <w:rPr>
          <w:rFonts w:ascii="Amiri" w:hAnsi="Amiri" w:eastAsia="Amiri" w:cs="Amiri"/>
          <w:color w:val="111111"/>
          <w:sz w:val="28"/>
          <w:sz w:val="28"/>
          <w:szCs w:val="28"/>
          <w:rtl w:val="true"/>
          <w:lang w:bidi="ar-SA"/>
        </w:rPr>
        <w:t>تميَّزت الرَّسائل في العصر الأُموي بكثيرٍ من الخصائص الأُسلوبيَّة والسّمات الفنيَّة، وهذه الخصائص والسّمات كانت امتداداً لرسائل عصر صدر الإسلام، فقد توافقت في شكلها العام من حيث البناء ومن حيث بعض الأساليب الفنية</w:t>
      </w:r>
      <w:r>
        <w:rPr>
          <w:rStyle w:val="FootnoteAnchor"/>
          <w:rtl w:val="true"/>
        </w:rPr>
        <w:footnoteReference w:id="314"/>
      </w:r>
      <w:r>
        <w:rPr>
          <w:rFonts w:ascii="Amiri" w:hAnsi="Amiri" w:eastAsia="Amiri" w:cs="Amiri"/>
          <w:color w:val="111111"/>
          <w:sz w:val="28"/>
          <w:sz w:val="28"/>
          <w:szCs w:val="28"/>
          <w:rtl w:val="true"/>
          <w:lang w:bidi="ar-SA"/>
        </w:rPr>
        <w:t>، ولكن سمات التَّطور والإنضاج الفنّي ما لبثت أنْ طرأت على كثير من تلك الرَّسائل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هناك العديد من العوامل التي أدَّت إلى هذا التَّطور الفنِّي،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 مواضيع الرَّسائل، وتنوّع أغراضها، وتولّي الكتّاب إنشاء رسائلهم بأُسلوبهم الفصيح، وكان الكتّاب قد حظوا بالمكانة الرفيعة من الحكّام؛ الأمر الذي جعلهم يتنافسون فيما بينهم في الافتنان بأساليب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لأُسلوب القرآن الكريم في نفوس هؤلاء أثره البالغ، حتى أصبح المَعين الذي تنهل منه الرَّسائل كثيراً من معانيها وصورها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العوامل أدَّت إلى تطوّر فنّ الرَّسائل في هذا العصر؛ مما جعلها تتميز بعدَّة خصائص أُسلوبيَّة يجب أن نُشير إليها؛ لأنّ هذه الخصائص هي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الفنّ التَّرسُّلي في حُقبتي التَّوابين والمختار، ومن هذه الخصائص ما يلي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استعمال السجع وتعمّده أحياناً، وهذا الملمح مهمٌّ جدَّاً في رسائل هذا العصر؛ لأنَّه يدلُّ على إنضاجها وتطوّرها، وقد اتضح ذلك كثيراً في المكاتبات الفنيّة </w:t>
      </w:r>
    </w:p>
    <w:p>
      <w:pPr>
        <w:pStyle w:val="BookText"/>
        <w:rPr/>
      </w:pPr>
      <w:r>
        <w:rPr>
          <w:rFonts w:ascii="Amiri" w:hAnsi="Amiri" w:eastAsia="Amiri" w:cs="Amiri"/>
          <w:color w:val="111111"/>
          <w:sz w:val="28"/>
          <w:sz w:val="28"/>
          <w:szCs w:val="28"/>
          <w:rtl w:val="true"/>
          <w:lang w:bidi="ar-SA"/>
        </w:rPr>
        <w:t>الرَّسمية وغير الرَّسمية، إذ حرص بعض المترسّلين على تعمّد استعمال حلية السَّجع لما يحقّقه من تنغيم وإيقاع في رسائلهم، وخير من مثّل هذا الجانب المختار بن أبي عبيد؛ لأنَّه تعمّد ذلك في مكاتباته وخُطبه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اتّشاح الرَّسائل بغريب اللّفظ، وهذا من السّمات الأُسلوبيَّة التي تميَّزت بها رسائل هذا العصر، بل هي ظاهرة دلَّت على التّأنّق والإعداد لرسائل العصر الأُموي، وتتمثَّل هذه الميزة الأُسلوبيّة كثيراً في بعض رسائل المختار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والتنغيم الموسيقي؛ إذ حرص المنشئون على إظهار عناصر الإيقاع وألوان التَّنغيم الصَّوتي؛ كي يجعلوا نثرهم بالموقع الذي تهشُّ إليه النَّفس، فعمدوا إلى تحقيق هذه الغاية باستعمال صيغ معيَّنه، والجنوح إلى التَّوازن والتَّرادف وغيرها، وهذا واضح في معظم رسائل هاتين الحقبتين، كما في رسالة ابن صُرَد إلى سعد بن حذيفة، ورسالة المختار إلى الأحنف بن قيس</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الجنوح إلى الإطناب وبسط المعاني وتفريعها، وهذا ما تمثَّل في رسالة سليمان بن صُرَد إلى سعد بن حذيفة بن اليمان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التَّحميدات في فصول الرَّسائل، ويقصد بالتَّحميدات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الثَّناء والحمد 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وهي ظاهرة فنيَّة متأتّية من العصر الإسلامي، بل سمة واضحة في جميع الرَّسائل التي احتوتها هاتان الحقبتان، وهكذا تكون الرَّسائل التي وصلت إلينا من هاتين الحقبتين غير مختلفة في طابعها عن خصائص الرَّسائل في العصر الأُموي؛ فالرَّسائل التي وصلت إلينا من حُقبة التَّوابين خمس رسائل، وهي على النحو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رسالتان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حذيفة اليمان، 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بن محزبة العبدي، 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حُقبة المختار الثقفي، فقد أُثِر عنها ثماني عشرة رسالة، بحسب ما روتها كتب التاريخ، وكانت هذه الرَّسائل موزَّعة بين المختار ومناصريه ومناوئيه، وهذه الرَّسائل قد توزَّعت بحسب تدرَّجها الزَّمني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أبي عبيد الثقفي، اثنتا عشرة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ثلاث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سعيد بن قيس</w:t>
      </w:r>
      <w:r>
        <w:rPr>
          <w:rStyle w:val="FootnoteAnchor"/>
          <w:rtl w:val="true"/>
        </w:rPr>
        <w:footnoteReference w:id="318"/>
      </w:r>
      <w:r>
        <w:rPr>
          <w:rFonts w:ascii="Amiri" w:hAnsi="Amiri" w:eastAsia="Amiri" w:cs="Amiri"/>
          <w:color w:val="111111"/>
          <w:sz w:val="28"/>
          <w:sz w:val="28"/>
          <w:szCs w:val="28"/>
          <w:rtl w:val="true"/>
          <w:lang w:bidi="ar-SA"/>
        </w:rPr>
        <w:t>، 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رسالة واحدة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تفاوتت هذه الرَّسائل كذلك من حيث الطّول والقصر، فقد تكون الرّسالة قصيرة جدَّاً كما في رسالة المختار إلى عبد الله بن عمر</w:t>
      </w:r>
      <w:r>
        <w:rPr>
          <w:rStyle w:val="FootnoteAnchor"/>
          <w:rtl w:val="true"/>
        </w:rPr>
        <w:footnoteReference w:id="319"/>
      </w:r>
      <w:r>
        <w:rPr>
          <w:rFonts w:ascii="Amiri" w:hAnsi="Amiri" w:eastAsia="Amiri" w:cs="Amiri"/>
          <w:color w:val="111111"/>
          <w:sz w:val="28"/>
          <w:sz w:val="28"/>
          <w:szCs w:val="28"/>
          <w:rtl w:val="true"/>
          <w:lang w:bidi="ar-SA"/>
        </w:rPr>
        <w:t>، ورسالة الأخير إلى عبد الله بن يزيد وإبراهيم بن طلحة</w:t>
      </w:r>
      <w:r>
        <w:rPr>
          <w:rStyle w:val="FootnoteAnchor"/>
          <w:rtl w:val="true"/>
        </w:rPr>
        <w:footnoteReference w:id="320"/>
      </w:r>
      <w:r>
        <w:rPr>
          <w:rFonts w:ascii="Amiri" w:hAnsi="Amiri" w:eastAsia="Amiri" w:cs="Amiri"/>
          <w:color w:val="111111"/>
          <w:sz w:val="28"/>
          <w:sz w:val="28"/>
          <w:szCs w:val="28"/>
          <w:rtl w:val="true"/>
          <w:lang w:bidi="ar-SA"/>
        </w:rPr>
        <w:t>، وكذلك رسالة عبد الرحمن بن سعيد إلى المختار وردّ المختار عليه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41" w:name="pg10991_100625"/>
    </w:p>
    <w:p>
      <w:pPr>
        <w:pStyle w:val="BookText"/>
        <w:rPr/>
      </w:pPr>
      <w:bookmarkEnd w:id="341"/>
      <w:r>
        <w:rPr>
          <w:rFonts w:ascii="Amiri" w:hAnsi="Amiri" w:eastAsia="Amiri" w:cs="Amiri"/>
          <w:color w:val="111111"/>
          <w:sz w:val="28"/>
          <w:sz w:val="28"/>
          <w:szCs w:val="28"/>
          <w:rtl w:val="true"/>
          <w:lang w:bidi="ar-SA"/>
        </w:rPr>
        <w:t>وقد تقتصر هذه الرَّسائل حتَّى تتحوَّل إلى إشارة خاطفة، أو رأي من الآراء، أو توجيه يوجهه المرسل، كما في رسالة المختار إلى عبد الرحمن بن سعيد التي لم تتجاوز بعضاً من الكلمات</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يعود إلى الظروف المحيطة بكلٍّ من المرسل والمرسل إليه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288956_2870459653"/>
      <w:bookmarkStart w:id="343" w:name="_Toc121"/>
      <w:bookmarkEnd w:id="342"/>
      <w:r>
        <w:rPr>
          <w:rtl w:val="true"/>
        </w:rPr>
        <w:t>النمط الثالث</w:t>
      </w:r>
      <w:r>
        <w:rPr>
          <w:rtl w:val="true"/>
        </w:rPr>
        <w:t xml:space="preserve">: </w:t>
      </w:r>
      <w:r>
        <w:rPr>
          <w:rtl w:val="true"/>
        </w:rPr>
        <w:t>العهود والوصايا في ثورة التوابين وإمارة المختار</w:t>
      </w:r>
      <w:bookmarkEnd w:id="343"/>
    </w:p>
    <w:p>
      <w:pPr>
        <w:pStyle w:val="BookText"/>
        <w:rPr/>
      </w:pPr>
      <w:r>
        <w:rPr>
          <w:rFonts w:ascii="Amiri" w:hAnsi="Amiri" w:eastAsia="Amiri" w:cs="Amiri"/>
          <w:color w:val="111111"/>
          <w:sz w:val="28"/>
          <w:sz w:val="28"/>
          <w:szCs w:val="28"/>
          <w:rtl w:val="true"/>
          <w:lang w:bidi="ar-SA"/>
        </w:rPr>
        <w:t>تُعرف العهود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تكاليف تجيء في صَفِّ المبايعات، ومرابط المواثيق، يُقصد بها ضمان القول بالاتفاق، والتَّعاون، والنّصرة، أو التَّهادُن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وُجِدَت العهود في العصر الجاهلي على شكل نوع من التَّحالف بين القبائل</w:t>
      </w:r>
      <w:r>
        <w:rPr>
          <w:rStyle w:val="FootnoteAnchor"/>
          <w:rtl w:val="true"/>
        </w:rPr>
        <w:footnoteReference w:id="324"/>
      </w:r>
      <w:r>
        <w:rPr>
          <w:rFonts w:ascii="IRNazanin" w:hAnsi="IRNazanin" w:eastAsia="IRNazanin"/>
          <w:color w:val="111111"/>
          <w:sz w:val="28"/>
          <w:sz w:val="28"/>
          <w:szCs w:val="28"/>
          <w:rtl w:val="true"/>
          <w:lang w:bidi="fa-IR"/>
        </w:rPr>
        <w:t>، لكن لقلَّة الكتابة والتَّدوين كان أكثرها يبقى عالقاً في ذاكرة الأطراف المتعاقدة، ودخلت مرحلة التدوين حينما جاء الإسلام؛ لأنَّ الرَّسول صلی الله علیه و اله أقام دولة مستقرَّة كَثُر فيها التَّدوين، وأصبحت الحياة تتطلَّب ذلك</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استمرَّت كتابة العهود في العصر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التَّوابين وإمارة المختار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تخرج عما كانت عليه في عصر قبل الإسلام أو الإسلامي، ولقد وصل إلينا من هذه العهود الدُّعاء الذي ردَّدته جماعات التَّوابين يوم الوقوف على قبر الإمام الحسين علیه السلام قبل مواجهة العدوّ، فكان ذلك كالعهد قَطَعَه التّوابون على أنفسهم، يُشْهِدُون الله فيه على أنّهم خرجوا ثاراً للحسين علیه السلام ، وتوبة من عظيم جرمهم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 الكلام الذي ردَّده المختار الثقفي على قبر الإمام الحسين علیه السلام ، وهو أيضاً كالعهد الذي قطعه متوعّداً بالثأر لدمه علیه السلام </w:t>
      </w:r>
      <w:r>
        <w:rPr>
          <w:rStyle w:val="FootnoteAnchor"/>
          <w:rtl w:val="true"/>
        </w:rPr>
        <w:footnoteReference w:id="327"/>
      </w:r>
      <w:r>
        <w:rPr>
          <w:rFonts w:ascii="IRNazanin" w:hAnsi="IRNazanin" w:eastAsia="IRNazanin"/>
          <w:color w:val="111111"/>
          <w:sz w:val="28"/>
          <w:sz w:val="28"/>
          <w:szCs w:val="28"/>
          <w:rtl w:val="true"/>
          <w:lang w:bidi="fa-IR"/>
        </w:rPr>
        <w:t>، ويتميز هذان العهدان بكونهما قد جاءا شفاهاً، يضمن القائلان قولهما بالنُّصرة للإمام الحسين علیه السلام ، والأخذ بثأره من قاتليه، يرافق ذلك الشّعور بالنَّدم على قتله، والتباكي المثير للأشجان، والاستشعار بعدم جدوى الحياة، والاستعداد للشَّهادة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العهد الذي قطعه المختار بالأمان لعمر بن سعد بن أبي وقاص فقد جاء مكتوباً، ولم يخرج هذا العهد عن كُتب العهد المعروفة في الإسلام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الوصايا، فأغلبها جاء في هاتين الحقبتين ضمن الخطب والرَّسائل، وفيها يبدو الخطيب أو المترسّل، موصياً واعظاً، وهذا يشابه ما كانت عليه بعض خُطب الرسول الكريم صلی الله علیه و اله ، كخطبته في حُجَّة الوداع، حيث اشتملت على مجموعة من الوصايا، ومن هذه الخطب والرَّسائل التي جاءت مفعمة بالوصايا هي بعض خُطب سليمان بن صُرَد، ورسالة عبد الله بن يزيد إلى ابن صُرَد، وخطبة يزيد بن أنس في أصحابه، وخطبة إبراهيم بن الأشتر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أُثِرت أربع وصايا خالصة،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ضمن خطبة أو رسالة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وصيّتان للمختار إلى إبراهيم الأشتر</w:t>
      </w:r>
      <w:r>
        <w:rPr>
          <w:rStyle w:val="FootnoteAnchor"/>
          <w:rtl w:val="true"/>
        </w:rPr>
        <w:footnoteReference w:id="330"/>
      </w:r>
      <w:r>
        <w:rPr>
          <w:rFonts w:ascii="Amiri" w:hAnsi="Amiri" w:eastAsia="Amiri" w:cs="Amiri"/>
          <w:color w:val="111111"/>
          <w:sz w:val="28"/>
          <w:sz w:val="28"/>
          <w:szCs w:val="28"/>
          <w:rtl w:val="true"/>
          <w:lang w:bidi="ar-SA"/>
        </w:rPr>
        <w:t>، ووصيَّة المختار إلى يزيد بن أنس</w:t>
      </w:r>
      <w:r>
        <w:rPr>
          <w:rStyle w:val="FootnoteAnchor"/>
          <w:rtl w:val="true"/>
        </w:rPr>
        <w:footnoteReference w:id="331"/>
      </w:r>
      <w:r>
        <w:rPr>
          <w:rFonts w:ascii="Amiri" w:hAnsi="Amiri" w:eastAsia="Amiri" w:cs="Amiri"/>
          <w:color w:val="111111"/>
          <w:sz w:val="28"/>
          <w:sz w:val="28"/>
          <w:szCs w:val="28"/>
          <w:rtl w:val="true"/>
          <w:lang w:bidi="ar-SA"/>
        </w:rPr>
        <w:t>، ووصيَّة ليزيد بن أنس لأصحابه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44" w:name="pg10991_100629"/>
    </w:p>
    <w:p>
      <w:pPr>
        <w:pStyle w:val="Heading3"/>
        <w:numPr>
          <w:ilvl w:val="2"/>
          <w:numId w:val="1"/>
        </w:numPr>
        <w:rPr/>
      </w:pPr>
      <w:bookmarkStart w:id="345" w:name="__RefHeading___Toc8288958_2870459653"/>
      <w:bookmarkStart w:id="346" w:name="_Toc122"/>
      <w:bookmarkEnd w:id="344"/>
      <w:bookmarkEnd w:id="345"/>
      <w:r>
        <w:rPr>
          <w:rtl w:val="true"/>
        </w:rPr>
        <w:t>المحور الثاني</w:t>
      </w:r>
      <w:r>
        <w:rPr>
          <w:rtl w:val="true"/>
        </w:rPr>
        <w:t xml:space="preserve">: </w:t>
      </w:r>
      <w:r>
        <w:rPr>
          <w:rtl w:val="true"/>
        </w:rPr>
        <w:t>أثر القرآن الكريم في نثر التوابين والمختار الثقفي</w:t>
      </w:r>
      <w:bookmarkEnd w:id="346"/>
    </w:p>
    <w:p>
      <w:pPr>
        <w:pStyle w:val="BookText"/>
        <w:rPr/>
      </w:pPr>
      <w:r>
        <w:rPr>
          <w:rFonts w:ascii="Amiri" w:hAnsi="Amiri" w:eastAsia="Amiri" w:cs="Amiri"/>
          <w:color w:val="111111"/>
          <w:sz w:val="28"/>
          <w:sz w:val="28"/>
          <w:szCs w:val="28"/>
          <w:rtl w:val="true"/>
          <w:lang w:bidi="ar-SA"/>
        </w:rPr>
        <w:t xml:space="preserve">يُعدُّ القرآن الكريم المورد العذب الذي ينهل منه الأُدباء والكتّاب والشعراء، بل مصدر ثقافة المسلمين الدينيَّة والعقليَّة والاجتماعيَّة والأدبيَّة؛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خشونة الطّباع عذوبةً وسلاسةً، وبدَّل حوشيَّة الألسنة سهولةً ووضوحاً وبلاغةً، وأورث العرب دقَّة في التَّفكير، وقوَّة في التَّعبير، وجمالاً في التَّصوير، ورقَّة في الأُسلوب، وروعة في الحجَّة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أن نزل في أُمَّة العرب بهرهم بيانه وأُسلوبه، وأَخذ بألبابهم بحسن وقع جرسه، وأسَّر نفوسهم بجمال لفظه وبراعة صوره وروعة أدائه، ثم كان شغف العلماء والمفكرين كشف السّر الذي يحمله إعجازه، فأينعت الآراء والأفكار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وأفضل مَن وصف هذا الكتاب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البلغاء وربيب مدرسة القرآن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علیه السلام ، إذ وصفه في خطبة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عليه الكتاب نوراً لا تطفأ مصابيحه، وسراجاً لا يخبو توقّده، وبحراً لا يُدرَك قعره، ومنهاجاً لا يضلُّ نهجه، وشعاعاً لا يظلم ضوؤه، وفرقاناً لا يخمد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ريَّاً لعطش العلماء، وربيعاً لقلوب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وبرهاناً لمن تكلَّم به، وشاهداً لمن خاصم به، وفلجاً لمن حاجّ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لمن وعى، وحديثاً لمن روى، وحكماً لمن قضى</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فمنذ أن نزل القرآن الكريم على قلب الرسول الأمين محمد صلی الله علیه و اله كان له الأثر البالغ في النَّثر العربي، إذ أصبح معيناً للأدباء ينهلون ويقتبسون منه، ويسعون إلى محاكاة أسلوبه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أثره في النثر أبرز منه في الشعر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كان أثره واضحاً في خُطب ورسائل العصر الأُموي، سواء من حيث الأُسلوب والصّياغة، أو من حيث الأفكار والمعاني؛ وذلك لكثرة الأحزاب السّياسيَّة واختلاف اتجاهاتها، وادّعاء كلّ فرقة أنَّ هدفها نصرة الدين، وإعلاء كلمته؛ لذا كانت الخطب والرَّسائل وغيرها من الفنون النّثريَّة مزدحمة بالأفكار الإسلاميَّة، والمعاني القرآنيَّة في هذا العصر</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استحوذ هذا الكتاب السَّماوي على أداء الخطباء والمترسّلين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يستحسنون أن يكون في الخطب يوم الحفل، وفي الكلام يوم الجُمع آي من القرآن؛ فإنَّ ذلك ممّا يورث الكلام البهاء والوقار والرّقَّة، وسلس الموقع</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وذكر أنَّ الخطبة التي تخلو من آيات القرآن قد سمّيت بالشّوهاء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الرَّسائل، فلم تكن أقلّ شأناً آنذاك من الخطب في تأثرها بالقرآن الكريم واحتذاء أُسلوبه، وترسُّم معانيه، فقد برع المترسّلون في مكاتباتهم بالنّصوص القرآنيَّة، تأكيداً لما يسوقه الكاتب من آراء أو تقوية لحجَّةٍ ما</w:t>
      </w:r>
      <w:r>
        <w:rPr>
          <w:rStyle w:val="FootnoteAnchor"/>
          <w:rtl w:val="true"/>
        </w:rPr>
        <w:footnoteReference w:id="339"/>
      </w:r>
      <w:r>
        <w:rPr>
          <w:rFonts w:ascii="Amiri" w:hAnsi="Amiri" w:eastAsia="Amiri" w:cs="Amiri"/>
          <w:color w:val="111111"/>
          <w:sz w:val="28"/>
          <w:sz w:val="28"/>
          <w:szCs w:val="28"/>
          <w:rtl w:val="true"/>
          <w:lang w:bidi="ar-SA"/>
        </w:rPr>
        <w:t>، وكانت هذه السّمة الأُسلوبيَّة في فنّ التّرسُّل هي امتداد لما عهده فنّ التَّرسُّل في عصر صدر الإسلام والمرحلة اللاحقة؛ إذ إنَّ الكُتّاب قد تأثَّروا بالقرآن الكريم وترك كتاب الله آثاراً واضحة في توجهات بلاغة العربي وفصاحته، فكان الاقتباس من آي الذكر الحكيم وكان الصدور عن الحسّ الديني العام، وكان التأثّر الواضح ببلاغته في تجنّب الغريب الوحشي مع الحرص على وضوح المقصد والإقناع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47" w:name="pg10991_100633"/>
    </w:p>
    <w:p>
      <w:pPr>
        <w:pStyle w:val="BookText"/>
        <w:rPr/>
      </w:pPr>
      <w:bookmarkEnd w:id="347"/>
      <w:r>
        <w:rPr>
          <w:rFonts w:ascii="Amiri" w:hAnsi="Amiri" w:eastAsia="Amiri" w:cs="Amiri"/>
          <w:color w:val="111111"/>
          <w:sz w:val="28"/>
          <w:sz w:val="28"/>
          <w:szCs w:val="28"/>
          <w:rtl w:val="true"/>
          <w:lang w:bidi="ar-SA"/>
        </w:rPr>
        <w:t>وعموماً، فقد كان تأثير القرآن الكريم متبلوراً في طرائق المترسّلين؛ إذ كان هذا واضحاً في رسائل أصحاب المذاهب ورؤساء النِّحل الدّينيَّة، حتى أضحى القرآن الكريم مَعيناً تنهل منه الرَّسائل كثيراً من معانيها، وتستمد من فيضه ذلك العطاء الخصْب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العامل السّياسي المتمثّل بكثرة الأحزاب السّياسيَّة من العوامل المهمَّة في كثرة التّراسلات الفنيَّة، وإنَّ هذه الأحزاب السّياسيَّة قد ارتبطت ارتباطاً مباشراً بالدّين؛ ذلك أنَّ كلّ حزب يدّعي أنَّه ناصرٌ له، فكان تأثير القرآن عندها واضحاً في تلك الرَّسائل، كما كان هذا واضحاً في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ثورة التوابين وإمارة المختار الثّقفي إنَّما قامتا على اعتبار سياسي عقائدي، فإنَّ غايتها الأُولى والأخيرة هي التَّمسُّك بقيم القرآن والسنَّة النبويَّة، وإرجاع الحق إلى أهله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كان القرآن الكريم هو المصدر الأوَّل من مصادر نثر هاتين الحقبتين، فأخذ الخطباء والمترسّلون فيهما يقتبسون من آياته، ويحتذون أُسلوبه، تأييداً لفكرة، أو دحضاً لرأي، أو تزييناً وتنميقاً لأُسلوب، وسوف نعرض هنا بعض أنماط التأثير القرآني في خُطب ورسائل هاتين الحقبتين، آخذين مصداق أصحاب ثورتي التوابين وإمارة المختار الثقفي، فنقول</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288960_2870459653"/>
      <w:bookmarkStart w:id="349" w:name="_Toc123"/>
      <w:bookmarkEnd w:id="348"/>
      <w:r>
        <w:rPr>
          <w:rtl w:val="true"/>
        </w:rPr>
        <w:t>أولاً</w:t>
      </w:r>
      <w:r>
        <w:rPr>
          <w:rtl w:val="true"/>
        </w:rPr>
        <w:t xml:space="preserve">: </w:t>
      </w:r>
      <w:r>
        <w:rPr>
          <w:rtl w:val="true"/>
        </w:rPr>
        <w:t>الاقتباس القرآني</w:t>
      </w:r>
      <w:bookmarkEnd w:id="34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الاقتباس في الّلغة مأخوذ من القبس،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شعلة من نار تقتبسها مِن مُعْظَم، واقتباسها الأخذ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بِشِهَابٍ قَبَسٍ </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أُورِي قبساً لِقابسِ،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نوراً من الحق لطالبه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واقتبست منه </w:t>
      </w:r>
      <w:bookmarkStart w:id="350" w:name="pg10991_100635"/>
    </w:p>
    <w:p>
      <w:pPr>
        <w:pStyle w:val="BookText"/>
        <w:rPr/>
      </w:pPr>
      <w:bookmarkEnd w:id="350"/>
      <w:r>
        <w:rPr>
          <w:rFonts w:ascii="Amiri" w:hAnsi="Amiri" w:eastAsia="Amiri" w:cs="Amiri"/>
          <w:color w:val="111111"/>
          <w:sz w:val="28"/>
          <w:sz w:val="28"/>
          <w:szCs w:val="28"/>
          <w:rtl w:val="true"/>
          <w:lang w:bidi="ar-SA"/>
        </w:rPr>
        <w:t>علماً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 فقد عرَّفه القلقشندي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يُضمَّن الكلام شيئاً من القرآن، ولا ينبَّه عليه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ويجب أنْ لا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فإنَّ ذلك حينئذ لا يكون اقتباساً</w:t>
      </w:r>
      <w:r>
        <w:rPr>
          <w:rStyle w:val="FootnoteAnchor"/>
          <w:rtl w:val="true"/>
        </w:rPr>
        <w:footnoteReference w:id="345"/>
      </w:r>
      <w:r>
        <w:rPr>
          <w:rFonts w:ascii="Amiri" w:hAnsi="Amiri" w:eastAsia="Amiri" w:cs="Amiri"/>
          <w:color w:val="111111"/>
          <w:sz w:val="28"/>
          <w:sz w:val="28"/>
          <w:szCs w:val="28"/>
          <w:rtl w:val="true"/>
          <w:lang w:bidi="ar-SA"/>
        </w:rPr>
        <w:t xml:space="preserve">، وقد خُصَّ الاقتباس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تميُّزاً له عن سائر الكلام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والاقتباس من التَّعابير الجاهزة التي يستعملها النَّاثر داخل التركيب، وهي تؤدّي سمة جماليَّة ومعنويَّة داخل الأُسلوب، فهي من النَّاحية الجماليَّة تُضفي على الصُّورة ألواناً، ومن الناحية المعنوية تُضفي على الدَّلالة عمقاً وتأصيلاً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الاقتباس بكثرة في خطب ورسائل الحقبتين؛ حتَّى أصبح ميزةً أُسلوبيَّة فنيَّة تشترك فيها معظم تلكم الخطب والرَّسائل، وفيما يلي ننقل بعض الخطب والرسائل الخاصة بكل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التوابون وما يتعلق بإمارة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اقتباس قراني، فنقول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8288962_2870459653"/>
      <w:bookmarkStart w:id="352" w:name="_Toc124"/>
      <w:bookmarkEnd w:id="351"/>
      <w:r>
        <w:rPr/>
        <w:t>1</w:t>
      </w:r>
      <w:r>
        <w:rPr>
          <w:rtl w:val="true"/>
        </w:rPr>
        <w:t xml:space="preserve">- </w:t>
      </w:r>
      <w:r>
        <w:rPr>
          <w:rtl w:val="true"/>
        </w:rPr>
        <w:t>خُطب ورسائل ثورة التوابين</w:t>
      </w:r>
      <w:bookmarkEnd w:id="3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يتعلق بالخطب، فمن قبيل ما جاء في خطبة سليمان بن صُرَد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أُثْني على الله خَيْراً، وأَحمد آلاءَه وبلاءَهَ، وأشهدُ أنْ لا إله إلّا الله، وأنّ محُمّداً رسولُه، أمَّا بعدُ فإنّي والله لخائفٌ إلّا يكون آخِرُنا إلى هذا الدَّهر الذي نَكِدَت فيه المَعيشة، وَعَظُمَت فيه الرَّزية، وشَمِلَ فيه الجَورُ أولي الفضل مِن هذه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ترجعوا إلى الحلائل </w:t>
      </w:r>
    </w:p>
    <w:p>
      <w:pPr>
        <w:pStyle w:val="BookText"/>
        <w:rPr/>
      </w:pPr>
      <w:r>
        <w:rPr>
          <w:rFonts w:ascii="Amiri" w:hAnsi="Amiri" w:eastAsia="Amiri" w:cs="Amiri"/>
          <w:color w:val="111111"/>
          <w:sz w:val="28"/>
          <w:sz w:val="28"/>
          <w:szCs w:val="28"/>
          <w:rtl w:val="true"/>
          <w:lang w:bidi="ar-SA"/>
        </w:rPr>
        <w:t>والأبناء حتَّى يرضى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كالأُولى مِن بني إسرائيلَ؛ إذْ قال لهم نبيّهم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فَعلَ القوم؟ جَثَوا على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ومدُّوا الأعناق، ورَضُوا بالقضاء حتَّى حين عَلِمُوا أنَّه لا يُنجِيهم مِن عظيمِ الذَّنب إلّا الصَّبرَ على القتل، فكيفَ بِكُم لو قدْ دُعيتُم إلى مِثلِ ما دُعِيَ القوم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اشحَذوا السّيوف، وركّبوا الأسنَّة،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احتوت هذه الخطبة على اقتباسين قرآنيين،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الاقتباس الأول الآية من سورة البقرة،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إذ أراد الخطيب أن يستثمر من قصَّة النبيّ موسى علیه السلام مع قومه، فكان غرضه أن يُشبّه قومه ونفسه بأصحاب موسى علیه السلام ؛ ومن هنا سمّوا أنفسهم بالتوابين؛ لأنَّهم تابوا من عظيم جرمهم، حينما دعوا الحسين علیه السلام ولم ينصروه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الاقتباس الثَّاني من سورة الأنفال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بهذا الاقتباس أيضاً أن يشحذ الهمم قبل شحذ السيوف وتركيب الأسنة، لعلمه بتأثير الأُسلوب القرآني، فهو أقوى وأعمق في النفوس </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العرب رونقه، وخلب ألبابهم جرسه ووقعه، وملك نفوسهم ما فيه من جمال اللفظ، وبراعة الصورة وسموّ البيان وروعة الأداء</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الأداء البديعي في اقتباس الآيات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والمهارة في إحكام وضعها موضعاً ملائماً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دليلٌ واضحٌ على مَلَكَة الخطيب وإلمامه بمضامين القرآن، حتَّى نجدها قد ملأت قلبه، وانسابت على لسانه انسياباً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بالرسائل، فقد جاء كذلك في رسائل سليمان بن صُرَد، من قبيل ما جاء في رسالته التي بعث بها إلى سعد بن حذيفة بن اليمان،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مِنْ إخوانِكُم وشيعةِ آل نبيّكم، نظروا لأنفسِهِم فيما ابتُلوا به مِن أمر ابنِ بِنتِ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وبعينِ الله ما يَعْمَلون، وإلى الله ما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فالمهارة الفائقة للخطيب تكمن في وضع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مع ما سبقها من كلام له فواصل مماثلة لفاصلة الآية المنتهية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والنّون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كي يحقِّق الانسجام الصَّوتي بين العبارات، حتَّى تنساب متتابعة، من دون تعقيد أو تلكّؤ</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تفسير كثرة الاقتباسات وتأثّر المنشئ وشغفه بأُسلوب القرآن الكريم بأنَّه كان صحابيَّا</w:t>
      </w:r>
      <w:r>
        <w:rPr>
          <w:rStyle w:val="FootnoteAnchor"/>
          <w:rtl w:val="true"/>
        </w:rPr>
        <w:footnoteReference w:id="354"/>
      </w:r>
      <w:r>
        <w:rPr>
          <w:rFonts w:ascii="Amiri" w:hAnsi="Amiri" w:eastAsia="Amiri" w:cs="Amiri"/>
          <w:color w:val="111111"/>
          <w:sz w:val="28"/>
          <w:sz w:val="28"/>
          <w:szCs w:val="28"/>
          <w:rtl w:val="true"/>
          <w:lang w:bidi="ar-SA"/>
        </w:rPr>
        <w:t>، وهذا ينمُّ عن استيعابه وتذوّقه للنَّص القرآني، فإذا ما أراد شيئاً من القرآن لم يتكلّفه، بل يأتيه متّى ما أراده</w:t>
      </w:r>
      <w:r>
        <w:rPr>
          <w:rFonts w:eastAsia="Amiri" w:cs="Amiri" w:ascii="Amiri" w:hAnsi="Amiri"/>
          <w:color w:val="111111"/>
          <w:sz w:val="28"/>
          <w:szCs w:val="28"/>
          <w:rtl w:val="true"/>
          <w:lang w:bidi="ar-SA"/>
        </w:rPr>
        <w:t xml:space="preserve">. </w:t>
      </w:r>
      <w:bookmarkStart w:id="353" w:name="pg10991_100641"/>
    </w:p>
    <w:p>
      <w:pPr>
        <w:pStyle w:val="Heading3"/>
        <w:numPr>
          <w:ilvl w:val="2"/>
          <w:numId w:val="1"/>
        </w:numPr>
        <w:rPr/>
      </w:pPr>
      <w:bookmarkStart w:id="354" w:name="__RefHeading___Toc8288964_2870459653"/>
      <w:bookmarkStart w:id="355" w:name="_Toc125"/>
      <w:bookmarkEnd w:id="353"/>
      <w:bookmarkEnd w:id="354"/>
      <w:r>
        <w:rPr/>
        <w:t>2</w:t>
      </w:r>
      <w:r>
        <w:rPr>
          <w:rtl w:val="true"/>
        </w:rPr>
        <w:t xml:space="preserve">- </w:t>
      </w:r>
      <w:r>
        <w:rPr>
          <w:rtl w:val="true"/>
        </w:rPr>
        <w:t>خُطب حركة المختار الثقفي</w:t>
      </w:r>
      <w:bookmarkEnd w:id="355"/>
    </w:p>
    <w:p>
      <w:pPr>
        <w:pStyle w:val="BookText"/>
        <w:rPr/>
      </w:pPr>
      <w:r>
        <w:rPr>
          <w:rFonts w:ascii="Amiri" w:hAnsi="Amiri" w:eastAsia="Amiri" w:cs="Amiri"/>
          <w:color w:val="111111"/>
          <w:sz w:val="28"/>
          <w:sz w:val="28"/>
          <w:szCs w:val="28"/>
          <w:rtl w:val="true"/>
          <w:lang w:bidi="ar-SA"/>
        </w:rPr>
        <w:t>ومن الاقتباس القرآني أيضاً ما في خطبة محمد بن الحنفية، حين قدِمَ عليه عبد الرَّحمن بن شريح يسأله عن صدق دعوة المختار الثقفي، فجاء في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ذكرتُم ممّا خَصَّصنا الله بهِ مِنْ فَضلٍ، فإنَّ الله يؤتيهِ مَنْ يشاء والله ذو الفضلِ العَظيم، فلله الحَمدُ، وأمَّا ما ذكرتُم مِنْ مصيبتنا بحُسينٍ، فإنَّ ذلك كانَ في الذّكرِ الحكيم، وهيَ ملحمةٌ كُتِبَتْ عليه، وكرامةٌ أهْداها الله لهُ، رَفَعَ بما كان مِنها درجاتِ قومٍ عندهُ، ووَضَع بها آخرين، وكان أمرُ الله مفعولاً، وكانَ أمرُ الله قَدَرَاً مَقْدُورَاً</w:t>
      </w:r>
      <w:r>
        <w:rPr>
          <w:rFonts w:eastAsia="Amiri" w:cs="Amiri" w:ascii="Amiri" w:hAnsi="Amiri"/>
          <w:color w:val="111111"/>
          <w:sz w:val="28"/>
          <w:szCs w:val="28"/>
          <w:rtl w:val="true"/>
          <w:lang w:bidi="ar-SA"/>
        </w:rPr>
        <w:t>...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أنَّ الاقتباس القرآني قد وقع مرَّتين،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يؤتيه مَن يشاء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مأخوذ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الاقتباس الثاني نجده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مفعولاً، وكان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فنجد أنَّ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احتوى من اقتباسات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 لنا عن جانب من جوانب تمرُّس الخطيب، وتمكُّنه في الاختيار والتوزيع، وذلك من خلال انتقاء اقتباسين متفرّقين يحملان دلالة متقاربة، وهما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الأوَّل منها عن إيتاء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فضله على مَن يشاء من عباده الصالحين، ويعني به فضل آل البيت من ناحية أنَّ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شرَّفهم بمنزلتهم من النّبيّ صلی الله علیه و اله وفضله العظيم</w:t>
      </w:r>
      <w:r>
        <w:rPr>
          <w:rFonts w:eastAsia="IRNazanin" w:cs="IRNazanin"/>
          <w:color w:val="111111"/>
          <w:sz w:val="28"/>
          <w:szCs w:val="28"/>
          <w:rtl w:val="true"/>
          <w:lang w:bidi="fa-IR"/>
        </w:rPr>
        <w:t xml:space="preserve">. </w:t>
      </w:r>
      <w:bookmarkStart w:id="356" w:name="pg10991_100643"/>
    </w:p>
    <w:p>
      <w:pPr>
        <w:pStyle w:val="BookText"/>
        <w:rPr/>
      </w:pPr>
      <w:bookmarkEnd w:id="35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الثَّاني عن إتيان الكرامة والفضل للإمام الحسين علیه السلام ، واستشهاده من أجل إحياء دين الله القويم، فكان أمرُ الله الذي قضاه عليه مفعولاً، ويقول الدكتور محمد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صِيْغَ على طريقة التَّوكيد، فهو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ويومٌ أيَوم، وظلٌ ظليل، فهو توكيد لنفاذ ما قدَّره الله وقضاه، وحين تقارن بين قوله في الآية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تلحظ أنَّ الفاصلة الثَّانية أوكد من الأُولى؛ وذلك لأنَّ ما قرَّرته آية الفاصلة الثَّانية أشمل وأكثر للأعباء والصّعاب الّتي يواجهها النَّبيّون وأهل البلاغ؛ لأنَّها تشمل كلُّ ما يتّصل بذلك من أذىً، وعناء، فناسبها التَّوكيد الذي يقرّر أنَّ ذلك قدر هؤلاء وأنهم منتهون إلى الفوز حتماً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التَّحليل الذي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أنَّ الخطيب كان حاذقاً في انتقائه لهذه الآيات المباركة، وإيداعها في خطبتهِ إيداعاً موفَّقاً، وما يتأتَّى ذلك إلّا لمن وعى آيات القرآن تأمُّلاً وتدبُّراً</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288966_2870459653"/>
      <w:bookmarkStart w:id="358" w:name="_Toc126"/>
      <w:bookmarkEnd w:id="357"/>
      <w:r>
        <w:rPr>
          <w:rtl w:val="true"/>
        </w:rPr>
        <w:t>ثانيا</w:t>
      </w:r>
      <w:r>
        <w:rPr>
          <w:rtl w:val="true"/>
        </w:rPr>
        <w:t xml:space="preserve">: </w:t>
      </w:r>
      <w:r>
        <w:rPr>
          <w:rtl w:val="true"/>
        </w:rPr>
        <w:t>الاستشهاد بالآيات القرآنيَّة</w:t>
      </w:r>
      <w:bookmarkEnd w:id="35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الاستشهاد بالآيات القرآنيَّة عن الاقتباس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الأخير تذكر الآية ولا يذكر أنَّها من القرآن، في حين أنَّ الاستشهاد يكون بقول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وقد أشار ابن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الأخذ من القرآن اقتباساً إذا قال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Style w:val="FootnoteAnchor"/>
          <w:rtl w:val="true"/>
        </w:rPr>
        <w:footnoteReference w:id="359"/>
      </w:r>
      <w:r>
        <w:rPr>
          <w:rFonts w:ascii="Amiri" w:hAnsi="Amiri" w:eastAsia="Amiri" w:cs="Amiri"/>
          <w:color w:val="111111"/>
          <w:sz w:val="28"/>
          <w:sz w:val="28"/>
          <w:szCs w:val="28"/>
          <w:rtl w:val="true"/>
          <w:lang w:bidi="ar-SA"/>
        </w:rPr>
        <w:t>، فإذا لم يكن الأخذ على هذه الشَّاكلة فلا يسمى اقتباساً، بل يكون استشهاداً بالآيات القرآنيَّة، وقد ورد مثل هذا الاستشهاد، في خطب ورسائل متفرّقة لأصحاب ثورة التوابين، من قبيل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خطبة المسيَّب بن نجبة الفزاري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فإنّا قدْ ابتُلينا بطولِ العُمر، والتَّعرُّض لأنواع الفِتن، فنرغبُ إلى رَبّنا ألّا يَجعلنا مِمَّن يقولُ لَهُ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نُعَمِّرْكُمْ مَا يَتَذَكَّرُ فِيهِ مَنْ تَذَكَّرَ وَجَاءَكُمُ النَّذِيرُ فَذُوقُوا فَمَا لِلظَّالِمِينَ مِنْ نَصِيرٍ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استشهد الخطيب بآي الذّكر الحكيم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يَصْطَرِخُونَ فِيهَا رَبَّنَا أَخْرِجْنَا نَعْمَلْ صَالِحًا غَيْرَ الَّذِي كُنَّا نَعْمَلُ أَوَلَمْ نُعَمِّرْكُمْ مَا يَتَذَكَّرُ فِيهِ مَنْ تَذَكَّرَ وَجَاءَكُمُ النَّذِيرُ فَذُوقُوا فَمَا لِلظَّالِمِينَ مِنْ نَصِيرٍ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هذا الاستشهاد تنبيهاً للسَّامع بما تحمل هذه الآية من مضامين دلاليَّة وتذكيره بذلك الموقف الصعب الذي يقف فيه العباد أمام ربهم ليسألهم عما أقدموا عليه، وهنا أورده حتَّى يأخذ المتلقي مراجعة نفسه ومحاسبتها، بما بدر عنها من قصور أو تقصير، وإذا ما عرفنا أن الخطيب كان يفرغ زفرات همومه وندمه على خذلانه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وأضرابه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وتقصيرهم تجاه قضية الإمام الحسين علیه السلام يتبيَّن لنا سبب ذلك الاستشهاد بهذه الآية الكريمة دون سواها؛ لأنَّه يدعو ربّه ألّا يجعله يوم القيامة في ذلك الموقف الذي يسأل عنه العباد في تقصيرهم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يرى في قتل قاتلي الحسين علیه السلام والموالين لهم أو القتل في سبيل ذلك السبيل الوحيد الذي يدرأ عنهم ذلك السؤال يوم القيامة، والرّضوان من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عُذْرَ دُون أنْ تَقْتُلُوا قاتِلَه والموالينَ عليه، أو تُقْتَلُوا في طلَبِ ذلك، فعسى ربّنا أن يَرضَى عَنَّا عِنْدَ ذلك</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سليمان بن صُرَد إلى عبيد الله بن يزيد، كتب فيها مستشهداً بالآيات </w:t>
      </w:r>
      <w:bookmarkStart w:id="359" w:name="pg10991_100648"/>
    </w:p>
    <w:p>
      <w:pPr>
        <w:pStyle w:val="BookText"/>
        <w:rPr/>
      </w:pPr>
      <w:bookmarkEnd w:id="359"/>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للأمير عبد الله بن يزيد مِنْ سليمان بِنْ صُرَدْ ومَنْ معَهُ من المؤمِنين، 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قرأنا كتابَكَ، وفَهِمْنا ما نَويت،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استشهد المرسل بهاتين الآيتين الطَّويلتين إلى حدّ ما، وفي ذلك دليلٌ على إلمامه بالنّص القرآني، وحفظه آياته، وكان هذا شأن ابن صُرَد في ما يرتجله من خُطب أو ما يحبّره من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الاستشهاد تتحقّق وظيفته الأُسلوبيَّة، ففي الوقت الذي يحقّق فيه وظيفة دلاليَّة، فإنَّه يحمل وظيفة نفسيَّة من خلال إقناع المتلقّي بمشروعيَّة قضيتهم التي عقدوا العزم عليها، وكان ذلك من خلال هذا الاستشهاد القرآني وبهذه الآيات التي يتحدث فيها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الجهاد الذي سنَّه على المسلمين دفاعاً عن الحق في مواجهة الباطل</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8288968_2870459653"/>
      <w:bookmarkStart w:id="361" w:name="_Toc127"/>
      <w:bookmarkEnd w:id="360"/>
      <w:r>
        <w:rPr>
          <w:rtl w:val="true"/>
        </w:rPr>
        <w:t>ثالثا</w:t>
      </w:r>
      <w:r>
        <w:rPr>
          <w:rtl w:val="true"/>
        </w:rPr>
        <w:t xml:space="preserve">: </w:t>
      </w:r>
      <w:r>
        <w:rPr>
          <w:rtl w:val="true"/>
        </w:rPr>
        <w:t>محاكاة أُسلوب القرآن الكريم</w:t>
      </w:r>
      <w:bookmarkEnd w:id="3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صور التّأثير القرآني محاكاة أُسلوبه واستعارة عبارته وألفاظه وطرائق تعبيره، واستلهام معانيه، وكان هذا شائعاً في خُطب ورسائل الحقبتين، وهو دليلٌ على إعجاب الخطباء والمترسّلين بأُسلوب القرآن الكريم ورغبتهم بمحاكاته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يتهيّأ ذلك إلّا لمن كانت آيات القرآن تنساب على لسانه انسياباً، وترسخ معانيه في ذهنه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وعندها نجد أنَّ محاكاة أُسلوبه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آخر من مظاهر التّأثّر القرآني، فقد بلغ من إعجاب الأُدباء بهذا الأُسلوب أن نهجوا نهجه في بعض عباراتهم إذ توخّوا محاكاة ألفاظه وتعابيره وطريقة أَدائِه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وكانت تلك المحاكاة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ألفاظ القرآن كما هي مع تصرُّف يسير في صياغتها،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الخطيب أو المترسّل يأتي ببعض الآيات الكريمة من النَّص القرآني، ويتصرَّف ببعض ألفاظها، تحويلاً إلى تراكيب جديدة تكون معزَّزة دلاليَّاً بتوظيف المعاني القرآنيَّة بألفاظها المنقولة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معاني النَّص القرآني من دون صياغته،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الخطيب أو المترسّل على استمداد واستيحاء المعاني القرآنيَّة وإفراغها في بُنى تركيبية جديدة، ذات دلالات قائمة على المعاني المستلّة من ذلك النصّ</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بعض الخطباء والمترسّلين يستمدُّون من القرآن الكريم بعض المعاني، يُجرونها على ألسنتهم عامدين؛ ليفخّموا بها أقوالهم، ويجتذبوا نفوس سامعيهم، أو غير عامدين أن يقتبسوا هذه المعاني، وإنَّما جرت على ألسنتهم؛ لأنَّهم حفّاظ قد فهموا ما حفظوا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بالمحاكاة على نحو الصورة الأُولى، فقد كان في قول يزيد بن أنس الأسدي، في خطبة له محرِّضاً أصحاب المختار لملاقاة جند ابن مطيع الوالي الزبيري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الشّيعة، قد كُنْتُمْ تُقْتَلون وتُقطَّعْ أيديكُم وأرجلُكُم، وتُسْمَل أعينكم، وتُرفَعون على جذوعِ النخلِ في حُبِّ أهل بيت نبيّكم؛ وأنتم مقيمون في بيوتكم، </w:t>
      </w:r>
    </w:p>
    <w:p>
      <w:pPr>
        <w:pStyle w:val="BookText"/>
        <w:rPr/>
      </w:pPr>
      <w:r>
        <w:rPr>
          <w:rFonts w:ascii="Amiri" w:hAnsi="Amiri" w:eastAsia="Amiri" w:cs="Amiri"/>
          <w:color w:val="111111"/>
          <w:sz w:val="28"/>
          <w:sz w:val="28"/>
          <w:szCs w:val="28"/>
          <w:rtl w:val="true"/>
          <w:lang w:bidi="ar-SA"/>
        </w:rPr>
        <w:t>وطاعة عدوّكم</w:t>
      </w:r>
      <w:r>
        <w:rPr>
          <w:rFonts w:eastAsia="Amiri" w:cs="Amiri" w:ascii="Amiri" w:hAnsi="Amiri"/>
          <w:color w:val="111111"/>
          <w:sz w:val="28"/>
          <w:szCs w:val="28"/>
          <w:rtl w:val="true"/>
          <w:lang w:bidi="ar-SA"/>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فواضح أنَّ أُسلوبه كان مستمدَّاً من أُسلوب القرآن الكريم ومن الآية الكريمة لقوله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آمَنْتُمْ لَهُ قَبْلَ أَنْ آذَنَ لَكُمْ إِنَّهُ لَكَبِيرُكُمُ الَّذِي عَلَّمَكُمُ السِّحْرَ فَلَأُقَطِّعَنَّ أَيْدِيَكُمْ وَأَرْجُلَكُمْ مِنْ خِلَافٍ وَلَأُصَلِّبَنَّكُمْ فِي جُذُوعِ النَّخْلِ وَلَتَعْلَمُنَّ أَيُّنَا أَشَدُّ عَذَابًا وَأَبْقَى</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الاحتذاء الأُسلوبي للآية يؤكّد الخطيب مدى الظّلم الذي لحق بمعشر الشيعة من ولاة ذلك العصر، الذين نكَّلوا بهم وساموهم سوء العذاب، وهو بهذا يجتذب إليه أذهان السَّامعين لكي يلتفتوا لعُظم الخطر المحدق بهم، لو أنَّهم أدركهم أصحاب ابن مطيع، فالاستعداد لهم أوْلى، لكي لا تعود الصّورة المأساويَّة مرَّة أُخرى، ولم يجد الخطيب سبيلاً من إيصال الدَّلالات وتكريسها إلّا باحتذاء الأُسلوب القرآني الذي يتميَّز بالإبانة الموجزة المحكمة في قوَّة المنطق، وصدق الحجَّة وبلوغ الهدف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بالمحاكاة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استمداد معانيه وإفراغها في بُنى تركيبية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خطبة المختار حين شيَّع ابن الأشتر لقتال عبيد الله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اسْتَقَمْتُمْ فَبِنَصْرِ الله، وإنْ حُصْتُمْ حِيْصَةً فإنِّي أجدُ في مُحْكَمِ الكِتَابِ، وفي اليقينِ والصَّوابِ، أنَّ الله مؤيّدكم بملائكةٍ غِضَابٍ</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أنَّه أراد أن يثبِّت فؤاد ابن الأشتر وأصحابه، ويطمئنهم بأنَّ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ناصرهم ومؤيّدهم بملائكة غضاب، فلم يجد بدَّاً من أن ينهل من معاني الآية الكريمة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w:t>
      </w:r>
    </w:p>
    <w:p>
      <w:pPr>
        <w:pStyle w:val="BookText"/>
        <w:rPr/>
      </w:pPr>
      <w:r>
        <w:rPr>
          <w:rFonts w:ascii="Amiri" w:hAnsi="Amiri" w:eastAsia="Amiri" w:cs="Amiri"/>
          <w:color w:val="111111"/>
          <w:sz w:val="28"/>
          <w:sz w:val="28"/>
          <w:szCs w:val="28"/>
          <w:rtl w:val="true"/>
          <w:lang w:bidi="ar-SA"/>
        </w:rPr>
        <w:t xml:space="preserve">وَتَتَّقُوا وَيَأْتُوكُمْ مِنْ فَوْرِهِمْ هَذَا يُمْدِدْكُمْ رَبُّكُمْ بِخَمْسَةِ آلَافٍ مِنَ الْمَلَائِكَةِ مُسَوِّمِينَ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فالارتشاف من معاني القرآن الكريم وتوظيفها في هذا الموقف كان له أثره البالغ في نفسيَّة السَّامع لثبات عقيدته على المجاهدة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تخلو الرسائل أيضاً من المحاكاة القرآنية كذلك، حيث جاء في رسالة المختار التي بعث بها إلى محمّد بن الحنفية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للمهديّ محمَّد بن علىّ، مِن المختار بن أَبي عُبَيد، سلامٌ عليكَ يا أيُّها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بَعَثَني نِقْمَةً على أعدائِكم، فهم بيْنَ قتيلٍ وأسيرٍ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 برأسِ عمر بن سعد وابنه، وقدْ قتلنا مَنْ شَرَكَ في دمِ الحسين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يُعجزَ الله مَن بَقي، ولسْتُ بِمُنْجِمٍ عَنْهم حتَّى لا يبلغْني أنَّ على أديمِ الأرض مِنْهم أرمِيَّاً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يُعجز الله مَن بقي، ولست بمنجمٍ عنهم حتَّى لا يبلغني أنَّ على أديم الأرض منهم أرمِيَّاً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مستمدّ في معناه من قوله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لسان 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نجد أنّ المختار قد صاغ ضروباً متفرّقة من معاني الآيات القرآنيّة، وذلك بما ينسجم مع مقتضيات المقام والحال التي هو في صدَدِها، وهو بهذا يكشف عن براعته في الإفادة من تلك المعاني القرآنيّة العالية، وتوظيفها بالكيفيَّة التي يريد، وإنَّ تلك الإفادة من المعاني والسعي إلى تكريسها لهو مظهر من مظاهر التأثير الكبير من الخطباء والمترسّلين في هذا العصر ببديع أُسلوب القرآن الكريم ونَظْمه وقوَّة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يداور المعاني، ويُريغُ </w:t>
      </w:r>
    </w:p>
    <w:p>
      <w:pPr>
        <w:pStyle w:val="BookText"/>
        <w:rPr/>
      </w:pPr>
      <w:r>
        <w:rPr>
          <w:rFonts w:ascii="Amiri" w:hAnsi="Amiri" w:eastAsia="Amiri" w:cs="Amiri"/>
          <w:color w:val="111111"/>
          <w:sz w:val="28"/>
          <w:sz w:val="28"/>
          <w:szCs w:val="28"/>
          <w:rtl w:val="true"/>
          <w:lang w:bidi="ar-SA"/>
        </w:rPr>
        <w:t>الأساليب ويخاطب الرّوح بمنطقها من ألوان الكلام لا من حروفه، وهو يتألَّف النَّاس بهذه الخصوصيّة فيه، حتى ينتهي بهم ممَّا يفهمون إلى ما يجب أن يفهموا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اجتماع النَّمطين معاً من محاكاة النَّص القرآني في رسالة سليمان بن صُرَد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البأساءِ والضرَّاءِ وحينَ البأسِ، وتوبوا إلى الله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أفضلُ الزَّادِ في الدّنيا، وما سِوَى ذلكَ يبورُ ويَفْنَى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الله وإيّاكم حياةً طيّبةً، وأجارنا وإيَّاكم مِنَ النَّار</w:t>
      </w:r>
      <w:r>
        <w:rPr>
          <w:rFonts w:eastAsia="Amiri" w:cs="Amiri" w:ascii="Amiri" w:hAnsi="Amiri"/>
          <w:color w:val="111111"/>
          <w:sz w:val="28"/>
          <w:szCs w:val="28"/>
          <w:rtl w:val="true"/>
          <w:lang w:bidi="ar-SA"/>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استمدَّ ابن صُرَد ضروباً مختلفة من آي الذَّكر الحكيم، ووشَّح بها أُسلوبه ليُضفي عليه حلّة بديعيَّة تجتذب إليها إسماع المتلقّين، فهو تارة يعتمد على آيات قرآنية في ألفاظها تصرّفاً جزئيَّاً،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البأساء والضراء وحين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مأخوذ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يعتمد على معاني النّص القرآني من دون صياغته، فيفرغها في بُنى جديدة تحمل دلالات النص القرآني المعتمد، كمثل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التقوى أفضل الزاد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مأخوذ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وَتَزَوَّدُوا فَإِنَّ خَيْرَ الزَّادِ التَّقْوَى وَاتَّقُونِ يَا أُولِي الْأَلْبَابِ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أحيانا الله وإياكم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معنى مستمدٌّ ضمناً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62" w:name="pg10991_100658"/>
    </w:p>
    <w:p>
      <w:pPr>
        <w:pStyle w:val="BookText"/>
        <w:rPr/>
      </w:pPr>
      <w:bookmarkEnd w:id="362"/>
      <w:r>
        <w:rPr>
          <w:rFonts w:ascii="Amiri" w:hAnsi="Amiri" w:eastAsia="Amiri" w:cs="Amiri"/>
          <w:color w:val="111111"/>
          <w:sz w:val="28"/>
          <w:sz w:val="28"/>
          <w:szCs w:val="28"/>
          <w:rtl w:val="true"/>
          <w:lang w:bidi="ar-SA"/>
        </w:rPr>
        <w:t>فقد اعتمد ابنُ صُرَدْ على ألفاظ ومعاني آيات متفرّقة من القرآن الكريم، فأحكم رصفها وتسخيرها حتَّى يُضفي على أُسلوبه طابع الجزالة والرَّصانة؛ ليميل نحوه الأسماع، ويصرف إليه الأنظار، ويأخذ بمجامع القلوب، وفي هذا التَّنويع في التقاط أكبر عدد ممكن من الآيات دلالة واضحة على تأثّر المنشئ بآيات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288970_2870459653"/>
      <w:bookmarkStart w:id="364" w:name="_Toc128"/>
      <w:bookmarkEnd w:id="363"/>
      <w:r>
        <w:rPr>
          <w:rtl w:val="true"/>
        </w:rPr>
        <w:t>الخلاصة والنتيجة</w:t>
      </w:r>
      <w:bookmarkEnd w:id="364"/>
    </w:p>
    <w:p>
      <w:pPr>
        <w:pStyle w:val="BookText"/>
        <w:rPr/>
      </w:pPr>
      <w:r>
        <w:rPr>
          <w:rFonts w:ascii="Amiri" w:hAnsi="Amiri" w:eastAsia="Amiri" w:cs="Amiri"/>
          <w:color w:val="111111"/>
          <w:sz w:val="28"/>
          <w:sz w:val="28"/>
          <w:szCs w:val="28"/>
          <w:rtl w:val="true"/>
          <w:lang w:bidi="ar-SA"/>
        </w:rPr>
        <w:t>إنَّ النثر الفنَّي قد نشط في ثورة التَّوابين وإمارة المختار الثقفي نشاطاً واسعاً؛ لمِا كان لزعمائهم ودعاتهم وأنصارهم من نتاج أدبي نثري فاعل، مثّلتهُ الخطب والرَّسائل والعهود والوصايا التي وصلت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لنتاج هاتين الحقبتين أثرٌ كبير في الأدب العربي، ولاسيما في حركة النّثر الفنّي وتطوّره في الدَّرس الأُسلوبي والبياني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تفاوتت الخطب والرَّسائل في حقبة التوابين وإمارة المختار طولاً وقصراً، وذلك بحسب القصد والموضوع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خطباء وكتَّاب هاتين الحقبتين من أُسلوب القرآن الكريم، في نثرهم، اقتباساً وتضميناً، محاكاة واحتذاءً، وهذا النَّثر لم يخرج عن نهج النَّثر الفنَّي في صدر الإسلام الذي سار عليه الرسول الكريم صلی الله علیه و اله ، وأقرَّه في خُطبه ورسائله من حيث الشّكل النَّثري، وهو ما ينمُّ عن إتقان البناء، ووحدة الموضوع، وإحكام المعاني</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سيد المرسلين محمد وآله الطيبين الطاهرين</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0991_100661"/>
      <w:bookmarkStart w:id="366" w:name="pg10991_100661"/>
      <w:bookmarkEnd w:id="366"/>
    </w:p>
    <w:p>
      <w:pPr>
        <w:pStyle w:val="Heading2"/>
        <w:numPr>
          <w:ilvl w:val="1"/>
          <w:numId w:val="1"/>
        </w:numPr>
        <w:rPr/>
      </w:pPr>
      <w:bookmarkStart w:id="367" w:name="pg10991_100661"/>
      <w:bookmarkStart w:id="368" w:name="__RefHeading___Toc8288972_2870459653"/>
      <w:bookmarkStart w:id="369" w:name="_Toc129"/>
      <w:bookmarkEnd w:id="367"/>
      <w:bookmarkEnd w:id="368"/>
      <w:r>
        <w:rPr>
          <w:rtl w:val="true"/>
        </w:rPr>
        <w:t>دراسات في فقه النهضة الحسينية</w:t>
      </w:r>
      <w:bookmarkEnd w:id="369"/>
    </w:p>
    <w:p>
      <w:pPr>
        <w:pStyle w:val="Heading3"/>
        <w:numPr>
          <w:ilvl w:val="2"/>
          <w:numId w:val="1"/>
        </w:numPr>
        <w:rPr/>
      </w:pPr>
      <w:bookmarkStart w:id="370" w:name="__RefHeading___Toc8288974_2870459653"/>
      <w:bookmarkStart w:id="371" w:name="_Toc130"/>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فقه التربة الحسينية</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وقوع التربة المباركة في الخلاء وحملها له و تجهيز الميت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والنهي عن المنكر في السيرة الحسينية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الأساليب ووحدة الهدف</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0991_100666"/>
      <w:bookmarkStart w:id="373" w:name="pg10991_100666"/>
      <w:bookmarkEnd w:id="373"/>
    </w:p>
    <w:p>
      <w:pPr>
        <w:pStyle w:val="Heading3"/>
        <w:numPr>
          <w:ilvl w:val="2"/>
          <w:numId w:val="1"/>
        </w:numPr>
        <w:rPr/>
      </w:pPr>
      <w:bookmarkStart w:id="374" w:name="pg10991_100666"/>
      <w:bookmarkStart w:id="375" w:name="__RefHeading___Toc8288976_2870459653"/>
      <w:bookmarkStart w:id="376" w:name="_Toc131"/>
      <w:bookmarkEnd w:id="374"/>
      <w:bookmarkEnd w:id="375"/>
      <w:r>
        <w:rPr>
          <w:rtl w:val="true"/>
        </w:rPr>
        <w:t>فقه التربة الحسينية</w:t>
      </w:r>
      <w:bookmarkEnd w:id="376"/>
    </w:p>
    <w:p>
      <w:pPr>
        <w:pStyle w:val="Heading3"/>
        <w:numPr>
          <w:ilvl w:val="2"/>
          <w:numId w:val="1"/>
        </w:numPr>
        <w:rPr/>
      </w:pPr>
      <w:bookmarkStart w:id="377" w:name="__RefHeading___Toc8288978_2870459653"/>
      <w:bookmarkStart w:id="378" w:name="_Toc132"/>
      <w:bookmarkEnd w:id="377"/>
      <w:r>
        <w:rPr>
          <w:rtl w:val="true"/>
        </w:rPr>
        <w:t>(</w:t>
      </w:r>
      <w:r>
        <w:rPr>
          <w:rtl w:val="true"/>
        </w:rPr>
        <w:t>القسم الثالث</w:t>
      </w:r>
      <w:r>
        <w:rPr>
          <w:rtl w:val="true"/>
        </w:rPr>
        <w:t xml:space="preserve">) </w:t>
      </w:r>
      <w:r>
        <w:rPr>
          <w:rtl w:val="true"/>
        </w:rPr>
        <w:t>حكم وقوع التربة المبارك</w:t>
      </w:r>
      <w:r>
        <w:rPr/>
        <w:t>i</w:t>
      </w:r>
      <w:r>
        <w:rPr>
          <w:rtl w:val="true"/>
        </w:rPr>
        <w:t xml:space="preserve"> </w:t>
      </w:r>
      <w:r>
        <w:rPr>
          <w:rtl w:val="true"/>
        </w:rPr>
        <w:t>في الخلاء وحملها له و تجهيز الميت بها</w:t>
      </w:r>
      <w:bookmarkEnd w:id="378"/>
    </w:p>
    <w:p>
      <w:pPr>
        <w:pStyle w:val="Heading3"/>
        <w:numPr>
          <w:ilvl w:val="2"/>
          <w:numId w:val="1"/>
        </w:numPr>
        <w:rPr/>
      </w:pPr>
      <w:bookmarkStart w:id="379" w:name="__RefHeading___Toc8288980_2870459653"/>
      <w:bookmarkStart w:id="380" w:name="_Toc133"/>
      <w:bookmarkEnd w:id="379"/>
      <w:r>
        <w:rPr>
          <w:rtl w:val="true"/>
        </w:rPr>
        <w:t>الشيخ أحمد موسى العلي</w:t>
      </w:r>
      <w:bookmarkEnd w:id="380"/>
    </w:p>
    <w:p>
      <w:pPr>
        <w:pStyle w:val="BookText"/>
        <w:rPr/>
      </w:pPr>
      <w:r>
        <w:rPr>
          <w:rFonts w:ascii="Amiri" w:hAnsi="Amiri" w:eastAsia="Amiri" w:cs="Amiri"/>
          <w:color w:val="111111"/>
          <w:sz w:val="28"/>
          <w:sz w:val="28"/>
          <w:szCs w:val="28"/>
          <w:rtl w:val="true"/>
          <w:lang w:bidi="ar-SA"/>
        </w:rPr>
        <w:t>الشيخ أحمد موسى العلي</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تعرّضنا في مقالين سابقين إلى حرمة الاستنجاء بالتربة المباركة، ثمّ إلى حرمة تنجيسها ووجوب إزالة النجاسة عنها، وهنا نتناول حكمين مهمّين من أحكام التربة الحسينية، في مسألة وقوع التربة المباركة في بيت الخلاء، ومسألة تجهيز الميت بالتربة الحسينية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الشريعة الإسلاميّة المنقولة عن طريق آل البيت علیهم السلام لم تترك شاردةً ولا واردةً إلّا ذكرت حكمها، بل الروايات في ذلك متضافرة، سواء بنحوٍ كلّي، وذلك من خلال القواعد العامّة التي تنطوي المسألة تحتها، المعبّر عنها بالأُصول، أو بنحوٍ خاصّ من خلال ورود نصٍّ خاصٍّ يعالج حكم المسألة المعيّنة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كلام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أحكام الشريعة عامّة لكلّ واقعة، بل صرّحت بعض الروايات أنّ معارفهم علیهم السلام مُستقاة من منابع خاصّة، كمصحف </w:t>
      </w:r>
      <w:bookmarkStart w:id="381" w:name="pg10991_100667"/>
    </w:p>
    <w:p>
      <w:pPr>
        <w:pStyle w:val="BookText"/>
        <w:rPr/>
      </w:pPr>
      <w:bookmarkEnd w:id="381"/>
      <w:r>
        <w:rPr>
          <w:rFonts w:ascii="Amiri" w:hAnsi="Amiri" w:eastAsia="Amiri" w:cs="Amiri"/>
          <w:color w:val="111111"/>
          <w:sz w:val="28"/>
          <w:sz w:val="28"/>
          <w:szCs w:val="28"/>
          <w:rtl w:val="true"/>
          <w:lang w:bidi="ar-SA"/>
        </w:rPr>
        <w:t>فاطمة، والجامعة، وغيرهما، وورد أنّ فيها الحلال والحرام حتى أرش الخدش</w:t>
      </w:r>
      <w:r>
        <w:rPr>
          <w:rStyle w:val="FootnoteAnchor"/>
          <w:rtl w:val="true"/>
        </w:rPr>
        <w:footnoteReference w:id="381"/>
      </w:r>
      <w:r>
        <w:rPr>
          <w:rFonts w:ascii="IRNazanin" w:hAnsi="IRNazanin" w:eastAsia="IRNazanin"/>
          <w:color w:val="111111"/>
          <w:sz w:val="28"/>
          <w:sz w:val="28"/>
          <w:szCs w:val="28"/>
          <w:rtl w:val="true"/>
          <w:lang w:bidi="fa-IR"/>
        </w:rPr>
        <w:t>، بل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علي علیه السلام شيئاً إلّا كتبه حتى أرش الخدش</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تميّزت الشريعة الإسلاميّة عن غيرها من الشرائع؛ بكونها شريعةً خاتمة لجميع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المُؤسف أنّ هذا الطريق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أراد الرسول الأعظم صلی الله علیه و اله أن يكون هو منبع الأحكام والوقائع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هُمّش وحُورب من قبل سلطان المال والرئاسة؛ ولذا غُيّبت عن الخط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الخط الآخر أهمل فكر أهل البيت علیهم السلام وجعله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الأحكام المتوفّرة عند مدرسة آل البيت علیهم السلام ؛ ممّا اضطرّ أولئك للأخذ بالروايات الضعيفة، وقول الصحابة، والقياس، والمصالح المرسلة، والاستحسان،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بقيت مدرسة أهل البيت علیهم السلام حيّة وفاعلة على مدى العصور، وقد وصل إلينا الكثير من معالم الدين عن طريقهم، المتمثّل بأئمّةٍ اثني عشر معصومين عن الخطأ والنسيان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وبالاستفادة من الكليات الواردة في معالجة الأحكام يمكن الاستدلال على كثير من الأحكام المتعلّقة بالتربة الحسينية المباركة، إضافةً إلى ورود روايات خاصّة مستفيضة أو متواترة على بعض أحكامها، وسنتعرّض في مقالنا هذا إلى ثلاث مسائل مهمّة تتعلّق بالتربة الحسينية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8288982_2870459653"/>
      <w:bookmarkStart w:id="383" w:name="_Toc134"/>
      <w:bookmarkEnd w:id="382"/>
      <w:r>
        <w:rPr>
          <w:rtl w:val="true"/>
        </w:rPr>
        <w:t>المسالة الأولى</w:t>
      </w:r>
      <w:r>
        <w:rPr>
          <w:rtl w:val="true"/>
        </w:rPr>
        <w:t xml:space="preserve">: </w:t>
      </w:r>
      <w:r>
        <w:rPr>
          <w:rtl w:val="true"/>
        </w:rPr>
        <w:t>وقوع التربة المباركة في بيت الخلاء</w:t>
      </w:r>
      <w:bookmarkEnd w:id="383"/>
    </w:p>
    <w:p>
      <w:pPr>
        <w:pStyle w:val="Heading3"/>
        <w:numPr>
          <w:ilvl w:val="2"/>
          <w:numId w:val="1"/>
        </w:numPr>
        <w:rPr/>
      </w:pPr>
      <w:bookmarkStart w:id="384" w:name="__RefHeading___Toc8288984_2870459653"/>
      <w:bookmarkStart w:id="385" w:name="_Toc135"/>
      <w:bookmarkEnd w:id="384"/>
      <w:r>
        <w:rPr>
          <w:rtl w:val="true"/>
        </w:rPr>
        <w:t>كلمات الفقهاء في المسألة</w:t>
      </w:r>
      <w:bookmarkEnd w:id="3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اليزدي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ورق القرآن أو غيره من المحترمات في بيت الخلاء أو بالوعته؛ وجب إخراجه ولو بأُجرة، وإن لم يكن فالأحوط والأوْلى سدّ بابه، </w:t>
      </w:r>
      <w:bookmarkStart w:id="386" w:name="pg10991_100669"/>
    </w:p>
    <w:p>
      <w:pPr>
        <w:pStyle w:val="BookText"/>
        <w:rPr/>
      </w:pPr>
      <w:bookmarkEnd w:id="386"/>
      <w:r>
        <w:rPr>
          <w:rFonts w:ascii="Amiri" w:hAnsi="Amiri" w:eastAsia="Amiri" w:cs="Amiri"/>
          <w:color w:val="111111"/>
          <w:sz w:val="28"/>
          <w:sz w:val="28"/>
          <w:szCs w:val="28"/>
          <w:rtl w:val="true"/>
          <w:lang w:bidi="ar-SA"/>
        </w:rPr>
        <w:t>وترك التخلِّي فيه إلى أن يضمحلّ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المحترمات التي هي غير ورق القرآن، والتي لو وقعت في بيت الخلاء أو بالوعته وجب إخراجها ولو بأُجرة، وإن لم يمكن سُدَّ بابه وتُرِك التخلّي فيه إلى أن يضمحلّ؟</w:t>
      </w:r>
    </w:p>
    <w:p>
      <w:pPr>
        <w:pStyle w:val="BookText"/>
        <w:rPr/>
      </w:pPr>
      <w:r>
        <w:rPr>
          <w:rFonts w:ascii="IRNazanin" w:hAnsi="IRNazanin" w:eastAsia="IRNazanin"/>
          <w:color w:val="111111"/>
          <w:sz w:val="28"/>
          <w:sz w:val="28"/>
          <w:szCs w:val="28"/>
          <w:rtl w:val="true"/>
          <w:lang w:bidi="fa-IR"/>
        </w:rPr>
        <w:t>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يجب احترامه ولا يجوز هتكه، مثل كتب أحاديث الأئمّة علیهم السلام ، والكتب الفقهية، والتربة الحسينية، وتربة سائر الأئمّة الأطهار علیهم السلام ، وما شاكل ذلك</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وافق الشيخ جواد التبريزي رحمة الله السيد الخوئي رحمة الله في ذلك</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288986_2870459653"/>
      <w:bookmarkStart w:id="388" w:name="_Toc136"/>
      <w:bookmarkEnd w:id="387"/>
      <w:r>
        <w:rPr>
          <w:rtl w:val="true"/>
        </w:rPr>
        <w:t>تنحلّ المسألة إلى فرعين</w:t>
      </w:r>
      <w:r>
        <w:rPr>
          <w:rtl w:val="true"/>
        </w:rPr>
        <w:t>:</w:t>
      </w:r>
      <w:bookmarkEnd w:id="388"/>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إخراج التربة الحسينية مع التمكن</w:t>
      </w:r>
    </w:p>
    <w:p>
      <w:pPr>
        <w:pStyle w:val="BookText"/>
        <w:rPr/>
      </w:pPr>
      <w:r>
        <w:rPr>
          <w:rFonts w:ascii="Amiri" w:hAnsi="Amiri" w:eastAsia="Amiri" w:cs="Amiri"/>
          <w:color w:val="111111"/>
          <w:sz w:val="28"/>
          <w:sz w:val="28"/>
          <w:szCs w:val="28"/>
          <w:rtl w:val="true"/>
          <w:lang w:bidi="ar-SA"/>
        </w:rPr>
        <w:t>يجب إخراج التربة الحسينية وكلّ محترم إذا وقع في بيت الخلاء، أو بالوعة البيت، ولو بدفع الأُجرة من يُخرجها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8288988_2870459653"/>
      <w:bookmarkStart w:id="390" w:name="_Toc137"/>
      <w:bookmarkEnd w:id="389"/>
      <w:r>
        <w:rPr>
          <w:rtl w:val="true"/>
        </w:rPr>
        <w:t>أدلّة الفرع الأول</w:t>
      </w:r>
      <w:bookmarkEnd w:id="390"/>
    </w:p>
    <w:p>
      <w:pPr>
        <w:pStyle w:val="BookText"/>
        <w:rPr/>
      </w:pPr>
      <w:r>
        <w:rPr>
          <w:rFonts w:ascii="Amiri" w:hAnsi="Amiri" w:eastAsia="Amiri" w:cs="Amiri"/>
          <w:color w:val="111111"/>
          <w:sz w:val="28"/>
          <w:sz w:val="28"/>
          <w:szCs w:val="28"/>
          <w:rtl w:val="true"/>
          <w:lang w:bidi="ar-SA"/>
        </w:rPr>
        <w:t>يمكن تقريب دليل وجوب إخراج التربة من بيت الخلاء أو بالوعته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التربة تعدُّ مقدّمة لإزالة النجاسة عن التربة، وقد تقدّم مفصّلاً أنّ إزالة النجاسة عن المحترمات واجب، بل هو من الوجوبات الفورية؛ ولأجل ذلك حُكِم بوجوب الإخراج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الإخراج للتربة المباركة إنّما هو لصدق الهتك والوهن </w:t>
      </w:r>
      <w:bookmarkStart w:id="391" w:name="pg10991_100672"/>
    </w:p>
    <w:p>
      <w:pPr>
        <w:pStyle w:val="BookText"/>
        <w:rPr/>
      </w:pPr>
      <w:bookmarkEnd w:id="391"/>
      <w:r>
        <w:rPr>
          <w:rFonts w:ascii="Amiri" w:hAnsi="Amiri" w:eastAsia="Amiri" w:cs="Amiri"/>
          <w:color w:val="111111"/>
          <w:sz w:val="28"/>
          <w:sz w:val="28"/>
          <w:szCs w:val="28"/>
          <w:rtl w:val="true"/>
          <w:lang w:bidi="ar-SA"/>
        </w:rPr>
        <w:t>لها، فيجب لذلك الإخراج والمسارعة فيه، لتوقّف رفع الإهانة على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وجوب الإخراج لا يُفرّق فيه بين عدم صرف المال لذلك وبذل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استطاع الشخص استخراج التربة بنفسه بدون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بذل الأُجرة لشخص وتوقّف الإخراج على بذل بعض المال؛ لأنّ الشارع المقدس لا يرفع يده عن حرمة هذه المقدسات بالضرر المالي ما لم يبلغ إلى درجة الحرج</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8288990_2870459653"/>
      <w:bookmarkStart w:id="393" w:name="_Toc138"/>
      <w:bookmarkEnd w:id="392"/>
      <w:r>
        <w:rPr>
          <w:rtl w:val="true"/>
        </w:rPr>
        <w:t xml:space="preserve">الفرع الثاني </w:t>
      </w:r>
      <w:r>
        <w:rPr>
          <w:rtl w:val="true"/>
        </w:rPr>
        <w:t xml:space="preserve">: </w:t>
      </w:r>
      <w:r>
        <w:rPr>
          <w:rtl w:val="true"/>
        </w:rPr>
        <w:t>مع عدم إمكان إخراج التربة من بيت الخلاء</w:t>
      </w:r>
      <w:bookmarkEnd w:id="393"/>
    </w:p>
    <w:p>
      <w:pPr>
        <w:pStyle w:val="BookText"/>
        <w:rPr/>
      </w:pPr>
      <w:r>
        <w:rPr>
          <w:rFonts w:ascii="Amiri" w:hAnsi="Amiri" w:eastAsia="Amiri" w:cs="Amiri"/>
          <w:color w:val="111111"/>
          <w:sz w:val="28"/>
          <w:sz w:val="28"/>
          <w:szCs w:val="28"/>
          <w:rtl w:val="true"/>
          <w:lang w:bidi="ar-SA"/>
        </w:rPr>
        <w:t>في حالة عدم إمكان إخراج التربة من بيت الخلاء أو بالوعته، فهنا قولان</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8288992_2870459653"/>
      <w:bookmarkStart w:id="395" w:name="_Toc139"/>
      <w:bookmarkEnd w:id="394"/>
      <w:r>
        <w:rPr>
          <w:rtl w:val="true"/>
        </w:rPr>
        <w:t>القول الأول</w:t>
      </w:r>
      <w:r>
        <w:rPr>
          <w:rtl w:val="true"/>
        </w:rPr>
        <w:t xml:space="preserve">: </w:t>
      </w:r>
      <w:r>
        <w:rPr>
          <w:rtl w:val="true"/>
        </w:rPr>
        <w:t>وجوب سد باب بيت الخلاء</w:t>
      </w:r>
      <w:bookmarkEnd w:id="395"/>
    </w:p>
    <w:p>
      <w:pPr>
        <w:pStyle w:val="BookText"/>
        <w:rPr/>
      </w:pPr>
      <w:r>
        <w:rPr>
          <w:rFonts w:ascii="Amiri" w:hAnsi="Amiri" w:eastAsia="Amiri" w:cs="Amiri"/>
          <w:color w:val="111111"/>
          <w:sz w:val="28"/>
          <w:sz w:val="28"/>
          <w:szCs w:val="28"/>
          <w:rtl w:val="true"/>
          <w:lang w:bidi="ar-SA"/>
        </w:rPr>
        <w:t>يجب سد باب الخلاء إلى أن تضمحل وتنتفي التربة الحسينية، وفي حالة عدم اضمحلالها لا يجوز الاستفادة من الخلاء، ولعلّ هذا القول هو مختار أكثر الفقهاء، وخصوصاً المحدثين والمعاصرين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أكثر المعلقين والمحشّين على متن العروة الوثقى إلى وجوب سد باب الخلاء إذا لم يمكن إخراج التربة من البالوعة واعترضوا على ما ذهب إليه السيد اليزدي من الاحتياط الاستحبابي في سد بيت الخلاء وعدم التخلّي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وجوب سد الباب ليس لأجل كون المتنجس لا يتنجس، بل هو لأجل أمر آخر،وهو لزوم الهتك والمهانة من تنجيسها، ولا يُفرّق في ذلك بين طهارة المحترم ونجاسته؛ فإن التربة أو الورق بعدما تنجست بوقوعها في البالوعة إذا ألقيت عليها النجاسة مرة </w:t>
      </w:r>
      <w:bookmarkStart w:id="396" w:name="pg10991_100674"/>
    </w:p>
    <w:p>
      <w:pPr>
        <w:pStyle w:val="BookText"/>
        <w:rPr/>
      </w:pPr>
      <w:bookmarkEnd w:id="396"/>
      <w:r>
        <w:rPr>
          <w:rFonts w:ascii="Amiri" w:hAnsi="Amiri" w:eastAsia="Amiri" w:cs="Amiri"/>
          <w:color w:val="111111"/>
          <w:sz w:val="28"/>
          <w:sz w:val="28"/>
          <w:szCs w:val="28"/>
          <w:rtl w:val="true"/>
          <w:lang w:bidi="ar-SA"/>
        </w:rPr>
        <w:t>أخرى يُعدّ ذلك هتكاً لحرمتها، وكلّما تكرّر الإلقاء تعدّد الهتك والمهانة، وكل فرد من الإهانة والهتك حرام في نفسه؛ وعليه فلو أمكن إخراجها من البالوعة وجب ولو ببذل الأُجرة عليه، إلّا أن يكون عَسِراً أو ضررياً، ومع عدم التمكن من إخراجها فلا طريق إلّا سدّ البالوعة إلى أن تضمحل التربة المباركة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8288994_2870459653"/>
      <w:bookmarkStart w:id="398" w:name="_Toc140"/>
      <w:bookmarkEnd w:id="397"/>
      <w:r>
        <w:rPr>
          <w:rtl w:val="true"/>
        </w:rPr>
        <w:t>القول الثاني</w:t>
      </w:r>
      <w:r>
        <w:rPr>
          <w:rtl w:val="true"/>
        </w:rPr>
        <w:t xml:space="preserve">: </w:t>
      </w:r>
      <w:r>
        <w:rPr>
          <w:rtl w:val="true"/>
        </w:rPr>
        <w:t>يُسدّ باب الخلاء على نحو الأحوط الأولى</w:t>
      </w:r>
      <w:bookmarkEnd w:id="398"/>
    </w:p>
    <w:p>
      <w:pPr>
        <w:pStyle w:val="BookText"/>
        <w:rPr/>
      </w:pPr>
      <w:r>
        <w:rPr>
          <w:rFonts w:ascii="Amiri" w:hAnsi="Amiri" w:eastAsia="Amiri" w:cs="Amiri"/>
          <w:color w:val="111111"/>
          <w:sz w:val="28"/>
          <w:sz w:val="28"/>
          <w:szCs w:val="28"/>
          <w:rtl w:val="true"/>
          <w:lang w:bidi="ar-SA"/>
        </w:rPr>
        <w:t>إنّ سدّ باب الخلاء إنما هو على نحو الأحوط الأولى، ولا يصل إلى حد الوجوب، فيمكن للمكلّف استعمال الكنيف وإن لم تضمحل التربة، وهذا ما ذهب إليه السيد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السيد الخوئي لذلك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إخراج التربة من بيت الخلاء إنّما هو لأجل نجاستها، والتربة ما دامت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يمكن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إلقاء النجاسة عليها، بدعوى أنّ المتنجّس لا يتنجّس ثانياً، فالنجاسة الثانية لا تؤثّر شيء جديد في مقابل النجاسة الأُولى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محذور الإهانة والهتك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بإلقاء النجاسة الثانية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معلوم؛ لأنّ سدّ الباب ما دام لا يؤثّر في تقليل النجاسة الواقعة، وما دام إخراج التربة وغيرها من المحترمات غير متيسّر؛ فلا يُعلم أنّ مجرّد استعمال تلك البالوعة يكون هتكاً، والشك وعدم العلم يكفي أيضاً لإجراء البراءة؛ لأنّ الشبهة هنا من الشُبه الموضوعية</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399" w:name="pg10991_100676"/>
    </w:p>
    <w:p>
      <w:pPr>
        <w:pStyle w:val="BookText"/>
        <w:rPr/>
      </w:pPr>
      <w:bookmarkEnd w:id="399"/>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سدّ الباب لأجل كون الاستنجاء مرة أُخرى إهانة جديدة،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فتوى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وجوب سدّ باب الخلاء في حالة عدم إمكان استخراج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اضمحلّت التربة، وتلاشت وانعدمت، جاز بعد ذلك استعمال بيت الخلاء؛ لأنّ حرمة التنجيس أو وجوب الإخراج لها إنّما كان مترتّباً على عنوان التربة الحسينية، وفي حال الاضمحلال ينتفي عنوان التربة؛ وتبعاً له ينتفي الحكم الشرعي المترتّب عليه، وهو حرمة التنجيس أو وجوب الإخراج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8288996_2870459653"/>
      <w:bookmarkStart w:id="401" w:name="_Toc141"/>
      <w:bookmarkEnd w:id="400"/>
      <w:r>
        <w:rPr>
          <w:rtl w:val="true"/>
        </w:rPr>
        <w:t>المسألة الثانية</w:t>
      </w:r>
      <w:r>
        <w:rPr>
          <w:rtl w:val="true"/>
        </w:rPr>
        <w:t xml:space="preserve">: </w:t>
      </w:r>
      <w:r>
        <w:rPr>
          <w:rtl w:val="true"/>
        </w:rPr>
        <w:t>حمل التربة الحسينية إلى بيت الخلاء</w:t>
      </w:r>
      <w:bookmarkEnd w:id="401"/>
    </w:p>
    <w:p>
      <w:pPr>
        <w:pStyle w:val="BookText"/>
        <w:rPr/>
      </w:pPr>
      <w:r>
        <w:rPr>
          <w:rFonts w:ascii="Amiri" w:hAnsi="Amiri" w:eastAsia="Amiri" w:cs="Amiri"/>
          <w:color w:val="111111"/>
          <w:sz w:val="28"/>
          <w:sz w:val="28"/>
          <w:szCs w:val="28"/>
          <w:rtl w:val="true"/>
          <w:lang w:bidi="ar-SA"/>
        </w:rPr>
        <w:t>ذكرت الشريعة الإسلاميّة آداباً خاصّة للتخلّي،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مستحبات التخلِّي ومكروهاته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ننكر أنّ هناك آداباً قد ذكرتها الديانات الأُخرى، ولكن اختصّت الشريعة الإسلاميّة بالشمولية، بحيث عالجت أدقّ حالات المكلّف، وقد اكتشف العلم الحديث بعض أسرار هذه الآداب من المستحبات والمكروهات، ممّا يكشف ارتباط هذه الشريعة الغرّاء بمبدأ الغيب، وكونها شريعة إلهية بكلّ تفاصيلها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المكروهات التي لا بدّ أن يتجنّبها المكلّف عند دخوله لبيت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الشمس عند قضاء حاجته، واستقبال الريح، والجلوس في الشوارع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واصطحاب الدراهم البيض، بل مطلقاً إذا كان عليه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محترمٍ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أُحرز من الشرع المقدس أنّه يجب احترامه، ويُحرم هتكه، مثل القرآن العزيز، وكتب الحديث، والتربة الحسينية، وأمثالها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حكم بعض الفقهاء المعاصرين بكراهة اصطحاب المحترمات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تربة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إلى هذا القول كلٌّ 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وكاشف الغطاء، والسيد عبد الأعلى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البعض الآخر في أدلّة هؤلاء، وانتهى إلى عدم وجود دليل يدلّ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كلماتهم أنّ في المسألة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بكراهة اصطحاب المحترمات إلى بيت الخلاء</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الدليل الذي يمكن استفادته من كلماتهم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دلّت على النهي من اصطحاب الخاتم وعليه اسم الله إلى بيت الخلاء، وهذا النهي محمولٌ على الكراهة، كما صرّح به الفقهاء، وقد حمل الفقهاء ذكر الخاتم على مجرّد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فنتعدّى بتنقيح المناط</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شيء فيه علّة التحريم، ونُعطيه حكم الخاتم الذي عليه اسم الله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المقدس أمر باحترام وتعظيم كلّ ما هو محترم شرعاً، وإدخال مثل هذه الأشياء إلى بيت الخلاء يُنافي الاحترام والتعظيم؛ فلا بدّ من تجنّبه، بما أنّ هذا </w:t>
      </w:r>
    </w:p>
    <w:p>
      <w:pPr>
        <w:pStyle w:val="BookText"/>
        <w:rPr/>
      </w:pPr>
      <w:r>
        <w:rPr>
          <w:rFonts w:ascii="Amiri" w:hAnsi="Amiri" w:eastAsia="Amiri" w:cs="Amiri"/>
          <w:color w:val="111111"/>
          <w:sz w:val="28"/>
          <w:sz w:val="28"/>
          <w:szCs w:val="28"/>
          <w:rtl w:val="true"/>
          <w:lang w:bidi="ar-SA"/>
        </w:rPr>
        <w:t>التنافي لا يصل إلى حدّ الحرمة، فيُحمل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الأدلّة أنّ المناط في الكراهة هو التحفّظ على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التعدّي إلى كلّ محترم لا بدّ من احترامه شرعاً، وهذا هو الموافق لمرتكزات المتديّنين أيضاً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التي تدلّ على كراهة اصطحاب الخاتم المكتوب عليه اسم الله تعالى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أيّوب الخزّاز،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الخلاء وفي يدي خاتم فيه اسمٌ من أسماء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تُجامع فيه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الخلاء وعليه خاتم فيه اسم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اسم محمد صلی الله علیه و اله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موثّقة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 الجُنب درهماً ولا ديناراً عليه اسم الله تعالى، ولا يستنجي وعليه خاتم فيه اسم الله، ولا يُجامع وهو عليه، ولا يدخل المخرج وهو عليه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جعفر، عن أخيه موسى بن جعفر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يجُامع ويدخل الكنيف، وعليه الخاتم فيه ذكر الله، أو الشيء من القرآن، أيصلح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أو القول باستحباب عدم الاصطحاب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الفقهاء الذين ناقشوا أدلّة القول الأوّل اتّجهوا إلى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بمعنى أنّهم نفوا الكراهة فقط، ولم يصرّحوا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عدم حمل المحترمات واصطحابها إلى بيت الخلاء، فهم يحكمون بالاستحباب بعد مناقشة دليل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لم يحكم بالكراهة الشيخ البحراني</w:t>
      </w:r>
      <w:r>
        <w:rPr>
          <w:rStyle w:val="FootnoteAnchor"/>
          <w:rtl w:val="true"/>
        </w:rPr>
        <w:footnoteReference w:id="397"/>
      </w:r>
      <w:r>
        <w:rPr>
          <w:rFonts w:ascii="Amiri" w:hAnsi="Amiri" w:eastAsia="Amiri" w:cs="Amiri"/>
          <w:color w:val="111111"/>
          <w:sz w:val="28"/>
          <w:sz w:val="28"/>
          <w:szCs w:val="28"/>
          <w:rtl w:val="true"/>
          <w:lang w:bidi="ar-SA"/>
        </w:rPr>
        <w:t>، والنراقي</w:t>
      </w:r>
      <w:r>
        <w:rPr>
          <w:rStyle w:val="FootnoteAnchor"/>
          <w:rtl w:val="true"/>
        </w:rPr>
        <w:footnoteReference w:id="398"/>
      </w:r>
      <w:r>
        <w:rPr>
          <w:rFonts w:ascii="Amiri" w:hAnsi="Amiri" w:eastAsia="Amiri" w:cs="Amiri"/>
          <w:color w:val="111111"/>
          <w:sz w:val="28"/>
          <w:sz w:val="28"/>
          <w:szCs w:val="28"/>
          <w:rtl w:val="true"/>
          <w:lang w:bidi="ar-SA"/>
        </w:rPr>
        <w:t>، والظاهر من السيد محسن الحكيم</w:t>
      </w:r>
      <w:r>
        <w:rPr>
          <w:rStyle w:val="FootnoteAnchor"/>
          <w:rtl w:val="true"/>
        </w:rPr>
        <w:footnoteReference w:id="39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نقاشهم للروايات السابقة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النراقي بعد نقله لتلك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الروايات كما ترى مختصّة بالخاتم في اليد صريحاً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منه إلى الرواية الأُولى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وظاهراً كالبواقي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بقية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تعميم الكراهة بالنسبة إلى مطلق الاصطحاب كما قد يُذكر، والتعدّي بتنقيح المناط موقوفٌ على القطع بالعلّة، والتمسّك بمنافاته التعظيم لا يُثبِت إلّا استحباب عدم الاصطحاب بقصد التعظيم، ولا كلام فيه، ولكلّ امرئٍ ما نوى</w:t>
      </w:r>
      <w:r>
        <w:rPr>
          <w:rStyle w:val="FootnoteAnchor"/>
          <w:rtl w:val="true"/>
        </w:rPr>
        <w:footnoteReference w:id="400"/>
      </w:r>
      <w:r>
        <w:rPr>
          <w:rFonts w:ascii="Amiri" w:hAnsi="Amiri" w:eastAsia="Amiri" w:cs="Amiri"/>
          <w:color w:val="111111"/>
          <w:sz w:val="28"/>
          <w:sz w:val="28"/>
          <w:szCs w:val="28"/>
          <w:rtl w:val="true"/>
          <w:lang w:bidi="ar-SA"/>
        </w:rPr>
        <w:t xml:space="preserve">، وفتوى البعض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فتوى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أزيد من ذلك، فالحكم بالكراهة مطلقاً لذلك لا وجه 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بالكراهة لأجل التعظيم والاحترام، يُنافي ما في بعض الروايات من الدلالة على أنّ النبي صلی الله علیه و اله والإمام علي علیه السلام كانا يدخلان بيت الخلاء وكانا يتختمّان، </w:t>
      </w:r>
      <w:bookmarkStart w:id="402" w:name="pg10991_100684"/>
    </w:p>
    <w:p>
      <w:pPr>
        <w:pStyle w:val="BookText"/>
        <w:rPr/>
      </w:pPr>
      <w:bookmarkEnd w:id="402"/>
      <w:r>
        <w:rPr>
          <w:rFonts w:ascii="IRNazanin" w:hAnsi="IRNazanin" w:eastAsia="IRNazanin"/>
          <w:color w:val="111111"/>
          <w:sz w:val="28"/>
          <w:sz w:val="28"/>
          <w:szCs w:val="28"/>
          <w:rtl w:val="true"/>
          <w:lang w:bidi="fa-IR"/>
        </w:rPr>
        <w:t xml:space="preserve">وعليهما نقش فيه اسم الله تعالى واسم النبي صلی الله علیه و اله </w:t>
      </w:r>
      <w:r>
        <w:rPr>
          <w:rStyle w:val="FootnoteAnchor"/>
          <w:rtl w:val="true"/>
        </w:rPr>
        <w:footnoteReference w:id="402"/>
      </w:r>
      <w:r>
        <w:rPr>
          <w:rFonts w:ascii="IRNazanin" w:hAnsi="IRNazanin" w:eastAsia="IRNazanin"/>
          <w:color w:val="111111"/>
          <w:sz w:val="28"/>
          <w:sz w:val="28"/>
          <w:szCs w:val="28"/>
          <w:rtl w:val="true"/>
          <w:lang w:bidi="fa-IR"/>
        </w:rPr>
        <w:t>، ففي رواية الحسين بن خالد، عن أبي الحسن الثاني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في الحديث، أنّ رسول الله صلی الله علیه و اله كان يستنجي وخاتمه في إصبعه، وكذلك كان يفعل أمير المؤمنين علیه السلام ، وكان نقش خاتم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لنا أن نفعل؟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أولئك كانوا يتختّمون في اليد اليمنى، وإنّكم أنتم تتختّمون في اليسرى</w:t>
      </w:r>
      <w:r>
        <w:rPr>
          <w:rFonts w:eastAsia="IRNazanin" w:cs="IRNazanin"/>
          <w:color w:val="111111"/>
          <w:sz w:val="28"/>
          <w:szCs w:val="28"/>
          <w:rtl w:val="true"/>
          <w:lang w:bidi="fa-IR"/>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عرفاً أنّ اصطحاب التربة المباركة إلى بيت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كانت في قطعة قماش، أو في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خلاف الاحترام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عدم اصطحابها من الأُمور المستحبّة؛ للأمر باحترام مثل هذه الأشياء شرعاً، وقد تقدّم من النراقي أنّ هذا لا إشكال فيه</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8288998_2870459653"/>
      <w:bookmarkStart w:id="404" w:name="_Toc142"/>
      <w:bookmarkEnd w:id="403"/>
      <w:r>
        <w:rPr>
          <w:rtl w:val="true"/>
        </w:rPr>
        <w:t>أمران لا بدّ منهما</w:t>
      </w:r>
      <w:bookmarkEnd w:id="40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النراقي رحمة الله أنّ المستفاد من الأخبار أنّ الكراهة إنّما هي عند دخول الخلاء، سواء كان للتغوّط أو البول، فلا كراهة عند البول في غيره، بل ولا عند التغوّط في مثل الصحراء؛ لعدم صدق الخلاء والكنيف، بل ولا المخرج؛ لأنّ الظاهر منها أيضاً البيت المُعدّ 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بالكراهة إنّما يثبت فيما إذا لم تتلوّث التربة وبقية المحترمات بالنجاسة، وأمّا إذا أدّى حملها إلى بيت الخلاء إلى تلويثها وتنجيسها ففي هذه الحالة </w:t>
      </w:r>
      <w:bookmarkStart w:id="405" w:name="pg10991_100686"/>
    </w:p>
    <w:p>
      <w:pPr>
        <w:pStyle w:val="BookText"/>
        <w:rPr/>
      </w:pPr>
      <w:bookmarkEnd w:id="405"/>
      <w:r>
        <w:rPr>
          <w:rFonts w:ascii="Amiri" w:hAnsi="Amiri" w:eastAsia="Amiri" w:cs="Amiri"/>
          <w:color w:val="111111"/>
          <w:sz w:val="28"/>
          <w:sz w:val="28"/>
          <w:szCs w:val="28"/>
          <w:rtl w:val="true"/>
          <w:lang w:bidi="ar-SA"/>
        </w:rPr>
        <w:t>لا إشكال في حرمته، بل يُكفَّر فاعله لو فعله بقصد الإهانة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8289000_2870459653"/>
      <w:bookmarkStart w:id="407" w:name="_Toc143"/>
      <w:bookmarkEnd w:id="406"/>
      <w:r>
        <w:rPr>
          <w:rtl w:val="true"/>
        </w:rPr>
        <w:t>المسألة الثالثة</w:t>
      </w:r>
      <w:r>
        <w:rPr>
          <w:rtl w:val="true"/>
        </w:rPr>
        <w:t xml:space="preserve">: </w:t>
      </w:r>
      <w:r>
        <w:rPr>
          <w:rtl w:val="true"/>
        </w:rPr>
        <w:t>تجهيز الميت بالتربة الحسينية</w:t>
      </w:r>
      <w:bookmarkEnd w:id="407"/>
    </w:p>
    <w:p>
      <w:pPr>
        <w:pStyle w:val="BookText"/>
        <w:rPr/>
      </w:pPr>
      <w:r>
        <w:rPr>
          <w:rFonts w:ascii="Amiri" w:hAnsi="Amiri" w:eastAsia="Amiri" w:cs="Amiri"/>
          <w:color w:val="111111"/>
          <w:sz w:val="28"/>
          <w:sz w:val="28"/>
          <w:szCs w:val="28"/>
          <w:rtl w:val="true"/>
          <w:lang w:bidi="ar-SA"/>
        </w:rPr>
        <w:t>يُجهّز الميت بالتربة الحسينية في مواضع عديدة، نستعرضها ضمن فروع</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8289002_2870459653"/>
      <w:bookmarkStart w:id="409" w:name="_Toc144"/>
      <w:bookmarkEnd w:id="408"/>
      <w:r>
        <w:rPr>
          <w:rtl w:val="true"/>
        </w:rPr>
        <w:t>المطلب الأول</w:t>
      </w:r>
      <w:r>
        <w:rPr>
          <w:rtl w:val="true"/>
        </w:rPr>
        <w:t xml:space="preserve">: </w:t>
      </w:r>
      <w:r>
        <w:rPr>
          <w:rtl w:val="true"/>
        </w:rPr>
        <w:t>وضع التربة الحسينية مع حنوط الميت</w:t>
      </w:r>
      <w:bookmarkEnd w:id="409"/>
    </w:p>
    <w:p>
      <w:pPr>
        <w:pStyle w:val="BookText"/>
        <w:rPr/>
      </w:pPr>
      <w:r>
        <w:rPr>
          <w:rFonts w:ascii="Amiri" w:hAnsi="Amiri" w:eastAsia="Amiri" w:cs="Amiri"/>
          <w:color w:val="111111"/>
          <w:sz w:val="28"/>
          <w:sz w:val="28"/>
          <w:szCs w:val="28"/>
          <w:rtl w:val="true"/>
          <w:lang w:bidi="ar-SA"/>
        </w:rPr>
        <w:t xml:space="preserve">امتازت الشريعة الإسلاميّة عن غيرها من الشرائع باحترام الإنسان، سواء أكان حياً أم ميتاً، ولم تفرّق بين احترامه حياً أو ميتاً، والأحكام التي ترافق الميت من حين احتضاره إلى ما بعد دفنه لا تقلّ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المضمون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الأحكام في حال وجوده في هذه الدنيا، ولعلّ السرّ في ذلك هو أنّ الموت لا يُعتبر فناءً لهذا الكائن، بل هو مرحلة يمرّ بها، فهو انتقالٌ من دارٍ إلى دارٍ أُخرى، وله نوع تعلّقٍ بالحياة التي فارقها، من ناحية وصول الثواب إليه من ذويه، وزيارته لأهله في كلّ جمعة كما ورد في بعض الروايات، واحتياجه للثواب من أهله،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ورد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الميت كحُرمة الحي</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يستفيد منها الميت بعد مفارقته لهذه الحياة تغسيله بعد الموت مباشرةً؛ لذا أوجبت الشريعة الإسلاميّة تغسيل الميت على نحو الكفاية، وللغسل كيفية خاصّة مذكورة في كتب الرسائل العملية وغيرها، وحكمت الشريعة أيضاً بوجوب تحنيطه بعد غسله، والمراد بالتحنيط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أعضاء السجود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واليدين والركبتين والإبهامين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بالكافور، ويجب أن يكون ذلك الكافور مسحوقاً</w:t>
      </w:r>
      <w:r>
        <w:rPr>
          <w:rFonts w:eastAsia="Amiri" w:cs="Amiri" w:ascii="Amiri" w:hAnsi="Amiri"/>
          <w:color w:val="111111"/>
          <w:sz w:val="28"/>
          <w:szCs w:val="28"/>
          <w:rtl w:val="true"/>
          <w:lang w:bidi="ar-SA"/>
        </w:rPr>
        <w:t xml:space="preserve">. </w:t>
      </w:r>
      <w:bookmarkStart w:id="410" w:name="pg10991_100688"/>
    </w:p>
    <w:p>
      <w:pPr>
        <w:pStyle w:val="BookText"/>
        <w:rPr/>
      </w:pPr>
      <w:bookmarkEnd w:id="410"/>
      <w:r>
        <w:rPr>
          <w:rFonts w:ascii="IRNazanin" w:hAnsi="IRNazanin" w:eastAsia="IRNazanin"/>
          <w:color w:val="111111"/>
          <w:sz w:val="28"/>
          <w:sz w:val="28"/>
          <w:szCs w:val="28"/>
          <w:rtl w:val="true"/>
          <w:lang w:bidi="fa-IR"/>
        </w:rPr>
        <w:t>ومن مستحبات التحنيط أن يُخلط الكافور بشيء من تربة قبر الحسين علیه السلام ، ولمعرفة حكم الاستحباب ودليله نُشير إلى ثلاثة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وضع التربة مع الكافور وكلمات العلماء فيه</w:t>
      </w:r>
    </w:p>
    <w:p>
      <w:pPr>
        <w:pStyle w:val="BookText"/>
        <w:rPr/>
      </w:pPr>
      <w:r>
        <w:rPr>
          <w:rFonts w:ascii="Amiri" w:hAnsi="Amiri" w:eastAsia="Amiri" w:cs="Amiri"/>
          <w:color w:val="111111"/>
          <w:sz w:val="28"/>
          <w:sz w:val="28"/>
          <w:szCs w:val="28"/>
          <w:rtl w:val="true"/>
          <w:lang w:bidi="ar-SA"/>
        </w:rPr>
        <w:t xml:space="preserve">قال البحراني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بيان مستحبات التكفين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أفضل الصلاة والسلام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حنوط الميت</w:t>
      </w:r>
      <w:r>
        <w:rPr>
          <w:rFonts w:eastAsia="Amiri" w:cs="Amiri" w:ascii="Amiri" w:hAnsi="Amiri"/>
          <w:color w:val="111111"/>
          <w:sz w:val="28"/>
          <w:szCs w:val="28"/>
          <w:rtl w:val="true"/>
          <w:lang w:bidi="ar-SA"/>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اليزدي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خلط الكافور بشيءٍ من تربة الحسين علیه السلام ، لكن لا يُمسح به المواضع المنافية للاحترام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زين الدين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أن يُخلط الحنوط بشيءٍ من تربة الحسين علیه السلام ، على وجهٍ لا يخرج به عن اسم الكافور، وينبغي أن يتجنّب وضع المخلوط بها على المواضع التي تُنافي الاحترام، كإبهاميّ الرجلين</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 عبارة السيد اليزدي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علّق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فالحكم بالاستحباب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خلط الكافور بتربة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المعروف بين المعاصرين ومَن قارب عصرهم، بحيث لم نجد مخالفاً بينهم بحدود اطلاعنا القاصر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8289004_2870459653"/>
      <w:bookmarkStart w:id="412" w:name="_Toc145"/>
      <w:bookmarkEnd w:id="411"/>
      <w:r>
        <w:rPr>
          <w:rtl w:val="true"/>
        </w:rPr>
        <w:t>أدلّة القول بالاستحباب</w:t>
      </w:r>
      <w:bookmarkEnd w:id="412"/>
    </w:p>
    <w:p>
      <w:pPr>
        <w:pStyle w:val="BookText"/>
        <w:rPr/>
      </w:pPr>
      <w:r>
        <w:rPr>
          <w:rFonts w:ascii="Amiri" w:hAnsi="Amiri" w:eastAsia="Amiri" w:cs="Amiri"/>
          <w:color w:val="111111"/>
          <w:sz w:val="28"/>
          <w:sz w:val="28"/>
          <w:szCs w:val="28"/>
          <w:rtl w:val="true"/>
          <w:lang w:bidi="ar-SA"/>
        </w:rPr>
        <w:t>استُدلّ للقول بالاستحباب بدليلين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أحمد </w:t>
      </w:r>
    </w:p>
    <w:p>
      <w:pPr>
        <w:pStyle w:val="BookText"/>
        <w:rPr/>
      </w:pPr>
      <w:r>
        <w:rPr>
          <w:rFonts w:ascii="IRNazanin" w:hAnsi="IRNazanin" w:eastAsia="IRNazanin"/>
          <w:color w:val="111111"/>
          <w:sz w:val="28"/>
          <w:sz w:val="28"/>
          <w:szCs w:val="28"/>
          <w:rtl w:val="true"/>
          <w:lang w:bidi="fa-IR"/>
        </w:rPr>
        <w:t>بن داود، عن أبيه، عن محمد بن عبد الله بن جعفر الحميري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الفقيه علیه السلام أسأله عن طين القبر يُوضع مع الميّت في قبره، هل يجوز ذلك أم لا؟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التوقيع ومنه نسخت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مع الميت في قبره، ويُخلَط بحنوطه، إن شاء الله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الطبرسي رحمة الله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جعفر، عن أبيه، عن صاحب الزمان عجل الله تعالی فرجه الشریف مثله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بالفقيه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الشریف بقرينة رواية الطبرسي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بالطين المذكور في الرواية هو الطين المعهود بالتبرّك، وهو طين قبر الحسين علیه السلام ، والقرينة في ذلك ظاهرة، وقد فهم الشيخ الطوسي ذلك أيضاً؛ حيث أورده في جملة أحاديث تربة الحسين علیه السلام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ذكره السيد السبزواري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تربة قبر الإمام الحسين علیه السلام ممّا يُرجى فيه الأمان؛ فيُستحب وضعها مع الكافور لذلك</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الشيخ محمد تقي الآملي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وضع التربة مع الكافور فيه استشفاع واستدفاع، فيدلّ كلّ ما ورد في الاستشفاع بتربة الحسين الزكية على رجحانه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توابع الفرع الأول</w:t>
      </w:r>
    </w:p>
    <w:p>
      <w:pPr>
        <w:pStyle w:val="BookText"/>
        <w:rPr/>
      </w:pPr>
      <w:r>
        <w:rPr>
          <w:rFonts w:ascii="IRNazanin" w:hAnsi="IRNazanin" w:eastAsia="IRNazanin"/>
          <w:color w:val="111111"/>
          <w:sz w:val="28"/>
          <w:sz w:val="28"/>
          <w:szCs w:val="28"/>
          <w:rtl w:val="true"/>
          <w:lang w:bidi="fa-IR"/>
        </w:rPr>
        <w:t>وهما اثنان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مسح الكافور المخلوط بتربة الحسين علیه السلام على مواضع الميت التي تُنافي احترام تلك التربة المباركة، كإبهاميّ الرجلين، وباطن القدمين، وظاهرهما، </w:t>
      </w:r>
      <w:bookmarkStart w:id="413" w:name="pg10991_100692"/>
    </w:p>
    <w:p>
      <w:pPr>
        <w:pStyle w:val="BookText"/>
        <w:rPr/>
      </w:pPr>
      <w:bookmarkEnd w:id="413"/>
      <w:r>
        <w:rPr>
          <w:rFonts w:ascii="Amiri" w:hAnsi="Amiri" w:eastAsia="Amiri" w:cs="Amiri"/>
          <w:color w:val="111111"/>
          <w:sz w:val="28"/>
          <w:sz w:val="28"/>
          <w:szCs w:val="28"/>
          <w:rtl w:val="true"/>
          <w:lang w:bidi="ar-SA"/>
        </w:rPr>
        <w:t>وأمثال ذلك؛ لأنّ ذلك هو الموافق لمرتكزات المتشرّعة، ولوجوب صون التربة عن كلّ ما ينافي احترامها؛ لورود الأمر بوجوب احترامها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يؤدّي خلط التربة الحسينية بالكافور إلى خروجه عن إطلاق اسم الكافور عليه، بل يُخلط الكافور بكمّية قليلة من التربة بحيث يبقى معها إطلاق اسم الكافور عليه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8289006_2870459653"/>
      <w:bookmarkStart w:id="415" w:name="_Toc146"/>
      <w:bookmarkEnd w:id="414"/>
      <w:r>
        <w:rPr>
          <w:rtl w:val="true"/>
        </w:rPr>
        <w:t>المطلب الثاني</w:t>
      </w:r>
      <w:r>
        <w:rPr>
          <w:rtl w:val="true"/>
        </w:rPr>
        <w:t>:</w:t>
      </w:r>
      <w:r>
        <w:rPr>
          <w:rtl w:val="true"/>
        </w:rPr>
        <w:t>من فروع مسألة تجهيز الميت بالتربة الحسينية</w:t>
      </w:r>
      <w:bookmarkEnd w:id="415"/>
    </w:p>
    <w:p>
      <w:pPr>
        <w:pStyle w:val="BookText"/>
        <w:rPr/>
      </w:pPr>
      <w:r>
        <w:rPr>
          <w:rFonts w:ascii="IRNazanin" w:hAnsi="IRNazanin" w:eastAsia="IRNazanin"/>
          <w:color w:val="111111"/>
          <w:sz w:val="28"/>
          <w:sz w:val="28"/>
          <w:szCs w:val="28"/>
          <w:rtl w:val="true"/>
          <w:lang w:bidi="fa-IR"/>
        </w:rPr>
        <w:t>الكتابة بتربة الحسين علیه السلام على الكفن</w:t>
      </w:r>
    </w:p>
    <w:p>
      <w:pPr>
        <w:pStyle w:val="BookText"/>
        <w:rPr/>
      </w:pPr>
      <w:r>
        <w:rPr>
          <w:rFonts w:ascii="IRNazanin" w:hAnsi="IRNazanin" w:eastAsia="IRNazanin"/>
          <w:color w:val="111111"/>
          <w:sz w:val="28"/>
          <w:sz w:val="28"/>
          <w:szCs w:val="28"/>
          <w:rtl w:val="true"/>
          <w:lang w:bidi="fa-IR"/>
        </w:rPr>
        <w:t xml:space="preserve">من السُّنن والمستحبات في تجهيز الميت أن يُكتب اسم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الكفن، وأنّه يشهد الشهادتين،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على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يشهد أن لا إله إلّا الله، وأنّ محمداً رسول الله صلی الله علیه و اله ، وأن يُضيف إليهما كتابة اسم النبي صلی الله علیه و اله وأسماء الأئمّة علیهم السلام ، وأنّ البعث والثواب والعقاب حقّ، ويدلّ على ما تقدّم دعوى الإجماع، والسيرة العملية من المتشرعة، وأنّ ذلك كلّه من طرق التوسّل واستجلاب الخير والبركة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بعض الفقهاء استحباب كتابة القرآن ودعاء الجوشن الصغير والكبير، وبعض الكتابات الأُخرى</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ذكروا بأنّه يُستحب أن تكون الكتابة على الكفن بتربة الحسين علیه السلام ، ويتّضح الكلام في هذه المسألة من خلال بيان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الكتابة بتربة الحسين علیه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باستحباب كتابة اسم الميت والأدعية المتقدّمة على كفن الميت بتربة الإمام الحسين علیه السلام ذَكَرهُ كلّ من الشيخ المفيد والشيخ الطوسي</w:t>
      </w:r>
      <w:r>
        <w:rPr>
          <w:rStyle w:val="FootnoteAnchor"/>
          <w:rtl w:val="true"/>
        </w:rPr>
        <w:footnoteReference w:id="419"/>
      </w:r>
      <w:r>
        <w:rPr>
          <w:rFonts w:ascii="Amiri" w:hAnsi="Amiri" w:eastAsia="Amiri" w:cs="Amiri"/>
          <w:color w:val="111111"/>
          <w:sz w:val="28"/>
          <w:sz w:val="28"/>
          <w:szCs w:val="28"/>
          <w:rtl w:val="true"/>
          <w:lang w:bidi="ar-SA"/>
        </w:rPr>
        <w:t xml:space="preserve">، وتبعهُ </w:t>
      </w:r>
    </w:p>
    <w:p>
      <w:pPr>
        <w:pStyle w:val="BookText"/>
        <w:rPr/>
      </w:pPr>
      <w:r>
        <w:rPr>
          <w:rFonts w:ascii="IRNazanin" w:hAnsi="IRNazanin" w:eastAsia="IRNazanin"/>
          <w:color w:val="111111"/>
          <w:sz w:val="28"/>
          <w:sz w:val="28"/>
          <w:szCs w:val="28"/>
          <w:rtl w:val="true"/>
          <w:lang w:bidi="fa-IR"/>
        </w:rPr>
        <w:t xml:space="preserve">كلّ مَن تطرّق لهذه المسألة من الفقهاء، ونسبة الحكم إلى الفقهاء صرّح به كلّ من الكركي والهندي، قال الكركي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عبارة العلّامة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الكتابة بتربة الحسين علیه السلام ذكره الأصحاب</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الهندي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وليكتب بتربة الحسين علیه السلام إن وُجد، ذكره الشيخان وتبعهما الأصحاب، وهو حَسن</w:t>
      </w:r>
      <w:r>
        <w:rPr>
          <w:rFonts w:eastAsia="IRNazanin" w:cs="IRNazanin"/>
          <w:color w:val="111111"/>
          <w:sz w:val="28"/>
          <w:szCs w:val="28"/>
          <w:rtl w:val="true"/>
          <w:lang w:bidi="fa-IR"/>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الآتية في حصول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المعلقين، إمّا بذكر الدليل الذي يُمكن أن يستدلّ على الاستحباب، وإمّا بالسكوت تأييداً لما ذكره السيد اليزدي، قال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ما يستحب كتابته على الكفن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والأوْلى أن يكتب الأدعية المذكورة بتربة قبر الحسين علیه السلام ، أو يجعل في المداد شيء منها، أو بتربة سائر الأئمّة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العلامة الحلي في المختلف بأنّ هذا الحكم هو المشهور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يُكتب عليه من الكفن</w:t>
      </w:r>
    </w:p>
    <w:p>
      <w:pPr>
        <w:pStyle w:val="BookText"/>
        <w:rPr/>
      </w:pPr>
      <w:r>
        <w:rPr>
          <w:rFonts w:ascii="Amiri" w:hAnsi="Amiri" w:eastAsia="Amiri" w:cs="Amiri"/>
          <w:color w:val="111111"/>
          <w:sz w:val="28"/>
          <w:sz w:val="28"/>
          <w:szCs w:val="28"/>
          <w:rtl w:val="true"/>
          <w:lang w:bidi="ar-SA"/>
        </w:rPr>
        <w:t>اختلفت كلمات فقهاء الإمامية في المقدار الذي يُكتب عليه من الأكفان، من الأذكار واسم الميت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نسبه العلّامة إلى المشهور أنّه يُستحب أن تُكتب تلك الأذكار على الأكفان والجريدتين، ولعلّ هذا القول هو أوسع الأقوال هنا؛ حيث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يشمل جميع قِطَعِه الواجبة والمستحبة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أنّ استحباب الكتابة على الأكفان يشمل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 والقميص، والإزار، والجريدتين، والعمامة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جماعة على الأربعة الأُولى دون العمامة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بعض الفقهاء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فجعلها ممّا يُكتب عليه، ولكنّه في نفس </w:t>
      </w:r>
      <w:bookmarkStart w:id="416" w:name="pg10991_100696"/>
    </w:p>
    <w:p>
      <w:pPr>
        <w:pStyle w:val="BookText"/>
        <w:rPr/>
      </w:pPr>
      <w:bookmarkEnd w:id="416"/>
      <w:r>
        <w:rPr>
          <w:rFonts w:ascii="Amiri" w:hAnsi="Amiri" w:eastAsia="Amiri" w:cs="Amiri"/>
          <w:color w:val="111111"/>
          <w:sz w:val="28"/>
          <w:sz w:val="28"/>
          <w:szCs w:val="28"/>
          <w:rtl w:val="true"/>
          <w:lang w:bidi="ar-SA"/>
        </w:rPr>
        <w:t>الوقت لم يأتِ على ذكر الجريدتين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آخر على ذكر الأكفان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البعض أنّ المستحب هو الجريدتان، والقميص، والإزار، والحبرة، والعمامة، دون المواضع التي يستقبحها العقل لسوء الأدب، فلا يُكتب على المئزر إلّا على ما يحاذي الصدر والبطن، فالذي يقرب من القُبل والدُّبر تُستثنى من الكتابة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يُكتب على الجريدتين والحبرة والقميص، وترك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يُكتب على الجريدتين والقميص والإزار، وترك الحبرة، وظاهرهُ دعوى الإجماع عليه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الشهيد الثاني بالاستحباب لجميع الأكفان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وأضاف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والكلّ جائز، بل لو كُتب على جميع الأقطاع فلا بأس؛ لثبوت أصل المشروعيّة، وليس في زيادتها إلّا زيادة الخير إن شاء الله تعالى</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والفتوى 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على ما صرّح به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يُكتب على حاشية جميع قطع الكفن من الواجب والمستحب حتى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والجريدتين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8289008_2870459653"/>
      <w:bookmarkStart w:id="418" w:name="_Toc147"/>
      <w:bookmarkEnd w:id="417"/>
      <w:r>
        <w:rPr>
          <w:rtl w:val="true"/>
        </w:rPr>
        <w:t>أدلّة القائلين بالاستحباب</w:t>
      </w:r>
      <w:bookmarkEnd w:id="41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القول باستحباب أن تكون الكتابة على الكفن بتربة الحسين علیه السلام هو المنسوب </w:t>
      </w:r>
    </w:p>
    <w:p>
      <w:pPr>
        <w:pStyle w:val="BookText"/>
        <w:rPr/>
      </w:pPr>
      <w:r>
        <w:rPr>
          <w:rFonts w:ascii="IRNazanin" w:hAnsi="IRNazanin" w:eastAsia="IRNazanin"/>
          <w:color w:val="111111"/>
          <w:sz w:val="28"/>
          <w:sz w:val="28"/>
          <w:szCs w:val="28"/>
          <w:rtl w:val="true"/>
          <w:lang w:bidi="fa-IR"/>
        </w:rPr>
        <w:t>إلى الفقهاء، والظاهر منه عدم الخلاف أو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استُدلّ للاستحباب المذكور بأنّ الكتابة بتربة الحسين علیه السلام على الأكفان ممّا يُرجى فيها الحفظ والأمان، وهي أمانٌ من كلّ خوف كما في الحديث، والكتابة بالتربة يُعدُّ أيضاً من الأُمور التي يُتبرّك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الكتابة بالتربة يُعتبر جمعاً بين مندوبين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وجعل التربة مع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المروي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التوقيع الخارج عن صاحب الزمان عجل الله تعالی فرجه الشریف في جواب مسائل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سأله عن طين القبر يُوضع مع الميت في قبره، هل يجوز ذلك أو لا؟ فأجاب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يوضَع مع الميت ويُخلط بحنوطه إن شاء الله</w:t>
      </w:r>
      <w:r>
        <w:rPr>
          <w:rFonts w:eastAsia="IRNazanin" w:cs="IRNazanin"/>
          <w:color w:val="111111"/>
          <w:sz w:val="28"/>
          <w:szCs w:val="28"/>
          <w:rtl w:val="true"/>
          <w:lang w:bidi="fa-IR"/>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الشيخ الجواهري بالصحيح</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الحميري أيضاً إلى صاحب الزمان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لنا عن الصادق علیه السلام أنّه كتب على إزار إسماعيل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يشهد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لنا أن نكتب مثل ذلك بطين القبر أم غيره؟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جملة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تفريعاً على أصل الكتابة بتربة الحسين علیه السلام على الكفن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ينبغي أن تُبلّ التربة الحسينية بالماء لتكون الكتابة مؤثرة بالكفن، فلكي تؤثّر التربة </w:t>
      </w:r>
      <w:bookmarkStart w:id="419" w:name="pg10991_100700"/>
    </w:p>
    <w:p>
      <w:pPr>
        <w:pStyle w:val="BookText"/>
        <w:rPr/>
      </w:pPr>
      <w:bookmarkEnd w:id="419"/>
      <w:r>
        <w:rPr>
          <w:rFonts w:ascii="Amiri" w:hAnsi="Amiri" w:eastAsia="Amiri" w:cs="Amiri"/>
          <w:color w:val="111111"/>
          <w:sz w:val="28"/>
          <w:sz w:val="28"/>
          <w:szCs w:val="28"/>
          <w:rtl w:val="true"/>
          <w:lang w:bidi="ar-SA"/>
        </w:rPr>
        <w:t>بالكفن، وتكون الكتابة بارزة وواضحة يُشترط أن تُبلّ بمقدار من الماء؛ لأنّ حقيقة الكتابة لا تتحقّق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جميع الفقهاء ذلك، سواء المصرّح منهم بهذا أو الذين أطلقوا القول؛ للسبب المتقدّم ذكره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8289010_2870459653"/>
      <w:bookmarkStart w:id="421" w:name="_Toc148"/>
      <w:bookmarkEnd w:id="420"/>
      <w:r>
        <w:rPr>
          <w:rtl w:val="true"/>
        </w:rPr>
        <w:t>الفرع الثالث من فروع تجهيز الميت بتربة الحسين علیه السلام</w:t>
      </w:r>
      <w:bookmarkEnd w:id="421"/>
    </w:p>
    <w:p>
      <w:pPr>
        <w:pStyle w:val="BookText"/>
        <w:rPr/>
      </w:pPr>
      <w:r>
        <w:rPr>
          <w:rFonts w:ascii="Amiri" w:hAnsi="Amiri" w:eastAsia="Amiri" w:cs="Amiri"/>
          <w:color w:val="111111"/>
          <w:sz w:val="28"/>
          <w:sz w:val="28"/>
          <w:szCs w:val="28"/>
          <w:rtl w:val="true"/>
          <w:lang w:bidi="ar-SA"/>
        </w:rPr>
        <w:t>وضع التربة الحسينية مع الميت في القبر</w:t>
      </w:r>
    </w:p>
    <w:p>
      <w:pPr>
        <w:pStyle w:val="BookText"/>
        <w:rPr/>
      </w:pPr>
      <w:r>
        <w:rPr>
          <w:rFonts w:ascii="Amiri" w:hAnsi="Amiri" w:eastAsia="Amiri" w:cs="Amiri"/>
          <w:color w:val="111111"/>
          <w:sz w:val="28"/>
          <w:sz w:val="28"/>
          <w:szCs w:val="28"/>
          <w:rtl w:val="true"/>
          <w:lang w:bidi="ar-SA"/>
        </w:rPr>
        <w:t>ذكر الفقهاء أنّ من مستحبات تجهيز الميت هو وضع التربة الحسينية مع الميت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تفاصيل المسألة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بالاستحباب في المسألة</w:t>
      </w:r>
    </w:p>
    <w:p>
      <w:pPr>
        <w:pStyle w:val="BookText"/>
        <w:rPr/>
      </w:pPr>
      <w:r>
        <w:rPr>
          <w:rFonts w:ascii="Amiri" w:hAnsi="Amiri" w:eastAsia="Amiri" w:cs="Amiri"/>
          <w:color w:val="111111"/>
          <w:sz w:val="28"/>
          <w:sz w:val="28"/>
          <w:szCs w:val="28"/>
          <w:rtl w:val="true"/>
          <w:lang w:bidi="ar-SA"/>
        </w:rPr>
        <w:t xml:space="preserve">إنّ أول القائلين بهذه المسألة هما الشيخ المفيد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المتقدّمين من فقهائنا، بل صرّح البعض بأنّه لا يوجد خلاف في القول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الأول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ذكر مستحبات كيفية الدفن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وضع التربة معه، قاله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مأخذه، والتبرّك بها كافٍ في ذلك، والأحسن جعلها تحت خدّه، كما قاله المفيد في المقنعة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ويُستحبّ أن يجعل معه شيء من تربة الحسين علیه السلام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المدارك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 على كلام العلّامة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ويُجعل معهُ شيء من تربة الحسين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ذكر ذلك الشيخان، ولم أقف لهما على مأخذ سوى التبرّك بها، ولعلّه </w:t>
      </w:r>
    </w:p>
    <w:p>
      <w:pPr>
        <w:pStyle w:val="BookText"/>
        <w:rPr/>
      </w:pPr>
      <w:r>
        <w:rPr>
          <w:rFonts w:ascii="Amiri" w:hAnsi="Amiri" w:eastAsia="Amiri" w:cs="Amiri"/>
          <w:color w:val="111111"/>
          <w:sz w:val="28"/>
          <w:sz w:val="28"/>
          <w:szCs w:val="28"/>
          <w:rtl w:val="true"/>
          <w:lang w:bidi="ar-SA"/>
        </w:rPr>
        <w:t>كافٍ في ذلك، واختلف قولهما في موضع جعلها</w:t>
      </w:r>
      <w:r>
        <w:rPr>
          <w:rFonts w:eastAsia="Amiri" w:cs="Amiri" w:ascii="Amiri" w:hAnsi="Amiri"/>
          <w:color w:val="111111"/>
          <w:sz w:val="28"/>
          <w:szCs w:val="28"/>
          <w:rtl w:val="true"/>
          <w:lang w:bidi="ar-SA"/>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البحراني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ذكر مستحبات الدفن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أفضل الصلاة والسلام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وهذا الحكم مشهور في كلام المتقدّمين، ولكن مستنده خفيٌّ على المتأخّرين ومتأخّريهم، قال في المدارك وقبله الشهيد في الذكرى والعلامة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الشيخان</w:t>
      </w:r>
      <w:r>
        <w:rPr>
          <w:rFonts w:eastAsia="Amiri" w:cs="Amiri" w:ascii="Amiri" w:hAnsi="Amiri"/>
          <w:color w:val="111111"/>
          <w:sz w:val="28"/>
          <w:szCs w:val="28"/>
          <w:rtl w:val="true"/>
          <w:lang w:bidi="ar-SA"/>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 على كلام العلّامة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شيء من تربة الحسين علیه السلام 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أجد في هذا خلافاً؛ لأنّها أمان من كلّ خوف، وفي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عقد كفنه، ويُجعل معه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اتفاق الأصحاب، وظاهره دعوى الإجماع على الأمرين، لكن يظهر من آخر كلامه،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وضع التربة ففتوى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على الأوّل، فتأمّل</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النجفي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أن يُجعل معه شيء من تربة الحسين علیه السلام على ما ذكره الأصحاب من غير خلاف يُعرف فيه، فلعلّ شهرته بينهم، والتبرّك بها، وكونها أماناً من كلّ خوف، وما في 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في ثبوته، مضافاً إلى الصحيح المروي عن الحميري</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بالاستحباب هو الذي أفتى به المعاصرون، كما في رسائلهم العملية، وغيرها من كتب الفتوى</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422" w:name="pg10991_100704"/>
    </w:p>
    <w:p>
      <w:pPr>
        <w:pStyle w:val="Heading3"/>
        <w:numPr>
          <w:ilvl w:val="2"/>
          <w:numId w:val="1"/>
        </w:numPr>
        <w:rPr/>
      </w:pPr>
      <w:bookmarkStart w:id="423" w:name="__RefHeading___Toc8289012_2870459653"/>
      <w:bookmarkStart w:id="424" w:name="_Toc149"/>
      <w:bookmarkEnd w:id="422"/>
      <w:bookmarkEnd w:id="423"/>
      <w:r>
        <w:rPr>
          <w:rtl w:val="true"/>
        </w:rPr>
        <w:t>أدلّة القول بالاستحباب</w:t>
      </w:r>
      <w:bookmarkEnd w:id="424"/>
    </w:p>
    <w:p>
      <w:pPr>
        <w:pStyle w:val="BookText"/>
        <w:rPr/>
      </w:pPr>
      <w:r>
        <w:rPr>
          <w:rFonts w:ascii="Amiri" w:hAnsi="Amiri" w:eastAsia="Amiri" w:cs="Amiri"/>
          <w:color w:val="111111"/>
          <w:sz w:val="28"/>
          <w:sz w:val="28"/>
          <w:szCs w:val="28"/>
          <w:rtl w:val="true"/>
          <w:lang w:bidi="ar-SA"/>
        </w:rPr>
        <w:t xml:space="preserve">أدلّة القول باستحباب وضع التربة مع الميت واضحة ومتعدّدة، ولكن رغم ذلك نجد أن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نسب القول بالاستحباب إلى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لهما على مأخذ</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وتبرّع لهم بأنّ المدرك الوحيد هو التبرّك بالتربة، وهذا يكفي لإثبات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اعتراف منه بعدم وجود دليل سوى الدليل الذي تبرّع به، ولكنّ هذه الدعوى مجانِبة للحقيقة، فبالإضافة إلى كون الحكم مشهور بين الفقهاء، بل عليه دعوى عدم الخلاف بينهم</w:t>
      </w:r>
      <w:r>
        <w:rPr>
          <w:rStyle w:val="FootnoteAnchor"/>
          <w:rtl w:val="true"/>
        </w:rPr>
        <w:footnoteReference w:id="439"/>
      </w:r>
      <w:r>
        <w:rPr>
          <w:rFonts w:ascii="Amiri" w:hAnsi="Amiri" w:eastAsia="Amiri" w:cs="Amiri"/>
          <w:color w:val="111111"/>
          <w:sz w:val="28"/>
          <w:sz w:val="28"/>
          <w:szCs w:val="28"/>
          <w:rtl w:val="true"/>
          <w:lang w:bidi="ar-SA"/>
        </w:rPr>
        <w:t>، ذُكر له أدلّة أُخرى،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في أبواب المزار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محمد بن عبد الله بن جعفر الحميري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أسأله عن طين القبر يُوضع مع الميت في قبره هل يجوز ذلك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ويُخلط بحنوطه أن شاء الله تعالى</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عن محمد بن عبد الله، عن أبيه، عن صاحب الزمان عجل الله تعالی فرجه الشریف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الطوسي رحمة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عيسى أنّه سمع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على أحدكم إذا دفن الميّت ووسّده التراب أن يضع مقابل </w:t>
      </w:r>
    </w:p>
    <w:p>
      <w:pPr>
        <w:pStyle w:val="BookText"/>
        <w:rPr/>
      </w:pPr>
      <w:r>
        <w:rPr>
          <w:rFonts w:ascii="Amiri" w:hAnsi="Amiri" w:eastAsia="Amiri" w:cs="Amiri"/>
          <w:color w:val="111111"/>
          <w:sz w:val="28"/>
          <w:sz w:val="28"/>
          <w:szCs w:val="28"/>
          <w:rtl w:val="true"/>
          <w:lang w:bidi="ar-SA"/>
        </w:rPr>
        <w:t>وجهه لَبِنَة من الطين، ولا يضعها تحت رأسه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الرواية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طين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أورده الشيخ الطوسي في جملة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تربة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اختيار هذه العبارة المجملة من قِبَل الإمام علیه السلام ؛ لأجل التقية التي كانوا يعيشونها آنذاك، أو لكون هذا الإطلاق على التربة الحسينية كان شائعاً في ذلك الزمان، ومعلومية المراد منه عند السامع</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الوارد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ويجعل معه في أكفانه شيئاً من طين القبر وتربة الحسين بن علي علیهما السلام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كانت تزني وتضع أولادها وتحرقهم بالنار خوفاً من أهلها، ولم يعلم به غير أُمّها، فلمّا ماتت دُفنت فانكشف التراب عنها، ولم تقبلها الأرض، فنُقلت من ذلك المكان إلى غيره، فجرى لها ذلك، فجاء أهلها إلى الصادق علیه السلام وحكوا له القصة، فقال لأُمّها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تصنع هذه في حياتها من المعاصي؟ فأخبرته بباطن أمرها،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تقبل هذه؛ لأنّها كانت تعذّب خلق الله بعذاب الله، اجعلوا في قبرها شيئاً من تربة الحسين علیه السلام ، فَفُعِلَ ذلك بها فسترها الله تعالى</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معالجة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الأخيرة مشتهرة </w:t>
      </w:r>
      <w:bookmarkStart w:id="425" w:name="pg10991_100708"/>
    </w:p>
    <w:p>
      <w:pPr>
        <w:pStyle w:val="BookText"/>
        <w:rPr/>
      </w:pPr>
      <w:bookmarkEnd w:id="425"/>
      <w:r>
        <w:rPr>
          <w:rFonts w:ascii="Amiri" w:hAnsi="Amiri" w:eastAsia="Amiri" w:cs="Amiri"/>
          <w:color w:val="111111"/>
          <w:sz w:val="28"/>
          <w:sz w:val="28"/>
          <w:szCs w:val="28"/>
          <w:rtl w:val="true"/>
          <w:lang w:bidi="ar-SA"/>
        </w:rPr>
        <w:t>مضمونها، فتُقبل وإن ضُعِّفت، بل يُقبل الضعيف في روايات السُّنن مطلقاً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الواردة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تربة الحسين علیه السلام أمان من كلّ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يكفي دليلاً للاستحباب، فإنّ الميت بعد انقطاعه عن هذه الدنيا يمرّ بحالات من ظلمة القبر، والوحدة، وضغطة القبر، وغيرها من الأهوال التي يحتاج معها إلى الأمان، والتخفيف من الوحشة والعذاب والحساب، ومن هنا ورد أنّ ابن آدم إذا مات قامت قيامته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والنصوص الدالّة على هذه الحقيقة هي ما ورد في كتاب كامل الزيارات، في الباب الثاني والتسعين،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طين قبر الحسين علیه السلام شفاء 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طين الحائر الذي فيه الحسين علیه السلام شفاءً من كلّ داءٍ وأماناً من كلّ خوفٍ</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8289014_2870459653"/>
      <w:bookmarkStart w:id="427" w:name="_Toc150"/>
      <w:bookmarkEnd w:id="426"/>
      <w:r>
        <w:rPr>
          <w:rtl w:val="true"/>
        </w:rPr>
        <w:t>المكان الذي تُجعل فيه التربة</w:t>
      </w:r>
      <w:bookmarkEnd w:id="427"/>
    </w:p>
    <w:p>
      <w:pPr>
        <w:pStyle w:val="BookText"/>
        <w:rPr/>
      </w:pPr>
      <w:r>
        <w:rPr>
          <w:rFonts w:ascii="Amiri" w:hAnsi="Amiri" w:eastAsia="Amiri" w:cs="Amiri"/>
          <w:color w:val="111111"/>
          <w:sz w:val="28"/>
          <w:sz w:val="28"/>
          <w:szCs w:val="28"/>
          <w:rtl w:val="true"/>
          <w:lang w:bidi="ar-SA"/>
        </w:rPr>
        <w:t>بعد إثبات أصل استحباب وضع التربة مع الميت، وقع بين الفقهاء خلاف في المكان الذي تُوضع فيه التربة، وحاصل الأقوال هو</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مكان محدّد، فتوضع مع الميت كيفما اتفق، وهذا القول هو المنسوب إلى أكثر العلماء، وهو مختار كبار الفقهاء؛ لدلالة بعض الأدلّة السابقة عليه، ولا أقلّ </w:t>
      </w:r>
    </w:p>
    <w:p>
      <w:pPr>
        <w:pStyle w:val="BookText"/>
        <w:rPr/>
      </w:pPr>
      <w:r>
        <w:rPr>
          <w:rFonts w:ascii="Amiri" w:hAnsi="Amiri" w:eastAsia="Amiri" w:cs="Amiri"/>
          <w:color w:val="111111"/>
          <w:sz w:val="28"/>
          <w:sz w:val="28"/>
          <w:szCs w:val="28"/>
          <w:rtl w:val="true"/>
          <w:lang w:bidi="ar-SA"/>
        </w:rPr>
        <w:t>وجود التبرّك 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التربة في كفن الميت، وهو مختار بعض الفقهاء، ويدلّ على هذا القول بعض الأدلّة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التربة الحسينية تحت خدّ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التربة الحسينية في وجه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التربة الحسينية في لحد الميت تلقاء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الثلاثة الأخيرة لا دليل عليها؛ على ما صرّح به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للقول الأخير برواية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 البعض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طين القبر منه غير معلومة، وإن فهمه الشيخ الطوسي وغيره منه، وشيوع إطلاق الطين المطلق عليه بحيث يتبادر منه ممنوع</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إيراد</w:t>
      </w:r>
    </w:p>
    <w:p>
      <w:pPr>
        <w:pStyle w:val="BookText"/>
        <w:rPr/>
      </w:pPr>
      <w:r>
        <w:rPr>
          <w:rFonts w:ascii="Amiri" w:hAnsi="Amiri" w:eastAsia="Amiri" w:cs="Amiri"/>
          <w:color w:val="111111"/>
          <w:sz w:val="28"/>
          <w:sz w:val="28"/>
          <w:szCs w:val="28"/>
          <w:rtl w:val="true"/>
          <w:lang w:bidi="ar-SA"/>
        </w:rPr>
        <w:t>قد يحتمل البعض أنّ التربة الحسينية قد يصل إليها النجاسة من بدن الميت بعد دفنه ومضي أيام عليه، لضعف البدن وقابليته للتفسخ والفناء، وهذا غير جائز؛ لحرمة تنجيس التربة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هذا الإيراد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التحرّز عن تنجيس التربة بوضعها في مكان من القبر لا يُحتمل وصول النجاسة إليها؛ لأنّ صحيح عبد الله بن جعفر الحميري، وحديث الزانية المتقدّمين يدلّان على وضعهما في مطلق القبر، والأول منها صريح في ذلك</w:t>
      </w:r>
      <w:r>
        <w:rPr>
          <w:rFonts w:eastAsia="Amiri" w:cs="Amiri" w:ascii="Amiri" w:hAnsi="Amiri"/>
          <w:color w:val="111111"/>
          <w:sz w:val="28"/>
          <w:szCs w:val="28"/>
          <w:rtl w:val="true"/>
          <w:lang w:bidi="ar-SA"/>
        </w:rPr>
        <w:t xml:space="preserve">. </w:t>
      </w:r>
      <w:bookmarkStart w:id="428" w:name="pg10991_100713"/>
    </w:p>
    <w:p>
      <w:pPr>
        <w:pStyle w:val="BookText"/>
        <w:rPr/>
      </w:pPr>
      <w:bookmarkEnd w:id="428"/>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نقطع لحظة وضع التربة مع الميت بعدم وصول النجاسة إليها، وبطهارة بدن الميت وأكفانه حسب الفرض، واحتمال وصول النجاسة إليها لأجل تفسخ وتناثر بدن الميت بعد ذلك وهو مجرد شكّ، فنتمسّك بأصالة عدم وصول النجاسة إليها، وهذا يكفي لارتفاع الحرمة المُحتملة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8289016_2870459653"/>
      <w:bookmarkStart w:id="430" w:name="_Toc151"/>
      <w:bookmarkEnd w:id="429"/>
      <w:r>
        <w:rPr>
          <w:rtl w:val="true"/>
        </w:rPr>
        <w:t>المطلب الرابع</w:t>
      </w:r>
      <w:r>
        <w:rPr>
          <w:rtl w:val="true"/>
        </w:rPr>
        <w:t xml:space="preserve">: </w:t>
      </w:r>
      <w:r>
        <w:rPr>
          <w:rtl w:val="true"/>
        </w:rPr>
        <w:t>دفن الميت عند مشهد الإمام الحسين علیه السلام</w:t>
      </w:r>
      <w:bookmarkEnd w:id="430"/>
    </w:p>
    <w:p>
      <w:pPr>
        <w:pStyle w:val="BookText"/>
        <w:rPr/>
      </w:pPr>
      <w:r>
        <w:rPr>
          <w:rFonts w:ascii="IRNazanin" w:hAnsi="IRNazanin" w:eastAsia="IRNazanin"/>
          <w:color w:val="111111"/>
          <w:sz w:val="28"/>
          <w:sz w:val="28"/>
          <w:szCs w:val="28"/>
          <w:rtl w:val="true"/>
          <w:lang w:bidi="fa-IR"/>
        </w:rPr>
        <w:t xml:space="preserve">إنّ من مظاهر تقديس الشريعة لبدن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يرجع إلى احترام الميت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الحكم بدفن الميت في المكان الذي مات فيه، أو نقله إلى المشاهد المشرَّفة؛ ولذا أجمع الإمامية على كراهة نقل الميت قبل دفنه من بلدٍ إلى آخر؛ لأنّ النبي صلی الله علیه و اله أمر بالمسارعة بدفنه، وعدم تأخيره مهما أمكن، وأيضاً قد يؤدّي التأخير إلى عدم الأمن على جسد الميت من الفساد، ومعنى هذا أنّ الإمامية يجوِّزون النقل مع الكراهة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صرّح السيد الخوئي وغيره بأنّه لو لا الإجماع لحكمنا بالجواز بدون كراهة، للمناقشة الواضحة في أدلّة الكراهة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فقهاء المذاهب، فقد اختلفوا في ذلك على أقوالٍ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فيرى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بنقل الميت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النقل إلى ما دون مدّة السفر، وقيّده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ميل أو ميلين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جمهور الشافعية والحنابلة إلى أنّه لا يجوز نقل الميت قبل الدفن من بلدٍ إلى آخر إلّا لغرضٍ صحيح، وبه قال الأوزاعي وابن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النقل إلّا أن يكون بقرب مكة، أو المدينة، أو بيت المقدس، فيختار أن يُنقل إليها لفضل الدفن فيها، وقال البعض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المالكية، فيجوز عندهم نقل الميت قبل الدفن وبعده من مكان إلى آخر، لكن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ينفجر حال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تُنتهك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لمصلحة، كأن يُخاف عليه من أن يأكله البحر، أو تُرجى بركة الموضع المنقول إليه، أو ليُدفن بين أهله، أو لقرب زيارة أهله، وغيرها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استثنى الإمامية من الحكم بالكراهة، ما إذا كان النقل إلى أحد المشاهد المشرّفة، والتي منها مشهد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فحكموا باستحباب النقل، هذا كلّه إذا كان النقل قبل الدفن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إذا كان النقل بعد الدفن ففيه خلاف وتفصيل، وخلاصته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فقهاء الإمامية</w:t>
      </w:r>
      <w:r>
        <w:rPr>
          <w:rStyle w:val="FootnoteAnchor"/>
          <w:rtl w:val="true"/>
        </w:rPr>
        <w:footnoteReference w:id="454"/>
      </w:r>
      <w:r>
        <w:rPr>
          <w:rFonts w:ascii="Amiri" w:hAnsi="Amiri" w:eastAsia="Amiri" w:cs="Amiri"/>
          <w:color w:val="111111"/>
          <w:sz w:val="28"/>
          <w:sz w:val="28"/>
          <w:szCs w:val="28"/>
          <w:rtl w:val="true"/>
          <w:lang w:bidi="ar-SA"/>
        </w:rPr>
        <w:t>على أنّه لا يجوز نقل الميت بعد دفنه، وقد صرّح بالإجماع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صاحب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تحويل الميت من قبرٍ إلى قبرٍ آخر</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الكراهة لا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ابن الجنيد نفي البأس عن تحويل الميت إذا كان صلاحاً للميت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فقهاء المذاهب أيضاً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الحنفية والشافعية والحنابلة إلى أنّه لا يجوز نقل الميت من مكانٍ إلى آخر بعد الدفن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أفتى بعض المتأخرين من الحنفية بجواز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المالكية النقل لكن بشروط ثلاثة تقدّم ذكرها، والتي منها أن تُرجى بركة الموضع المنقول إليه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واستثنى جماعة من الإمامية من عدم جواز النقل إذا كان لأحد المشاهد المشرَّفة، وسوف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الأقوال في أصل جواز النقل وعدمه، مع بيان وجه الاستثناء من الكراهة أو الحرمة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دراسة المستثنى، وهو جواز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المشاهد المشرَّفة، </w:t>
      </w:r>
      <w:bookmarkStart w:id="431" w:name="pg10991_100719"/>
    </w:p>
    <w:p>
      <w:pPr>
        <w:pStyle w:val="BookText"/>
        <w:rPr/>
      </w:pPr>
      <w:bookmarkEnd w:id="431"/>
      <w:r>
        <w:rPr>
          <w:rFonts w:ascii="IRNazanin" w:hAnsi="IRNazanin" w:eastAsia="IRNazanin"/>
          <w:color w:val="111111"/>
          <w:sz w:val="28"/>
          <w:sz w:val="28"/>
          <w:szCs w:val="28"/>
          <w:rtl w:val="true"/>
          <w:lang w:bidi="fa-IR"/>
        </w:rPr>
        <w:t>ومنها مشهد الإمام الحسين علیه السلام ، واستحباب ذلك وذكر أدلّته وفروعه</w:t>
      </w:r>
      <w:r>
        <w:rPr>
          <w:rFonts w:eastAsia="IRNazanin" w:cs="IRNazanin"/>
          <w:color w:val="111111"/>
          <w:sz w:val="28"/>
          <w:szCs w:val="28"/>
          <w:rtl w:val="true"/>
          <w:lang w:bidi="fa-IR"/>
        </w:rPr>
        <w:t>.</w:t>
      </w:r>
    </w:p>
    <w:p>
      <w:pPr>
        <w:pStyle w:val="Heading3"/>
        <w:numPr>
          <w:ilvl w:val="2"/>
          <w:numId w:val="1"/>
        </w:numPr>
        <w:rPr/>
      </w:pPr>
      <w:bookmarkStart w:id="432" w:name="__RefHeading___Toc8289018_2870459653"/>
      <w:bookmarkStart w:id="433" w:name="_Toc152"/>
      <w:bookmarkEnd w:id="432"/>
      <w:r>
        <w:rPr>
          <w:rtl w:val="true"/>
        </w:rPr>
        <w:t>استحباب نقل الميت إلى مشهد الإمام الحسين علیه السلام</w:t>
      </w:r>
      <w:bookmarkEnd w:id="433"/>
    </w:p>
    <w:p>
      <w:pPr>
        <w:pStyle w:val="BookText"/>
        <w:rPr/>
      </w:pPr>
      <w:r>
        <w:rPr>
          <w:rFonts w:ascii="Amiri" w:hAnsi="Amiri" w:eastAsia="Amiri" w:cs="Amiri"/>
          <w:color w:val="111111"/>
          <w:sz w:val="28"/>
          <w:sz w:val="28"/>
          <w:szCs w:val="28"/>
          <w:rtl w:val="true"/>
          <w:lang w:bidi="ar-SA"/>
        </w:rPr>
        <w:t>إنّ نقل الميت له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قبل الدفن، وأُخرى بعده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8289020_2870459653"/>
      <w:bookmarkStart w:id="435" w:name="_Toc153"/>
      <w:bookmarkEnd w:id="434"/>
      <w:r>
        <w:rPr>
          <w:rtl w:val="true"/>
        </w:rPr>
        <w:t>الحالة الأُولى</w:t>
      </w:r>
      <w:r>
        <w:rPr>
          <w:rtl w:val="true"/>
        </w:rPr>
        <w:t xml:space="preserve">: </w:t>
      </w:r>
      <w:r>
        <w:rPr>
          <w:rtl w:val="true"/>
        </w:rPr>
        <w:t>نقل الميت قبل دفنه</w:t>
      </w:r>
      <w:bookmarkEnd w:id="435"/>
    </w:p>
    <w:p>
      <w:pPr>
        <w:pStyle w:val="BookText"/>
        <w:rPr/>
      </w:pPr>
      <w:r>
        <w:rPr>
          <w:rFonts w:ascii="IRNazanin" w:hAnsi="IRNazanin" w:eastAsia="IRNazanin"/>
          <w:color w:val="111111"/>
          <w:sz w:val="28"/>
          <w:sz w:val="28"/>
          <w:szCs w:val="28"/>
          <w:rtl w:val="true"/>
          <w:lang w:bidi="fa-IR"/>
        </w:rPr>
        <w:t xml:space="preserve">إن القول باستحباب نقل الميت إلى المشاهد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مشهد الإمام الحسين علیه السلام والدفن بقربه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بين الإمامية، بل لا خلاف فيه، وعليه دعوى الإجماع من قِبل جماعة، وعليه عمل الأصحاب من زمن الأئمّة إلى زماننا، كما صرّح به البعض</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الحلي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نقل الميت إلى مشاهد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عمل الأصحاب من زمن الأئمّة إلى الآن، وهو المشهور بينهم لا يتناكرونه</w:t>
      </w:r>
      <w:r>
        <w:rPr>
          <w:rFonts w:eastAsia="Amiri" w:cs="Amiri" w:ascii="Amiri" w:hAnsi="Amiri"/>
          <w:color w:val="111111"/>
          <w:sz w:val="28"/>
          <w:szCs w:val="28"/>
          <w:rtl w:val="true"/>
          <w:lang w:bidi="ar-SA"/>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نقل الميت من الموضع الذي مات فيه إلى بلدٍ آخر، إلّا إذا نقل إلى واحدٍ من المشاهد، فإنّ ذلك مستحبٌّ له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الحلّي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يُكره نقل الميت عن بلد موته بإجماع العلماء؛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عجّلوهم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نقله إلى أحد مشاهد الأئمّة علیهم السلام ؛ لأن عمل الإمامية عليه من زمن الأئمّة علیهم السلام إلى زماننا فكان إجماعاً، ولأنّه موضع شريف فينبغي قصده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الكركي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على عبارة العلّامة الحلّي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والنقل إلّا إلى أحد المشاهد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نقل الميّت عن بلد موته لمنافاته التعجيل المأمور به، وعلى ذلك إجماع العلماء، وهذا في غير مشاهد الأئمّة علیهم السلام ، فيستحب النقل إليها، وعليه عمل الإمامية من زمن الأئمّة علیهم السلام إلى زماننا، فكان إجماعاً، قاله في التذكرة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عبارة صاحب الرياض</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الشرح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الميت قبل الدفن إلى غير بلد موته، إلّا إلى أحد المشاهد المشرَّفة، فيستحب إجماعاً فتوى وعملاً، ويجوز بعده أيضاً ما لم يكن معه محرّم على الأظهر، خلافاً للأكثر، وهو أحوط</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اليزدي رحمة الله في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بصدد تعداد الأُمور المكروهة في الدفن، وقد وافقه كلّ مَن جاء بعده وعلّق على عبارته مؤيّداً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الميّت من بلد موته إلى بلدٍ آخر، إلّا إلى المشاهد المشرَّفة، والأماكن المقدّسة، والمواضع المحترمة، كالنقل من عرفات إلى مكة، والنقل إلى النجف، فإنّ الدفن فيه يدفع عذاب القبر، وسؤال الملكين، وإلى كربلاء والكاظمية وسائر قبور الأئمّة، بل إلى مقابر العلماء، بل لا يبعد استحباب النقل من بعض المشاهد إلى آخر لبعض المرجّحات الشرعية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ناقش أدلّة الكراهة في أصل النقل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إلى الأماكن المتبرّكة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كالمشاهد المشرَّفة وغيرها من الأماكن التي </w:t>
      </w:r>
      <w:bookmarkStart w:id="436" w:name="pg10991_100723"/>
    </w:p>
    <w:p>
      <w:pPr>
        <w:pStyle w:val="BookText"/>
        <w:rPr/>
      </w:pPr>
      <w:bookmarkEnd w:id="436"/>
      <w:r>
        <w:rPr>
          <w:rFonts w:ascii="IRNazanin" w:hAnsi="IRNazanin" w:eastAsia="IRNazanin"/>
          <w:color w:val="111111"/>
          <w:sz w:val="28"/>
          <w:sz w:val="28"/>
          <w:szCs w:val="28"/>
          <w:rtl w:val="true"/>
          <w:lang w:bidi="fa-IR"/>
        </w:rPr>
        <w:t xml:space="preserve">يُتقرّب بالدفن فيها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بل مستحب، كالنقل إلى بيوت النبيّ صلی الله علیه و اله كالمعصومة علیهما السلام </w:t>
      </w:r>
      <w:r>
        <w:rPr>
          <w:rStyle w:val="FootnoteAnchor"/>
          <w:rtl w:val="true"/>
        </w:rPr>
        <w:footnoteReference w:id="466"/>
      </w:r>
      <w:r>
        <w:rPr>
          <w:rFonts w:ascii="IRNazanin" w:hAnsi="IRNazanin" w:eastAsia="IRNazanin"/>
          <w:color w:val="111111"/>
          <w:sz w:val="28"/>
          <w:sz w:val="28"/>
          <w:szCs w:val="28"/>
          <w:rtl w:val="true"/>
          <w:lang w:bidi="fa-IR"/>
        </w:rPr>
        <w:t>، وغيرها من قبور الأئمّة وبناتهم علیهم السلام ، أو النقل إلى قبر عالم من العلماء، أو سيّد من السادات؛ للتوّسل بهم والاستشفاع بقبورهم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بجواز النقل لشرف البقعة المنقول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ولكنّه قيّدها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المالكية؛ حيث جوَّزوا النقل بشرط أن تُرجى بركة الموضع المنقول إليه الميت، وأيُّ بركةٍ أفضل من مجاورة سيد الشهداء علیه السلام ؟</w:t>
      </w:r>
    </w:p>
    <w:p>
      <w:pPr>
        <w:pStyle w:val="BookText"/>
        <w:rPr/>
      </w:pPr>
      <w:r>
        <w:rPr>
          <w:rFonts w:ascii="Amiri" w:hAnsi="Amiri" w:eastAsia="Amiri" w:cs="Amiri"/>
          <w:color w:val="111111"/>
          <w:sz w:val="28"/>
          <w:sz w:val="28"/>
          <w:szCs w:val="28"/>
          <w:rtl w:val="true"/>
          <w:lang w:bidi="ar-SA"/>
        </w:rPr>
        <w:t>وأمّا الحنفية ورواية عن أحمد، فلم يقيّدوا جواز النقل بقيدٍ أو شرط</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8289022_2870459653"/>
      <w:bookmarkStart w:id="438" w:name="_Toc154"/>
      <w:bookmarkEnd w:id="437"/>
      <w:r>
        <w:rPr>
          <w:rtl w:val="true"/>
        </w:rPr>
        <w:t>أدلّة جواز نقل الميت قبل الدفن</w:t>
      </w:r>
      <w:bookmarkEnd w:id="438"/>
    </w:p>
    <w:p>
      <w:pPr>
        <w:pStyle w:val="BookText"/>
        <w:rPr/>
      </w:pPr>
      <w:r>
        <w:rPr>
          <w:rFonts w:ascii="Amiri" w:hAnsi="Amiri" w:eastAsia="Amiri" w:cs="Amiri"/>
          <w:color w:val="111111"/>
          <w:sz w:val="28"/>
          <w:sz w:val="28"/>
          <w:szCs w:val="28"/>
          <w:rtl w:val="true"/>
          <w:lang w:bidi="ar-SA"/>
        </w:rPr>
        <w:t>إن الأدلّة المذكورة في عبائر الأعلام حول جواز نقل الميت قبل دفنه كثيرة، بعضها يصلح للاستدلال به مستقلاً، وبعضها يصلح للتأييد فقط، وسوف نعرض جميع الأدلّة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ادّعاه جماعة، منهم المحقّق الحلّي، والعلّامة الحلّي، والشهيد الأول، وصاحب اللوامع، والمحقّق الثاني في روض الجنان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فقهاء الإمامية على النقل إلى مشاهد الأئمّة من زمن </w:t>
      </w:r>
    </w:p>
    <w:p>
      <w:pPr>
        <w:pStyle w:val="BookText"/>
        <w:rPr/>
      </w:pPr>
      <w:r>
        <w:rPr>
          <w:rFonts w:ascii="IRNazanin" w:hAnsi="IRNazanin" w:eastAsia="IRNazanin"/>
          <w:color w:val="111111"/>
          <w:sz w:val="28"/>
          <w:sz w:val="28"/>
          <w:szCs w:val="28"/>
          <w:rtl w:val="true"/>
          <w:lang w:bidi="fa-IR"/>
        </w:rPr>
        <w:t>الأئمّة علیهم السلام إلى الآن، وهو مشهور بينهم لا يتناكرون 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الناقل للميت إلى المشاهد المشرَّفة يقصد بذلك التمسّك بمَن له أهليّة الشفاعة، وهو أمرٌ حسنٌ بين الأحياء توصّلاً إلى فوائد الدنيا، فالتوصّل إلى فوائد الآخرة أوْلى، أو لأجل خصوصية في نفس التربة وهو التبرّك بها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المعنى عدّة روايات؛ حيث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بحار الأنوار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وردت أخبار كثيرة في فضل الدفن في المشاهد المشرَّفة لا سيّما الغري والحائر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الجواهر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سمعت من بعض مشايخي ناقلاً له عن المقداد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أنّ الدفن في سائر مشاهد الأئمّة علیهم السلام مُسقطٌ لسؤال منكر ونكير</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فحوى خبر محمد بن مسلم عن الباقر علیه السلام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يعقوب حمله يوسف علیه السلام في تابوت إلى أرض الشام فدفنه في بيت المقدس</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أوحى إلى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أخرِجْ عظام يوسف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فاستخرجه من شاطئ النيل في </w:t>
      </w:r>
    </w:p>
    <w:p>
      <w:pPr>
        <w:pStyle w:val="BookText"/>
        <w:rPr/>
      </w:pPr>
      <w:r>
        <w:rPr>
          <w:rFonts w:ascii="Amiri" w:hAnsi="Amiri" w:eastAsia="Amiri" w:cs="Amiri"/>
          <w:color w:val="111111"/>
          <w:sz w:val="28"/>
          <w:sz w:val="28"/>
          <w:szCs w:val="28"/>
          <w:rtl w:val="true"/>
          <w:lang w:bidi="ar-SA"/>
        </w:rPr>
        <w:t>صندوق مرمر، فلمّا أخرجه طلع القمر فحمله إلى الشام، فلذلك تحمل أهل الكتاب موتاهم إلى الشام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الإمام المعاصر لعلي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الميت يموت بعرفات يُدفن بعرفات أو يُنقل إلى الحرم، فأيّهما أفضل؟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الحرم ويُدفن؛ فهو أفضل</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نصّ يدلّ على استحباب ذلك، وهو النصّ الذي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المفيد في العزية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حديث يدلّ على رخصة في نقل الميت إلى بعض مشاهد آل الرسول صلی الله علیه و اله ، إن وصّى الميت بذلك</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روايات أُخرى تؤكّد استحباب الدفن في مشاهد الأئمة علیهم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اليماني المشهور الذي جاء بأبيه ليدفنه بالغري</w:t>
      </w:r>
      <w:r>
        <w:rPr>
          <w:rStyle w:val="FootnoteAnchor"/>
          <w:rtl w:val="true"/>
        </w:rPr>
        <w:footnoteReference w:id="478"/>
      </w:r>
      <w:r>
        <w:rPr>
          <w:rFonts w:ascii="IRNazanin" w:hAnsi="IRNazanin" w:eastAsia="IRNazanin"/>
          <w:color w:val="111111"/>
          <w:sz w:val="28"/>
          <w:sz w:val="28"/>
          <w:szCs w:val="28"/>
          <w:rtl w:val="true"/>
          <w:lang w:bidi="fa-IR"/>
        </w:rPr>
        <w:t>، وقد أقرّه الإمام علي علیه السلام على فعله،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الرضا علیه السلام بأن يُدفن يونس بن عبد الرحمن بالبقيع</w:t>
      </w:r>
      <w:r>
        <w:rPr>
          <w:rStyle w:val="FootnoteAnchor"/>
          <w:rtl w:val="true"/>
        </w:rPr>
        <w:footnoteReference w:id="47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الجواهر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 على تلك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أيقظته أخبار الأئمّة الهداة علیه السلام لا يحتاج إلى خصوص أخبار في التمسّك على رجاء النفع للميّت، ودفع الضرر عنه بالدفن قرب مَن له أهليّة الشفاعة لذلك، والأرض المباركة المشرَّفة بدفنهم بها أو بغيره، سيّما ما كان لفضلها تعلّق بالدفن ونحوه كمقبرة براثا؛ لما في خبر أبي الحسين الحذّاء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إلى جانبكم مقبرة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bookmarkStart w:id="439" w:name="pg10991_100730"/>
    </w:p>
    <w:p>
      <w:pPr>
        <w:pStyle w:val="BookText"/>
        <w:rPr/>
      </w:pPr>
      <w:bookmarkEnd w:id="439"/>
      <w:r>
        <w:rPr>
          <w:rFonts w:ascii="Amiri" w:hAnsi="Amiri" w:eastAsia="Amiri" w:cs="Amiri"/>
          <w:color w:val="111111"/>
          <w:sz w:val="28"/>
          <w:sz w:val="28"/>
          <w:szCs w:val="28"/>
          <w:rtl w:val="true"/>
          <w:lang w:bidi="ar-SA"/>
        </w:rPr>
        <w:t>يُحشر بها عشرون ومائة ألف شهيد كشهداء بدر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في فضل كربلاء وشرفها،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الطوسي بسنده إلى عمرو بن ثابت، عن أبيه، عن أبي جعفر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كربلاء قبل أن يخلق الكعبة بأربعة وعشرين ألف عام، وقدّسها وبارك عليها، فما زالت قبل أن يخلق الله الخلق مقدّسة مباركة، ولا تزال كذلك، وجعلها الله أفضل الأرض في الجنّة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8289024_2870459653"/>
      <w:bookmarkStart w:id="441" w:name="_Toc155"/>
      <w:bookmarkEnd w:id="440"/>
      <w:r>
        <w:rPr>
          <w:rtl w:val="true"/>
        </w:rPr>
        <w:t>الحالة الثانية</w:t>
      </w:r>
      <w:r>
        <w:rPr>
          <w:rtl w:val="true"/>
        </w:rPr>
        <w:t xml:space="preserve">: </w:t>
      </w:r>
      <w:r>
        <w:rPr>
          <w:rtl w:val="true"/>
        </w:rPr>
        <w:t>نقل الميت بعد دفنه</w:t>
      </w:r>
      <w:bookmarkEnd w:id="441"/>
    </w:p>
    <w:p>
      <w:pPr>
        <w:pStyle w:val="BookText"/>
        <w:rPr/>
      </w:pPr>
      <w:r>
        <w:rPr>
          <w:rFonts w:ascii="IRNazanin" w:hAnsi="IRNazanin" w:eastAsia="IRNazanin"/>
          <w:color w:val="111111"/>
          <w:sz w:val="28"/>
          <w:sz w:val="28"/>
          <w:szCs w:val="28"/>
          <w:rtl w:val="true"/>
          <w:lang w:bidi="fa-IR"/>
        </w:rPr>
        <w:t>اختلف فقهاء الإمامية في جواز نقل الميت بعد دفنه إلى مشهد الإمام الحسين علیه السلام على قولين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فالمشهور منهم لم يجوّزوا النقل مطلقاً، وإن كان لأحدِ المشاهد المشرَّفة، ومنها مشهد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ذهب جماعة إلى جواز النقل، بل استحبابه</w:t>
      </w:r>
      <w:r>
        <w:rPr>
          <w:rStyle w:val="FootnoteAnchor"/>
          <w:rtl w:val="true"/>
        </w:rPr>
        <w:footnoteReference w:id="482"/>
      </w:r>
      <w:r>
        <w:rPr>
          <w:rFonts w:ascii="Amiri" w:hAnsi="Amiri" w:eastAsia="Amiri" w:cs="Amiri"/>
          <w:color w:val="111111"/>
          <w:sz w:val="28"/>
          <w:sz w:val="28"/>
          <w:szCs w:val="28"/>
          <w:rtl w:val="true"/>
          <w:lang w:bidi="ar-SA"/>
        </w:rPr>
        <w:t>، فكان ذلك استثناءً من عدم الجواز المذكور، وإليك بعض كلماتهم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الطوسي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صرّح بكراهة نقل الميت قبل دفنه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دُفن في موضع، فلا يجوز نقله وتحويله من موضعه، وقد وردت رواية بجواز نقله إلى بعض مشاهدِ الأئمّة، سمعناها مذاكرةً، والأصلُ ما ذكرناه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الحلّي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دُفن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أحد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نقله، وإن كان إلى المشاهد، لإطلاق تحريم النبش، وسوّغه بعض علمائنا،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يحرم نقل الميت بعد دفنه إلى موضعٍ آخر؛ لتحريم النبش، واستدعائه الهتك، وإن كان ذلك إلى أحد المشاهد المشرَّفة على المشهور، ونقل المصنف في التذكرة جوازه إليها عن بعض علمائنا</w:t>
      </w:r>
      <w:r>
        <w:rPr>
          <w:rFonts w:eastAsia="Amiri" w:cs="Amiri" w:ascii="Amiri" w:hAnsi="Amiri"/>
          <w:color w:val="111111"/>
          <w:sz w:val="28"/>
          <w:szCs w:val="28"/>
          <w:rtl w:val="true"/>
          <w:lang w:bidi="ar-SA"/>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نقل الموتى بعد دفنهم إلى غير المشاهد إجماعاً؛ وكذا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كما في القواعد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سوى استلزام النبش المحرّم، وهو غير المدّعى؛ فإذاً الجواز أقوى وفاقاً لظاهر النهاية</w:t>
      </w:r>
      <w:r>
        <w:rPr>
          <w:rFonts w:eastAsia="Amiri" w:cs="Amiri" w:ascii="Amiri" w:hAnsi="Amiri"/>
          <w:color w:val="111111"/>
          <w:sz w:val="28"/>
          <w:szCs w:val="28"/>
          <w:rtl w:val="true"/>
          <w:lang w:bidi="ar-SA"/>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عبارة المستند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عبارة الجواهر، مدّعياً عليه الشهرة، ونسبها إلى عدّة من الفقهاء</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العروة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الفرق في جواز النقل بين كونه قبل الدفن أو بعده، ومَن قال بحرمة الثاني فمراده ما إذا استلزم النبش، وإلّا فلو فُرض خروج الميّت عن قبره بعد دفنه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 أو ظالمٍ، أو صبيٍّ، أو نحو ذلك لا مانع من جواز نقله إلى المشاهد مثلاً</w:t>
      </w:r>
      <w:r>
        <w:rPr>
          <w:rFonts w:eastAsia="Amiri" w:cs="Amiri" w:ascii="Amiri" w:hAnsi="Amiri"/>
          <w:color w:val="111111"/>
          <w:sz w:val="28"/>
          <w:szCs w:val="28"/>
          <w:rtl w:val="true"/>
          <w:lang w:bidi="ar-SA"/>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عدّة صور وفروع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النقل بنبشه </w:t>
      </w:r>
      <w:bookmarkStart w:id="442" w:name="pg10991_100734"/>
    </w:p>
    <w:p>
      <w:pPr>
        <w:pStyle w:val="BookText"/>
        <w:rPr/>
      </w:pPr>
      <w:bookmarkEnd w:id="442"/>
      <w:r>
        <w:rPr>
          <w:rFonts w:ascii="Amiri" w:hAnsi="Amiri" w:eastAsia="Amiri" w:cs="Amiri"/>
          <w:color w:val="111111"/>
          <w:sz w:val="28"/>
          <w:sz w:val="28"/>
          <w:szCs w:val="28"/>
          <w:rtl w:val="true"/>
          <w:lang w:bidi="ar-SA"/>
        </w:rPr>
        <w:t xml:space="preserve">موجباً لإهانة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صلاحاً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حرمته؛ لحرمة النبش حينئذٍ، وأما إذا لم تُعدّ إهانةً للميت وكان صلاحاً له، كما إذا نُبش لكي يُنقل إلى الأعتاب المقدسة والمتبرّكة، فالمشهور بينهم عدم الجواز، واختاره صاحب الجواهر، بل عن السرائر أنّه بدعةٌ وحرام، لكن ذهب جملة من المحقّقين إلى الجواز، كالمحقّق والشهيد الثانيين، وهذا هو الظاهر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8289026_2870459653"/>
      <w:bookmarkStart w:id="444" w:name="_Toc156"/>
      <w:bookmarkEnd w:id="443"/>
      <w:r>
        <w:rPr>
          <w:rtl w:val="true"/>
        </w:rPr>
        <w:t>أدلّة جواز نقل الميت بعد الدفن</w:t>
      </w:r>
      <w:bookmarkEnd w:id="444"/>
    </w:p>
    <w:p>
      <w:pPr>
        <w:pStyle w:val="BookText"/>
        <w:rPr/>
      </w:pPr>
      <w:r>
        <w:rPr>
          <w:rFonts w:ascii="Amiri" w:hAnsi="Amiri" w:eastAsia="Amiri" w:cs="Amiri"/>
          <w:color w:val="111111"/>
          <w:sz w:val="28"/>
          <w:sz w:val="28"/>
          <w:szCs w:val="28"/>
          <w:rtl w:val="true"/>
          <w:lang w:bidi="ar-SA"/>
        </w:rPr>
        <w:t>تقدّم أنّ المشهور ذهبوا إلى حرمة النقل بعد دفن الميت، واعتمدوا في إثبات الحرمة على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على تحريم النبش، ولزوم البدعة من حفر الميت ونقله، ولزوم هتك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القائلون بالجواز جميع تلك الأدلّة، وحاصل ما اعتمدوا عليه 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على الحرمة والأصل في الأشياء الجواز، وأمّا الإجماع فيُناقش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حالات النقل لا يستلزم النبش، كما لو خرج الميت بواسطة السيل، أو السبُع؛ فيرجع الكلام إلى جواز نقله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المُدّعى ليس إجماعاً تعبدياً، بل لأجل كون النبش وكشف الميت بعد تغيره ونتن رائحته إهانة له، ومحلّ الكلام خارج عنه؛ لعدم استلزام الإهانة في حالة نقله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موهون بذهاب المحقّق والشهيدين إلى الجواز</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النبش لأجل النقل توهينٌ للميت وهتكٌ 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النبش لأجل النقل </w:t>
      </w:r>
    </w:p>
    <w:p>
      <w:pPr>
        <w:pStyle w:val="BookText"/>
        <w:rPr/>
      </w:pPr>
      <w:r>
        <w:rPr>
          <w:rFonts w:ascii="Amiri" w:hAnsi="Amiri" w:eastAsia="Amiri" w:cs="Amiri"/>
          <w:color w:val="111111"/>
          <w:sz w:val="28"/>
          <w:sz w:val="28"/>
          <w:szCs w:val="28"/>
          <w:rtl w:val="true"/>
          <w:lang w:bidi="ar-SA"/>
        </w:rPr>
        <w:t xml:space="preserve">إلى 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المكان المناسب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وإكرام له، ولا يُعدّ توهيناً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من البدعة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فيصح إذا لم يدلّ الدليل على الجواز، ولكنّ الدليل على الجواز موجود، فترتفع به البدعة المدّعاة، خصوصاً إذا علمنا أنّ ذلك لم يكن محرّماً حتى يكون فعله بدعة، غاية الأمر أنّه لم يقع في زمن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نقل يوسف من قبره إلى مكانٍ آخر، ونقل نوح لآدم علیه السلام ، وقد تقدّم ذكرها في أدلّة المجوّزين قبل الدفن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يُستشكل به من أنّ ذلك شرع ما كان قبلنا، فلا يكون شاملاً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الشرع غير منسوخ في الشريعة الإسلاميّة، فيبقى على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جملة من علمائنا أنّهم دُفنوا ثمّ نُقلوا، مثل الشيخ المفيد رحمة الله ، فإنّه دُفن في داره مدّة ثمّ نُقل إلى جوار الإمامين الكاظمين علیهما السلام ، والسيد المرتضى رحمة الله ، فإنّه دُفن في داره ثمّ نُقل إلى جوار الحسين علیه السلام ، ونُقل أيضاً أنّ الشيخ البهائي رحمة الله دُفن بأصبهان ثمّ نُقل إلى المشهد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مشرّفه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وقوع ذلك في تلك الأوقات المملوءة بالعلماء الفضلاء لا يكون إلّا بتجويزهم لذلك، وهذا يكشف عن وجود دليل عندهم على ذلك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رواية في جواز النقل سمعها الطوسي مشافهةً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يتفرّع على أصل دفن الميت عند المشاهد المشرّفة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استثنى بعض الفقهاء من جواز النقل إلى المشاهد المشرَّفة الشهيد؛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الأوْلى دفنه حيث قُتل؛ لقوله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القتلى في مصارعهم</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نصّ عليه الشهيد الأول في الذكرى،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بعض الفقهاء ذلك، وناقش الشهيد في الرواية التي استند إليها، وهي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ضعيفة السند؛ لإرسالها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جعفر كاشف الغطاء</w:t>
      </w:r>
      <w:r>
        <w:rPr>
          <w:rStyle w:val="FootnoteAnchor"/>
          <w:rtl w:val="true"/>
        </w:rPr>
        <w:footnoteReference w:id="494"/>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الحكم إلى كلّ نقل، وإن استلزم تقطيع الميت وجعله إرباً، ولا هتك فيه لحرمة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الإباحة، وأنّ كلمات الفقهاء مطلقة تشمل حالة تقطيع الميت، وإطلاق ما دلّ على جواز النقل كرواية اليماني، خصوصاً بعد الدفن، فمع جوازه بعد الدفن يكون جوازه قبل الدفن إذا استلزم التقطيع أوْلى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يُعدّ هتكاً للميت بل هو كرامةٌ له؛ فإنّ الأحياء قد تُقطّع بعض أعضائهم لأجل مصلحة تقتضي التقطيع، من دون أن يُعدّ ذلك هتكاً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وخالف جماعة ما ذهب إليه كاشف الغطاء وأتباعه، وناقشوا كلّ الأدلّة المتصوّرة في المقام، وحكموا بحرمة ذلك؛ ومرجع ذلك إلى لزوم احترام المؤمن بعد موته؛ ولأنّ حرمته ميتاً كحرمته حياً، لا فرق في ذلك فيهما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 السيد عبد الأعلى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ناقش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آخر؛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من صغريات الأهمّ والمهم، فإذا كان حفظه عن مكارهه الروحية بإيصاله إلى جوار مَن بجواره تتحفّظ الأرواح والنفوس عمّا يُخاف ويُحذر، وتصل إلى ما أعدّ الله من المقامات المعنوية متوقّفاً على تقطيع جسمه فكلّ أحد يرضى بذلك، بل الشرع أيضاً يرجّحه؛ لكثرة اهتمام الشارع بإيصال نفوس أُمّته إلى المقامات المعنوية في جميع العوالم التي تمرّ على الإنسان، ولا وقع للجسم الجامد الذي يفنيه التراب عمّا قريب في مقابل درك الفضائل المعنوية الأبدية من جوار أولياء الله تعالى، ويشهد لقول كاشف الغطاء رحمة الله إطلاق ما مرّ من نقل موسى عظام يوسف، ودفنها في بيت المقدس؛ فإنّ إطلاقه يشمل حصول كسر في العظم، خصوصاً في الأزمنة القديمة التي يصعب فيها النقل والانتقال جداً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0991_100744"/>
      <w:bookmarkStart w:id="446" w:name="pg10991_100744"/>
      <w:bookmarkEnd w:id="446"/>
    </w:p>
    <w:p>
      <w:pPr>
        <w:pStyle w:val="Heading3"/>
        <w:numPr>
          <w:ilvl w:val="2"/>
          <w:numId w:val="1"/>
        </w:numPr>
        <w:rPr/>
      </w:pPr>
      <w:bookmarkStart w:id="447" w:name="pg10991_100744"/>
      <w:bookmarkStart w:id="448" w:name="__RefHeading___Toc8289028_2870459653"/>
      <w:bookmarkStart w:id="449" w:name="_Toc157"/>
      <w:bookmarkEnd w:id="447"/>
      <w:bookmarkEnd w:id="448"/>
      <w:r>
        <w:rPr>
          <w:rtl w:val="true"/>
        </w:rPr>
        <w:t>الأمر بالمعروف والنهي عن المنكر في السيرة الحسينية</w:t>
      </w:r>
      <w:bookmarkEnd w:id="449"/>
    </w:p>
    <w:p>
      <w:pPr>
        <w:pStyle w:val="Heading3"/>
        <w:numPr>
          <w:ilvl w:val="2"/>
          <w:numId w:val="1"/>
        </w:numPr>
        <w:rPr/>
      </w:pPr>
      <w:bookmarkStart w:id="450" w:name="__RefHeading___Toc8289030_2870459653"/>
      <w:bookmarkStart w:id="451" w:name="_Toc158"/>
      <w:bookmarkEnd w:id="450"/>
      <w:r>
        <w:rPr>
          <w:rtl w:val="true"/>
        </w:rPr>
        <w:t>تنوُّع الأساليب ووحدة الهدف</w:t>
      </w:r>
      <w:bookmarkEnd w:id="451"/>
    </w:p>
    <w:p>
      <w:pPr>
        <w:pStyle w:val="Heading3"/>
        <w:numPr>
          <w:ilvl w:val="2"/>
          <w:numId w:val="1"/>
        </w:numPr>
        <w:rPr/>
      </w:pPr>
      <w:bookmarkStart w:id="452" w:name="__RefHeading___Toc8289032_2870459653"/>
      <w:bookmarkStart w:id="453" w:name="_Toc159"/>
      <w:bookmarkEnd w:id="452"/>
      <w:r>
        <w:rPr>
          <w:rtl w:val="true"/>
        </w:rPr>
        <w:t>سارة رضائي</w:t>
      </w:r>
      <w:bookmarkEnd w:id="453"/>
    </w:p>
    <w:p>
      <w:pPr>
        <w:pStyle w:val="BookText"/>
        <w:rPr/>
      </w:pPr>
      <w:r>
        <w:rPr>
          <w:rFonts w:ascii="Amiri" w:hAnsi="Amiri" w:eastAsia="Amiri" w:cs="Amiri"/>
          <w:color w:val="111111"/>
          <w:sz w:val="28"/>
          <w:sz w:val="28"/>
          <w:szCs w:val="28"/>
          <w:rtl w:val="true"/>
          <w:lang w:bidi="ar-SA"/>
        </w:rPr>
        <w:t>سارة رضائي</w:t>
      </w:r>
      <w:r>
        <w:rPr>
          <w:rStyle w:val="FootnoteAnchor"/>
          <w:rtl w:val="true"/>
        </w:rPr>
        <w:footnoteReference w:id="496"/>
      </w:r>
    </w:p>
    <w:p>
      <w:pPr>
        <w:pStyle w:val="Heading3"/>
        <w:numPr>
          <w:ilvl w:val="2"/>
          <w:numId w:val="1"/>
        </w:numPr>
        <w:rPr/>
      </w:pPr>
      <w:bookmarkStart w:id="454" w:name="__RefHeading___Toc8289034_2870459653"/>
      <w:bookmarkStart w:id="455" w:name="_Toc160"/>
      <w:bookmarkEnd w:id="454"/>
      <w:r>
        <w:rPr>
          <w:rtl w:val="true"/>
        </w:rPr>
        <w:t>ترجمة</w:t>
      </w:r>
      <w:r>
        <w:rPr>
          <w:rtl w:val="true"/>
        </w:rPr>
        <w:t xml:space="preserve">: </w:t>
      </w:r>
      <w:r>
        <w:rPr>
          <w:rtl w:val="true"/>
        </w:rPr>
        <w:t>رعد الحجاج</w:t>
      </w:r>
      <w:bookmarkEnd w:id="455"/>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الحجاج</w:t>
      </w:r>
      <w:r>
        <w:rPr>
          <w:rStyle w:val="FootnoteAnchor"/>
          <w:rtl w:val="true"/>
        </w:rPr>
        <w:footnoteReference w:id="497"/>
      </w:r>
    </w:p>
    <w:p>
      <w:pPr>
        <w:pStyle w:val="Heading3"/>
        <w:numPr>
          <w:ilvl w:val="2"/>
          <w:numId w:val="1"/>
        </w:numPr>
        <w:rPr/>
      </w:pPr>
      <w:bookmarkStart w:id="456" w:name="__RefHeading___Toc8289036_2870459653"/>
      <w:bookmarkStart w:id="457" w:name="_Toc161"/>
      <w:bookmarkEnd w:id="456"/>
      <w:r>
        <w:rPr>
          <w:rtl w:val="true"/>
        </w:rPr>
        <w:t>توطئة</w:t>
      </w:r>
      <w:bookmarkEnd w:id="45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بالمعروف والنهي عن المنكر فريضة إلهية كبرى، أوجبها الدين الإسلامي المقدّس على كل مسلم،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هذه الفريضة أساساً ومرتكزاً لباقي الفرائض الدينيّة، ويمثل هذا العنصر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وسيلة ناجعة لإصلاح الفرد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وأشمل وأكمل نظام للإصلاح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أوسع من الوظيفة الدينيّة، بمعنى أنّ عقل الإنسان يحكم بأهمية وضرورة دعوة الناس بعضهم البعض إلى الخير والصلاح</w:t>
      </w:r>
      <w:r>
        <w:rPr>
          <w:rFonts w:eastAsia="Amiri" w:cs="Amiri" w:ascii="Amiri" w:hAnsi="Amiri"/>
          <w:color w:val="111111"/>
          <w:sz w:val="28"/>
          <w:szCs w:val="28"/>
          <w:rtl w:val="true"/>
          <w:lang w:bidi="ar-SA"/>
        </w:rPr>
        <w:t xml:space="preserve">. </w:t>
      </w:r>
      <w:bookmarkStart w:id="458" w:name="pg10991_100746"/>
    </w:p>
    <w:p>
      <w:pPr>
        <w:pStyle w:val="BookText"/>
        <w:rPr/>
      </w:pPr>
      <w:bookmarkEnd w:id="458"/>
      <w:r>
        <w:rPr>
          <w:rFonts w:ascii="Amiri" w:hAnsi="Amiri" w:eastAsia="Amiri" w:cs="Amiri"/>
          <w:color w:val="111111"/>
          <w:sz w:val="28"/>
          <w:sz w:val="28"/>
          <w:szCs w:val="28"/>
          <w:rtl w:val="true"/>
          <w:lang w:bidi="ar-SA"/>
        </w:rPr>
        <w:t xml:space="preserve">وعلى هذا الأساس؛ كل فعل حسن أو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الواجبات أو المحرمات، المستحبات أو المكروهات الشرعية، أم لم يكن من تلك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مصداقاً لأحد عنوانيْ المعروف أو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أنّ هناك عوامل عديدة وراء نهضة الإمام الحسين علیه السلام وثورة عاشوراء، لكنّ العامل الأهم هو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أنّ الإمام علیه السلام كان مصمِّماً على تلك النهضة حتى لو لم يوجّه له أهل الكوفة دعوة للحضور ولم يصرّ عليه يزيد لمبايعته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كان الهدف من ثورة الإمام الحسين علیه السلام تحقيق الأمر بالمعروف والنهي عن المنكر، وكانت ماهية نهضة عاشوراء إحياء الإسلام، وكان الوجود المقدس لسيد الشهداء أبي عبد الله الحسين علیه السلام في هذه النهضة متمثلاً بأنّه الآمر بالمعروف والناهي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استفاد الإمام لتحقيق هذا العنصر الأصيل والفريضة الإلهية الهامة من أساليب عملية متعددة، ووظّف كل واحد من تلك الأساليب في موضع معين لكسب النتيجة المطلوبة وتحقيق هدفه المقدس،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الأمر بالمعروف والنهي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في هذه المقالة بصدد بحث الأساليب المتنوعة والعملية التي استفاد منها الإمام الحسين علیه السلام في طريق العمل بفريضة الأمر بالمعروف والنهي عن المنكر</w:t>
      </w:r>
      <w:r>
        <w:rPr>
          <w:rFonts w:eastAsia="IRNazanin" w:cs="IRNazanin"/>
          <w:color w:val="111111"/>
          <w:sz w:val="28"/>
          <w:szCs w:val="28"/>
          <w:rtl w:val="true"/>
          <w:lang w:bidi="fa-IR"/>
        </w:rPr>
        <w:t>.</w:t>
      </w:r>
    </w:p>
    <w:p>
      <w:pPr>
        <w:pStyle w:val="Heading3"/>
        <w:numPr>
          <w:ilvl w:val="2"/>
          <w:numId w:val="1"/>
        </w:numPr>
        <w:rPr/>
      </w:pPr>
      <w:bookmarkStart w:id="459" w:name="__RefHeading___Toc8289038_2870459653"/>
      <w:bookmarkStart w:id="460" w:name="_Toc162"/>
      <w:bookmarkEnd w:id="459"/>
      <w:r>
        <w:rPr>
          <w:rtl w:val="true"/>
        </w:rPr>
        <w:t>بحوث تمهيدية</w:t>
      </w:r>
      <w:bookmarkEnd w:id="460"/>
    </w:p>
    <w:p>
      <w:pPr>
        <w:pStyle w:val="Heading3"/>
        <w:numPr>
          <w:ilvl w:val="2"/>
          <w:numId w:val="1"/>
        </w:numPr>
        <w:rPr/>
      </w:pPr>
      <w:bookmarkStart w:id="461" w:name="__RefHeading___Toc8289040_2870459653"/>
      <w:bookmarkStart w:id="462" w:name="_Toc163"/>
      <w:bookmarkEnd w:id="461"/>
      <w:r>
        <w:rPr/>
        <w:t>1</w:t>
      </w:r>
      <w:r>
        <w:rPr>
          <w:rtl w:val="true"/>
        </w:rPr>
        <w:t xml:space="preserve">- </w:t>
      </w:r>
      <w:r>
        <w:rPr>
          <w:rtl w:val="true"/>
        </w:rPr>
        <w:t>بحث المفاهيم والألفاظ</w:t>
      </w:r>
      <w:bookmarkEnd w:id="46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الأُسْلوبُ الطريق والوجه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أَسالِيبَ</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463" w:name="pg10991_100748"/>
    </w:p>
    <w:p>
      <w:pPr>
        <w:pStyle w:val="BookText"/>
        <w:rPr/>
      </w:pPr>
      <w:bookmarkEnd w:id="463"/>
      <w:r>
        <w:rPr>
          <w:rFonts w:ascii="Amiri" w:hAnsi="Amiri" w:eastAsia="Amiri" w:cs="Amiri"/>
          <w:color w:val="111111"/>
          <w:sz w:val="28"/>
          <w:sz w:val="28"/>
          <w:szCs w:val="28"/>
          <w:rtl w:val="true"/>
          <w:lang w:bidi="ar-SA"/>
        </w:rPr>
        <w:t>ولا يختلف المعنى الاصطلاحي عن اللغوي لهذه المفردة؛ إذ إنّه يعني الطريقة والقاعدة والعادة والمنهج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اسم جامع لكل ما عُرف من طاعة الله والتقرّب إليه والإِحسان إلى الناس، وكل ما ندَب إليه الشرعُ ونهى عنه من المحَسَّنات والمقَبَّحات، وهو من الصفات الغالبة،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مَعْروف بين الناس إذا رأَوْه لا 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النَّصَفةُ وحُسْن الصُّحْبةِ مع الأَهل وغيرهم من الناس،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ذلك جميعه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 في معناهما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فعل يُعْرَفُ بالعقل أو الشّرع حُسنه،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قيل للاقتصاد في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لما كان ذلك مستحسناً في العقول وبالشّرع</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من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على ما أفاد اللغويون الطريقة والهيئة والحالة</w:t>
      </w:r>
      <w:r>
        <w:rPr>
          <w:rStyle w:val="FootnoteAnchor"/>
          <w:rtl w:val="true"/>
        </w:rPr>
        <w:footnoteReference w:id="501"/>
      </w:r>
      <w:r>
        <w:rPr>
          <w:rFonts w:ascii="Amiri" w:hAnsi="Amiri" w:eastAsia="Amiri" w:cs="Amiri"/>
          <w:color w:val="111111"/>
          <w:sz w:val="28"/>
          <w:sz w:val="28"/>
          <w:szCs w:val="28"/>
          <w:rtl w:val="true"/>
          <w:lang w:bidi="ar-SA"/>
        </w:rPr>
        <w:t>، هذا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اصطلاحاً، فقد قال الراغب الأصفهاني في معنى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الحالة التي يكون عليها الإنسان وغيره، غريزيّاً كان أو مكتسباً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8289042_2870459653"/>
      <w:bookmarkStart w:id="465" w:name="_Toc164"/>
      <w:bookmarkEnd w:id="464"/>
      <w:r>
        <w:rPr/>
        <w:t>2</w:t>
      </w:r>
      <w:r>
        <w:rPr>
          <w:rtl w:val="true"/>
        </w:rPr>
        <w:t xml:space="preserve">- </w:t>
      </w:r>
      <w:r>
        <w:rPr>
          <w:rtl w:val="true"/>
        </w:rPr>
        <w:t>أهمية فريضة الأمر بالمعروف والنهي عن المنكر</w:t>
      </w:r>
      <w:bookmarkEnd w:id="46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الفرائض الدينيّة، فورد التأكيد الكبير عليها في الآيات القرآنية المباركة والسيرة العطرة للأئمة الأطهار علیهم السلام ، بل اعتُبرت من ضروريات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وسنُشير إلى نماذج من الآيات القرآنية والروايات </w:t>
      </w:r>
      <w:bookmarkStart w:id="466" w:name="pg10991_100750"/>
    </w:p>
    <w:p>
      <w:pPr>
        <w:pStyle w:val="BookText"/>
        <w:rPr/>
      </w:pPr>
      <w:bookmarkEnd w:id="466"/>
      <w:r>
        <w:rPr>
          <w:rFonts w:ascii="Amiri" w:hAnsi="Amiri" w:eastAsia="Amiri" w:cs="Amiri"/>
          <w:color w:val="111111"/>
          <w:sz w:val="28"/>
          <w:sz w:val="28"/>
          <w:szCs w:val="28"/>
          <w:rtl w:val="true"/>
          <w:lang w:bidi="ar-SA"/>
        </w:rPr>
        <w:t>الكثيرة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8289044_2870459653"/>
      <w:bookmarkStart w:id="468" w:name="_Toc165"/>
      <w:bookmarkEnd w:id="467"/>
      <w:r>
        <w:rPr>
          <w:rtl w:val="true"/>
        </w:rPr>
        <w:t>أ</w:t>
      </w:r>
      <w:r>
        <w:rPr>
          <w:rtl w:val="true"/>
        </w:rPr>
        <w:t xml:space="preserve">) </w:t>
      </w:r>
      <w:r>
        <w:rPr>
          <w:rtl w:val="true"/>
        </w:rPr>
        <w:t>الآيات القرآنية</w:t>
      </w:r>
      <w:bookmarkEnd w:id="4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دأب القرآن الكريم على تقديم الأمر بالمعروف على النهي عن المنكر؛ ذلك أنّ زيادة المعروف في المجتمع وشيوع الأمر به يؤدي في نهاية المطاف إلى التقليل من المنكرات،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أبواب المعروف تُغلق أبواب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يتبيّن أنّ القرآن يؤكد على أنّ التفاهم والوحدة والاتفاق بين المسلمين مبدأ لجميع أنواع المعروف، وأنّ الاختلاف والتفرقة أقبح المنكرات</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8289046_2870459653"/>
      <w:bookmarkStart w:id="470" w:name="_Toc166"/>
      <w:bookmarkEnd w:id="469"/>
      <w:r>
        <w:rPr>
          <w:rtl w:val="true"/>
        </w:rPr>
        <w:t>ب</w:t>
      </w:r>
      <w:r>
        <w:rPr>
          <w:rtl w:val="true"/>
        </w:rPr>
        <w:t xml:space="preserve">) </w:t>
      </w:r>
      <w:r>
        <w:rPr>
          <w:rtl w:val="true"/>
        </w:rPr>
        <w:t>الروايات</w:t>
      </w:r>
      <w:bookmarkEnd w:id="470"/>
    </w:p>
    <w:p>
      <w:pPr>
        <w:pStyle w:val="BookText"/>
        <w:rPr/>
      </w:pPr>
      <w:r>
        <w:rPr>
          <w:rFonts w:ascii="IRNazanin" w:hAnsi="IRNazanin" w:eastAsia="IRNazanin"/>
          <w:color w:val="111111"/>
          <w:sz w:val="28"/>
          <w:sz w:val="28"/>
          <w:szCs w:val="28"/>
          <w:rtl w:val="true"/>
          <w:lang w:bidi="fa-IR"/>
        </w:rPr>
        <w:t>هناك أحاديث كثيرة وردت عن الأئمة الميامين علیهم السلام في خصوص فريضة الأمر بالمعروف والنهي عن المنكر، ومنها على سبيل المثال أنّ النبي الأكرم صلی الله علیه و 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ونهى عن المنكر فهو خليفة الله في أرضه، وخليفة رسول الله، وخليفة كتابه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 علیه السلام حول أهمية هذه الفريضة الإلهية وآثارها الإيجابية في 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بالمعروف والنهي عن المنكر سبيل الأنبياء ومنهاج الصلحاء، </w:t>
      </w:r>
      <w:bookmarkStart w:id="471" w:name="pg10991_100752"/>
    </w:p>
    <w:p>
      <w:pPr>
        <w:pStyle w:val="BookText"/>
        <w:rPr/>
      </w:pPr>
      <w:bookmarkEnd w:id="471"/>
      <w:r>
        <w:rPr>
          <w:rFonts w:ascii="Amiri" w:hAnsi="Amiri" w:eastAsia="Amiri" w:cs="Amiri"/>
          <w:color w:val="111111"/>
          <w:sz w:val="28"/>
          <w:sz w:val="28"/>
          <w:szCs w:val="28"/>
          <w:rtl w:val="true"/>
          <w:lang w:bidi="ar-SA"/>
        </w:rPr>
        <w:t>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فنرى أنّ الإمام أبا جعفر الباقر علیه السلام أشار في هذا الحديث إلى الأبعاد المختلفة والآثار العديدة المترتبة على العمل بهذه الفريضة، على المستوى العقدي والثقافي والأخلاقي والسياسي والاجتماعي والاقتصادي؛ وهذا يعكس مدى أهمية مبدأ الأمر بالمعروف والنهي عن المنكر ودوره في إصلاح المجتمع الإسلامي</w:t>
      </w:r>
      <w:r>
        <w:rPr>
          <w:rFonts w:eastAsia="IRNazanin" w:cs="IRNazanin"/>
          <w:color w:val="111111"/>
          <w:sz w:val="28"/>
          <w:szCs w:val="28"/>
          <w:rtl w:val="true"/>
          <w:lang w:bidi="fa-IR"/>
        </w:rPr>
        <w:t>.</w:t>
      </w:r>
    </w:p>
    <w:p>
      <w:pPr>
        <w:pStyle w:val="Heading3"/>
        <w:numPr>
          <w:ilvl w:val="2"/>
          <w:numId w:val="1"/>
        </w:numPr>
        <w:rPr/>
      </w:pPr>
      <w:bookmarkStart w:id="472" w:name="__RefHeading___Toc8289048_2870459653"/>
      <w:bookmarkStart w:id="473" w:name="_Toc167"/>
      <w:bookmarkEnd w:id="472"/>
      <w:r>
        <w:rPr/>
        <w:t>3</w:t>
      </w:r>
      <w:r>
        <w:rPr>
          <w:rtl w:val="true"/>
        </w:rPr>
        <w:t xml:space="preserve">- </w:t>
      </w:r>
      <w:r>
        <w:rPr>
          <w:rtl w:val="true"/>
        </w:rPr>
        <w:t>أهمية الأساليب المختلفة في الأمر بالمعروف والنهي عن المنكر</w:t>
      </w:r>
      <w:bookmarkEnd w:id="473"/>
    </w:p>
    <w:p>
      <w:pPr>
        <w:pStyle w:val="BookText"/>
        <w:rPr/>
      </w:pPr>
      <w:r>
        <w:rPr>
          <w:rFonts w:ascii="IRNazanin" w:hAnsi="IRNazanin" w:eastAsia="IRNazanin"/>
          <w:color w:val="111111"/>
          <w:sz w:val="28"/>
          <w:sz w:val="28"/>
          <w:szCs w:val="28"/>
          <w:rtl w:val="true"/>
          <w:lang w:bidi="fa-IR"/>
        </w:rPr>
        <w:t>لا شك في ضرورة اتخاذ أساليب صحيحة وطرق مناسبة لأداء هذه الفريضة الإلهية؛ لأنّه أمر بديهي، وكفى لإثبات أهمية تعلُّم أساليب مختلفة لهذا العنصر الأصيل وتنوع صوره وأشكاله أنّ القرآن الكريم حدّثنا عن أساليب متنوعة قام بها الأنبياء علیهم السلام للتبليغ ودعوة الناس إلى الفضائل وإبعادهم عن الرذائل، وأوضح أنّ منهجية دعوة الأنبياء قائمة على هذا التنوع، ومن هذه الأساليب أنّه خاطب نبي الإسلام صلی الله علیه و 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اختار الرسول الأعظم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وبتوجيه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الأساليب وأكثرها تأثيراً عند التعاطي مع الظروف المختلفة للمخاطبين، وميّز عن طريق الأساليب العامة والجزئية بين المناهج الدائمة والمؤقتة والحلول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التكتيكات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الاستراتيجيات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474" w:name="pg10991_100754"/>
    </w:p>
    <w:p>
      <w:pPr>
        <w:pStyle w:val="BookText"/>
        <w:rPr/>
      </w:pPr>
      <w:bookmarkEnd w:id="474"/>
      <w:r>
        <w:rPr>
          <w:rFonts w:ascii="IRNazanin" w:hAnsi="IRNazanin" w:eastAsia="IRNazanin"/>
          <w:color w:val="111111"/>
          <w:sz w:val="28"/>
          <w:sz w:val="28"/>
          <w:szCs w:val="28"/>
          <w:rtl w:val="true"/>
          <w:lang w:bidi="fa-IR"/>
        </w:rPr>
        <w:t>ومن الشواهد على أنّ النبي صلی الله علیه و اله استفاد من أساليب مختلفة في مجال الأمر بالمعروف والنهي عن المنكر، دعوة الناس آحاداً وجماعات في أشق لحظات الدعوة، باللين والمرونة تارةً والشدة والغلظة أُخرى؛ ومن هنا، يتحتم لمن يأمر بالمعروف وينهى عن المنكر الاطلاع على الأساليب المختلفة في هذا الصدد والاستفادة منها في الوقت المناسب؛ لأنّ احتمالات نجاح الآمرين بالمعروف والناهين عن المنكر تختلف باختلاف الطرق والأساليب حتى في المجال الواحد أيضاً، فيمكن إحراز النجاح التام عند استعمال أُسلوب معيّن والإخفاق عند استخدام أُسلوب آخر في الموضوع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قال النبي الأكرم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فليكنْ أمرُه ذلك بمعروفٍ</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وبذا يتبين أنّ اتخاذ الأُسلوب المناسب في الأمر بالمعروف والنهي عن المنكر يُعدّ أحد عوامل النجاح في هذا المجال، ومن شأنه أن يُضاعف من قيمة الفرص الموجودة أمام الآمر بالمعروف والناهي عن المنكر، ويحقق له النتيجة المنشودة بأقل مشقة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الإمام الحسين علیه السلام كان من أكبر المبلغين للدين الإسلامي، ومن خيرة دعاة الأمر بالمعروف والنهي عن المنكر، فقد استفاد لإحياء هذه الفريضة الإلهية الكبرى من أساليب صائبة ومتنوعة، كلٌّ في موضعه ووقته المناسب، فكانت هذه الأساليب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أروع أساليب الأمر بالمعروف والنهي عن المنكر</w:t>
      </w:r>
      <w:r>
        <w:rPr>
          <w:rFonts w:eastAsia="IRNazanin" w:cs="IRNazanin"/>
          <w:color w:val="111111"/>
          <w:sz w:val="28"/>
          <w:szCs w:val="28"/>
          <w:rtl w:val="true"/>
          <w:lang w:bidi="fa-IR"/>
        </w:rPr>
        <w:t>.</w:t>
      </w:r>
    </w:p>
    <w:p>
      <w:pPr>
        <w:pStyle w:val="Heading3"/>
        <w:numPr>
          <w:ilvl w:val="2"/>
          <w:numId w:val="1"/>
        </w:numPr>
        <w:rPr/>
      </w:pPr>
      <w:bookmarkStart w:id="475" w:name="__RefHeading___Toc8289050_2870459653"/>
      <w:bookmarkStart w:id="476" w:name="_Toc168"/>
      <w:bookmarkEnd w:id="475"/>
      <w:r>
        <w:rPr/>
        <w:t>4</w:t>
      </w:r>
      <w:r>
        <w:rPr>
          <w:rtl w:val="true"/>
        </w:rPr>
        <w:t xml:space="preserve">- </w:t>
      </w:r>
      <w:r>
        <w:rPr>
          <w:rtl w:val="true"/>
        </w:rPr>
        <w:t>أسباب القيام بالأمر بالمعروف والنهي عن المنكر في السيرة الحسينية</w:t>
      </w:r>
      <w:bookmarkEnd w:id="47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نبحث الأسباب الداعية إلى قيام الإمام الحسين علیه السلام بنهضته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عنصراً أصيلاً في 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لنا من بحث العوامل والأسباب التي دفعت الإمام إلى الثورة من أجل إحياء هذا العنصر الاصیل؟ </w:t>
      </w:r>
    </w:p>
    <w:p>
      <w:pPr>
        <w:pStyle w:val="BookText"/>
        <w:rPr/>
      </w:pPr>
      <w:r>
        <w:rPr>
          <w:rFonts w:ascii="IRNazanin" w:hAnsi="IRNazanin" w:eastAsia="IRNazanin"/>
          <w:color w:val="111111"/>
          <w:sz w:val="28"/>
          <w:sz w:val="28"/>
          <w:szCs w:val="28"/>
          <w:rtl w:val="true"/>
          <w:lang w:bidi="fa-IR"/>
        </w:rPr>
        <w:t>إنّ لهذا الموضوع وضرورة معرفته أهميةً كبيرةً جعلت قائد الثورة الإسلاميّة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معرفة العوامل التي مهدت لحادثة عاشوراء وقيام الإمام الحسين علیه السلام ؛ لمنع إصابة مجتمعنا الإسلامي بما أُصيب المجتمع آنذاك، فلم تمضِ إلّا سنوات معدودة على تأسيس النبي صلی الله علیه و اله لمجتمع صدر الإسلام حتى ابتُلي بذلك الوضع المزري؛ ولذا يتوجب على شعبنا أن يحذر بشدة لئلا يُصاب بذلك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نُشخّص الداء المذكور ونعتبره خطراً عظيماً ونحرص على اجتنابه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وبغية إدراكٍ أفضل لهدف الإمام علیه السلام من إحياء هذا العنصر المهم، لا بدّ من الإشارة إلى الأوضاع والأحوال السائدة في ذلك الزمان؛ لتتضح العوامل التي أسهمت في بلورة هذه النهضة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مراجعة الوصية التي كتبها الإمام الحسين علیه السلام لأخيه محمد بن الحنفية</w:t>
      </w:r>
      <w:r>
        <w:rPr>
          <w:rStyle w:val="FootnoteAnchor"/>
          <w:rtl w:val="true"/>
        </w:rPr>
        <w:footnoteReference w:id="512"/>
      </w:r>
      <w:r>
        <w:rPr>
          <w:rFonts w:ascii="IRNazanin" w:hAnsi="IRNazanin" w:eastAsia="IRNazanin"/>
          <w:color w:val="111111"/>
          <w:sz w:val="28"/>
          <w:sz w:val="28"/>
          <w:szCs w:val="28"/>
          <w:rtl w:val="true"/>
          <w:lang w:bidi="fa-IR"/>
        </w:rPr>
        <w:t>، يتبين أنّ المجتمع الإسلامي كان في تلك البرهة بمنأى عن الإسلام الأصيل، بحيث لم يبقَ من الإسلام إلّا اسمه ومن القرآن إلّا رسمه، وكان يزيد يحرّم حلال الله ويحلّل حرامه جهاراً، ويخالف الإسلام في جميع أفعاله وسلوكه علناً، حتى أضحى تعاطي الخمر ومنادمة القرود والكلاب وما إلى ذلك من عاداته الدائمة وسيرته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 على تلك السلوكيات القبيحة والأعمال المنافية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صارت جزءاً من شخصيته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مريرة انعكست على الدين الإسلامي، حتى طوى النسيان سيرة النبي صلی الله علیه و اله وابتعد الناس عن الإسلام تماماً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حوّل يزيد المجتمع الإسلامي آنذاك إلى مستنقع حلّت فيه الرذائل بدل الفضائل والأهواء بدل القيم، من خلال الأعمال غير الشرعية والمناهضة للدين الإسلامي،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في أصل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الانحراف في </w:t>
      </w:r>
      <w:bookmarkStart w:id="477" w:name="pg10991_100758"/>
    </w:p>
    <w:p>
      <w:pPr>
        <w:pStyle w:val="BookText"/>
        <w:rPr/>
      </w:pPr>
      <w:bookmarkEnd w:id="477"/>
      <w:r>
        <w:rPr>
          <w:rFonts w:ascii="IRNazanin" w:hAnsi="IRNazanin" w:eastAsia="IRNazanin"/>
          <w:color w:val="111111"/>
          <w:sz w:val="28"/>
          <w:sz w:val="28"/>
          <w:szCs w:val="28"/>
          <w:rtl w:val="true"/>
          <w:lang w:bidi="fa-IR"/>
        </w:rPr>
        <w:t>أصل الولاية، وترك فريضة الأمر بالمعروف والنهي عن المنكر، وتبديل الخلافة والإمامة إلى سلطنة، وبسط الظلم والجور في المجتمع الإسلامي، وعدم الاكتراث للانحرافات الثقافية والموبقات الأخلاقية، وإضعاف القيم الدينيّة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الخروج من المستنقع المذكور يتطلب تغييراً كبيراً وتحولاً عظيماً تستعيد فيه القيم مكانتها الأساسية، وتعود فيه الأصالة الواقعية إلى سابق عهدها في ظل سيرة رسول الله 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مثل هذه الظروف، نادى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دين محمد صلی الله علیه و اله لا يستقيم إلّا بقتلي فيا سيوف خذيني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القول 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العوامل تُشكِّل البُنية التحتية والعمود الفقري لقيام الإمام ونهضة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كل واحد من تلك العوامل بحاجة إلى بحث وتحليل مفصل</w:t>
      </w:r>
      <w:r>
        <w:rPr>
          <w:rStyle w:val="FootnoteAnchor"/>
          <w:rtl w:val="true"/>
        </w:rPr>
        <w:footnoteReference w:id="513"/>
      </w:r>
      <w:r>
        <w:rPr>
          <w:rFonts w:ascii="Amiri" w:hAnsi="Amiri" w:eastAsia="Amiri" w:cs="Amiri"/>
          <w:color w:val="111111"/>
          <w:sz w:val="28"/>
          <w:sz w:val="28"/>
          <w:szCs w:val="28"/>
          <w:rtl w:val="true"/>
          <w:lang w:bidi="ar-SA"/>
        </w:rPr>
        <w:t>، وهو خارج عن دائرة هذه الدراسة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8289052_2870459653"/>
      <w:bookmarkStart w:id="479" w:name="_Toc169"/>
      <w:bookmarkEnd w:id="478"/>
      <w:r>
        <w:rPr/>
        <w:t>5</w:t>
      </w:r>
      <w:r>
        <w:rPr>
          <w:rtl w:val="true"/>
        </w:rPr>
        <w:t xml:space="preserve">- </w:t>
      </w:r>
      <w:r>
        <w:rPr>
          <w:rtl w:val="true"/>
        </w:rPr>
        <w:t>الأمر بالمعروف والنهي عن المنكر عنصر أصيل في النهضة الحسينية</w:t>
      </w:r>
      <w:bookmarkEnd w:id="47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الجليّ أنّ هناك عوامل عديدة أسهمت في حدوث ثورة الإمام الحسين علیه السلام ونهضة عاشوراء، أهمها إقامة فريضة الأمر بالمعروف والنهي عن المنكر؛ إذ يمكن استكشاف تلك الأهمية عِبر مواقف الإمام في الأوقات المختلفة، ومكاتباته، ووصاياه، وخُطبه، وكذلك البحوث الروائية والتاريخية، بل ونصوص الزيارات أيضاً؛ فيُستفاد منها جميعاً أنّ أهمّ عامل من العوامل التي فجّرت ثورة عاشوراء هو الأمر بالمعروف والنهي عن المنكر، بل إنّ هذه الميزة هي التي رفعت قيمة النهضة الحسينية وأكسبتها مزيداً من التقدير والاحترام؛ ولذا ثار الإمام الحسين علیه السلام لأجل إقامة الأمر بالمعروف والنهي عن المنكر، فجاء ذلك على لسانه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لم أخرج أشراً ولا بطراً، ولا </w:t>
      </w:r>
      <w:bookmarkStart w:id="480" w:name="pg10991_100760"/>
    </w:p>
    <w:p>
      <w:pPr>
        <w:pStyle w:val="BookText"/>
        <w:rPr/>
      </w:pPr>
      <w:bookmarkEnd w:id="480"/>
      <w:r>
        <w:rPr>
          <w:rFonts w:ascii="Amiri" w:hAnsi="Amiri" w:eastAsia="Amiri" w:cs="Amiri"/>
          <w:color w:val="111111"/>
          <w:sz w:val="28"/>
          <w:sz w:val="28"/>
          <w:szCs w:val="28"/>
          <w:rtl w:val="true"/>
          <w:lang w:bidi="ar-SA"/>
        </w:rPr>
        <w:t>مفسداً ولا ظالماً، وإنّما خرجت لطلب الإصلاح في أُمة جدّي، أُريد أن آمر بالمعروف وأنهى عن المنكر، وأسير بسيرة جدّي وأبي علي بن أبي طالب</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بذلك أنّ الإمام الحسين علیه السلام جعل الهدف الأساس من قيامه هو الأمر بالمعروف والنهي عن المنكر؛ لأنّ هذا المبدأ ضمان لبقاء الإسلام، ينعدم الإسلام بانعدامه؛ لذا عُرف مَن بقي من عائلة الإمام الحسين علیه السلام بعد واقعة كربلاء بأهل الأمر بالمعروف والنهي عن المنكر، وعملوا بعد يوم عاشوراء على إقامة هذه الفريضة المهمة أينما حلّوا</w:t>
      </w:r>
      <w:r>
        <w:rPr>
          <w:rFonts w:eastAsia="IRNazanin" w:cs="IRNazanin"/>
          <w:color w:val="111111"/>
          <w:sz w:val="28"/>
          <w:szCs w:val="28"/>
          <w:rtl w:val="true"/>
          <w:lang w:bidi="fa-IR"/>
        </w:rPr>
        <w:t>.</w:t>
      </w:r>
    </w:p>
    <w:p>
      <w:pPr>
        <w:pStyle w:val="Heading3"/>
        <w:numPr>
          <w:ilvl w:val="2"/>
          <w:numId w:val="1"/>
        </w:numPr>
        <w:rPr/>
      </w:pPr>
      <w:bookmarkStart w:id="481" w:name="__RefHeading___Toc8289054_2870459653"/>
      <w:bookmarkStart w:id="482" w:name="_Toc170"/>
      <w:bookmarkEnd w:id="481"/>
      <w:r>
        <w:rPr>
          <w:rtl w:val="true"/>
        </w:rPr>
        <w:t>أساليب الأمر بالمعروف والنهي عن المنكر في السيرة الحسينية</w:t>
      </w:r>
      <w:bookmarkEnd w:id="482"/>
    </w:p>
    <w:p>
      <w:pPr>
        <w:pStyle w:val="BookText"/>
        <w:rPr/>
      </w:pPr>
      <w:r>
        <w:rPr>
          <w:rFonts w:ascii="Amiri" w:hAnsi="Amiri" w:eastAsia="Amiri" w:cs="Amiri"/>
          <w:color w:val="111111"/>
          <w:sz w:val="28"/>
          <w:sz w:val="28"/>
          <w:szCs w:val="28"/>
          <w:rtl w:val="true"/>
          <w:lang w:bidi="ar-SA"/>
        </w:rPr>
        <w:t xml:space="preserve">سبق وأن أشرنا إلى أنّ معرفة أساليب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وتوظيف الأدوات اللازمة والمفيدة للآمر بالمعروف والناهي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ضروري ولا مناص منه؛ فالتعرض إلى هذا العنصر، من دون التسلح بالمعلومات اللازمة واستخدام السبل الضرورية وتوفير الآليات المناسبة، قد لا يقف عند حدّ الإخفاق في الحصول على النتيجة المطلوبة، بل من المحتمل أن يؤدي عدم الاهتمام بذلك إلى نتائج عكسية وينجم عنه أضرار كبيرة جداً على معتقدات المخاطبين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طائل ممن يتصدى لموضوع الإرشاد والأمر بالمعروف والنهي عن المنكر إن لم يكن على دراية تامة بالعوامل والخلفيات والمعوقات والإشكاليات والظروف الزمانية والمكانية وكل جوانب الموضوع الأُخرى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إنّما يُكتب النجاح والتأثير للإرشاد والأمر بالمعروف والنهي عن المنكر الذي يقترن ببرنامج مدروس وخطة محسوبة، ولو استطعنا استمداد هذه الأساليب من أقوال الأئمة من أهل البيت علیهم السلام واستقائها من أفعال الأولياء الإلهيين فلا ريب </w:t>
      </w:r>
    </w:p>
    <w:p>
      <w:pPr>
        <w:pStyle w:val="BookText"/>
        <w:rPr/>
      </w:pPr>
      <w:r>
        <w:rPr>
          <w:rFonts w:ascii="Amiri" w:hAnsi="Amiri" w:eastAsia="Amiri" w:cs="Amiri"/>
          <w:color w:val="111111"/>
          <w:sz w:val="28"/>
          <w:sz w:val="28"/>
          <w:szCs w:val="28"/>
          <w:rtl w:val="true"/>
          <w:lang w:bidi="ar-SA"/>
        </w:rPr>
        <w:t>في أنّها ستكون أكثر تأثيراً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راجعنا سيرة الإمام الحسين علیه السلام فسوف نجد أنّه كان على الدوام وفي جميع مراحل حياته بصدد إرشاد الأُمة وتطبيق فريضة الأمر بالمعروف والنهي عن المنكر، وسنُدرك أنّ ذلك لم يكن مقتصراً على واقعة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إلى السيرة العملية لأبي الأحرار علیه السلام وتحليل خطاباته ومواقفه المختلفة وكتبه السياسيّة، أثناء صلح الإمام الحسن علیه السلام ، ومواجهته لأُمراء المدينة الذين انغمسوا بالملذات والأهواء، ثمّ موقفه بعد شهادة أخيه من حكومة معاوية وتهميش العلويين، وتصدّيه للولاة الفاسدين وتعامله مع الناس الساكتين عنهم، كل ذلك يدلّ على أنّه كان يسعى جاهداً لترسيخ فريضة الأمر بالمعروف والنهي عن المنكر في المراحل والجوانب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فسعي الإمام الحسين علیه السلام لإحياء هذا العنصر الأصيل لم يكن مختصاً بنهضة عاشوراء، وإنّما بلغ في تلك الفترة قمّة التجلّي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تلك النهضة، أضحت مواقف هذا البطل المضحّي وحركة هذا الثائر الفدائي مثالاً رائعاً للآمر بالمعروف والناهي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المصاديق الواضحة على ذلك، رفض البيعة ليزيد وموقفه الحادّ تجاه والي المدينة، والخروج منها إلى مكة محتجاً على ذلك، وتقديم النصائح إلى الأعداء في مواطن عدّة، وخطاباته في مكة الرامية إلى فضح السياسات الهوجاء لحكومة يزيد 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المهمة هنا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الأساليب التي اتبعها الإمام الحسين علیه السلام في سبيل إحياء هذه الفريضة الإلهية الكبرى لإيقاظ الأُمة من نوم الغفلة ودعوتها إلى المعروف ونهيها عن المنكر، والتي مكّنته من إشعال شمعة الأمل في ذلك المجتمع الذي كان يتخبَّط في ظلمات الجهل والضلال، التي لم يرَ التاريخ مثلها قطّ، وهي تزداد وهجاً وضياءً في كل يوم وفي كل عام وفي كل قرن؟ </w:t>
      </w:r>
      <w:bookmarkStart w:id="483" w:name="pg10991_100764"/>
    </w:p>
    <w:p>
      <w:pPr>
        <w:pStyle w:val="Heading3"/>
        <w:numPr>
          <w:ilvl w:val="2"/>
          <w:numId w:val="1"/>
        </w:numPr>
        <w:rPr/>
      </w:pPr>
      <w:bookmarkStart w:id="484" w:name="__RefHeading___Toc8289056_2870459653"/>
      <w:bookmarkStart w:id="485" w:name="_Toc171"/>
      <w:bookmarkEnd w:id="483"/>
      <w:bookmarkEnd w:id="484"/>
      <w:r>
        <w:rPr/>
        <w:t>1</w:t>
      </w:r>
      <w:r>
        <w:rPr>
          <w:rtl w:val="true"/>
        </w:rPr>
        <w:t xml:space="preserve">- </w:t>
      </w:r>
      <w:r>
        <w:rPr>
          <w:rtl w:val="true"/>
        </w:rPr>
        <w:t xml:space="preserve">الأُسلوب الكلامي </w:t>
      </w:r>
      <w:r>
        <w:rPr>
          <w:rtl w:val="true"/>
        </w:rPr>
        <w:t>(</w:t>
      </w:r>
      <w:r>
        <w:rPr>
          <w:rtl w:val="true"/>
        </w:rPr>
        <w:t>الخطابات والأقوال</w:t>
      </w:r>
      <w:r>
        <w:rPr>
          <w:rtl w:val="true"/>
        </w:rPr>
        <w:t>)</w:t>
      </w:r>
      <w:bookmarkEnd w:id="485"/>
    </w:p>
    <w:p>
      <w:pPr>
        <w:pStyle w:val="BookText"/>
        <w:rPr/>
      </w:pPr>
      <w:r>
        <w:rPr>
          <w:rFonts w:ascii="IRNazanin" w:hAnsi="IRNazanin" w:eastAsia="IRNazanin"/>
          <w:color w:val="111111"/>
          <w:sz w:val="28"/>
          <w:sz w:val="28"/>
          <w:szCs w:val="28"/>
          <w:rtl w:val="true"/>
          <w:lang w:bidi="fa-IR"/>
        </w:rPr>
        <w:t>يُعتبر الأُسلوب الكلامي أحد أهمّ أساليب الأمر بالمعروف والنهي عن المنكر في السيرة الحسينية؛ فلطالما نصح الإمام الحسين علیه السلام وحذَّر العدو والصديق، الحاكم والمحكوم، ودعاهم إلى الخير والمعروف ونهاهم عن الشر والمنكر، واتّسم الأُسلوب الكلامي باختلاف الأزمنة والأمكنة وتغيّر المصاديق</w:t>
      </w:r>
      <w:r>
        <w:rPr>
          <w:rFonts w:eastAsia="IRNazanin" w:cs="IRNazanin"/>
          <w:color w:val="111111"/>
          <w:sz w:val="28"/>
          <w:szCs w:val="28"/>
          <w:rtl w:val="true"/>
          <w:lang w:bidi="fa-IR"/>
        </w:rPr>
        <w:t>:</w:t>
      </w:r>
    </w:p>
    <w:p>
      <w:pPr>
        <w:pStyle w:val="Heading3"/>
        <w:numPr>
          <w:ilvl w:val="2"/>
          <w:numId w:val="1"/>
        </w:numPr>
        <w:rPr/>
      </w:pPr>
      <w:bookmarkStart w:id="486" w:name="__RefHeading___Toc8289058_2870459653"/>
      <w:bookmarkStart w:id="487" w:name="_Toc172"/>
      <w:bookmarkEnd w:id="486"/>
      <w:r>
        <w:rPr>
          <w:rtl w:val="true"/>
        </w:rPr>
        <w:t>أ</w:t>
      </w:r>
      <w:r>
        <w:rPr>
          <w:rtl w:val="true"/>
        </w:rPr>
        <w:t xml:space="preserve">) </w:t>
      </w:r>
      <w:r>
        <w:rPr>
          <w:rtl w:val="true"/>
        </w:rPr>
        <w:t>الخُطب</w:t>
      </w:r>
      <w:bookmarkEnd w:id="487"/>
    </w:p>
    <w:p>
      <w:pPr>
        <w:pStyle w:val="BookText"/>
        <w:rPr/>
      </w:pPr>
      <w:r>
        <w:rPr>
          <w:rFonts w:ascii="IRNazanin" w:hAnsi="IRNazanin" w:eastAsia="IRNazanin"/>
          <w:color w:val="111111"/>
          <w:sz w:val="28"/>
          <w:sz w:val="28"/>
          <w:szCs w:val="28"/>
          <w:rtl w:val="true"/>
          <w:lang w:bidi="fa-IR"/>
        </w:rPr>
        <w:t>اتخذت الخطابة طابعاً خاصاً ومتميزاً في منهج الإمام الحسين علیه السلام بهدف إرشاد الناس والأمر بالمعروف والنهي عن المنكر، والشاهد على ذلك خطاباته المتعددة في أوقات مختلفة ولأشخاص مختلفين، في مكة والمدينة، والأماكن التي نزلها بين مكة والكوفة، والتي ألقاها على مسامع الجيش الكوفي وفي معسكره في موضع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عاشوراء عند اشتداد المعارك، وسنُشير إلى أمثلة في هذا المجال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8289060_2870459653"/>
      <w:bookmarkStart w:id="489" w:name="_Toc173"/>
      <w:bookmarkEnd w:id="488"/>
      <w:r>
        <w:rPr>
          <w:rtl w:val="true"/>
        </w:rPr>
        <w:t>خطبته في الحجّاج</w:t>
      </w:r>
      <w:bookmarkEnd w:id="4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أي قبل موت معاوية بسنتين، وذلك لما اشتد البلاء والظلم على أهل البيت علیهم السلام خصوصاً والشيعة عموماً، حجّ الحسين بن علي علیهما السلام ، فجمع بني هاشم، رجالهم ونساءهم ومواليهم وشيعتهم، مَن حجّ منهم ومَن لم يحجّ، ومن الأنصار مَن يعرفه الإمام علیه السلام وأهل بيته، ثم لم يترك أحداً حجّ ذلك العام من أصحاب رسول الله صلی الله علیه و اله ، ومن التابعين من الأنصار المعروفين بالصلاح والنسك إلّا جمعهم، واجتمع إليه بمِنى أكثر من سبعمائة رجل، ونحو مائتي رجل من أصحاب النبي صلی الله علیه و اله </w:t>
      </w:r>
      <w:r>
        <w:rPr>
          <w:rFonts w:eastAsia="IRNazanin" w:cs="IRNazanin"/>
          <w:color w:val="111111"/>
          <w:sz w:val="28"/>
          <w:szCs w:val="28"/>
          <w:rtl w:val="true"/>
          <w:lang w:bidi="fa-IR"/>
        </w:rPr>
        <w:t xml:space="preserve">. </w:t>
      </w:r>
      <w:bookmarkStart w:id="490" w:name="pg10991_100766"/>
    </w:p>
    <w:p>
      <w:pPr>
        <w:pStyle w:val="BookText"/>
        <w:rPr/>
      </w:pPr>
      <w:bookmarkEnd w:id="490"/>
      <w:r>
        <w:rPr>
          <w:rFonts w:ascii="IRNazanin" w:hAnsi="IRNazanin" w:eastAsia="IRNazanin"/>
          <w:color w:val="111111"/>
          <w:sz w:val="28"/>
          <w:sz w:val="28"/>
          <w:szCs w:val="28"/>
          <w:rtl w:val="true"/>
          <w:lang w:bidi="fa-IR"/>
        </w:rPr>
        <w:t>كان الإمام علیه السلام يهدف من ذلك إلى إيصال رسالة بواسطة هذه الشخصيات البارزة إلى المسلمين كافة؛ ولذا؛ قام فيهم خطيباً،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هذا الطاغية قد صنع بنا وبشيعتنا ما علمتم ورأيتم وشهدتم وبلغكم، وإنّي أُريد أن أسألكم عن شيء، فإن صدقت فأصدقوني، وإن كذبت فأكذبوني، واسمعوا مقالتي، واكتبوا قولي، ثم ارجعوا إلى أمصاركم وقبائلكم ومَن ائتمنتموه من الناس ووثقتم به، فادعوه إلى ما تعلمون من حقّنا؛ فإنّا نخاف أن يُدرس هذا الحق ويذهب، والله متمّ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ترك شيئاً مما أنزل الله في القرآن فيهم إلّا قاله وفسّره، ولا شيئاً قاله رسول الله صلی الله علیه و اله في أبيه وأخيه وأُمه وفي نفسه وأهل بيته إلّا رواه، وكل ذلك 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وشهدنا، ويقول التابعون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حدّثنا مَن نصدّقه ونأتمنه، حتى لم يترك شيئاً إلّا قاله،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بالله إلّا حدّثتم به من تثقون به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ريب في أن إلقاء هذه الخطبة المثيرة بين الصحابة والتابعين، في ذروة اقتدار الحكومة الأُموية التي كمّمت جميع الأصوات وحبست جميع الأنفاس، يدلّ على العظمة الفكرية والاقتدار الروحي للإمام الحسين علیه السلام ، ويكشف النقاب عن شجاعته الفائقة وإحساسه بالمسؤولية أيضاً، فلم يتوانَ عن الصدح بكلمة الحق وإحياء القيم الإسلاميّة في كل زمان ومكان ومهما اشتدّت سطوة الظالمين</w:t>
      </w:r>
      <w:r>
        <w:rPr>
          <w:rFonts w:eastAsia="IRNazanin" w:cs="IRNazanin"/>
          <w:color w:val="111111"/>
          <w:sz w:val="28"/>
          <w:szCs w:val="28"/>
          <w:rtl w:val="true"/>
          <w:lang w:bidi="fa-IR"/>
        </w:rPr>
        <w:t>.</w:t>
      </w:r>
    </w:p>
    <w:p>
      <w:pPr>
        <w:pStyle w:val="Heading3"/>
        <w:numPr>
          <w:ilvl w:val="2"/>
          <w:numId w:val="1"/>
        </w:numPr>
        <w:rPr/>
      </w:pPr>
      <w:bookmarkStart w:id="491" w:name="__RefHeading___Toc8289062_2870459653"/>
      <w:bookmarkStart w:id="492" w:name="_Toc174"/>
      <w:bookmarkEnd w:id="491"/>
      <w:r>
        <w:rPr>
          <w:rtl w:val="true"/>
        </w:rPr>
        <w:t>خطبته في جيش الحرّ الرياحي</w:t>
      </w:r>
      <w:bookmarkEnd w:id="49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الخطب الأُخرى للإمام الحسين علیه السلام التي بيّنت أهداف الثورة وأهمية الأمر بالمعروف والنهي عن المنكر، خطبته في أصحابه وأصحاب الحرّ بن يزيد الرياحي بعد لقائهم في منطقة البيضة، حيث 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w:t>
      </w:r>
      <w:bookmarkStart w:id="493" w:name="pg10991_100768"/>
    </w:p>
    <w:p>
      <w:pPr>
        <w:pStyle w:val="BookText"/>
        <w:rPr/>
      </w:pPr>
      <w:bookmarkEnd w:id="493"/>
      <w:r>
        <w:rPr>
          <w:rFonts w:ascii="IRNazanin" w:hAnsi="IRNazanin" w:eastAsia="IRNazanin"/>
          <w:color w:val="111111"/>
          <w:sz w:val="28"/>
          <w:sz w:val="28"/>
          <w:szCs w:val="28"/>
          <w:rtl w:val="true"/>
          <w:lang w:bidi="fa-IR"/>
        </w:rPr>
        <w:t>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لحرام الله، ناكثاً لعهد الله، مخالفاً لسنّة رسول الله صلی الله علیه و اله ،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والمستفاد من هذه الخطبة أنّ الإمام الحسين علیه السلام كان عازماً على القيام علناً في سبيل إثبات الحكومة الدينيّة وإحقاق الحق وإحياء الأركان الإلهية والسنّة النبوية، وتبديل المجتمع المليء بالفتن والمشاكل إلى مجتمع ديني بواسطة الأمر بالمعروف والنهي عن المنكر؛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وتتجلى أهمية هذا الموضوع أكثر فأكثر حينما نرى أنّ الإمام توجّه بهذا الكلام إلى أفراد جيش الحرّ الرياحي الذين قطعوا الطريق عليه، ليدعوهم إلى هذا الأمر،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w:t>
      </w:r>
    </w:p>
    <w:p>
      <w:pPr>
        <w:pStyle w:val="Heading3"/>
        <w:numPr>
          <w:ilvl w:val="2"/>
          <w:numId w:val="1"/>
        </w:numPr>
        <w:rPr/>
      </w:pPr>
      <w:bookmarkStart w:id="494" w:name="__RefHeading___Toc8289064_2870459653"/>
      <w:bookmarkStart w:id="495" w:name="_Toc175"/>
      <w:bookmarkEnd w:id="494"/>
      <w:r>
        <w:rPr>
          <w:rtl w:val="true"/>
        </w:rPr>
        <w:t>خطبته في أهل الكوفة</w:t>
      </w:r>
      <w:bookmarkEnd w:id="495"/>
    </w:p>
    <w:p>
      <w:pPr>
        <w:pStyle w:val="BookText"/>
        <w:rPr/>
      </w:pPr>
      <w:r>
        <w:rPr>
          <w:rFonts w:ascii="IRNazanin" w:hAnsi="IRNazanin" w:eastAsia="IRNazanin"/>
          <w:color w:val="111111"/>
          <w:sz w:val="28"/>
          <w:sz w:val="28"/>
          <w:szCs w:val="28"/>
          <w:rtl w:val="true"/>
          <w:lang w:bidi="fa-IR"/>
        </w:rPr>
        <w:t>تفيد القرائن التاريخية المتوافرة بأنّ الإمام الحسين علیه السلام خطب في الكوفيين غير مرة يوم عاشوراء، أمرهم فيها بالمعروف ونهاهم عن المنكر، فأتمّ عليهم الحجة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للاختصار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سنتطرَّق إلى بعض الفقرات فقط مما له صلة بموضوعنا من تلك الخطب المتعددة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الخطب التي ألقاها الإمام علیه السلام على مسامع أهل الكوفة قبل نشوب الحرب واحتدام القتال، التي أشار فيها إلى أهداف قيامه، وأكد على إرساء دعائم الحق في ظل نهضته، أنّه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يُعمل به، وأنّ الباطل لا يُتناهى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ليرغب المؤمن في لقاء الله محقّاً، فإنّي لا أرى الموت إلّا سعادة، ولا الحياة مع الظالمين </w:t>
      </w:r>
      <w:bookmarkStart w:id="496" w:name="pg10991_100770"/>
    </w:p>
    <w:p>
      <w:pPr>
        <w:pStyle w:val="BookText"/>
        <w:rPr/>
      </w:pPr>
      <w:bookmarkEnd w:id="496"/>
      <w:r>
        <w:rPr>
          <w:rFonts w:ascii="Amiri" w:hAnsi="Amiri" w:eastAsia="Amiri" w:cs="Amiri"/>
          <w:color w:val="111111"/>
          <w:sz w:val="28"/>
          <w:sz w:val="28"/>
          <w:szCs w:val="28"/>
          <w:rtl w:val="true"/>
          <w:lang w:bidi="ar-SA"/>
        </w:rPr>
        <w:t>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هذه الجمل القصيرة نسبياً، قدّم الإمام علیه السلام وصفاً دقيقاً ومناسباً للمجتمع الموبوء إذ ذاك، مشدداً على أنّه لا أثر للعمل بالحق ولا طائل من فعل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ثمَّة وجود في المجتمع الإسلامي للأمر بالمعروف والنهي عن المنكر؛ ولذا سآمر بالمعروف وأنهى عن المنكر لإقامة الحق وإحياء الخير، ولئن قُتلت فهو خير لي من البقاء في مثل ذلك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لما التقى الجيشان، وأقدم جيش عمر بن سعد على محاصرة جيش الحسين علیه السلام من جميع الجوانب، توجّه الإمام إلى صفوف جيش العدو وتحدَّث فيهم بكلام حماسي، مليء بالدروس والعبر، وموقظ للضمائر،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الدعيّ ابن الدعيّ قد ركز بين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السِلّة والذلّة، وهيهات منّا الذلة، يأبى الله ذلك لنا ورسوله والمؤمنون، وجدود طابت، وحجور طهرت، وأنوف حميّة، ونفوس أبيّة، لا تؤثر طاعة اللئام على مصارع الكرام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وباختصار؛ يتضح من كلام الإمام علیه السلام أنّه يبحث عن هدف أسمى من تشكيل الحكومة؛ فما الحكومة برأيه إلّا وسيلة لتحقيق العنصر الأصيل المتمثّل بالأمر بالمعروف والنهي عن المنكر</w:t>
      </w:r>
      <w:r>
        <w:rPr>
          <w:rFonts w:eastAsia="IRNazanin" w:cs="IRNazanin"/>
          <w:color w:val="111111"/>
          <w:sz w:val="28"/>
          <w:szCs w:val="28"/>
          <w:rtl w:val="true"/>
          <w:lang w:bidi="fa-IR"/>
        </w:rPr>
        <w:t>.</w:t>
      </w:r>
    </w:p>
    <w:p>
      <w:pPr>
        <w:pStyle w:val="Heading3"/>
        <w:numPr>
          <w:ilvl w:val="2"/>
          <w:numId w:val="1"/>
        </w:numPr>
        <w:rPr/>
      </w:pPr>
      <w:bookmarkStart w:id="497" w:name="__RefHeading___Toc8289066_2870459653"/>
      <w:bookmarkStart w:id="498" w:name="_Toc176"/>
      <w:bookmarkEnd w:id="497"/>
      <w:r>
        <w:rPr>
          <w:rtl w:val="true"/>
        </w:rPr>
        <w:t>ب</w:t>
      </w:r>
      <w:r>
        <w:rPr>
          <w:rtl w:val="true"/>
        </w:rPr>
        <w:t xml:space="preserve">) </w:t>
      </w:r>
      <w:r>
        <w:rPr>
          <w:rtl w:val="true"/>
        </w:rPr>
        <w:t>الوصايا الخاصة</w:t>
      </w:r>
      <w:bookmarkEnd w:id="4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أبلغ أساليب الأمر بالمعروف والنهي عن المنكر في السيرة الحسينية، الوصايا </w:t>
      </w:r>
      <w:bookmarkStart w:id="499" w:name="pg10991_100772"/>
    </w:p>
    <w:p>
      <w:pPr>
        <w:pStyle w:val="BookText"/>
        <w:rPr/>
      </w:pPr>
      <w:bookmarkEnd w:id="499"/>
      <w:r>
        <w:rPr>
          <w:rFonts w:ascii="IRNazanin" w:hAnsi="IRNazanin" w:eastAsia="IRNazanin"/>
          <w:color w:val="111111"/>
          <w:sz w:val="28"/>
          <w:sz w:val="28"/>
          <w:szCs w:val="28"/>
          <w:rtl w:val="true"/>
          <w:lang w:bidi="fa-IR"/>
        </w:rPr>
        <w:t>الخاصة التي قدمها الإمام الحسين علیه السلام أثناء لقاءاته المباشرة مع بعض الشخصيات، وهي من السُّبل التي اعتمدها الإمام لغرض تحقيق هدفه الرفيع، ساعياً إلى الابتعاد عما يُثير غضب الطرف المقابل، وترجيح جانب اللين والدفع بالتي هي أحسن على جانب الأخذ بالشدة، وتقديم عوامل المحبة على عوامل البغض، حتى في التعاطي مع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أدناه إلى نماذج في هذا المجال</w:t>
      </w:r>
      <w:r>
        <w:rPr>
          <w:rFonts w:eastAsia="IRNazanin" w:cs="IRNazanin"/>
          <w:color w:val="111111"/>
          <w:sz w:val="28"/>
          <w:szCs w:val="28"/>
          <w:rtl w:val="true"/>
          <w:lang w:bidi="fa-IR"/>
        </w:rPr>
        <w:t>:</w:t>
      </w:r>
    </w:p>
    <w:p>
      <w:pPr>
        <w:pStyle w:val="Heading3"/>
        <w:numPr>
          <w:ilvl w:val="2"/>
          <w:numId w:val="1"/>
        </w:numPr>
        <w:rPr/>
      </w:pPr>
      <w:bookmarkStart w:id="500" w:name="__RefHeading___Toc8289068_2870459653"/>
      <w:bookmarkStart w:id="501" w:name="_Toc177"/>
      <w:bookmarkEnd w:id="500"/>
      <w:r>
        <w:rPr>
          <w:rtl w:val="true"/>
        </w:rPr>
        <w:t>لقاؤه بعبيد الله بن الحرّ الجعفي</w:t>
      </w:r>
      <w:bookmarkEnd w:id="501"/>
    </w:p>
    <w:p>
      <w:pPr>
        <w:pStyle w:val="BookText"/>
        <w:rPr/>
      </w:pPr>
      <w:r>
        <w:rPr>
          <w:rFonts w:ascii="IRNazanin" w:hAnsi="IRNazanin" w:eastAsia="IRNazanin"/>
          <w:color w:val="111111"/>
          <w:sz w:val="28"/>
          <w:sz w:val="28"/>
          <w:szCs w:val="28"/>
          <w:rtl w:val="true"/>
          <w:lang w:bidi="fa-IR"/>
        </w:rPr>
        <w:t>إنّ ذهاب الإمام الحسين علیه السلام إلى عبيد الله بن الحرّ الجعفي من أعظم الدروس والعِبر في كربلاء، ومن المصاديق المهمة للأمر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عبيد الله من وجهاء الكوفة، بعدما عُرف في شبابه بأنّه من قُطاع الطرق، ولما تهيأ أهل الكوفة لقتال الإمام الحسين علیه السلام تركها وخرج منها خوفاً من أن يبوء بإثم 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الإمام حينما نزل قصر بني مقاتل، بين مكة والكوفة، فإذا هو بفسطاط مضروب ورمح منصوب وسيف معلّق وفرس واقف على مذوده،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رسولاً يدعوه، غير أنّه رفض اللقاء بالإمام، فقام الحسين علیه السلام ثم صار إليه في جماعة من إخوانه، فسلّم وجلس عنده،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يا بن الحر، فاعلم أنّ الله عزّ وجلّ مؤاخذك بما كسبت وأسلفت من الذنوب في الأيام الخالية، وأنا أدعوك في وقتي هذا إلى توبة تغسل بها ما عليك من الذنوب، وأدعوك إلى نصرتنا أهل البيت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أبى الاستجابة لتلك الدعوة ولم يستطع الاستفادة من الفرصة الذهبية التي فُسِحت له لتجاوز الماضي، ثم إنّه أظهر الندم لاحقاً على تركه نصرة الحسين علیه السلام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02" w:name="pg10991_100774"/>
    </w:p>
    <w:p>
      <w:pPr>
        <w:pStyle w:val="Heading3"/>
        <w:numPr>
          <w:ilvl w:val="2"/>
          <w:numId w:val="1"/>
        </w:numPr>
        <w:rPr/>
      </w:pPr>
      <w:bookmarkStart w:id="503" w:name="__RefHeading___Toc8289070_2870459653"/>
      <w:bookmarkStart w:id="504" w:name="_Toc178"/>
      <w:bookmarkEnd w:id="502"/>
      <w:bookmarkEnd w:id="503"/>
      <w:r>
        <w:rPr>
          <w:rtl w:val="true"/>
        </w:rPr>
        <w:t>لقاؤه بعمر بن سعد</w:t>
      </w:r>
      <w:bookmarkEnd w:id="504"/>
    </w:p>
    <w:p>
      <w:pPr>
        <w:pStyle w:val="BookText"/>
        <w:rPr/>
      </w:pPr>
      <w:r>
        <w:rPr>
          <w:rFonts w:ascii="IRNazanin" w:hAnsi="IRNazanin" w:eastAsia="IRNazanin"/>
          <w:color w:val="111111"/>
          <w:sz w:val="28"/>
          <w:sz w:val="28"/>
          <w:szCs w:val="28"/>
          <w:rtl w:val="true"/>
          <w:lang w:bidi="fa-IR"/>
        </w:rPr>
        <w:t>على الرغم من عزم أهل الكوفة الجادّ على قتال الإمام الحسين علیه السلام ، وكون ذلك من الأُمور المسلّمة عندهم، لم يفوّت الإمام أيَّ فرصة لهدايتهم وإنقاذهم من النار وهم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أرسل إلى عمر بن سعد أنّي أُريد أن أُكلمك فالقني الليلة بين عسكري وعسكرك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ابن سعد، والتقيا، فحذره الإمام من مغبَّة عمله، ودعاه إلى ما فيه خيره وصلاحه، ونهاه عن ارتكاب المنكر، لكنّ ابن سعد تعلَّل بأُمور واهية وامتنع عن قبول دعوة الإمام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نصح الإمام علیه السلام في لقاء مباشر وخاص مع عمر بن سعد هذا الأخير ودلّه على طريق السعادة، فأثبت لأعدائه بتصرّفه هذا حُسن نيّته ومقاصده الإصلاحية المتمثلة بالأمر بالمعروف والنهي عن المنكر</w:t>
      </w:r>
      <w:r>
        <w:rPr>
          <w:rFonts w:eastAsia="IRNazanin" w:cs="IRNazanin"/>
          <w:color w:val="111111"/>
          <w:sz w:val="28"/>
          <w:szCs w:val="28"/>
          <w:rtl w:val="true"/>
          <w:lang w:bidi="fa-IR"/>
        </w:rPr>
        <w:t>.</w:t>
      </w:r>
    </w:p>
    <w:p>
      <w:pPr>
        <w:pStyle w:val="Heading3"/>
        <w:numPr>
          <w:ilvl w:val="2"/>
          <w:numId w:val="1"/>
        </w:numPr>
        <w:rPr/>
      </w:pPr>
      <w:bookmarkStart w:id="505" w:name="__RefHeading___Toc8289072_2870459653"/>
      <w:bookmarkStart w:id="506" w:name="_Toc179"/>
      <w:bookmarkEnd w:id="505"/>
      <w:r>
        <w:rPr/>
        <w:t>2</w:t>
      </w:r>
      <w:r>
        <w:rPr>
          <w:rtl w:val="true"/>
        </w:rPr>
        <w:t xml:space="preserve">- </w:t>
      </w:r>
      <w:r>
        <w:rPr>
          <w:rtl w:val="true"/>
        </w:rPr>
        <w:t xml:space="preserve">الأُسلوب الكتابي </w:t>
      </w:r>
      <w:r>
        <w:rPr>
          <w:rtl w:val="true"/>
        </w:rPr>
        <w:t>(</w:t>
      </w:r>
      <w:r>
        <w:rPr>
          <w:rtl w:val="true"/>
        </w:rPr>
        <w:t>الكتب والوصية</w:t>
      </w:r>
      <w:r>
        <w:rPr>
          <w:rtl w:val="true"/>
        </w:rPr>
        <w:t>)</w:t>
      </w:r>
      <w:bookmarkEnd w:id="506"/>
    </w:p>
    <w:p>
      <w:pPr>
        <w:pStyle w:val="BookText"/>
        <w:rPr/>
      </w:pPr>
      <w:r>
        <w:rPr>
          <w:rFonts w:ascii="IRNazanin" w:hAnsi="IRNazanin" w:eastAsia="IRNazanin"/>
          <w:color w:val="111111"/>
          <w:sz w:val="28"/>
          <w:sz w:val="28"/>
          <w:szCs w:val="28"/>
          <w:rtl w:val="true"/>
          <w:lang w:bidi="fa-IR"/>
        </w:rPr>
        <w:t>ومن الأساليب الأُخرى التي اتبعها سيد الشهداء علیه السلام لإقامة الأمر بالمعروف والنهي عن المنكر، الأُسلوب الكتابي الذي تجسَّد بمصاديق مختلفة منها</w:t>
      </w:r>
      <w:r>
        <w:rPr>
          <w:rFonts w:eastAsia="IRNazanin" w:cs="IRNazanin"/>
          <w:color w:val="111111"/>
          <w:sz w:val="28"/>
          <w:szCs w:val="28"/>
          <w:rtl w:val="true"/>
          <w:lang w:bidi="fa-IR"/>
        </w:rPr>
        <w:t>:</w:t>
      </w:r>
    </w:p>
    <w:p>
      <w:pPr>
        <w:pStyle w:val="Heading3"/>
        <w:numPr>
          <w:ilvl w:val="2"/>
          <w:numId w:val="1"/>
        </w:numPr>
        <w:rPr/>
      </w:pPr>
      <w:bookmarkStart w:id="507" w:name="__RefHeading___Toc8289074_2870459653"/>
      <w:bookmarkStart w:id="508" w:name="_Toc180"/>
      <w:bookmarkEnd w:id="507"/>
      <w:r>
        <w:rPr>
          <w:rtl w:val="true"/>
        </w:rPr>
        <w:t>أ</w:t>
      </w:r>
      <w:r>
        <w:rPr>
          <w:rtl w:val="true"/>
        </w:rPr>
        <w:t xml:space="preserve">) </w:t>
      </w:r>
      <w:r>
        <w:rPr>
          <w:rtl w:val="true"/>
        </w:rPr>
        <w:t>الرسائل والكتب</w:t>
      </w:r>
      <w:bookmarkEnd w:id="50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المكاتبات وإرسال الكتب الرسمية من وسائل الدعوة والإعلام على مرّ التاريخ البشري، وقد استفاد الإمام الحسين علیه السلام من هذا الأُسلوب المهم في أوقات مختلفة بهدف إيقاظ الأُمة وحثّها على فعل الخيرات وصدّها عن اقتراف المنكرات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أنّه يتعذَّر نقل جميع الكتب في هذا المقال؛ ولذا سنتعرّض إلى أهمها؛ مما يكشف عن الهدف الأساسي لهذه الدراسة</w:t>
      </w:r>
      <w:r>
        <w:rPr>
          <w:rFonts w:eastAsia="IRNazanin" w:cs="IRNazanin"/>
          <w:color w:val="111111"/>
          <w:sz w:val="28"/>
          <w:szCs w:val="28"/>
          <w:rtl w:val="true"/>
          <w:lang w:bidi="fa-IR"/>
        </w:rPr>
        <w:t xml:space="preserve">: </w:t>
      </w:r>
      <w:bookmarkStart w:id="509" w:name="pg10991_100777"/>
    </w:p>
    <w:p>
      <w:pPr>
        <w:pStyle w:val="Heading3"/>
        <w:numPr>
          <w:ilvl w:val="2"/>
          <w:numId w:val="1"/>
        </w:numPr>
        <w:rPr/>
      </w:pPr>
      <w:bookmarkStart w:id="510" w:name="__RefHeading___Toc8289076_2870459653"/>
      <w:bookmarkStart w:id="511" w:name="_Toc181"/>
      <w:bookmarkEnd w:id="509"/>
      <w:bookmarkEnd w:id="510"/>
      <w:r>
        <w:rPr>
          <w:rtl w:val="true"/>
        </w:rPr>
        <w:t>كتابه إلى معاوية</w:t>
      </w:r>
      <w:bookmarkEnd w:id="511"/>
    </w:p>
    <w:p>
      <w:pPr>
        <w:pStyle w:val="BookText"/>
        <w:rPr/>
      </w:pPr>
      <w:r>
        <w:rPr>
          <w:rFonts w:ascii="IRNazanin" w:hAnsi="IRNazanin" w:eastAsia="IRNazanin"/>
          <w:color w:val="111111"/>
          <w:sz w:val="28"/>
          <w:sz w:val="28"/>
          <w:szCs w:val="28"/>
          <w:rtl w:val="true"/>
          <w:lang w:bidi="fa-IR"/>
        </w:rPr>
        <w:t xml:space="preserve">ما إن اطلع الإمام الحسين علیه السلام على مقتل حجر بن عدي على يد جلاوزة معاوية حتى آثر عدم السكوت، ورفع صوته بوجه معاوية، فكتب له كتاباً شديد اللهجة، أشار فيه إلى سياساته المناوئة للإسلام، وأماط اللثام عن جرائمه المتعددة،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حمد الله وأثنى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القاتل حجراً، أخا كندة، والمصلين العابدين الذين كانوا يُنكرون الظلم ويستعظمون البدع، ولا يخافون في الله لومة لائم، ثم قتلتهم ظلماً وعدواناً، من بعد ما كنت أعطيتهم الأيمان المغلَّظة، والمواثيق المؤكَّدة، ولا تأخذهم بحدث كان بينك وبينهم، ولا بإحنة تجدها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بالقصاص، واستيقن بالحساب، واعلم أنّ لله تعالى كتاباً لا يُغادر صغيرة ولا كبيرة إلّا أحصاها</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 هذا الكتاب إلى معاوية وقرأه فقد صوابه وتحيّر في الردّ عليه وكأنّما أُلقم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هذا الكتاب مصداق بارز لإحياء عنصر الأمر بالمعروف والنهي عن المنكر؛ لأنّه أعلن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وبمنتهى الحزم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لمعاوية وأتباعه، وانتقد جميع أفعاله الشنيعة، وأشار في أكثر من موضع إلى أنّه شخص قاتل وظالم وناكث للعهود والمواثيق، وقد جلس على منبر رسول الله صلی الله علیه و اله ليُصدر الأوامر بقتل السائرين على السنّة النبوية</w:t>
      </w:r>
      <w:r>
        <w:rPr>
          <w:rFonts w:eastAsia="IRNazanin" w:cs="IRNazanin"/>
          <w:color w:val="111111"/>
          <w:sz w:val="28"/>
          <w:szCs w:val="28"/>
          <w:rtl w:val="true"/>
          <w:lang w:bidi="fa-IR"/>
        </w:rPr>
        <w:t>.</w:t>
      </w:r>
    </w:p>
    <w:p>
      <w:pPr>
        <w:pStyle w:val="Heading3"/>
        <w:numPr>
          <w:ilvl w:val="2"/>
          <w:numId w:val="1"/>
        </w:numPr>
        <w:rPr/>
      </w:pPr>
      <w:bookmarkStart w:id="512" w:name="__RefHeading___Toc8289078_2870459653"/>
      <w:bookmarkStart w:id="513" w:name="_Toc182"/>
      <w:bookmarkEnd w:id="512"/>
      <w:r>
        <w:rPr>
          <w:rtl w:val="true"/>
        </w:rPr>
        <w:t>كتابه إلى أشراف البصرة</w:t>
      </w:r>
      <w:bookmarkEnd w:id="51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أبو عبد الله الحسين علیه السلام إلى هدفه في كتاب إلى أشراف أهل البصرة، طالبهم فيه بالعمل بكتاب الله وسنّة نبيّه صلی الله علیه و اله ، وعدم الغفلة عن واقع المجتمع،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أدعوكم إلى كتاب الله وسنَّة نبيّه صلی الله علیه و اله ؛ فإنّ السنّة قد أُميتت، وإنّ البدعة قد أُحييت، </w:t>
      </w:r>
      <w:bookmarkStart w:id="514" w:name="pg10991_100779"/>
    </w:p>
    <w:p>
      <w:pPr>
        <w:pStyle w:val="BookText"/>
        <w:rPr/>
      </w:pPr>
      <w:bookmarkEnd w:id="514"/>
      <w:r>
        <w:rPr>
          <w:rFonts w:ascii="Amiri" w:hAnsi="Amiri" w:eastAsia="Amiri" w:cs="Amiri"/>
          <w:color w:val="111111"/>
          <w:sz w:val="28"/>
          <w:sz w:val="28"/>
          <w:szCs w:val="28"/>
          <w:rtl w:val="true"/>
          <w:lang w:bidi="ar-SA"/>
        </w:rPr>
        <w:t>وأن تسمعوا قولي وتُطيعوا أمري أهدكم سبيل الرشاد</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هو واضح، فإنّ مراد الإمام علیه السلام من إماتة السنّة إنّما هو بسبب سياسات بني أُمية؛ ولذا أخذ علیه السلام على عاتقه القيام ضدهم واستنهاض هِمَم سائر المسلمين للثورة عليهم</w:t>
      </w:r>
      <w:r>
        <w:rPr>
          <w:rFonts w:eastAsia="IRNazanin" w:cs="IRNazanin"/>
          <w:color w:val="111111"/>
          <w:sz w:val="28"/>
          <w:szCs w:val="28"/>
          <w:rtl w:val="true"/>
          <w:lang w:bidi="fa-IR"/>
        </w:rPr>
        <w:t>.</w:t>
      </w:r>
    </w:p>
    <w:p>
      <w:pPr>
        <w:pStyle w:val="Heading3"/>
        <w:numPr>
          <w:ilvl w:val="2"/>
          <w:numId w:val="1"/>
        </w:numPr>
        <w:rPr/>
      </w:pPr>
      <w:bookmarkStart w:id="515" w:name="__RefHeading___Toc8289080_2870459653"/>
      <w:bookmarkStart w:id="516" w:name="_Toc183"/>
      <w:bookmarkEnd w:id="515"/>
      <w:r>
        <w:rPr>
          <w:rtl w:val="true"/>
        </w:rPr>
        <w:t>ب</w:t>
      </w:r>
      <w:r>
        <w:rPr>
          <w:rtl w:val="true"/>
        </w:rPr>
        <w:t xml:space="preserve">) </w:t>
      </w:r>
      <w:r>
        <w:rPr>
          <w:rtl w:val="true"/>
        </w:rPr>
        <w:t>وصيته إلى محمد بن الحنفية</w:t>
      </w:r>
      <w:bookmarkEnd w:id="516"/>
    </w:p>
    <w:p>
      <w:pPr>
        <w:pStyle w:val="BookText"/>
        <w:rPr/>
      </w:pPr>
      <w:r>
        <w:rPr>
          <w:rFonts w:ascii="IRNazanin" w:hAnsi="IRNazanin" w:eastAsia="IRNazanin"/>
          <w:color w:val="111111"/>
          <w:sz w:val="28"/>
          <w:sz w:val="28"/>
          <w:szCs w:val="28"/>
          <w:rtl w:val="true"/>
          <w:lang w:bidi="fa-IR"/>
        </w:rPr>
        <w:t>من الأمثلة الأُخرى على الأُسلوب الكتابي الذي اتّبعه الإمام الحسين علیه السلام في منهجه لإقامة الأمر بالمعروف والنهي عن المنكر، الوصية التي كتبها لأخيه محمد بن الحنفية، فلما عزم على الرحيل من المدينة إلى مكة، كتب له وصية وختمها بخاتمه، ورد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 أخرج أشراً ولا بطراً، ولا مفسداً ولا ظالماً، وإنّما خرجت أطلب الإصلاح في أُمّة جدّي محمّد صلی الله علیه و اله ، أُريد أن آمر بالمعروف وأنهى عن المنكر، وأسير بسيرة جدي محمد صلی الله علیه و اله وسيرة أبي علي بن أبي طالب علیه السلام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لهذه الوصية، ما كان ليهدأ للإمام بالٌ حتى لو لم يطالبه أحد بالبيعة ليزيد؛ ذلك أنّ خلافه مع الحكومة الأُموية لا يدور حول سكوتهم عن أخذ البيعة وفي مقابل ذلك سكوته عنهم، بل إنّ وجود هذه الحكومة ملازم للظلم والفساد وتغيير أحكام الله تعالى، فلا بدّ من الثورة لاستئصال الشرّ المتمثل ببني أُمية من جذوره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8289082_2870459653"/>
      <w:bookmarkStart w:id="518" w:name="_Toc184"/>
      <w:bookmarkEnd w:id="517"/>
      <w:r>
        <w:rPr/>
        <w:t>3</w:t>
      </w:r>
      <w:r>
        <w:rPr>
          <w:rtl w:val="true"/>
        </w:rPr>
        <w:t xml:space="preserve"> - </w:t>
      </w:r>
      <w:r>
        <w:rPr>
          <w:rtl w:val="true"/>
        </w:rPr>
        <w:t>الأُسلوب الفنّي</w:t>
      </w:r>
      <w:bookmarkEnd w:id="5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بالأُسلوب الفنّي في الأمر بالمعروف والنهي عن المنكر هو إمكانية الاستفادة من الفنّ لتبليغ القيم الإلهية، وبيان سُبل نفوذ المنكر إلى الحياة العامة ورسوخه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التعرُّف على المعروف والمنكر، والتذكير بمخاطر </w:t>
      </w:r>
      <w:bookmarkStart w:id="519" w:name="pg10991_100781"/>
    </w:p>
    <w:p>
      <w:pPr>
        <w:pStyle w:val="BookText"/>
        <w:rPr/>
      </w:pPr>
      <w:bookmarkEnd w:id="519"/>
      <w:r>
        <w:rPr>
          <w:rFonts w:ascii="Amiri" w:hAnsi="Amiri" w:eastAsia="Amiri" w:cs="Amiri"/>
          <w:color w:val="111111"/>
          <w:sz w:val="28"/>
          <w:sz w:val="28"/>
          <w:szCs w:val="28"/>
          <w:rtl w:val="true"/>
          <w:lang w:bidi="ar-SA"/>
        </w:rPr>
        <w:t>المفاسد وسلوك طريق الفساد، وطرق مكافحته، من خلال المشاهد والعروض والأشعار والأناشيد والقصص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الأُسلوب مصاديق متعددة، أهمها ما يلي</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8289084_2870459653"/>
      <w:bookmarkStart w:id="521" w:name="_Toc185"/>
      <w:bookmarkEnd w:id="520"/>
      <w:r>
        <w:rPr>
          <w:rtl w:val="true"/>
        </w:rPr>
        <w:t>أ</w:t>
      </w:r>
      <w:r>
        <w:rPr>
          <w:rtl w:val="true"/>
        </w:rPr>
        <w:t xml:space="preserve">) </w:t>
      </w:r>
      <w:r>
        <w:rPr>
          <w:rtl w:val="true"/>
        </w:rPr>
        <w:t>المشاهد والاستعراضات</w:t>
      </w:r>
      <w:bookmarkEnd w:id="521"/>
    </w:p>
    <w:p>
      <w:pPr>
        <w:pStyle w:val="BookText"/>
        <w:rPr/>
      </w:pPr>
      <w:r>
        <w:rPr>
          <w:rFonts w:ascii="IRNazanin" w:hAnsi="IRNazanin" w:eastAsia="IRNazanin"/>
          <w:color w:val="111111"/>
          <w:sz w:val="28"/>
          <w:sz w:val="28"/>
          <w:szCs w:val="28"/>
          <w:rtl w:val="true"/>
          <w:lang w:bidi="fa-IR"/>
        </w:rPr>
        <w:t>تُمثِّل صلاة الظهر يوم عاشوراء أجمل عرض وأبهى مشهد رآه التاريخ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خِضَمّ المعركة القائمة بين الفريقين آنذاك، انبرى أحد العاشورائيين، وهو أبو ثمامة عمرو بن عبد الله الصائدي، فقال للحسين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نفسي لك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هؤلاء قد اقتربوا منك، ولا والله، لا تُقتل حتى أُقتل دونك إن شاء الله، وأُحبّ أن ألقى ربّي وقد صلّيت هذه الصلاة التي قد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الحسين علیه السلام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الصلاة، جعلك الله من المصلّين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عنّا حتّى نُصلّي</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يكن بمقدور الإمام علیه السلام الصلاة داخل الخيمة؟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ضحّى بشخصين من أنصاره لإقامة الصلاة في ساحة 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إقامة صلاة الجماعة في ساحة المعركة والجهاد، على وقع القتال الشديد واشتباك الأسنّة، وإلى جانب أجساد الأحبة المضرّجة بالدماء، وأمام أعين آلاف الجنود المحتشدين لقتل الحسين علیه السلام وأصحابه، لهي من أروع المشاهد التاريخية وأعظمها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الإمام علیه السلام على دراية تامة بالآثار الهائلة لهذا المشهد الفريد من الأمر بالمعروف والنهي عن المنكر، وكان عالماً بأنّ الصلاة في ساحة الحرب وإلى جانب أجساد الشهداء أبلغ من آلاف الخطب والكتب والمقالات وأمثالها، فعرض هو وصحبه الميامين أبهى صورة للأمر بالمعروف والنهي عن المنكر في سياق الصلاة في يوم عاشوراء</w:t>
      </w:r>
      <w:r>
        <w:rPr>
          <w:rFonts w:eastAsia="IRNazanin" w:cs="IRNazanin"/>
          <w:color w:val="111111"/>
          <w:sz w:val="28"/>
          <w:szCs w:val="28"/>
          <w:rtl w:val="true"/>
          <w:lang w:bidi="fa-IR"/>
        </w:rPr>
        <w:t xml:space="preserve">. </w:t>
      </w:r>
      <w:bookmarkStart w:id="522" w:name="pg10991_100783"/>
    </w:p>
    <w:p>
      <w:pPr>
        <w:pStyle w:val="Heading3"/>
        <w:numPr>
          <w:ilvl w:val="2"/>
          <w:numId w:val="1"/>
        </w:numPr>
        <w:rPr/>
      </w:pPr>
      <w:bookmarkStart w:id="523" w:name="__RefHeading___Toc8289086_2870459653"/>
      <w:bookmarkStart w:id="524" w:name="_Toc186"/>
      <w:bookmarkEnd w:id="522"/>
      <w:bookmarkEnd w:id="523"/>
      <w:r>
        <w:rPr>
          <w:rtl w:val="true"/>
        </w:rPr>
        <w:t>ب</w:t>
      </w:r>
      <w:r>
        <w:rPr>
          <w:rtl w:val="true"/>
        </w:rPr>
        <w:t xml:space="preserve">) </w:t>
      </w:r>
      <w:r>
        <w:rPr>
          <w:rtl w:val="true"/>
        </w:rPr>
        <w:t>الشعر</w:t>
      </w:r>
      <w:bookmarkEnd w:id="524"/>
    </w:p>
    <w:p>
      <w:pPr>
        <w:pStyle w:val="BookText"/>
        <w:rPr/>
      </w:pPr>
      <w:r>
        <w:rPr>
          <w:rFonts w:ascii="IRNazanin" w:hAnsi="IRNazanin" w:eastAsia="IRNazanin"/>
          <w:color w:val="111111"/>
          <w:sz w:val="28"/>
          <w:sz w:val="28"/>
          <w:szCs w:val="28"/>
          <w:rtl w:val="true"/>
          <w:lang w:bidi="fa-IR"/>
        </w:rPr>
        <w:t xml:space="preserve">عمد الإمام الحسين علیه السلام إلى الاستفادة من جميع مصاديق الأُسلوب الفنّي لإحياء الدين وإقامة الأمر بالمعروف والنهي عن المنكر، فكانت الأشعار والأراجيز من العناصر المهمة جداً في نهضة عاشوراء؛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بيان عُمق مشاعر قائلها، وهو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على أسمى المعارف التي لا يُدركها سوى بيت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هنا إلى بعض الأمثلة في هذا المجال</w:t>
      </w:r>
      <w:r>
        <w:rPr>
          <w:rFonts w:eastAsia="IRNazanin" w:cs="IRNazanin"/>
          <w:color w:val="111111"/>
          <w:sz w:val="28"/>
          <w:szCs w:val="28"/>
          <w:rtl w:val="true"/>
          <w:lang w:bidi="fa-IR"/>
        </w:rPr>
        <w:t>:</w:t>
      </w:r>
    </w:p>
    <w:p>
      <w:pPr>
        <w:pStyle w:val="Heading3"/>
        <w:numPr>
          <w:ilvl w:val="2"/>
          <w:numId w:val="1"/>
        </w:numPr>
        <w:rPr/>
      </w:pPr>
      <w:bookmarkStart w:id="525" w:name="__RefHeading___Toc8289088_2870459653"/>
      <w:bookmarkStart w:id="526" w:name="_Toc187"/>
      <w:bookmarkEnd w:id="525"/>
      <w:r>
        <w:rPr>
          <w:rtl w:val="true"/>
        </w:rPr>
        <w:t>أبيات الإمام عندما نزل الشقوق</w:t>
      </w:r>
      <w:bookmarkEnd w:id="526"/>
    </w:p>
    <w:p>
      <w:pPr>
        <w:pStyle w:val="BookText"/>
        <w:rPr/>
      </w:pPr>
      <w:r>
        <w:rPr>
          <w:rFonts w:ascii="IRNazanin" w:hAnsi="IRNazanin" w:eastAsia="IRNazanin"/>
          <w:color w:val="111111"/>
          <w:sz w:val="28"/>
          <w:sz w:val="28"/>
          <w:szCs w:val="28"/>
          <w:rtl w:val="true"/>
          <w:lang w:bidi="fa-IR"/>
        </w:rPr>
        <w:t>ورد أنّ الإمام الحسين علیه السلام لقي الفرزدق في 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 وتحدّثا حول شهادة مسلم بن عقيل، ثم أنشأ 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الحرّ يبخل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الكسب أجمل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عليكم سلام الله يا آل أحمد فإنّي أراني عنكم سوف أرحل</w:t>
      </w:r>
      <w:r>
        <w:rPr>
          <w:rStyle w:val="FootnoteAnchor"/>
          <w:rtl w:val="true"/>
        </w:rPr>
        <w:footnoteReference w:id="52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فنرى أنّ الإمام علیه السلام تحدّث في هذه الأبيات عن فناء هذه الدنيا وقيمة الحياة الآخرة؛ ولذا ينبغي التفاني في سبيل الله وإثبات صواب الدين وإحياء سنّة رسول الله صلی الله علیه و اله ، كل ذلك إحياءً لدين الله ودفاعاً عن الحق، وحيث إنّ الأمر بالمعروف والنهي عن المنكر من جملة مصاديق إحياء السنّة النبوية،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في سبيل تحقيق هذه الفريضة الإلهية أمر حسن وممدوح جداً</w:t>
      </w:r>
      <w:r>
        <w:rPr>
          <w:rFonts w:eastAsia="IRNazanin" w:cs="IRNazanin"/>
          <w:color w:val="111111"/>
          <w:sz w:val="28"/>
          <w:szCs w:val="28"/>
          <w:rtl w:val="true"/>
          <w:lang w:bidi="fa-IR"/>
        </w:rPr>
        <w:t xml:space="preserve">. </w:t>
      </w:r>
      <w:bookmarkStart w:id="527" w:name="pg10991_100786"/>
    </w:p>
    <w:p>
      <w:pPr>
        <w:pStyle w:val="Heading3"/>
        <w:numPr>
          <w:ilvl w:val="2"/>
          <w:numId w:val="1"/>
        </w:numPr>
        <w:rPr/>
      </w:pPr>
      <w:bookmarkStart w:id="528" w:name="__RefHeading___Toc8289090_2870459653"/>
      <w:bookmarkStart w:id="529" w:name="_Toc188"/>
      <w:bookmarkEnd w:id="527"/>
      <w:bookmarkEnd w:id="528"/>
      <w:r>
        <w:rPr>
          <w:rtl w:val="true"/>
        </w:rPr>
        <w:t>بعض أراجيزه</w:t>
      </w:r>
      <w:bookmarkEnd w:id="529"/>
    </w:p>
    <w:p>
      <w:pPr>
        <w:pStyle w:val="BookText"/>
        <w:rPr/>
      </w:pPr>
      <w:r>
        <w:rPr>
          <w:rFonts w:ascii="IRNazanin" w:hAnsi="IRNazanin" w:eastAsia="IRNazanin"/>
          <w:color w:val="111111"/>
          <w:sz w:val="28"/>
          <w:sz w:val="28"/>
          <w:szCs w:val="28"/>
          <w:rtl w:val="true"/>
          <w:lang w:bidi="fa-IR"/>
        </w:rPr>
        <w:t>أنشد الإمام الحسين علیه السلام بعض الأراجيز في ساحة القتال يوم عاشوراء، منها على سبيل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أوْلى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أوْلى من دخول النار</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أحمي عيالات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على دين النبي</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وتكشف هذه الأبيات الحماسية عن أهمية هدف الإمام الحسين علیه السلام ، ألا وهو الحفاظ على دين جدّه الكريم، إلى درجة التضحية بنفسه الشريفة في سبيله، وهذا من أعظم درجات الأمر بالمعروف والنهي عن المنكر لجميع الأحرار ودعاة الحرية بأن لا ينصاعوا للذل والهوان تحت أيِّ ظروف، وأن يدافعوا عن الإسلام بكل ما أُوتوا من قوة، وحتى آخر قطرة دم في عروقهم</w:t>
      </w:r>
      <w:r>
        <w:rPr>
          <w:rFonts w:eastAsia="IRNazanin" w:cs="IRNazanin"/>
          <w:color w:val="111111"/>
          <w:sz w:val="28"/>
          <w:szCs w:val="28"/>
          <w:rtl w:val="true"/>
          <w:lang w:bidi="fa-IR"/>
        </w:rPr>
        <w:t>.</w:t>
      </w:r>
    </w:p>
    <w:p>
      <w:pPr>
        <w:pStyle w:val="Heading3"/>
        <w:numPr>
          <w:ilvl w:val="2"/>
          <w:numId w:val="1"/>
        </w:numPr>
        <w:rPr/>
      </w:pPr>
      <w:bookmarkStart w:id="530" w:name="__RefHeading___Toc8289092_2870459653"/>
      <w:bookmarkStart w:id="531" w:name="_Toc189"/>
      <w:bookmarkEnd w:id="530"/>
      <w:r>
        <w:rPr>
          <w:rtl w:val="true"/>
        </w:rPr>
        <w:t>ج</w:t>
      </w:r>
      <w:r>
        <w:rPr>
          <w:rtl w:val="true"/>
        </w:rPr>
        <w:t xml:space="preserve">) </w:t>
      </w:r>
      <w:r>
        <w:rPr>
          <w:rtl w:val="true"/>
        </w:rPr>
        <w:t>التمثيل</w:t>
      </w:r>
      <w:bookmarkEnd w:id="53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التمثيل من المصاديق والأساليب الفنّية الأُخرى التي لها استعمال كبير في مجال الأمر بالمعروف والنهي عن المنكر، وهو عبارة عن إبراز وجه الشبه بين غير المحسوس وبين المحسوس، وتقريب المعنى إلى ذهن المخاطب، ويعدّ من أهمّ مصاديق الفنّ في دائرة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هناك حضوراً واضحاً لهذا المنهج القرآني الفاعل في ملحمة عاشوراء، حيث استفاد الإمام الحسين علیه السلام من أُسلوب التمثيل للتأثير على المخاطبين وإعدادهم إعداداً روحياً لقبول الحق ورفض الأفكار </w:t>
      </w:r>
      <w:bookmarkStart w:id="532" w:name="pg10991_100788"/>
    </w:p>
    <w:p>
      <w:pPr>
        <w:pStyle w:val="BookText"/>
        <w:rPr/>
      </w:pPr>
      <w:bookmarkEnd w:id="532"/>
      <w:r>
        <w:rPr>
          <w:rFonts w:ascii="Amiri" w:hAnsi="Amiri" w:eastAsia="Amiri" w:cs="Amiri"/>
          <w:color w:val="111111"/>
          <w:sz w:val="28"/>
          <w:sz w:val="28"/>
          <w:szCs w:val="28"/>
          <w:rtl w:val="true"/>
          <w:lang w:bidi="ar-SA"/>
        </w:rPr>
        <w:t xml:space="preserve">الباطلة،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أهداف قيامه وبيان شوقه للشهادة في طريق إعلاء كلمة الحق حينما عزم على الخروج إلى 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صوّر الإمام علیه السلام الموت بصورة جميلة جداً، واعتبره زينةً لبني آدم، لا سيما الموت في سبيل الله والعقيدة</w:t>
      </w:r>
      <w:r>
        <w:rPr>
          <w:rFonts w:eastAsia="IRNazanin" w:cs="IRNazanin"/>
          <w:color w:val="111111"/>
          <w:sz w:val="28"/>
          <w:szCs w:val="28"/>
          <w:rtl w:val="true"/>
          <w:lang w:bidi="fa-IR"/>
        </w:rPr>
        <w:t>.</w:t>
      </w:r>
    </w:p>
    <w:p>
      <w:pPr>
        <w:pStyle w:val="Heading3"/>
        <w:numPr>
          <w:ilvl w:val="2"/>
          <w:numId w:val="1"/>
        </w:numPr>
        <w:rPr/>
      </w:pPr>
      <w:bookmarkStart w:id="533" w:name="__RefHeading___Toc8289094_2870459653"/>
      <w:bookmarkStart w:id="534" w:name="_Toc190"/>
      <w:bookmarkEnd w:id="533"/>
      <w:r>
        <w:rPr/>
        <w:t>4</w:t>
      </w:r>
      <w:r>
        <w:rPr>
          <w:rtl w:val="true"/>
        </w:rPr>
        <w:t xml:space="preserve">- </w:t>
      </w:r>
      <w:r>
        <w:rPr>
          <w:rtl w:val="true"/>
        </w:rPr>
        <w:t xml:space="preserve">الأُسلوب السلوكي </w:t>
      </w:r>
      <w:r>
        <w:rPr>
          <w:rtl w:val="true"/>
        </w:rPr>
        <w:t>(</w:t>
      </w:r>
      <w:r>
        <w:rPr>
          <w:rtl w:val="true"/>
        </w:rPr>
        <w:t>المواقف والأفعال</w:t>
      </w:r>
      <w:r>
        <w:rPr>
          <w:rtl w:val="true"/>
        </w:rPr>
        <w:t>)</w:t>
      </w:r>
      <w:bookmarkEnd w:id="534"/>
    </w:p>
    <w:p>
      <w:pPr>
        <w:pStyle w:val="BookText"/>
        <w:rPr/>
      </w:pPr>
      <w:r>
        <w:rPr>
          <w:rFonts w:ascii="IRNazanin" w:hAnsi="IRNazanin" w:eastAsia="IRNazanin"/>
          <w:color w:val="111111"/>
          <w:sz w:val="28"/>
          <w:sz w:val="28"/>
          <w:szCs w:val="28"/>
          <w:rtl w:val="true"/>
          <w:lang w:bidi="fa-IR"/>
        </w:rPr>
        <w:t xml:space="preserve">لا ريب في أنّ السلوك العملي من أهمّ أساليب الأمر بالمعروف والنهي عن المنكر، بمعنى أنّه يتعين على الإنسان الذي يدعو الآخرين إلى فعل الفضائل أن يُبادر بنفسه إلى فعلها قبلهم ويسبقهم إليها في ميدان السلوك العملي؛ إذ من الطبيعي أنّ أقوال الإنسان الذي لا يلتزم بما يقول ليس لها وقع أو تأثير يُذكر على الناس، أفليس كل ما يخرج من القلب يدخل إلى القلب؟ ولذا 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أنّ سيرة سيد الشهداء علیه السلام في مجال إقامة الأمر بالمعروف والنهي عن المنكر اتّسمت بالانسجام بين الأقوال والأفعال، وسنُشير هنا إلى أهمّ المصاديق في هذا المجال</w:t>
      </w:r>
      <w:r>
        <w:rPr>
          <w:rFonts w:eastAsia="IRNazanin" w:cs="IRNazanin"/>
          <w:color w:val="111111"/>
          <w:sz w:val="28"/>
          <w:szCs w:val="28"/>
          <w:rtl w:val="true"/>
          <w:lang w:bidi="fa-IR"/>
        </w:rPr>
        <w:t>:</w:t>
      </w:r>
    </w:p>
    <w:p>
      <w:pPr>
        <w:pStyle w:val="Heading3"/>
        <w:numPr>
          <w:ilvl w:val="2"/>
          <w:numId w:val="1"/>
        </w:numPr>
        <w:rPr/>
      </w:pPr>
      <w:bookmarkStart w:id="535" w:name="__RefHeading___Toc8289096_2870459653"/>
      <w:bookmarkStart w:id="536" w:name="_Toc191"/>
      <w:bookmarkEnd w:id="535"/>
      <w:r>
        <w:rPr>
          <w:rtl w:val="true"/>
        </w:rPr>
        <w:t>أ</w:t>
      </w:r>
      <w:r>
        <w:rPr>
          <w:rtl w:val="true"/>
        </w:rPr>
        <w:t xml:space="preserve">) </w:t>
      </w:r>
      <w:r>
        <w:rPr>
          <w:rtl w:val="true"/>
        </w:rPr>
        <w:t>التواضع</w:t>
      </w:r>
      <w:bookmarkEnd w:id="5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التواضع من أهمّ خصال الأنبياء ودعاة التوحيد والمقربين إلى الباري جل وعلا، وهو من السجايا الحسنة التي تسمو بصاحبها وتقوده إلى الرفعة وتجعله يكتسب مكانة مرموقة في قلوب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يؤمنون بأنّه حتى لو أحجم </w:t>
      </w:r>
      <w:bookmarkStart w:id="537" w:name="pg10991_100790"/>
    </w:p>
    <w:p>
      <w:pPr>
        <w:pStyle w:val="BookText"/>
        <w:rPr/>
      </w:pPr>
      <w:bookmarkEnd w:id="537"/>
      <w:r>
        <w:rPr>
          <w:rFonts w:ascii="Amiri" w:hAnsi="Amiri" w:eastAsia="Amiri" w:cs="Amiri"/>
          <w:color w:val="111111"/>
          <w:sz w:val="28"/>
          <w:sz w:val="28"/>
          <w:szCs w:val="28"/>
          <w:rtl w:val="true"/>
          <w:lang w:bidi="ar-SA"/>
        </w:rPr>
        <w:t>الناس عن اتّباعهم ينبغي لهم أن يُبادروا بكل تواضع إلى مدّ جسور التواصل مع النُّخبة في المجتمع، ودعوتهم إلى المعروف ونهيهم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وانطلاقاً من ذلك، نرى أنّ الإمام الحسين علیه السلام قد جسّد منتهى التواضع في مختلف المجالات قولاً وفعلاً؛ فلم ينتظر من الآخرين الالتحاق به والانضواء تحت رايته، وإنّما بادر بنفسه لاستقطاب بعض الشخصيات لتحقيق أهدافه المقدسة، ودعاهم بتواضع إلى مقاصده العليا، أو بعث لهم كتاباً أو أوفد لهم رسولاً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السياق، لما انتهى الإمام علیه السلام وأصحابه إلى قصر بني مقاتل، نزلوا جميعاً هناك، فنظر إلى فسطاط مضروب، فسأل عنه، فأُخبر أنّه لعبيد الله بن الحرّ الجعفي، وكان من أشراف أهل الكوفة وفرسانهم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الحسين علیه السلام إليه الحجاج بن مسروق الجعفي يأمره بالمصير إليه، لكنّه رفض الحضور، فانتعل الحسين علیه السلام حتى مشى، ودخل عليه قبّته، ودعاه إلى نصرته ومحاربة الطواغيت، فامتنع أيضاً،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فإلّا تنصرنا فاتّقِ الله أن تكون ممن يقاتلنا</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مع زهير بن القين في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له والتحق بركبه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8289098_2870459653"/>
      <w:bookmarkStart w:id="539" w:name="_Toc192"/>
      <w:bookmarkEnd w:id="538"/>
      <w:r>
        <w:rPr>
          <w:rtl w:val="true"/>
        </w:rPr>
        <w:t>ب</w:t>
      </w:r>
      <w:r>
        <w:rPr>
          <w:rtl w:val="true"/>
        </w:rPr>
        <w:t xml:space="preserve">) </w:t>
      </w:r>
      <w:r>
        <w:rPr>
          <w:rtl w:val="true"/>
        </w:rPr>
        <w:t>العفو والصفح</w:t>
      </w:r>
      <w:bookmarkEnd w:id="53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الأساليب العملية الأُخرى التي انتهجها الإمام الحسين علیه السلام في سبيل تحقيق أهدافه المقدسة، وخاصة الأمر بالمعروف والنهي عن المنكر، هي العفو والصفح اللذين يعبّران عن كرامته وعظمته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ذلك تعاطيه الكريم يوم عاشوراء مع الحرّ بن يزيد الرياحي؛ لأنّ هذا النحو من التعامل الذي قلّما شهده التاريخ مما يخلَّد إلى الأبد</w:t>
      </w:r>
      <w:r>
        <w:rPr>
          <w:rFonts w:eastAsia="IRNazanin" w:cs="IRNazanin"/>
          <w:color w:val="111111"/>
          <w:sz w:val="28"/>
          <w:szCs w:val="28"/>
          <w:rtl w:val="true"/>
          <w:lang w:bidi="fa-IR"/>
        </w:rPr>
        <w:t xml:space="preserve">. </w:t>
      </w:r>
      <w:bookmarkStart w:id="540" w:name="pg10991_100792"/>
    </w:p>
    <w:p>
      <w:pPr>
        <w:pStyle w:val="BookText"/>
        <w:rPr/>
      </w:pPr>
      <w:bookmarkEnd w:id="540"/>
      <w:r>
        <w:rPr>
          <w:rFonts w:ascii="IRNazanin" w:hAnsi="IRNazanin" w:eastAsia="IRNazanin"/>
          <w:color w:val="111111"/>
          <w:sz w:val="28"/>
          <w:sz w:val="28"/>
          <w:szCs w:val="28"/>
          <w:rtl w:val="true"/>
          <w:lang w:bidi="fa-IR"/>
        </w:rPr>
        <w:t>كان الحرّ الرياحي في البداية مكلفاً بقيادة مجموعة من جيش العدو، وقد ضيّق على الإمام علیه السلام ومنعه من التوجه إلى الكوفة، حتى قال له الحسين علیه السلام موبّخاً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عاد إلى صوابه يوم عاشوراء وأدرك أنّ الحرب مع الحسين علیه السلام واقعة لا محالة، وأيقن أنّ ابن سعد عازم على القتال، قتال شديد أيسره أن تسقط فيه الرؤوس وتطيح الأيدي،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سمع واعية الحسين علیه السلام واستغاثته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يغيثنا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شعر بالندم وقرّر أن يعتذر من الإمام الحسين علیه السلام ،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كنت أوّل خارج عليك، فائذن لي لأكون أوّل قتيل بين يديك، وأوّل مَن يُصافح جدّك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وسامحه</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درس كبير يُعلّمنا أن نقبل اعتذار من يطلب العفو منّا، ولا نزجره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فهذا من أروع الأساليب التي اتّبعها الإمام في الدعوة إلى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8289100_2870459653"/>
      <w:bookmarkStart w:id="542" w:name="_Toc193"/>
      <w:bookmarkEnd w:id="541"/>
      <w:r>
        <w:rPr>
          <w:rtl w:val="true"/>
        </w:rPr>
        <w:t>ج</w:t>
      </w:r>
      <w:r>
        <w:rPr>
          <w:rtl w:val="true"/>
        </w:rPr>
        <w:t xml:space="preserve">) </w:t>
      </w:r>
      <w:r>
        <w:rPr>
          <w:rtl w:val="true"/>
        </w:rPr>
        <w:t>العطف والنصيحة</w:t>
      </w:r>
      <w:bookmarkEnd w:id="542"/>
    </w:p>
    <w:p>
      <w:pPr>
        <w:pStyle w:val="BookText"/>
        <w:rPr/>
      </w:pPr>
      <w:r>
        <w:rPr>
          <w:rFonts w:ascii="Amiri" w:hAnsi="Amiri" w:eastAsia="Amiri" w:cs="Amiri"/>
          <w:color w:val="111111"/>
          <w:sz w:val="28"/>
          <w:sz w:val="28"/>
          <w:szCs w:val="28"/>
          <w:rtl w:val="true"/>
          <w:lang w:bidi="ar-SA"/>
        </w:rPr>
        <w:t>إنّ الإعراب عن حُسن النصيحة أحد العناصر المهمة في زيادة تأثير الأمر بالمعروف والنهي عن المنكر، وهذا مما شددت عليه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به أنّ للنصح لوازم عديدة، منها الإرشاد إلى الخير والنهي عن الشرّ، والتنبيه، والترغيب، والصيانة من المخاطر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يجب أن يكون الآمر بالمعروف والناهي عن المنكر من جهة ناصحاً للمخاطب، بل ويسعى إلى تعزيز هذا الشعور في داخله، ومن جهة أُخرى أن يقوم بنقله إلى المخاطب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مراجعة سيرة الإمام الحسين علیه السلام نجد أنّه كان يتعامل مع الناس من منطلق </w:t>
      </w:r>
      <w:bookmarkStart w:id="543" w:name="pg10991_100794"/>
    </w:p>
    <w:p>
      <w:pPr>
        <w:pStyle w:val="BookText"/>
        <w:rPr/>
      </w:pPr>
      <w:bookmarkEnd w:id="543"/>
      <w:r>
        <w:rPr>
          <w:rFonts w:ascii="Amiri" w:hAnsi="Amiri" w:eastAsia="Amiri" w:cs="Amiri"/>
          <w:color w:val="111111"/>
          <w:sz w:val="28"/>
          <w:sz w:val="28"/>
          <w:szCs w:val="28"/>
          <w:rtl w:val="true"/>
          <w:lang w:bidi="ar-SA"/>
        </w:rPr>
        <w:t>الهداية والعطف والنصيحة، ويرى أنّ إصلاح المجتمع الإسلامي هو السبيل الوحيد لنشر التعاليم الدينيّة وهدم الثقافة الأُموية المهاجمة؛ ولذا روي عنه التعامل بشفقة طيلة فترة حركته من المدينة إلى كربلاء، وذلك خلافاً للنهج الذي اتبعته الحكومات الظالمة والأُمراء والولاة الفاسدون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8289102_2870459653"/>
      <w:bookmarkStart w:id="545" w:name="_Toc194"/>
      <w:bookmarkEnd w:id="544"/>
      <w:r>
        <w:rPr>
          <w:rtl w:val="true"/>
        </w:rPr>
        <w:t>دعوة عبيد الله بن الحرّ الجعفي</w:t>
      </w:r>
      <w:bookmarkEnd w:id="545"/>
    </w:p>
    <w:p>
      <w:pPr>
        <w:pStyle w:val="BookText"/>
        <w:rPr/>
      </w:pPr>
      <w:r>
        <w:rPr>
          <w:rFonts w:ascii="IRNazanin" w:hAnsi="IRNazanin" w:eastAsia="IRNazanin"/>
          <w:color w:val="111111"/>
          <w:sz w:val="28"/>
          <w:sz w:val="28"/>
          <w:szCs w:val="28"/>
          <w:rtl w:val="true"/>
          <w:lang w:bidi="fa-IR"/>
        </w:rPr>
        <w:t>عندما نزل الإمام علیه السلام في عذيب الهاجانات، بعث رسوله لدعوة عبيد الله بن الحرّ الجعفي، ولما رفض الحضور، سار إليه بنفسه، فسلم عليه وجلس عنده ودعاه لنصرته، فأبى ذلك، ولم يصرّ عليه الإمام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8289104_2870459653"/>
      <w:bookmarkStart w:id="547" w:name="_Toc195"/>
      <w:bookmarkEnd w:id="546"/>
      <w:r>
        <w:rPr>
          <w:rtl w:val="true"/>
        </w:rPr>
        <w:t>استقبال جيش الحرّ</w:t>
      </w:r>
      <w:bookmarkEnd w:id="547"/>
    </w:p>
    <w:p>
      <w:pPr>
        <w:pStyle w:val="BookText"/>
        <w:rPr/>
      </w:pPr>
      <w:r>
        <w:rPr>
          <w:rFonts w:ascii="IRNazanin" w:hAnsi="IRNazanin" w:eastAsia="IRNazanin"/>
          <w:color w:val="111111"/>
          <w:sz w:val="28"/>
          <w:sz w:val="28"/>
          <w:szCs w:val="28"/>
          <w:rtl w:val="true"/>
          <w:lang w:bidi="fa-IR"/>
        </w:rPr>
        <w:t>وفي منزل ذي حُسم، جاء زهاء ألف فارس من جيش الأعداء يتقدّمهم الحرّ بن يزيد حتى وقف هو وخيله مقابل الحسين علیه السلام في حرّ الظهيرة، فقال لفتيانه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وارووهم من الماء، ورشّفوا الخيل ترشيفاً، ففعلوا حتى سقوها عن آخرها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الرغم من أنّ الحرّ الرياحي ضيّق على الإمام علیه السلام ، ومنعه من مواصلة سيره، فقد أبدى الإمام غاية الشهامة والكرامة الإنسانية، وصنع مشهداً رائعاً من مشاهد كربلاء، ولم يعاملهم بالمِثل، بل عاملهم من منطلق الرأفة والرحمة الإسلاميّة</w:t>
      </w:r>
      <w:r>
        <w:rPr>
          <w:rFonts w:eastAsia="IRNazanin" w:cs="IRNazanin"/>
          <w:color w:val="111111"/>
          <w:sz w:val="28"/>
          <w:szCs w:val="28"/>
          <w:rtl w:val="true"/>
          <w:lang w:bidi="fa-IR"/>
        </w:rPr>
        <w:t>.</w:t>
      </w:r>
    </w:p>
    <w:p>
      <w:pPr>
        <w:pStyle w:val="Heading3"/>
        <w:numPr>
          <w:ilvl w:val="2"/>
          <w:numId w:val="1"/>
        </w:numPr>
        <w:rPr/>
      </w:pPr>
      <w:bookmarkStart w:id="548" w:name="__RefHeading___Toc8289106_2870459653"/>
      <w:bookmarkStart w:id="549" w:name="_Toc196"/>
      <w:bookmarkEnd w:id="548"/>
      <w:r>
        <w:rPr>
          <w:rtl w:val="true"/>
        </w:rPr>
        <w:t>لقاؤه بعمر بن سعد</w:t>
      </w:r>
      <w:bookmarkEnd w:id="5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الآمال قائمة بأن يثوب أهل الكوفة إلى رشدهم قبل وصول الإمام الحسين علیه السلام إلى كربلاء، ومن ثم يلتحقوا به، ولكن لما توقفّ ركب الإمام في كربلاء </w:t>
      </w:r>
      <w:bookmarkStart w:id="550" w:name="pg10991_100796"/>
    </w:p>
    <w:p>
      <w:pPr>
        <w:pStyle w:val="BookText"/>
        <w:rPr/>
      </w:pPr>
      <w:bookmarkEnd w:id="550"/>
      <w:r>
        <w:rPr>
          <w:rFonts w:ascii="Amiri" w:hAnsi="Amiri" w:eastAsia="Amiri" w:cs="Amiri"/>
          <w:color w:val="111111"/>
          <w:sz w:val="28"/>
          <w:sz w:val="28"/>
          <w:szCs w:val="28"/>
          <w:rtl w:val="true"/>
          <w:lang w:bidi="ar-SA"/>
        </w:rPr>
        <w:t>بدا واضحاً عزم الكوفيين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الظروف أيضاً، لم يفوّت الإمام الفرصة لهداية مَن يهتدي من جيش العدو، فدعا عمر بن سعد ليلتقي به ويكلمه، ولما التقى به نصحه إلى ما ينفعه ودلّه على سبيل السعادة، معبّراً بهذا السلوك عن حُسن نيّته وسموّ مقاصده الإسلاميّة، وإن فرّط ابن سعد في آخر اللحظات الحاسمة بالفرصة التي سنحت له، ولم يوافق على دعوة الإمام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هذه الأحداث تدلّ على اهتمام الإمام علیه السلام بهداية الأشخاص إلى سبيل الرشاد، والحرص على دعوتهم إلى السعادة بواسطة التعامل معهم برأفة ومودة</w:t>
      </w:r>
      <w:r>
        <w:rPr>
          <w:rFonts w:eastAsia="IRNazanin" w:cs="IRNazanin"/>
          <w:color w:val="111111"/>
          <w:sz w:val="28"/>
          <w:szCs w:val="28"/>
          <w:rtl w:val="true"/>
          <w:lang w:bidi="fa-IR"/>
        </w:rPr>
        <w:t>.</w:t>
      </w:r>
    </w:p>
    <w:p>
      <w:pPr>
        <w:pStyle w:val="Heading3"/>
        <w:numPr>
          <w:ilvl w:val="2"/>
          <w:numId w:val="1"/>
        </w:numPr>
        <w:rPr/>
      </w:pPr>
      <w:bookmarkStart w:id="551" w:name="__RefHeading___Toc8289108_2870459653"/>
      <w:bookmarkStart w:id="552" w:name="_Toc197"/>
      <w:bookmarkEnd w:id="551"/>
      <w:r>
        <w:rPr>
          <w:rtl w:val="true"/>
        </w:rPr>
        <w:t>د</w:t>
      </w:r>
      <w:r>
        <w:rPr>
          <w:rtl w:val="true"/>
        </w:rPr>
        <w:t xml:space="preserve">) </w:t>
      </w:r>
      <w:r>
        <w:rPr>
          <w:rtl w:val="true"/>
        </w:rPr>
        <w:t>الصبر والتحمّل</w:t>
      </w:r>
      <w:bookmarkEnd w:id="552"/>
    </w:p>
    <w:p>
      <w:pPr>
        <w:pStyle w:val="BookText"/>
        <w:rPr/>
      </w:pPr>
      <w:r>
        <w:rPr>
          <w:rFonts w:ascii="IRNazanin" w:hAnsi="IRNazanin" w:eastAsia="IRNazanin"/>
          <w:color w:val="111111"/>
          <w:sz w:val="28"/>
          <w:sz w:val="28"/>
          <w:szCs w:val="28"/>
          <w:rtl w:val="true"/>
          <w:lang w:bidi="fa-IR"/>
        </w:rPr>
        <w:t>يُعتبر الصبر الهائل والبطولي للإمام الحسين علیه السلام إزاء أشدّ اختبار دنيوي، والعمل الرائع الذي قام به، من أهمّ الأساليب والعناصر السلوكية للإمام في طريق تحقيق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لوحده صابراً محتسباً، بل كان يدعو الآخرين إلى الصبر والثبات في جميع المراحل أيضاً؛ ولهذا السبب ورد في إحدى زياراته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عجبتْ من صبرك ملائكة السماوات</w:t>
      </w:r>
      <w:r>
        <w:rPr>
          <w:rFonts w:eastAsia="IRNazanin" w:cs="IRNazanin"/>
          <w:color w:val="111111"/>
          <w:sz w:val="28"/>
          <w:szCs w:val="28"/>
          <w:rtl w:val="true"/>
          <w:lang w:bidi="fa-IR"/>
        </w:rPr>
        <w:t>»</w:t>
      </w:r>
      <w:r>
        <w:rPr>
          <w:rStyle w:val="FootnoteAnchor"/>
          <w:rtl w:val="true"/>
        </w:rPr>
        <w:footnoteReference w:id="53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الإمام علیه السلام كالجبل الأشمّ وكالطود الشامخ في الثبات على الحق حتى حينما سقط في رمضاء كربلاء مضرجاً بدمائه، ولم يبقَ في بدنه موضعاً سالماً من الجروح، وبعدما فُلقت هامته ووطئ جسده الشريف، فلم يشتكِ من الألم ولم يتأوّه قطّ، ولم يذرف دمعة واحدة نتيجة الضعف أمام الأعداء، وإنّما كان يردّد بصوت ضعيف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صابر على حكمك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هذا السلوك الرفيع يعكس عظمة وجوده وسموّ روحه، وأنّه لن يرضخ للذل مطلقاً، معبّراً عن هذا الرفض بشعار</w:t>
      </w:r>
      <w:r>
        <w:rPr>
          <w:rFonts w:eastAsia="IRNazanin" w:cs="IRNazanin"/>
          <w:color w:val="111111"/>
          <w:sz w:val="28"/>
          <w:szCs w:val="28"/>
          <w:rtl w:val="true"/>
          <w:lang w:bidi="fa-IR"/>
        </w:rPr>
        <w:t xml:space="preserve">: </w:t>
      </w:r>
      <w:bookmarkStart w:id="553" w:name="pg10991_100798"/>
    </w:p>
    <w:p>
      <w:pPr>
        <w:pStyle w:val="BookText"/>
        <w:rPr/>
      </w:pPr>
      <w:bookmarkEnd w:id="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وهادياً إلى هذا المعروف الكبير بأفعاله وأقواله</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8289110_2870459653"/>
      <w:bookmarkStart w:id="555" w:name="_Toc198"/>
      <w:bookmarkEnd w:id="554"/>
      <w:r>
        <w:rPr>
          <w:rtl w:val="true"/>
        </w:rPr>
        <w:t>ه</w:t>
      </w:r>
      <w:r>
        <w:rPr>
          <w:rtl w:val="true"/>
        </w:rPr>
        <w:t xml:space="preserve">) </w:t>
      </w:r>
      <w:r>
        <w:rPr>
          <w:rtl w:val="true"/>
        </w:rPr>
        <w:t>الشهادة والتضحية</w:t>
      </w:r>
      <w:bookmarkEnd w:id="555"/>
    </w:p>
    <w:p>
      <w:pPr>
        <w:pStyle w:val="BookText"/>
        <w:rPr/>
      </w:pPr>
      <w:r>
        <w:rPr>
          <w:rFonts w:ascii="IRNazanin" w:hAnsi="IRNazanin" w:eastAsia="IRNazanin"/>
          <w:color w:val="111111"/>
          <w:sz w:val="28"/>
          <w:sz w:val="28"/>
          <w:szCs w:val="28"/>
          <w:rtl w:val="true"/>
          <w:lang w:bidi="fa-IR"/>
        </w:rPr>
        <w:t>إنّ الشهادة والتضيحة تُمثلان أجلى مصداق للسلوك العملي للإمام الحسين علیه السلام لإقامة الأمر بالمعروف والنهي عن المنكر وتحقيق ذلك الهدف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بمختلف أنواع بالأمر بالمعروف، باللسان والكتابة والعمل؛ للحفاظ على راية الإسلام خفاقة عالية، وختم مسيرته لإصلاح المجتمع الإسلامي بنهضته في عاشوراء والتضحية بنفسه الغالية؛ لأنّه كان يرى كيف انقلبت الموازين وتبدلت القيم واختلط الصالح بالطالح في ذلك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أعدّ الإمام نفسه للشهادة لتحقيق هذا الهدف السامي والتكاملي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كانت الشهادة والتضحية آخر تلك الأساليب، بل وأهمها وأفضلها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جدير بالذكر أنّ الأمر بالمعروف والنهي عن المنكر تجلّى في سيرة الإمام الحسين علیه السلام برمّتها، فالمصاديق العملية لتلك السيرة أوسع من حصرها في مثل هذا المقال، كما تقدّم؛ ولذا اقتصرنا على التعرض إلى أهمّ المصاديق السلوكية والعملية في هذا المجال رعايةً للاختصار، عسى أن يوفقنا الله تعالى لدارسة أوسع وأعمق في المستقبل القريب</w:t>
      </w:r>
      <w:r>
        <w:rPr>
          <w:rFonts w:eastAsia="IRNazanin" w:cs="IRNazanin"/>
          <w:color w:val="111111"/>
          <w:sz w:val="28"/>
          <w:szCs w:val="28"/>
          <w:rtl w:val="true"/>
          <w:lang w:bidi="fa-IR"/>
        </w:rPr>
        <w:t>.</w:t>
      </w:r>
    </w:p>
    <w:p>
      <w:pPr>
        <w:pStyle w:val="Heading3"/>
        <w:numPr>
          <w:ilvl w:val="2"/>
          <w:numId w:val="1"/>
        </w:numPr>
        <w:rPr/>
      </w:pPr>
      <w:bookmarkStart w:id="556" w:name="__RefHeading___Toc8289112_2870459653"/>
      <w:bookmarkStart w:id="557" w:name="_Toc199"/>
      <w:bookmarkEnd w:id="556"/>
      <w:r>
        <w:rPr>
          <w:rtl w:val="true"/>
        </w:rPr>
        <w:t>خاتمة واستنتاج</w:t>
      </w:r>
      <w:bookmarkEnd w:id="55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مراجعة سيرة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حياته المليء بالأحداث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بأنّه كان يطبّق سنّة الأمر بالمعروف والنهي عن المنكر في جميع المراحل والجوانب المختلفة، وكان يسعى لتحقيقها بسُبل شتّى؛ إذ كان على دراية بجميع أنواع الأساليب العملية للأمر بالمعروف والنهي عن المنكر، وعمل على تعريف الآخرين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تجلّى ذلك في أقواله وخطاباته في المدينة ومكة والمنازل التي نزلها بين مكة والكوفة، وما ألقاه </w:t>
      </w:r>
    </w:p>
    <w:p>
      <w:pPr>
        <w:pStyle w:val="BookText"/>
        <w:rPr/>
      </w:pPr>
      <w:r>
        <w:rPr>
          <w:rFonts w:ascii="Amiri" w:hAnsi="Amiri" w:eastAsia="Amiri" w:cs="Amiri"/>
          <w:color w:val="111111"/>
          <w:sz w:val="28"/>
          <w:sz w:val="28"/>
          <w:szCs w:val="28"/>
          <w:rtl w:val="true"/>
          <w:lang w:bidi="ar-SA"/>
        </w:rPr>
        <w:t>على جيشه وجيوش الكوفة في موضع البيضة، وأخيراً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الأُسلوب الكتابي بالكتب والرسائل ووصيته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الأُسلوب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الدراماتيكي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مصاديقه أداء صلاة الجماعة في ساحة القتال أمام أعيُن غير المكترثين بها والتاركين لها، مضافاً إلى الاستفادة من الأشعار والأراجيز والتمثيل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تجسد الأُسلوب العملي والسلوكي في الخصال الحميدة للإمام التي كرّسها لتحقيق هذا العنصر الأصيل وإقامة فريضة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الاستراتيجيات المقترحة للسير بالسيرة الحسينية في إقامة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الأساليب والسُّبل المناسبة للأمر بالمعروف والنهي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على الأساليب العملية للأمر بالمعروف والنهي عن المنكر لدى الأئمة، خاصة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الأساليب المتنوعة والمختلفة، كالأُسلوب الكتابي والكلامي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استقطاب أكبر عدد من الأفراد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بأهم الفرائض الإلهية،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سيما بالنسبة إلى المشاركين في العزاء الحسيني؛ لأنّ الإمام علیه السلام صنع مشهداً رائعاً للعالم أجمع بالصلاة في ساحة المعركة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العملي على تحقيق الأهداف الإسلاميّة وإقامة الأمر بالمعروف والنهي عن المنكر لإيجاد مزيد من التأثير على المخاطبين</w:t>
      </w:r>
      <w:r>
        <w:rPr>
          <w:rFonts w:eastAsia="Amiri" w:cs="Amiri" w:ascii="Amiri" w:hAnsi="Amiri"/>
          <w:color w:val="111111"/>
          <w:sz w:val="28"/>
          <w:szCs w:val="28"/>
          <w:rtl w:val="true"/>
          <w:lang w:bidi="ar-SA"/>
        </w:rPr>
        <w:t xml:space="preserve">. </w:t>
      </w:r>
      <w:bookmarkStart w:id="558" w:name="pg10991_100802"/>
    </w:p>
    <w:p>
      <w:pPr>
        <w:pStyle w:val="Heading2"/>
        <w:numPr>
          <w:ilvl w:val="1"/>
          <w:numId w:val="1"/>
        </w:numPr>
        <w:rPr/>
      </w:pPr>
      <w:bookmarkStart w:id="559" w:name="__RefHeading___Toc8289114_2870459653"/>
      <w:bookmarkStart w:id="560" w:name="_Toc200"/>
      <w:bookmarkEnd w:id="558"/>
      <w:bookmarkEnd w:id="559"/>
      <w:r>
        <w:rPr>
          <w:rtl w:val="true"/>
        </w:rPr>
        <w:t>دراسات دينية</w:t>
      </w:r>
      <w:bookmarkEnd w:id="560"/>
    </w:p>
    <w:p>
      <w:pPr>
        <w:pStyle w:val="Heading3"/>
        <w:numPr>
          <w:ilvl w:val="2"/>
          <w:numId w:val="1"/>
        </w:numPr>
        <w:rPr/>
      </w:pPr>
      <w:bookmarkStart w:id="561" w:name="__RefHeading___Toc8289116_2870459653"/>
      <w:bookmarkStart w:id="562" w:name="_Toc201"/>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 xml:space="preserve">النُظُم التّربوية عند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تحليليّة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الكوفة، الجغرافية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أساليب التغييب لفضائل أمير المؤمنين علیه السلام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 أُنْمُوذَجاً</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0991_100806"/>
      <w:bookmarkStart w:id="564" w:name="pg10991_100806"/>
      <w:bookmarkEnd w:id="564"/>
    </w:p>
    <w:p>
      <w:pPr>
        <w:pStyle w:val="Heading3"/>
        <w:numPr>
          <w:ilvl w:val="2"/>
          <w:numId w:val="1"/>
        </w:numPr>
        <w:rPr/>
      </w:pPr>
      <w:bookmarkStart w:id="565" w:name="pg10991_100806"/>
      <w:bookmarkStart w:id="566" w:name="__RefHeading___Toc8289118_2870459653"/>
      <w:bookmarkStart w:id="567" w:name="_Toc202"/>
      <w:bookmarkEnd w:id="565"/>
      <w:bookmarkEnd w:id="566"/>
      <w:r>
        <w:rPr>
          <w:rtl w:val="true"/>
        </w:rPr>
        <w:t xml:space="preserve">النُظُم التّربوية عند الإمام الصادق علیه السلام </w:t>
      </w:r>
      <w:r>
        <w:rPr>
          <w:rtl w:val="true"/>
        </w:rPr>
        <w:t>(</w:t>
      </w:r>
      <w:r>
        <w:rPr>
          <w:rtl w:val="true"/>
        </w:rPr>
        <w:t>رؤية تحليليّة</w:t>
      </w:r>
      <w:r>
        <w:rPr>
          <w:rtl w:val="true"/>
        </w:rPr>
        <w:t>)</w:t>
      </w:r>
      <w:bookmarkEnd w:id="567"/>
    </w:p>
    <w:p>
      <w:pPr>
        <w:pStyle w:val="Heading3"/>
        <w:numPr>
          <w:ilvl w:val="2"/>
          <w:numId w:val="1"/>
        </w:numPr>
        <w:rPr/>
      </w:pPr>
      <w:bookmarkStart w:id="568" w:name="__RefHeading___Toc8289120_2870459653"/>
      <w:bookmarkStart w:id="569" w:name="_Toc203"/>
      <w:bookmarkEnd w:id="568"/>
      <w:r>
        <w:rPr>
          <w:rtl w:val="true"/>
        </w:rPr>
        <w:t>د</w:t>
      </w:r>
      <w:r>
        <w:rPr>
          <w:rtl w:val="true"/>
        </w:rPr>
        <w:t xml:space="preserve">. </w:t>
      </w:r>
      <w:r>
        <w:rPr>
          <w:rtl w:val="true"/>
        </w:rPr>
        <w:t>السيد نجم الموسوي</w:t>
      </w:r>
      <w:bookmarkEnd w:id="56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نجم الموسوي</w:t>
      </w:r>
      <w:r>
        <w:rPr>
          <w:rStyle w:val="FootnoteAnchor"/>
          <w:rtl w:val="true"/>
        </w:rPr>
        <w:footnoteReference w:id="538"/>
      </w:r>
    </w:p>
    <w:p>
      <w:pPr>
        <w:pStyle w:val="Heading3"/>
        <w:numPr>
          <w:ilvl w:val="2"/>
          <w:numId w:val="1"/>
        </w:numPr>
        <w:rPr/>
      </w:pPr>
      <w:bookmarkStart w:id="570" w:name="__RefHeading___Toc8289122_2870459653"/>
      <w:bookmarkStart w:id="571" w:name="_Toc204"/>
      <w:bookmarkEnd w:id="570"/>
      <w:r>
        <w:rPr>
          <w:rtl w:val="true"/>
        </w:rPr>
        <w:t>تعريف التّربية وهدفها</w:t>
      </w:r>
      <w:bookmarkEnd w:id="571"/>
    </w:p>
    <w:p>
      <w:pPr>
        <w:pStyle w:val="BookText"/>
        <w:rPr/>
      </w:pPr>
      <w:r>
        <w:rPr>
          <w:rFonts w:ascii="Amiri" w:hAnsi="Amiri" w:eastAsia="Amiri" w:cs="Amiri"/>
          <w:color w:val="111111"/>
          <w:sz w:val="28"/>
          <w:sz w:val="28"/>
          <w:szCs w:val="28"/>
          <w:rtl w:val="true"/>
          <w:lang w:bidi="ar-SA"/>
        </w:rPr>
        <w:t>تُعرَّف التّربية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القابليات الإنسانيّة الكامنة في باطن الإنسان، وإخراجها إلى مرحلة الفعليّة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واضح، فإنّ الهدف من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الإنسان وإعداده وتقويم جانب الخير فيه، وحذف كلِّ مظاهر الانحراف؛ إذ إنّها تهدف إلى غرس روح التفكير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يُعدّ من أهمّ الأهداف التي تتولّاها التربية، وفيه يتمّ إصلاح الإنسان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الإنسان وزرع حبّ العِلم والشوق إلى تحصيل المعرفة وتزويد الطفل الناشئ والشاب بالعلوم والمعارف والمهارات والخبرات اللّازمة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572" w:name="pg10991_100808"/>
    </w:p>
    <w:p>
      <w:pPr>
        <w:pStyle w:val="BookText"/>
        <w:rPr/>
      </w:pPr>
      <w:bookmarkEnd w:id="572"/>
      <w:r>
        <w:rPr>
          <w:rFonts w:ascii="Amiri" w:hAnsi="Amiri" w:eastAsia="Amiri" w:cs="Amiri"/>
          <w:color w:val="111111"/>
          <w:sz w:val="28"/>
          <w:sz w:val="28"/>
          <w:szCs w:val="28"/>
          <w:rtl w:val="true"/>
          <w:lang w:bidi="ar-SA"/>
        </w:rPr>
        <w:t>وحينئذٍ؛ فالعمليّة التّربوية هدفها بناء الإنسان بناءً صالحاً ليخدم نفسه ومجتمعه وبلده والإنسانية جمعاء، والقائمون على العملية التّربوية يسعون جاهدين إلى تضمين أفضل الفلسفات في ميادين التّربية والتعليم؛ للوصول إلى أفضل الأُطر والنظريات والأُسس التّربوية التي تُسهِم في بناء الناشئ الصغير وجعله مشروعاً لبناء الإنسان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أن تسعى التّربية بجميع أجهزتها وطاقاتها إلى تنمية الفكر الإنساني وتحريره من رِبقة الجهل والتقليد، وتنويره بالعِبَر والأحداث والآثار التّربوية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8289124_2870459653"/>
      <w:bookmarkStart w:id="574" w:name="_Toc205"/>
      <w:bookmarkEnd w:id="573"/>
      <w:r>
        <w:rPr>
          <w:rtl w:val="true"/>
        </w:rPr>
        <w:t>الحاجة إلى المنهج التّربوي</w:t>
      </w:r>
      <w:bookmarkEnd w:id="574"/>
    </w:p>
    <w:p>
      <w:pPr>
        <w:pStyle w:val="BookText"/>
        <w:rPr/>
      </w:pPr>
      <w:r>
        <w:rPr>
          <w:rFonts w:ascii="Amiri" w:hAnsi="Amiri" w:eastAsia="Amiri" w:cs="Amiri"/>
          <w:color w:val="111111"/>
          <w:sz w:val="28"/>
          <w:sz w:val="28"/>
          <w:szCs w:val="28"/>
          <w:rtl w:val="true"/>
          <w:lang w:bidi="ar-SA"/>
        </w:rPr>
        <w:t xml:space="preserve">إنّ التّربية العشوائيّة العفوية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المبنيّة على أُسس وقواعد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الطاقات والجهود، وتخلق الاضطراب في المجال النفسي والسلوكي، وتَحرِف الأهداف والغايات التّربوية عن مسارها الحقيقي؛ ومن هنا كانت الحاجة إلى منهج تربوي ثابت في أُصوله، واضح في مقوماته، ضرورة من ضرورات الحركة التّربوية، فهو الذي يرسم للتربية مسارها السليم المتوازن، ويحدّد معالم طريقها، ويوجّه الجهود والنشاطات والبرامج التّربوية لتعزيز المفاهيم والقيم الصالحة والسامية في الواقع الإنساني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تكون التّربية عمليّة إعداد وتنشئة وتوجيه وإصلاح، وقيادة للإنسان في مختلف مراحل حياته وأبعاد كيانه، خصوصاً في المرحلة التي يحتاج فيها الإنسان إلى عمليّة التنمية والإعداد، والإصلاح؛ وبذا تكون التّربية عبارة عن عمليّة بناء، وتوجيه الإنسان، والوصول به إلى مرحلة النضج والكمال، وبنائه بناءً روحيّاً وفكريّاً </w:t>
      </w:r>
      <w:bookmarkStart w:id="575" w:name="pg10991_100810"/>
    </w:p>
    <w:p>
      <w:pPr>
        <w:pStyle w:val="BookText"/>
        <w:rPr/>
      </w:pPr>
      <w:bookmarkEnd w:id="575"/>
      <w:r>
        <w:rPr>
          <w:rFonts w:ascii="Amiri" w:hAnsi="Amiri" w:eastAsia="Amiri" w:cs="Amiri"/>
          <w:color w:val="111111"/>
          <w:sz w:val="28"/>
          <w:sz w:val="28"/>
          <w:szCs w:val="28"/>
          <w:rtl w:val="true"/>
          <w:lang w:bidi="ar-SA"/>
        </w:rPr>
        <w:t>وسلوكيّاً وجسديّاً متوازناً وسليماً، يمكّنه من أداء رسالته، والتعبير عن إنسانيّته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برزت أهمّية التّربية المعاصرة والمنهجية في كونها الأساس الذي يمكن أن نستند إليه في إنشاء وخلق بذرة التفكير في عقول المتعلِّمين حتى تكون جزءاً من شخصياتهم، ويعتادون عليه سواء في اكتساب المعرفة وطلب العلم، أو في جوانب الحياة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الفرد تنميةً شاملةً متكاملةً من جميع الجوانب الروحيّة والعقليّة، والجسديّة والنفسيّة، والاجتماعيّة والجماليّة، بحيث لا يطغى جانب على آخر، فهي تنمية متوازنة مع الشمول والتكامل، تستهدف إعداد الفرد الصالح إعداداً شاملاً متكاملاً متّزناً؛ ليكون نافعاً لنفسه ومجتمعه، سعيداً في حياته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8289126_2870459653"/>
      <w:bookmarkStart w:id="577" w:name="_Toc206"/>
      <w:bookmarkEnd w:id="576"/>
      <w:r>
        <w:rPr>
          <w:rtl w:val="true"/>
        </w:rPr>
        <w:t>النظام التربوي في الإسلام</w:t>
      </w:r>
      <w:bookmarkEnd w:id="57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تركّز التّربية الإسلاميّة على الاهتمام بوضع الأُسس الأُولى والمبادئ الأساسية لبناء عقل المتعلِّم وطريقة تفكيره، لتكون أساساً في تشكيل عقله وتنظيم فكره وفق المنهج الإسلامي وطريقة التفكير الحضاري في الإسلام، فتعليمه أنّ لكلِّ شيء سبباً ولكلِّ موجود غاية وقيمة في الوجود، وأنّ لهذا الشيء علاقة بغيره من الأشياء، وأنّ الإنسان يخطئ ويصحح خطأه، والعمل على تنظيم مبادئ القياس والاستنتاج في ذهنه وتفكيره، وأنّ العقل هو القوَّة المدركة للمعرفة، وأنّ الحسّ والتجربة والملاحظة العلمية هي من الأدوات الأساسية لجمع المعلومات، وأنّ تعليمه كلّ تلك الحقائق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المنهج المدرسي أو القصص أو الممارسات وعرض تجارب الآخرين والتوعية وتفسير </w:t>
      </w:r>
    </w:p>
    <w:p>
      <w:pPr>
        <w:pStyle w:val="BookText"/>
        <w:rPr/>
      </w:pPr>
      <w:r>
        <w:rPr>
          <w:rFonts w:ascii="Amiri" w:hAnsi="Amiri" w:eastAsia="Amiri" w:cs="Amiri"/>
          <w:color w:val="111111"/>
          <w:sz w:val="28"/>
          <w:sz w:val="28"/>
          <w:szCs w:val="28"/>
          <w:rtl w:val="true"/>
          <w:lang w:bidi="ar-SA"/>
        </w:rPr>
        <w:t xml:space="preserve">المشاهدات والملاحظات والتجارب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تسهم مساهمة فاعلة في بناء المقدِّمات التي تنتج عقلاً ذا تفكير علمي منتجٍ، بعيد عن الخرافة والتخلف والأساطير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المنظّر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الأنظمة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يعمل على صياغة السياسات التّربوية ومواجهة المشكلات التي تعترض العملية التّربوية، واكتساب المعارف والمعلومات الصحيحة، وكيفيّة تطبيقها على الواقع الحياتي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والتّربية في الإسلام تربطها قواسم مشتركة مع كلّ الفلسفات في العالم من حيث آليات العمل، ولكنّها تختلف معها من حيث المصدر والهدف والوسائل والأساليب، فمصدرها إلهي، وهدفها البناء الصحيح لحياة الإنسان، من خلال علاقته بربّه ونفسه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وأساليبها ووسائلها نابعة من القرآن الكريم والسنّة النبوية الشريفة، الأمر الذي جعلها تختلف عن الفلسفات الأُخرى في المنهج والرؤية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اعتمدت التّربية في الإسلام على التعليم؛ لأنّه الأداة التي تنشدها التّربية وتسعى إليها فلسفتها، والتعليم في الفكر الفلسفي الإسلامي لا يركّز على الجسد أو الروح فقط، وإنّما يأخذ كلا الأمرين بنظر الاعتبار؛ وذلك لأنّ الإنسان لا يسمو ولا يتقدَّم ولا يزدهر إلّا بتفاعل الجانب الروحي والجسدي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الرصانة الإلهية للفلسفة التّربوية الإسلاميّة، فإنّه يجب على القائمين على العملية التّربوية بدءاً من واضعي المناهج وانتﻫاءً بمنفِّذي المناﻫج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أولياء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للناشئين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يؤطّروا الموقف التعليمي، ويصوغوا أهدافه العامّة والخاصّة على أساس نظرة الإسلام للتربية والتعليم، بحيث يكون التعليم عاملاً على تنمية الرقابة الإلهية والرقابة الذاتية في نفسية الفرد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استعراض أبرز مصدرين في التشريع الإسلامي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bookmarkStart w:id="578" w:name="pg10991_100815"/>
    </w:p>
    <w:p>
      <w:pPr>
        <w:pStyle w:val="BookText"/>
        <w:rPr/>
      </w:pPr>
      <w:bookmarkEnd w:id="578"/>
      <w:r>
        <w:rPr>
          <w:rFonts w:ascii="IRNazanin" w:hAnsi="IRNazanin" w:eastAsia="IRNazanin"/>
          <w:color w:val="111111"/>
          <w:sz w:val="28"/>
          <w:sz w:val="28"/>
          <w:szCs w:val="28"/>
          <w:rtl w:val="true"/>
          <w:lang w:bidi="fa-IR"/>
        </w:rPr>
        <w:t>والسنّة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الإسلام الحنيف يؤكِّد تأكيداً كبيراً على أهمّية التّربية والتعليم في بناء الفرد والمجتمع، ونلاحظ العديد من الآيات الكريمة فضلاً عن أحاديث المعصومين علیهم السلام تحضّ الإنسان على طلب العلم واكتساب المعرفة؛ باعتباره أكرم المخلوقات في هذه الأرض، وقد أعطى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يكون هنا محور البحث على اعتباره مؤسس لمدرسة تربوية إسلامية فضلاً عن مدرسته الفقهية المتميِّزة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التّربية مكانة مرموقة ومتميِّزة؛ لأنها البذرة الأساسية في تكوين شخصية الفرد وصقلها ليكون فرداً مسلماً صالحاً داخل المجتمع الذي يعيش فيه</w:t>
      </w:r>
      <w:r>
        <w:rPr>
          <w:rFonts w:eastAsia="IRNazanin" w:cs="IRNazanin"/>
          <w:color w:val="111111"/>
          <w:sz w:val="28"/>
          <w:szCs w:val="28"/>
          <w:rtl w:val="true"/>
          <w:lang w:bidi="fa-IR"/>
        </w:rPr>
        <w:t>.</w:t>
      </w:r>
    </w:p>
    <w:p>
      <w:pPr>
        <w:pStyle w:val="Heading3"/>
        <w:numPr>
          <w:ilvl w:val="2"/>
          <w:numId w:val="1"/>
        </w:numPr>
        <w:rPr/>
      </w:pPr>
      <w:bookmarkStart w:id="579" w:name="__RefHeading___Toc8289128_2870459653"/>
      <w:bookmarkStart w:id="580" w:name="_Toc207"/>
      <w:bookmarkEnd w:id="579"/>
      <w:r>
        <w:rPr>
          <w:rtl w:val="true"/>
        </w:rPr>
        <w:t>قَبَسات من النُظُم التّربوية عند الإمام الصادق علیه السلام</w:t>
      </w:r>
      <w:bookmarkEnd w:id="580"/>
    </w:p>
    <w:p>
      <w:pPr>
        <w:pStyle w:val="BookText"/>
        <w:rPr/>
      </w:pPr>
      <w:r>
        <w:rPr>
          <w:rFonts w:ascii="IRNazanin" w:hAnsi="IRNazanin" w:eastAsia="IRNazanin"/>
          <w:color w:val="111111"/>
          <w:sz w:val="28"/>
          <w:sz w:val="28"/>
          <w:szCs w:val="28"/>
          <w:rtl w:val="true"/>
          <w:lang w:bidi="fa-IR"/>
        </w:rPr>
        <w:t>من خلال استعراض بعض الأقوال والأحاديث الشريفة للإمام الصادق علیه السلام نجد أنّ هذه الأحاديث يكمن في مضمونها مجموعة من النُّظُم التّربوية والأخلاقية ذات المضامين العالية، والتي تُعطي فلسفة واقعية موضوعية ذات صلة بالمنهج التّربوي السماوي الذي جاءت به الرسالة المحمدية السمحاء، ومن هذه النُّظُم</w:t>
      </w:r>
      <w:r>
        <w:rPr>
          <w:rFonts w:eastAsia="IRNazanin" w:cs="IRNazanin"/>
          <w:color w:val="111111"/>
          <w:sz w:val="28"/>
          <w:szCs w:val="28"/>
          <w:rtl w:val="true"/>
          <w:lang w:bidi="fa-IR"/>
        </w:rPr>
        <w:t>:</w:t>
      </w:r>
    </w:p>
    <w:p>
      <w:pPr>
        <w:pStyle w:val="Heading3"/>
        <w:numPr>
          <w:ilvl w:val="2"/>
          <w:numId w:val="1"/>
        </w:numPr>
        <w:rPr/>
      </w:pPr>
      <w:bookmarkStart w:id="581" w:name="__RefHeading___Toc8289130_2870459653"/>
      <w:bookmarkStart w:id="582" w:name="_Toc208"/>
      <w:bookmarkEnd w:id="581"/>
      <w:r>
        <w:rPr>
          <w:rtl w:val="true"/>
        </w:rPr>
        <w:t>أولاً</w:t>
      </w:r>
      <w:r>
        <w:rPr>
          <w:rtl w:val="true"/>
        </w:rPr>
        <w:t xml:space="preserve">: </w:t>
      </w:r>
      <w:r>
        <w:rPr>
          <w:rtl w:val="true"/>
        </w:rPr>
        <w:t>الإعداد الذاتي</w:t>
      </w:r>
      <w:bookmarkEnd w:id="5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أساسيات المنهج التّربوي الذي حثّ الإسلام عليه هو بناء الذات بناء صحيحاً، وفق نظام يضمن سلامة النفس من شرور الأهواء؛ فإنّ الأهواء أساس مشكلات العالم ككلّ، ومن هنا ركّز الإمام الصادق علیه السلام على ذلك كما سيتّضح، كما أنّه قد ركّز علیه السلام على ضرورة التفكّر الصحيح المعتدل، وأن لا ينعق مع كلِّ ناعق، وهذا بحدِّ ذاته يعتبر تنظيراً وأساساً لبناء الفرد السويّ؛ وبالتالي أُسرة معتدلة ومجتمع متحضِّر بنظام صحيح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وأيضاً وضَّح لنا الإمام علیه السلام وحثّنا على ضرورة متابعة النفس وتقويمها دائماً، وأن ننشغل بإصلاح ذاتنا قبل الآخرين، من خلال تتبّع الأخطاء وإصلاحها، وسيتمّ بذلك صلاح الفرد والمجتمع أيضاً؛ لأنّ كلّ فرد سينشغل بإصلاح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بعض الروايات الدالة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جانب تربية النفس وزجرها عن الهوى،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النّفس وهواها؛ فإنّ هواها رداها، وترك النّفس وما تهوى أذاها، وكفّ النّفس عمّا تهوى دواها</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يشير الإمام الصادق علیه السلام إلى أنّه من الضروري واللازم أن يعمد الإنسان إلى تربية نفسه، والنفس البشرية لا بدّ من أن تُربّى ويُعتنى بها في كلِّ مرحلة من مراحل العمر، وليس فقط في مرحلة الطفولة، وبذلك يتمّ ردعها وزجرها عن كلِّ ما هو خارج حدود الله، وحينئذٍ يكون للفرد السيطرة على نفسه وهواها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يخصّ التفكّر والتأمّل، فإنّه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دليل، ودليل العاقل التفكُّر، ودليل التفكُّر الصمت</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حديث ضمن العديد من الأحاديث التي جاءت تؤكِّد على التفكّر والتفكير المستمرّ للإنسان، وليس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التفكّر في الأُمور العبادية فقط، بل إنّ هذا الحديث يعطي بُعداً أوسع في هذا المجال، فهو يرى أنّ التفكّر في شأن وذات الله من الضروريات، وأنّ الأُمور العبادية تحتاج إلى تفكّر وتأنّي، فضلاً عن ذلك أنّ التفكّر وإعمال العقل يحتاجه الإنسان في مناحي الحياة كافّة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النظريات التّربوية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النظرية البنائيّة والنظرية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w:t>
      </w:r>
    </w:p>
    <w:p>
      <w:pPr>
        <w:pStyle w:val="BookText"/>
        <w:rPr/>
      </w:pPr>
      <w:r>
        <w:rPr>
          <w:rFonts w:ascii="Amiri" w:hAnsi="Amiri" w:eastAsia="Amiri" w:cs="Amiri"/>
          <w:color w:val="111111"/>
          <w:sz w:val="28"/>
          <w:sz w:val="28"/>
          <w:szCs w:val="28"/>
          <w:rtl w:val="true"/>
          <w:lang w:bidi="ar-SA"/>
        </w:rPr>
        <w:t>التفكّر والتفكير وما وراء التفكير وما وراء المعرفة كلّ ذلك من ضروريات التعلّم والتّربية الصحيحة الناجحة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التفكير عنصر بارز في تقدُّم مستوى المتعلِّم الدراسي؛ لدوره الكبير في اكتساب المعرفة وتحقيق التقدُّم العلمي، وارتفاع نسبة التحصيل في الدراسة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التفكير نشاط طبيعي، تظهر أهميته من صعوبة الإحاطة بالنتاج المعرفي الكبير والمتسارع وأخذه بكمّه وشكله؛ لذا ينبغي لنا تدريب الفرد على مهاراته، وتعليمه الطُّرق التي تساعده على التفكير السليم المنتج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وبيّنت العديد من البحوث والدراسات التّربوية أنّ للتفكير أهمّيّة بالغة الأثر في نفوس المتعلِّمين؛ من خلال تحفيز الوازع الذاتي للتعلُّم، وتمكينهم من التفاعل داخل الصف الدراسي بصورة فعّالة وواضحة، ومواجهة العقبات والصعوبات التي تعترض طريقهم في اكتساب المعلومات العلمية، فضلاً عن ذلك أنّ التفكير يحفز المتعلِّم على ممارسة العمليات العقلية بنجاح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التعلُّم في المدرسة يجب أن يسعى إلى تنمية التفكير لدى المتعلِّم، وهذا لا يتمّ إلّا من خلال تنمية شخصيّة المتعلِّم من جميع جوانبها الجسميّة والعقليّة والاجتماعيّة والانفعاليّة والروحي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وفيما يخصّ بالتقويم المستمرّ للذات، فإنّه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الأشياء للمرء سبقه الناس إلى عيب نفسه</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إخواني إليّ مَن أهدى إليّ عيوبي</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للتربية دوراً كبيراً في بناء الفرد والمجتمع على حدٍّ سواء، فمن طريقها نستطيع أن نجعل الإنسان عالماً صالحاً نافعاً، أو جاهلاً 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التّربية تنمية القابليات الإنسانية وصياغة الشخصية البشرية الصالحة، وتنشئة الجيل والنهوض به نحو الأخلاق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إلى أنّ عملية التقويم المستمرّ ضرورة حتمية في الميدان التّربوي للفرد والمجتمع، لكي يتعرّف الأفراد مدى النجاح الذي تحقّق في أنفسهم وشخصياتهم وأعمالهم، وما حقّقوه من إنجاز في ضوء الأهداف التي يطمح كلُّ فرد أن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تقويم أداء الفرد من قِبَل نفسه والآخرين يعمل على تشخيص الصعوبات والمشكلات والأخطاء التي يعيشها، والوقوف عليها من أجل تذليلها وتقديم المقترحات لعلاجها، الأمر الذي يؤدّي إلى تحسين شخصية الفرد وعلاقته مع ربِّه ومع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التقييم الذاتي للنّفس عمل هام وضرورة نفسيّة واجتماعيّة، به يتعرَّف الإنسان على صفاته وقدراته العقليّة والعاطفيّة والخلقيّة، ويرى في نفسه عوامل القوّة والضعف، من خلال التقييم الصحيح والواقعي، ولها الأثر الأكبر في تعيين سلوكه ومستوى طموحه، وفكرة المرء عن نفسه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التقييم الذاتي ومعرفة النفس يأتي دور المحاسبة لها التي تسمو بالنفس البشرية وتجعلها تقدِّم أفضل ما لديها في جانب علاقتها مع ربِّها وعلاقتها من الآخرين، وتُسهم في إيقاف الانحراف، والتوجّه إلى الإصلاح والتكامل والبناء التّربوي للفرد وللمجتمع</w:t>
      </w:r>
      <w:r>
        <w:rPr>
          <w:rFonts w:eastAsia="Amiri" w:cs="Amiri" w:ascii="Amiri" w:hAnsi="Amiri"/>
          <w:color w:val="111111"/>
          <w:sz w:val="28"/>
          <w:szCs w:val="28"/>
          <w:rtl w:val="true"/>
          <w:lang w:bidi="ar-SA"/>
        </w:rPr>
        <w:t xml:space="preserve">. </w:t>
      </w:r>
      <w:bookmarkStart w:id="583" w:name="pg10991_100823"/>
    </w:p>
    <w:p>
      <w:pPr>
        <w:pStyle w:val="Heading3"/>
        <w:numPr>
          <w:ilvl w:val="2"/>
          <w:numId w:val="1"/>
        </w:numPr>
        <w:rPr/>
      </w:pPr>
      <w:bookmarkStart w:id="584" w:name="__RefHeading___Toc8289132_2870459653"/>
      <w:bookmarkStart w:id="585" w:name="_Toc209"/>
      <w:bookmarkEnd w:id="583"/>
      <w:bookmarkEnd w:id="584"/>
      <w:r>
        <w:rPr>
          <w:rtl w:val="true"/>
        </w:rPr>
        <w:t>ثانياً</w:t>
      </w:r>
      <w:r>
        <w:rPr>
          <w:rtl w:val="true"/>
        </w:rPr>
        <w:t xml:space="preserve">: </w:t>
      </w:r>
      <w:r>
        <w:rPr>
          <w:rtl w:val="true"/>
        </w:rPr>
        <w:t>التدرّج والتسلسل في التّربية</w:t>
      </w:r>
      <w:bookmarkEnd w:id="585"/>
    </w:p>
    <w:p>
      <w:pPr>
        <w:pStyle w:val="BookText"/>
        <w:rPr/>
      </w:pPr>
      <w:r>
        <w:rPr>
          <w:rFonts w:ascii="IRNazanin" w:hAnsi="IRNazanin" w:eastAsia="IRNazanin"/>
          <w:color w:val="111111"/>
          <w:sz w:val="28"/>
          <w:sz w:val="28"/>
          <w:szCs w:val="28"/>
          <w:rtl w:val="true"/>
          <w:lang w:bidi="fa-IR"/>
        </w:rPr>
        <w:t xml:space="preserve">كلُّنا نعلم أنّ الطفل مكوِّن مهمّ في المجتمع، ومن ثَمَّ كان لزاماً علينا أن نربّيه تربيةً صحيحة، وفق ضوابط منهجية ومنظّمة، وأنّ هذه التّربية تكمن في التدرُّج مع هذا الطفل، وأن لا نلزم طريقة واحدة ومستوى واحد، بل نحتاج إلى التّسلسل معه وحسب نموه الفسلجي والسيكولوجي، وأيضاً قد أسعفنا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هو علیه السلام 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 في كيفيّة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ابنك يلعب سبع سنين، ويُؤدَّب سبع سنين، وألزمه نفسك سبع سنين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الإنسان منذ لحظة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لحظة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بمجموعة من المراحل العمرية ابتداءً من مرحلة الطفولة المبكرة والمتأخِّرة، ومرحلة المراهقة، ومرحلة الشباب، ومرحلة الرشد، ومرحلة الشيخوخة، ولكلِّ مرحلة من هذه المراحل خصائصها ومميزاتها التي تنفرد بها وتُميّزها عن المراحل الأُخرى، وﻫذا ما أكَّده علم نفس النمو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الارتقائي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الإمام الصادق علیه السلام أشار إلى هذا التبدُّل والتطوّر الذي يطرأ على الفرد؛ إذ أكّد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وغيره من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التّربية حالة إيجابية، لكن يجب أن تكون متدرَّجة ومتتالية مع المرحلة التي يمرّ بها الطفل؛ لأنّ مراعاة التدرّج في التّربية أحد العوامل المهمّة التي تُسهم إسهاماً فاعلاً في النجاح التّربوي، وأنّ البناء التّربوي الصحيح لا يمكن أن يُبنى ما لم يكن متلائماً مع المدّة العمرية التي يمرّ بﻫا الطفل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والمنهج التّربوي لأهل البيت علیهم السلام عموماً يواكب حركة الإنسان في جميع مراحلها، ابتداءً من مرحلة شريك الحياة المناسب، مروراً بمرحلة الاقتران وانعقاد </w:t>
      </w:r>
      <w:bookmarkStart w:id="586" w:name="pg10991_100825"/>
    </w:p>
    <w:p>
      <w:pPr>
        <w:pStyle w:val="BookText"/>
        <w:rPr/>
      </w:pPr>
      <w:bookmarkEnd w:id="586"/>
      <w:r>
        <w:rPr>
          <w:rFonts w:ascii="Amiri" w:hAnsi="Amiri" w:eastAsia="Amiri" w:cs="Amiri"/>
          <w:color w:val="111111"/>
          <w:sz w:val="28"/>
          <w:sz w:val="28"/>
          <w:szCs w:val="28"/>
          <w:rtl w:val="true"/>
          <w:lang w:bidi="ar-SA"/>
        </w:rPr>
        <w:t>الجنين ومراحل الطفولة الأُخرى، ويضع لكلّ مرحلة تعاليم خاصة بها، وتوجيهات منسجمة مع عمر الطفل الزمني والعقلي ومع حاجاته المادية والروحية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التدرّج أبرز لنا رأيَ مدرسةٍ إسلاميّةٍ مهمّة في تربية وتنشئة الأبناء، وبدأت العديد من النظريات التّربوية الوضعيّة تُغيِّر من أراءها وفلسفاتها وتنحني إجلالاً أمام هذا الرأي السديد الذي صدر عن معصوم، وبالتالي عن الرسول الكريم محمد صلی الله علیه و اله ، ثمَّ عن السماء، فليس في هذه الآراء ضعف ولا سلبيات، كما في النظريات التّربوية والتعليمية الوضعية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التوجيه المبارك الصادر من إمام معصوم يمنح المعلّمين والمربّين وأولياء الأُمور خارطةً تربوية موضوعية صادقة، تُسهِّل عملهم في كيفيّة التّربية والتنشئة الاجتماعية الصحيحة الخالية من الأخطاء والعيوب</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8289134_2870459653"/>
      <w:bookmarkStart w:id="588" w:name="_Toc210"/>
      <w:bookmarkEnd w:id="587"/>
      <w:r>
        <w:rPr>
          <w:rtl w:val="true"/>
        </w:rPr>
        <w:t>ثالثاً</w:t>
      </w:r>
      <w:r>
        <w:rPr>
          <w:rtl w:val="true"/>
        </w:rPr>
        <w:t xml:space="preserve">: </w:t>
      </w:r>
      <w:r>
        <w:rPr>
          <w:rtl w:val="true"/>
        </w:rPr>
        <w:t>تربية الأُسرة والمجتمع عِبْرَ مداراة الناس والتعاون المستمرّ</w:t>
      </w:r>
      <w:bookmarkEnd w:id="588"/>
    </w:p>
    <w:p>
      <w:pPr>
        <w:pStyle w:val="BookText"/>
        <w:rPr/>
      </w:pPr>
      <w:r>
        <w:rPr>
          <w:rFonts w:ascii="IRNazanin" w:hAnsi="IRNazanin" w:eastAsia="IRNazanin"/>
          <w:color w:val="111111"/>
          <w:sz w:val="28"/>
          <w:sz w:val="28"/>
          <w:szCs w:val="28"/>
          <w:rtl w:val="true"/>
          <w:lang w:bidi="fa-IR"/>
        </w:rPr>
        <w:t xml:space="preserve">ومن النُّظُم التّربوية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 الصادق علیه السلام هو تربية الأُسرة لتُنتج مجتمعاً، عِبْرَ التعاطي مع الآخرين بصورة صحيحة ومعتدلة، من خلال المداراة بحسن خلقٍ ولطفٍ في التعامل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الإمام علیه السلام ركّز كذلك على أهمّية التعاون والتزاور بين الناس والتوادّ، وبذلك يعلم كلٌّ منّا بما يُحيط الآخرين ويشاركهم أفراحهم وأحزانهم وقضاء حوائجهم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يخصّ مداراة الناس، فقد 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يكنّ فيه لم يتمّ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وخُلق يداري به الناس، وحلم يردُّ به جهل الجاهل</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اجترّ مودّة الناس إلينا، فحدّثهم بما يعرفون وترك ما ينكرون</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المربّي يجد أصنافاً من الناس يختلفون في أعمارهم وأجناسهم، ويختلفون في طاقاتهم وإمكاناتهم الفكريّة والعاطفيّة والسلوكيّة، ويختلفون في انتماءاتهم وولاءاتهم الطبقيّة والقبليّة والقوميّة والطائفيّة، ويختلفون في درجات قُرْبِهم وبُعْدِهم عن الدين، ويختلفون في نظرتهم للمربّي من حيث الاحترام والتقدير وعدمهما، ومن حيث الثقة به وعدمﻫا، وجميع ذلك بحاجة إلى المداراة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ومبدأ المدارة هو أشبه بما أقرّته النظريات التّربوية الحديثة، هو ضرورة مراعاة الفروق الفردية بين الأطفال في التّربية والتعليم، فلا يوجد هناك اثنان متشابهان إطلاقاً، فلكلِّ فرد قابليته وميوله ودوافعه واتّجاهاته وعواطفه وفكره وأُسلوبه الخاصّ الذي يميِّزه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 بدّ من الاهتمام بالفروق الفردية بين الأطفال،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الأطفال والأفراد؛ لأنّ الأُسلوب أو الطريقة التي نجحت في تربية فرد ما قد لا تأتي بنتيجة إيجابية في تربية أخٍ له، فكيف بها مع أطفال وأفراد آخرين؟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نضيف إلى ما سبق أنّ الاستراتيجيات المستعملة في التدريس في مدارسنا اليوم يجب أن تحتوي على عناصر إعمال الفكر والتفكير والإبداع، والتعلُّم الذاتي، </w:t>
      </w:r>
    </w:p>
    <w:p>
      <w:pPr>
        <w:pStyle w:val="BookText"/>
        <w:rPr/>
      </w:pPr>
      <w:r>
        <w:rPr>
          <w:rFonts w:ascii="Amiri" w:hAnsi="Amiri" w:eastAsia="Amiri" w:cs="Amiri"/>
          <w:color w:val="111111"/>
          <w:sz w:val="28"/>
          <w:sz w:val="28"/>
          <w:szCs w:val="28"/>
          <w:rtl w:val="true"/>
          <w:lang w:bidi="ar-SA"/>
        </w:rPr>
        <w:t>ومراعاة الفروق الفردية، وهذا يقود إلى التفكير المعرفي وما وراء المعرفي، ومن أجل تحقيق ذلك لا بدّ من تظافر الجهود المبذولة من القائمين على العملية التعليمية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من الإشارة إلى أنّ أُسلوب المدارة ليس فقط في التّربية والتعليم، بل أوجبه الشارع المقدَّس على لسان المعصومين علیه السلام في التعامل مع الناس؛ وذلك بسبب اختلاف الطباع والأمزجة والصفات النفسية والجسمية والعقلية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يخصّ التعاون والتزاور بين الناس، فإنّه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قوماً كانوا سراجاً ومناراً، كانوا دعاة إلينا بأعمالهم ومجهود طاقاتهم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فإنّ في زيارتكم إحياءً لقلوبكم وذكراً لأحاديثنا، أحاديثنا تعطف بعضكم على بعض، فإن أخذتم بها رشدتم ونجوتم، وإن تركتموها ضللتم وهلكتم، فخذوا بها وأنا بنجاتكم زعيم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مع ما أعطاه الله تعالى، من صفات، وسمات تميِّزه عن غيره من المخلوقات الموجودة على سطح الأرض، تظل قدراته الجسدية، والعقلية، قاصرة عن تحقيق كلِّ ما يطمح إليه من رغبات وأهداف، ما لم يتعاون مع الآخرين أخذاً وعطاءً، ويتعاون الآخرون معه لتحقيق الأهداف المشتركة التي يصبون إليها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والفكر التّربوي الإسلامي يعمل على إيجاد المجتمع المسلم المتعاون، من خلال الاهتمام ببناء الإنسان أينما وجد، ليتربّى وفق القيم السماويّة التي أكّدها الله تعالى، كما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589" w:name="pg10991_100832"/>
    </w:p>
    <w:p>
      <w:pPr>
        <w:pStyle w:val="BookText"/>
        <w:rPr/>
      </w:pPr>
      <w:bookmarkEnd w:id="589"/>
      <w:r>
        <w:rPr>
          <w:rFonts w:ascii="Amiri" w:hAnsi="Amiri" w:eastAsia="Amiri" w:cs="Amiri"/>
          <w:color w:val="111111"/>
          <w:sz w:val="28"/>
          <w:sz w:val="28"/>
          <w:szCs w:val="28"/>
          <w:rtl w:val="true"/>
          <w:lang w:bidi="ar-SA"/>
        </w:rPr>
        <w:t>والتعاون بذلك صلة ورابط بين الإنسان وأخيه الإنسان، يعمِّق الشعور بالودّ والتعاطف والتقارب بين أفراد المجتمع الإسلامي، ومختلف أفراد بني البشر، بعيداً عن اللون أو الجنس، أو اللغة أو العِرق،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فالتعاون في الإسلام قاعدة أساسيّة في تربية المجتمع المسلم، لإعداد كلّ فرد إعداداً يؤهِّله أنْ يكون فرداً صالحاً، وعضواً نافعاً، وكائناً اجتماعياً متكيّفاً، مع المجتمع الإنساني الذي يعيش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التعاون بين النّاس في الجوانب التّربوية يُحقّق فوائد ومزايا عديدة، لعل أبرزها وأهمّها تبادل الخبرات بين أفراد المجتمع؛ ممّا ينتج إمكانية أنْ يعلّم أحدهم الآخر كثيراً من الأُسس التّربوية الصحيحة، فتتعدد مصادر خبراتهم، وبالتالي يتحسّن مستوى كلّ فرد في الجانب التّربوي، ويعالج الضعف بشكل أفضل من الآراء الفردية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8289136_2870459653"/>
      <w:bookmarkStart w:id="591" w:name="_Toc211"/>
      <w:bookmarkEnd w:id="590"/>
      <w:r>
        <w:rPr>
          <w:rtl w:val="true"/>
        </w:rPr>
        <w:t>الخصائص العامّة للنظام التربوي في الإسلام</w:t>
      </w:r>
      <w:bookmarkEnd w:id="591"/>
    </w:p>
    <w:p>
      <w:pPr>
        <w:pStyle w:val="BookText"/>
        <w:rPr/>
      </w:pPr>
      <w:r>
        <w:rPr>
          <w:rFonts w:ascii="Amiri" w:hAnsi="Amiri" w:eastAsia="Amiri" w:cs="Amiri"/>
          <w:color w:val="111111"/>
          <w:sz w:val="28"/>
          <w:sz w:val="28"/>
          <w:szCs w:val="28"/>
          <w:rtl w:val="true"/>
          <w:lang w:bidi="ar-SA"/>
        </w:rPr>
        <w:t>إنّ التّربية في الإسلام قائمة على مجموعة من الخصائص التي عمل على تجسيدها، وقد تفردت بها عن بقية الفلسفات الموجودة في العالم، وهذه الخصائص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التّربية في الإسلام ذات منبع إلهي، فالنُّظم التي تقدّمت لم يكن لأيّ إنسان أن ينظِّر لها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التّربية في الإسلام ذات طابع أُممي عالمي، وهذه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كلَّ العالم؛ لأنّها تتناغم مع العقل</w:t>
      </w:r>
      <w:r>
        <w:rPr>
          <w:rFonts w:eastAsia="Amiri" w:cs="Amiri" w:ascii="Amiri" w:hAnsi="Amiri"/>
          <w:color w:val="111111"/>
          <w:sz w:val="28"/>
          <w:szCs w:val="28"/>
          <w:rtl w:val="true"/>
          <w:lang w:bidi="ar-SA"/>
        </w:rPr>
        <w:t xml:space="preserve">. </w:t>
      </w:r>
      <w:bookmarkStart w:id="592" w:name="pg10991_100834"/>
    </w:p>
    <w:p>
      <w:pPr>
        <w:pStyle w:val="BookText"/>
        <w:rPr/>
      </w:pPr>
      <w:bookmarkEnd w:id="5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التّربية في الإسلام ذات طابع شمولي لكلِّ مكان وزمان، فإنّ بناء الفرد طبقاً لما قدَّمناه من نظام صالحٌ لكلّ الأمكنة والأزمنة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التّربية في الإسلام ذات منهج ثابت لا يتغيَّر بالتناقض والازدواجية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التّربية في الإسلام ذات طابع وسطي، والوسطية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عدم الإفراط والتفريط في كلِّ فقرة من فقرات بناء الذّات والمجتمع</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8289138_2870459653"/>
      <w:bookmarkStart w:id="594" w:name="_Toc212"/>
      <w:bookmarkEnd w:id="593"/>
      <w:r>
        <w:rPr>
          <w:rtl w:val="true"/>
        </w:rPr>
        <w:t>خصائص النظام التّربوي عند الإمام الصادق علیه السلام</w:t>
      </w:r>
      <w:bookmarkEnd w:id="594"/>
    </w:p>
    <w:p>
      <w:pPr>
        <w:pStyle w:val="BookText"/>
        <w:rPr/>
      </w:pPr>
      <w:r>
        <w:rPr>
          <w:rFonts w:ascii="IRNazanin" w:hAnsi="IRNazanin" w:eastAsia="IRNazanin"/>
          <w:color w:val="111111"/>
          <w:sz w:val="28"/>
          <w:sz w:val="28"/>
          <w:szCs w:val="28"/>
          <w:rtl w:val="true"/>
          <w:lang w:bidi="fa-IR"/>
        </w:rPr>
        <w:t>إن النظام التربوي من خلال الروايات الواردة عن الإمام الصادق علیه السلام تتناغم مع الروح العامّة لأُسس التربية الإسلاميّة، بل إنّها تغذّي النظرية التربوية الإسلاميّة؛ باعتبار وحدة المنبع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نقدّم بعض السمات التربوية في ضوء كلمات الإمام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الفلسفة التّربوية عند الإمام الصادق علیه السلام تهدف إلى تشكيل نظام تربوي رصين قائم على أُسس علميّة؛ لأنّ أغلب الفلسفات التّربوية الوضعية تعتمد على أنظمة تربوية وفلسفية بشرية، وعلى الرغم من تقدُّم وتطوّر بعضها لكنّها لا تستطيع أن تصمد أمام التحديات التي تفرزها المجتمعات، والمشكلات التي تظهر بين الحين والآخر؛ لأنّ التّربية وأنظمتها كافّة كلّما كانت صحيحة تركت أثراً إيجابياً على تنشئة الفرد وعلى سلوكه وتصرفاته، والعكس صحيح،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كانت التربية ليست بالمستوى المطلوب تركت أثراً سلبياً على تكوين الفرد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ما صدر عن الإمام الصادق علیه السلام من توجيهات تربويّة كانت عين الصواب؛ لأنّها مرتبطة ارتباطاً وثيقاً بالقرآن الكريم والسنّة النبويّة الشريفة، وبالدور الذي أُوكل إليه كإمام معصوم مفترض الطاعة، يمارس دوره الإلهي بصورة فاعلة</w:t>
      </w:r>
      <w:r>
        <w:rPr>
          <w:rFonts w:eastAsia="IRNazanin" w:cs="IRNazanin"/>
          <w:color w:val="111111"/>
          <w:sz w:val="28"/>
          <w:szCs w:val="28"/>
          <w:rtl w:val="true"/>
          <w:lang w:bidi="fa-IR"/>
        </w:rPr>
        <w:t xml:space="preserve">. </w:t>
      </w:r>
      <w:bookmarkStart w:id="595" w:name="pg10991_100836"/>
    </w:p>
    <w:p>
      <w:pPr>
        <w:pStyle w:val="BookText"/>
        <w:rPr/>
      </w:pPr>
      <w:bookmarkEnd w:id="5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ويتجلّى لنا عند استقراء توجيهاته علیه السلام ونظرته للفرد والمجتمع، وتأكيده على أنّ البناء الاجتماعي الصحيح يتكوّن من النهوض بتربية الفرد وتعليمه القِيَم والأنظمة التّربوية الصحيحة، وأنّ التّربية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المبنيّة على تعاليم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كلَّ النُّظُم المتناهية التنظيم والتنسيق وعلى جميع أصعدة طبقات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تربية الفرد والمجتمع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تأخذ مبدأ الوسطية والاعتدال، وعدم الاهتمام بجانب على حساب الجوانب الأُخرى؛ لأنّ سعادة الفرد لا تتحقق من جهة واحدة، فحاجاته متنوّعة، ويجب أن تراعى كلّها، ويُوازَن بين الحاجات البايلوجية والسيكولوجية والعقلية والاجتماعية</w:t>
      </w:r>
      <w:r>
        <w:rPr>
          <w:rFonts w:eastAsia="IRNazanin" w:cs="IRNazanin"/>
          <w:color w:val="111111"/>
          <w:sz w:val="28"/>
          <w:szCs w:val="28"/>
          <w:rtl w:val="true"/>
          <w:lang w:bidi="fa-IR"/>
        </w:rPr>
        <w:t>.</w:t>
      </w:r>
    </w:p>
    <w:p>
      <w:pPr>
        <w:pStyle w:val="Heading3"/>
        <w:numPr>
          <w:ilvl w:val="2"/>
          <w:numId w:val="1"/>
        </w:numPr>
        <w:rPr/>
      </w:pPr>
      <w:bookmarkStart w:id="596" w:name="__RefHeading___Toc8289140_2870459653"/>
      <w:bookmarkStart w:id="597" w:name="_Toc213"/>
      <w:bookmarkEnd w:id="596"/>
      <w:r>
        <w:rPr>
          <w:rtl w:val="true"/>
        </w:rPr>
        <w:t>الواقع التّربوي اليوم</w:t>
      </w:r>
      <w:bookmarkEnd w:id="597"/>
    </w:p>
    <w:p>
      <w:pPr>
        <w:pStyle w:val="BookText"/>
        <w:rPr/>
      </w:pPr>
      <w:r>
        <w:rPr>
          <w:rFonts w:ascii="Amiri" w:hAnsi="Amiri" w:eastAsia="Amiri" w:cs="Amiri"/>
          <w:color w:val="111111"/>
          <w:sz w:val="28"/>
          <w:sz w:val="28"/>
          <w:szCs w:val="28"/>
          <w:rtl w:val="true"/>
          <w:lang w:bidi="ar-SA"/>
        </w:rPr>
        <w:t xml:space="preserve">إنّ غياب الرؤية الصحيحة لاستقراء السلوك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بناء الشخصية المتّزنة بجوانبها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بأصحاب الفكر التّربوي إلى البحث عن الأساليب الصحيحة في بناء الفرد والمجتمع، وتربيتهما على أُسس ذات أثر عميق تواكب التغيرات الحاصلة في الفكر والسلوك؛ لذا نسمع صيحات من علماء التّربية والتعليم ومنظِّري فلسفتهما، يدعون إلى إعادة النظر في الفلسفات التّربوية القائمة اليوم؛ لأنّها لم تَعُد قادرة على أن تبني الأُسس الصحيحة في التّربية والتعليم، أو لعجز بعضها أو أغلبها عن مواجهة المشكلات القائمة في سلوك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الفلسفات التّربوية الوضعية لم تَعُد قادرة على بناء الإنسان بشكل متوازن يُحقِّق تفاعل الروح والجسد ويُنمّي العقل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معلوم، فإنّ فلسفة التّربية في الإسلام توازن بين طلب الدنيا وطلب الآخرة، فلا تمنع الإنسان من التمتّع بالطيبات الدنيوية كالمأكل والمشرب والملبس </w:t>
      </w:r>
    </w:p>
    <w:p>
      <w:pPr>
        <w:pStyle w:val="BookText"/>
        <w:rPr/>
      </w:pPr>
      <w:r>
        <w:rPr>
          <w:rFonts w:ascii="Amiri" w:hAnsi="Amiri" w:eastAsia="Amiri" w:cs="Amiri"/>
          <w:color w:val="111111"/>
          <w:sz w:val="28"/>
          <w:sz w:val="28"/>
          <w:szCs w:val="28"/>
          <w:rtl w:val="true"/>
          <w:lang w:bidi="ar-SA"/>
        </w:rPr>
        <w:t>والإشباع العاطفي والجنسي؛ لأنّ الحرمان يولِّد القلق والاضطراب، وهي في الوقت نفسه توجّه الإنسان إلى الإعداد للدار الآخرة بالالتزام بالأوامر والنواهي الإلهية، فلا يطغى طلب الدنيا على طلب الآخرة بالانغماس بالطيّبات والملّذات دون قيود وحدود، ولا يطغى طلب الآخرة على الدنيا بحرمان الإنسان من متعه المشروعة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إذ أفرزت الحضارة المادّية أبشع صور الفساد الاجتماعي، وأقسى مراتب الاستبداد السياسي ممّا لا عهد للإنسان به منذ أقدم العصور، ورغم ما تتبجّح به الدول الكبرى من بلوغها درجة قياسية في التكنولوجيا، فإنّ المفاهيم الحضارية والمادّية الماسكة بزمام الأُمور، والتي تقف وراء هذا التقدُّم العلمي، هبطت إلى درجة من الانحطاط والتأخُّ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لأنّها تعاملت مع الإنسان بتصوّر مادّي هبط به إلى أدنى مستويات الفشل الاجتماعي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زال المتخصّصون في شؤون التّربية يبذلون جهوداً كبيرة للوصول إلى منهج تربوي قادر على تربية الإنسان والمجتمع على أُسس سليمة صالحة، إلّا أنّها لم تتّفق على نقاط مشتركة يمكنها أن تكون ميزاناً ومعياراً للجميع؛ لاختلاف العلماء والباحثين في متبنّياتهم الفكرية، ولاختلافهم في معرفة القوى المؤثّرة في حركة الكون والحياة والمجتمع والتأريخ</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لا بدّ من طرح رؤية تربويّة جديدة تأخذ معطياتها من الأفكار التي أكّدتها الرسالة السماوية السمحاء، وتصدّى لها الثقل الثاني الذي تركه الرسول الكريم محمد صلی الله علیه و اله ، وهم آل البيت علیهم السلام ، فإذا أردنا أن ننجح في رؤانا التّربوية لا بدّ </w:t>
      </w:r>
      <w:bookmarkStart w:id="598" w:name="pg10991_100841"/>
    </w:p>
    <w:p>
      <w:pPr>
        <w:pStyle w:val="BookText"/>
        <w:rPr/>
      </w:pPr>
      <w:bookmarkEnd w:id="598"/>
      <w:r>
        <w:rPr>
          <w:rFonts w:ascii="Amiri" w:hAnsi="Amiri" w:eastAsia="Amiri" w:cs="Amiri"/>
          <w:color w:val="111111"/>
          <w:sz w:val="28"/>
          <w:sz w:val="28"/>
          <w:szCs w:val="28"/>
          <w:rtl w:val="true"/>
          <w:lang w:bidi="ar-SA"/>
        </w:rPr>
        <w:t>من أخذ التوجيهات السديدة من منبعها الأصلي ومن منظِّريها الحقيقيين الذين لا يبتعدون ولا ينفكّون عن الارتباط بالمنهج الربّاني الإلهي وبالقرآن الكريم</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8289142_2870459653"/>
      <w:bookmarkStart w:id="600" w:name="_Toc214"/>
      <w:bookmarkEnd w:id="599"/>
      <w:r>
        <w:rPr>
          <w:rtl w:val="true"/>
        </w:rPr>
        <w:t>الخلاصة والاستنتاج</w:t>
      </w:r>
      <w:bookmarkEnd w:id="600"/>
    </w:p>
    <w:p>
      <w:pPr>
        <w:pStyle w:val="BookText"/>
        <w:rPr/>
      </w:pPr>
      <w:r>
        <w:rPr>
          <w:rFonts w:ascii="Amiri" w:hAnsi="Amiri" w:eastAsia="Amiri" w:cs="Amiri"/>
          <w:color w:val="111111"/>
          <w:sz w:val="28"/>
          <w:sz w:val="28"/>
          <w:szCs w:val="28"/>
          <w:rtl w:val="true"/>
          <w:lang w:bidi="ar-SA"/>
        </w:rPr>
        <w:t>من خلال ما تقدّم من بحث توصّلنا إلى النتائج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المشروع التّربوي الإسلامي وفلسفته المثالية عند الإمام الصادق علیه السلام ، هو مشروع ناجح يصلح لكلّ المجتمعات من حيث التّربية والتعليم والتنشئة، أو من حيث حلّ المشكلات القائمة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فلسفة التّربية في الإسلام عند الإمام الصادق علیه السلام تعمل على بناء الإنسان أينما وجد، ليتربّى وفقاً للقيم السماويّة الحقيقيّة الصادقة الملائمة لكلّ مكان وزمان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الصراع بين الفلسفات التّربوية القائمة أثبت فشلها جميعاً في إيجاد حلول للوضع التربوي القائم والارتقاء به؛ لأنّها فلسفات وضعيّة غير دقيقة وغير متينة في صياغتها، وغير واقعية في علاجاتها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تترك فلسفة التّربية الإسلاميّة عند الإمام الصادق علیه السلام الإنسانَ في محطة دون أُخرى، فهي ترافقه في مسيرة حياته منذ نشأته إلى أن يأذن الله برحيله من هذه الدنيا، وتهتمّ به وهو جنين في بطن أُمّه، إلى مرحلة ولادته، إلى طفولته وصباه وشبابه ورُشده وشيخوخته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تركيز الإمام الصادق علیه السلام على أهمّية استعمال الأساليب التّربوية الناجحة في التعامل مع الأبناء؛ لأنّ نجاح التّربية الإسلاميّة منوط بنجاح الأساليب التّربوية المستعملة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الإمام الصادق علیه السلام في مواقف مختلفة على مبدأ التعامل مع الناس بصورة </w:t>
      </w:r>
    </w:p>
    <w:p>
      <w:pPr>
        <w:pStyle w:val="BookText"/>
        <w:rPr/>
      </w:pPr>
      <w:r>
        <w:rPr>
          <w:rFonts w:ascii="Amiri" w:hAnsi="Amiri" w:eastAsia="Amiri" w:cs="Amiri"/>
          <w:color w:val="111111"/>
          <w:sz w:val="28"/>
          <w:sz w:val="28"/>
          <w:szCs w:val="28"/>
          <w:rtl w:val="true"/>
          <w:lang w:bidi="ar-SA"/>
        </w:rPr>
        <w:t>عادلة، من غير تمييز أو مفاضلة بين أحد على حساب آخر، فالكلّ سواء في العملية التّربوية ومن دون تمايز بين غني أو فقير، أو غير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الإمام الصادق علیه السلام مبدأ الانفتاح كعامل أساس في مكوّنات التّربية الإسلاميّة، مؤكِّداً على ضرورة الابتعاد عن الانغلاق والجمود وعدم التفاعل مع مجريات الحداثة، بل إنّه علیه السلام خطَّ الأُسس العامّة للانفتاح التّربوي والعلمي الواعي على ما هو مفيد مع مراعاة بقاء التّربية الإسلاميّة هي الأصل، لكن لا بأس بأخذ ما هو مفيد من النظريات التّربوية أو العلمية الأُخرى</w:t>
      </w:r>
      <w:r>
        <w:rPr>
          <w:rFonts w:eastAsia="IRNazanin" w:cs="IRNazanin"/>
          <w:color w:val="111111"/>
          <w:sz w:val="28"/>
          <w:szCs w:val="28"/>
          <w:rtl w:val="true"/>
          <w:lang w:bidi="fa-IR"/>
        </w:rPr>
        <w:t xml:space="preserve">. </w:t>
      </w:r>
      <w:bookmarkStart w:id="601" w:name="pg10991_100845"/>
    </w:p>
    <w:p>
      <w:pPr>
        <w:pStyle w:val="Heading3"/>
        <w:numPr>
          <w:ilvl w:val="2"/>
          <w:numId w:val="1"/>
        </w:numPr>
        <w:rPr/>
      </w:pPr>
      <w:bookmarkStart w:id="602" w:name="__RefHeading___Toc8289144_2870459653"/>
      <w:bookmarkStart w:id="603" w:name="_Toc215"/>
      <w:bookmarkEnd w:id="601"/>
      <w:bookmarkEnd w:id="602"/>
      <w:r>
        <w:rPr>
          <w:rtl w:val="true"/>
        </w:rPr>
        <w:t>مدينة الكوفة، الجغرافية والمجتمع</w:t>
      </w:r>
      <w:r>
        <w:rPr>
          <w:rtl w:val="true"/>
        </w:rPr>
        <w:t>(</w:t>
      </w:r>
      <w:r>
        <w:rPr>
          <w:rtl w:val="true"/>
        </w:rPr>
        <w:t>دراسة تاريخية</w:t>
      </w:r>
      <w:r>
        <w:rPr>
          <w:rtl w:val="true"/>
        </w:rPr>
        <w:t>)</w:t>
      </w:r>
      <w:bookmarkEnd w:id="603"/>
    </w:p>
    <w:p>
      <w:pPr>
        <w:pStyle w:val="Heading3"/>
        <w:numPr>
          <w:ilvl w:val="2"/>
          <w:numId w:val="1"/>
        </w:numPr>
        <w:rPr/>
      </w:pPr>
      <w:bookmarkStart w:id="604" w:name="__RefHeading___Toc8289146_2870459653"/>
      <w:bookmarkStart w:id="605" w:name="_Toc216"/>
      <w:bookmarkEnd w:id="604"/>
      <w:r>
        <w:rPr>
          <w:rtl w:val="true"/>
        </w:rPr>
        <w:t>الشيخ حسن العيساوي</w:t>
      </w:r>
      <w:bookmarkEnd w:id="605"/>
    </w:p>
    <w:p>
      <w:pPr>
        <w:pStyle w:val="BookText"/>
        <w:rPr/>
      </w:pPr>
      <w:r>
        <w:rPr>
          <w:rFonts w:ascii="Amiri" w:hAnsi="Amiri" w:eastAsia="Amiri" w:cs="Amiri"/>
          <w:color w:val="111111"/>
          <w:sz w:val="28"/>
          <w:sz w:val="28"/>
          <w:szCs w:val="28"/>
          <w:rtl w:val="true"/>
          <w:lang w:bidi="ar-SA"/>
        </w:rPr>
        <w:t>الشيخ حسن العيساوي</w:t>
      </w:r>
      <w:r>
        <w:rPr>
          <w:rStyle w:val="FootnoteAnchor"/>
          <w:rtl w:val="true"/>
        </w:rPr>
        <w:footnoteReference w:id="564"/>
      </w:r>
    </w:p>
    <w:p>
      <w:pPr>
        <w:pStyle w:val="Heading3"/>
        <w:numPr>
          <w:ilvl w:val="2"/>
          <w:numId w:val="1"/>
        </w:numPr>
        <w:rPr/>
      </w:pPr>
      <w:bookmarkStart w:id="606" w:name="__RefHeading___Toc8289148_2870459653"/>
      <w:bookmarkStart w:id="607" w:name="_Toc217"/>
      <w:bookmarkEnd w:id="606"/>
      <w:r>
        <w:rPr>
          <w:rtl w:val="true"/>
        </w:rPr>
        <w:t>المقدّمة</w:t>
      </w:r>
      <w:bookmarkEnd w:id="607"/>
    </w:p>
    <w:p>
      <w:pPr>
        <w:pStyle w:val="BookText"/>
        <w:rPr/>
      </w:pPr>
      <w:r>
        <w:rPr>
          <w:rFonts w:ascii="Amiri" w:hAnsi="Amiri" w:eastAsia="Amiri" w:cs="Amiri"/>
          <w:color w:val="111111"/>
          <w:sz w:val="28"/>
          <w:sz w:val="28"/>
          <w:szCs w:val="28"/>
          <w:rtl w:val="true"/>
          <w:lang w:bidi="ar-SA"/>
        </w:rPr>
        <w:t>تُعدّ مدينة الكوفة من أهمّ المدن العربية والإسلاميّة؛ لما لها من مكانة دينية وموقع جغرافي مهم، بالإضافة إلى الوقائع المهمة التي توالت على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لعبت هذه المدينة دوراً مهماً في صياغة كثير من الأحداث، ناهيك عن أثرها في تبلْوُرِ كثير من المسارات العلمية والثقافية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المقال نسلط الأضواء على تلك المدينة من ناحية جغرافية، وتركيبة مجتمعها وواقعها السياسي ضمن ثلاثة محاور</w:t>
      </w:r>
      <w:r>
        <w:rPr>
          <w:rFonts w:eastAsia="Amiri" w:cs="Amiri" w:ascii="Amiri" w:hAnsi="Amiri"/>
          <w:color w:val="111111"/>
          <w:sz w:val="28"/>
          <w:szCs w:val="28"/>
          <w:rtl w:val="true"/>
          <w:lang w:bidi="ar-SA"/>
        </w:rPr>
        <w:t xml:space="preserve">. </w:t>
      </w:r>
      <w:bookmarkStart w:id="608" w:name="pg10991_100847"/>
    </w:p>
    <w:p>
      <w:pPr>
        <w:pStyle w:val="Heading3"/>
        <w:numPr>
          <w:ilvl w:val="2"/>
          <w:numId w:val="1"/>
        </w:numPr>
        <w:rPr/>
      </w:pPr>
      <w:bookmarkStart w:id="609" w:name="__RefHeading___Toc8289150_2870459653"/>
      <w:bookmarkStart w:id="610" w:name="_Toc218"/>
      <w:bookmarkEnd w:id="608"/>
      <w:bookmarkEnd w:id="609"/>
      <w:r>
        <w:rPr>
          <w:rtl w:val="true"/>
        </w:rPr>
        <w:t>المحور الأوّل</w:t>
      </w:r>
      <w:r>
        <w:rPr>
          <w:rtl w:val="true"/>
        </w:rPr>
        <w:t xml:space="preserve">: </w:t>
      </w:r>
      <w:r>
        <w:rPr>
          <w:rtl w:val="true"/>
        </w:rPr>
        <w:t>جغرافية مدينة الكوفة و معالمها</w:t>
      </w:r>
      <w:bookmarkEnd w:id="610"/>
    </w:p>
    <w:p>
      <w:pPr>
        <w:pStyle w:val="BookText"/>
        <w:rPr/>
      </w:pPr>
      <w:r>
        <w:rPr>
          <w:rFonts w:ascii="Amiri" w:hAnsi="Amiri" w:eastAsia="Amiri" w:cs="Amiri"/>
          <w:color w:val="111111"/>
          <w:sz w:val="28"/>
          <w:sz w:val="28"/>
          <w:szCs w:val="28"/>
          <w:rtl w:val="true"/>
          <w:lang w:bidi="ar-SA"/>
        </w:rPr>
        <w:t>لا شك في أنّ الكوفة مدينة عريقة، وقد وقعت فيها أحداث وتقلبّات كثيرة، فلا نستطيع أن نلم بجوانبها المختلفة هنا؛ لذا سنقتصر على بيان أربع جهات تمسّ حاجتنا إليها في هذا البحث، وهي</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8289152_2870459653"/>
      <w:bookmarkStart w:id="612" w:name="_Toc219"/>
      <w:bookmarkEnd w:id="611"/>
      <w:r>
        <w:rPr/>
        <w:t>1</w:t>
      </w:r>
      <w:r>
        <w:rPr>
          <w:rtl w:val="true"/>
        </w:rPr>
        <w:t xml:space="preserve">- </w:t>
      </w:r>
      <w:r>
        <w:rPr>
          <w:rtl w:val="true"/>
        </w:rPr>
        <w:t>تسمية الكوفة وتأسيسها</w:t>
      </w:r>
      <w:r>
        <w:rPr>
          <w:rtl w:val="true"/>
        </w:rPr>
        <w:t>:</w:t>
      </w:r>
      <w:bookmarkEnd w:id="612"/>
    </w:p>
    <w:p>
      <w:pPr>
        <w:pStyle w:val="BookText"/>
        <w:rPr/>
      </w:pPr>
      <w:r>
        <w:rPr>
          <w:rFonts w:ascii="Amiri" w:hAnsi="Amiri" w:eastAsia="Amiri" w:cs="Amiri"/>
          <w:color w:val="111111"/>
          <w:sz w:val="28"/>
          <w:sz w:val="28"/>
          <w:szCs w:val="28"/>
          <w:rtl w:val="true"/>
          <w:lang w:bidi="ar-SA"/>
        </w:rPr>
        <w:t>اختلفت الأقوال في تسمية الكوفة، وقد ذُكرِت آراء متعددة في هذا المجال، فالزبيدي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العراق الكبرى وهي قُبة الإسلام ودار هجرة المسلمين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الرملة الحمراء،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الرملة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منظور عن ابن 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بلد سُميت بذلك لأنّ سعداً لمّا أراد أن يبني الكوفة ارتاد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تكوفوا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فيه، وقال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كوفوا هذا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نحُّوه وانزلوا، ومنه سُميت الكوفة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الكوفة تُدعى كوفان</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قال أبو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بنا كوفان مذهبها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وعدمت عن ظرفائها خير</w:t>
      </w:r>
      <w:r>
        <w:rPr>
          <w:rStyle w:val="FootnoteAnchor"/>
          <w:rtl w:val="true"/>
        </w:rPr>
        <w:footnoteReference w:id="56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كوفة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اختطت فيها خطط العرب أيام عثمان، وفي العباب أيام عمر خططها السائب بن الأقرع بن عوف الثقفي وفي هذه التسمية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الطيب العبشمي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التي ضربت بيتاً مهاجرة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بكوفة الجند غالت ودّها غول</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وأما تأسيسها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فالكوفة لم تُعرف كمدينة مسكونة إلّا في الفتوحات الإسلاميّة؛ لأنّها كانت أرضاً سهليّة تصلح للزراعة، لخصوبة أرضها وقربها من نهر الفرات، حيث تقع على الضفة اليمنى منه في سهل يُدعى سورستان، من الاسم الفارسي شورستان، والتي تعني الصحراء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العرب تُسمي هذه الأرض أرض السواد وهي تشمل الكوفة وباقي أرض العراق السهليّة، والتي فتحها المسلمون في خلافة عمر بن الخطاب، وسموه سواداً لسواده بالزرع والأشجار؛ لأنّه حين تاخم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زرع فيها ولا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إذا خرجوا من أرضهم ظهرت لهم خضرة الزرع من الأشجار وهم يجمعون بين الخضرة والسواد في الأسامي، كما قال الفضل بن العباس بن عتبة بن أبي لهب وكان أسود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الأخضر مَن يعرفني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 الجلدة من نسل العرب</w:t>
      </w:r>
    </w:p>
    <w:p>
      <w:pPr>
        <w:pStyle w:val="BookText"/>
        <w:rPr/>
      </w:pPr>
      <w:r>
        <w:rPr>
          <w:rFonts w:ascii="Amiri" w:hAnsi="Amiri" w:eastAsia="Amiri" w:cs="Amiri"/>
          <w:color w:val="111111"/>
          <w:sz w:val="28"/>
          <w:sz w:val="28"/>
          <w:szCs w:val="28"/>
          <w:rtl w:val="true"/>
          <w:lang w:bidi="ar-SA"/>
        </w:rPr>
        <w:t>فسموا خضرة العراق سواداً، وسُمَّي عراقاً لاستواء أرضه حين خلت من جبال تعلوا وأودية تنخفض، والعراق في كلام العرب هو الاستواء،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سقتم إلى الحقِّ لهم وساقوا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مَن ليس له عراق</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الكوفة بزراعتها الغنيّة أيام الأُمويين مصدراً لهم في زيادة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استولوا على السلطة، جنى عبيد الله بن زياد خراج السواد فكان مائة ألف ألف وخمسة وثلاثون ألف ألف درهم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613" w:name="pg10991_100851"/>
    </w:p>
    <w:p>
      <w:pPr>
        <w:pStyle w:val="Heading3"/>
        <w:numPr>
          <w:ilvl w:val="2"/>
          <w:numId w:val="1"/>
        </w:numPr>
        <w:rPr/>
      </w:pPr>
      <w:bookmarkStart w:id="614" w:name="__RefHeading___Toc8289154_2870459653"/>
      <w:bookmarkStart w:id="615" w:name="_Toc220"/>
      <w:bookmarkEnd w:id="613"/>
      <w:bookmarkEnd w:id="614"/>
      <w:r>
        <w:rPr/>
        <w:t>2</w:t>
      </w:r>
      <w:r>
        <w:rPr>
          <w:rtl w:val="true"/>
        </w:rPr>
        <w:t xml:space="preserve">- </w:t>
      </w:r>
      <w:r>
        <w:rPr>
          <w:rtl w:val="true"/>
        </w:rPr>
        <w:t>بناء الكوفة واستيطانها</w:t>
      </w:r>
      <w:bookmarkEnd w:id="615"/>
    </w:p>
    <w:p>
      <w:pPr>
        <w:pStyle w:val="BookText"/>
        <w:rPr/>
      </w:pPr>
      <w:r>
        <w:rPr>
          <w:rFonts w:ascii="Amiri" w:hAnsi="Amiri" w:eastAsia="Amiri" w:cs="Amiri"/>
          <w:color w:val="111111"/>
          <w:sz w:val="28"/>
          <w:sz w:val="28"/>
          <w:szCs w:val="28"/>
          <w:rtl w:val="true"/>
          <w:lang w:bidi="ar-SA"/>
        </w:rPr>
        <w:t>بعد انتصار الجيش الإسلامي بقيادة سعد بن أبي وقاص في معركة القادسية الشهيرة لاحظ عمر بن الخطاب أنّ أفراد الجيش في المدائن قد تغيَّرت ألوانهم، ورأى ذلك في وجوه وفودهم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وخومة البلاد غيرتنا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ويبدوا أنّ عمر بن الخطاب استفسر عن سبب هذا التغيير في التعب الجسدي للجنود من سعد بن أبي وقاص فأجابه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غيَّرتهم وخومة البلاد، والعرب لا يوافقها من البلاد إلّا ما وافق إبلها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يبعث سلمان وحذيفة</w:t>
      </w:r>
      <w:r>
        <w:rPr>
          <w:rFonts w:eastAsia="Amiri" w:cs="Amiri" w:ascii="Amiri" w:hAnsi="Amiri"/>
          <w:color w:val="111111"/>
          <w:sz w:val="28"/>
          <w:szCs w:val="28"/>
          <w:rtl w:val="true"/>
          <w:lang w:bidi="ar-SA"/>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مدينة الكوفة لتكون مركزاً للفتوحات الإسلاميّة فيما بعد، وقد وقع الاختيار عليها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جوها المناسب لسكنى العرب من جهة الغرب حيث نقاوة الهواء ومسرح الإبل، وتمتاز من جهة الشرق بقربها من نهر الفرات الذي يشكل مانعاً بوجه الغزاة، بالإضافة إلى الاستفادة منه في إرواء الأراضي الزراعية القريبة منه، أو بشق الأنهار والجداول لسقي المناطق البعيدة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الجغرافي الذي يساهم في فرض السيطرة على طول منطقة الفرات من الناحية الحربية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استغل ابن زياد هذا الموقع فجعل الدوريات العسكرية من الكوفة إلى باقي مناطق العراق والحجاز لمنع أيّ شخص من الالتحاق بمعسكر الإمام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سنة سبع عشرة للهجرة تحرّك الجيش الإسلامي من المدائن قاصداً الكوفة؛ لتكون هذه السنة بداية تمصير المدينة وإعمارها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القبائل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تشكِّل الجيش الإسلامي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بيوتها من القصب حسب أوامر عمر بن الخطاب، الذي كان لا يريد لهذا الجيش الاستقرار في المدن خوفاً من تركهم للجهاد، فلم يسمح لهم بالبناء باللبن</w:t>
      </w:r>
      <w:r>
        <w:rPr>
          <w:rStyle w:val="FootnoteAnchor"/>
          <w:rtl w:val="true"/>
        </w:rPr>
        <w:footnoteReference w:id="577"/>
      </w:r>
      <w:r>
        <w:rPr>
          <w:rFonts w:ascii="Amiri" w:hAnsi="Amiri" w:eastAsia="Amiri" w:cs="Amiri"/>
          <w:color w:val="111111"/>
          <w:sz w:val="28"/>
          <w:sz w:val="28"/>
          <w:szCs w:val="28"/>
          <w:rtl w:val="true"/>
          <w:lang w:bidi="ar-SA"/>
        </w:rPr>
        <w:t>، إلّا بعد الحريق الذي وقع في الكوفة ليسمح بعدها لأفراد الجيش البناء باللبن، ولكن شرط عليهم أن لا يزيد كلّ مقاتل عن ثلاث غرف في داره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وصلت القبائل العربية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عدد أهل اليمن منها اثني عشر ألف نسمة، وأهل نزار ثمانية آلاف نسمة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فجعل سعد بن أبي وقاص القرعةَ بينهم، فكانت الجهة الشرقية من المسجد لأهل اليمن، وهي أفضل لهم؛ لأنّها قريبة من النهر وهم مشهورون بالزراعة، فتلاءمت هذه الجهة مع رغباتهم، وأمّا نزار فكانت لهم الجهة الغربية من المسجد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أيضاً جماعة من الفرس في الجهة الغربية، وهم من حرس الشرف لكسرى ويدعون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شهانشاه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التحقوا مع جيش سعد عندما انهزم رستم في القادسية وشاركوا معه في فتح جلولاء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وأنزلهم سعد حيث اختاروا، وفرض لهم العطاء، وتخالفوا مع زهرة بن حوية، وكان لهم نقيب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تُسمي العجم الحمراء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616" w:name="pg10991_100855"/>
    </w:p>
    <w:p>
      <w:pPr>
        <w:pStyle w:val="Heading3"/>
        <w:numPr>
          <w:ilvl w:val="2"/>
          <w:numId w:val="1"/>
        </w:numPr>
        <w:rPr/>
      </w:pPr>
      <w:bookmarkStart w:id="617" w:name="__RefHeading___Toc8289156_2870459653"/>
      <w:bookmarkStart w:id="618" w:name="_Toc221"/>
      <w:bookmarkEnd w:id="616"/>
      <w:bookmarkEnd w:id="617"/>
      <w:r>
        <w:rPr/>
        <w:t>3</w:t>
      </w:r>
      <w:r>
        <w:rPr>
          <w:rtl w:val="true"/>
        </w:rPr>
        <w:t xml:space="preserve">- </w:t>
      </w:r>
      <w:r>
        <w:rPr>
          <w:rtl w:val="true"/>
        </w:rPr>
        <w:t>أحياء الكوفة وأسواقها</w:t>
      </w:r>
      <w:bookmarkEnd w:id="618"/>
    </w:p>
    <w:p>
      <w:pPr>
        <w:pStyle w:val="Heading3"/>
        <w:numPr>
          <w:ilvl w:val="2"/>
          <w:numId w:val="1"/>
        </w:numPr>
        <w:rPr/>
      </w:pPr>
      <w:bookmarkStart w:id="619" w:name="__RefHeading___Toc8289158_2870459653"/>
      <w:bookmarkStart w:id="620" w:name="_Toc222"/>
      <w:bookmarkEnd w:id="619"/>
      <w:r>
        <w:rPr>
          <w:rtl w:val="true"/>
        </w:rPr>
        <w:t>التخطيط الداخلي</w:t>
      </w:r>
      <w:bookmarkEnd w:id="620"/>
    </w:p>
    <w:p>
      <w:pPr>
        <w:pStyle w:val="BookText"/>
        <w:rPr/>
      </w:pPr>
      <w:r>
        <w:rPr>
          <w:rFonts w:ascii="Amiri" w:hAnsi="Amiri" w:eastAsia="Amiri" w:cs="Amiri"/>
          <w:color w:val="111111"/>
          <w:sz w:val="28"/>
          <w:sz w:val="28"/>
          <w:szCs w:val="28"/>
          <w:rtl w:val="true"/>
          <w:lang w:bidi="ar-SA"/>
        </w:rPr>
        <w:t xml:space="preserve">كان تخطيط الكوفة في بداية الأمر تخطيطاً بدائياً، لكنه تميّز ببعض المميزات، حيث لم يكن عشوائياً، بل وُضع وفق خطة خاصة، فحينما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 تمصير الكوفة شُقّت فيها شوارع سكك، وكان عرض السكّة خمسين ذراعاً، وكانت السكّة تُنوَّر أثناء الليل بالمشاعل، وقد وصل إلينا أسماء السكك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البريد، وسكّة العلاء، وسكّة بني محرز، وسكّة شبث، وسكّة عميرة، وسكّة دار الروميين من قصر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تُعرف بأسماء الأعلام والتجّار من قبيل عنترة الحجام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الأزقّة، فكان عرضها سبعة أذرع، وأمّا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 الفاصل بين صفوف الخيام الواقعة في خطط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أربعين ذراعاً والفاصلة بين القطائع ستّون ذراعاً، فكانت المناهج خمسة عشر منهجاً، في شمال المسجد خمسة، وفي جنوبه أربعة، وفي شرقه ثلاثة، وفي غربه ثلاثة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8289160_2870459653"/>
      <w:bookmarkStart w:id="622" w:name="_Toc223"/>
      <w:bookmarkEnd w:id="621"/>
      <w:r>
        <w:rPr>
          <w:rtl w:val="true"/>
        </w:rPr>
        <w:t>أحياء الكوفة</w:t>
      </w:r>
      <w:bookmarkEnd w:id="622"/>
    </w:p>
    <w:p>
      <w:pPr>
        <w:pStyle w:val="BookText"/>
        <w:rPr/>
      </w:pPr>
      <w:r>
        <w:rPr>
          <w:rFonts w:ascii="Amiri" w:hAnsi="Amiri" w:eastAsia="Amiri" w:cs="Amiri"/>
          <w:color w:val="111111"/>
          <w:sz w:val="28"/>
          <w:sz w:val="28"/>
          <w:szCs w:val="28"/>
          <w:rtl w:val="true"/>
          <w:lang w:bidi="ar-SA"/>
        </w:rPr>
        <w:t>يحدثنا التأريخ عن جملة من الأحياء التي اشتُهرت في تاريخ الكوفة، نذكر منها ما يلي</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8289162_2870459653"/>
      <w:bookmarkStart w:id="624" w:name="_Toc224"/>
      <w:bookmarkEnd w:id="623"/>
      <w:r>
        <w:rPr/>
        <w:t>1</w:t>
      </w:r>
      <w:r>
        <w:rPr>
          <w:rtl w:val="true"/>
        </w:rPr>
        <w:t xml:space="preserve">- </w:t>
      </w:r>
      <w:r>
        <w:rPr>
          <w:rtl w:val="true"/>
        </w:rPr>
        <w:t>دور بني جبلة</w:t>
      </w:r>
      <w:r>
        <w:rPr>
          <w:rtl w:val="true"/>
        </w:rPr>
        <w:t>:</w:t>
      </w:r>
      <w:bookmarkEnd w:id="62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محلّة تقع في الجزء الشمالي الغربي من المسجد في قبيلة كندة، وإليها ألتجأ مسلم علیه السلام عندما بقي وحيداً وأراد الخروج من الكوفة، فذهب ووقف على دار طوعة، وكانت واقفة على باب بيتها، فسقته وأدخلته بيتها حتى الصباح، عندها </w:t>
      </w:r>
      <w:bookmarkStart w:id="625" w:name="pg10991_100858"/>
    </w:p>
    <w:p>
      <w:pPr>
        <w:pStyle w:val="BookText"/>
        <w:rPr/>
      </w:pPr>
      <w:bookmarkEnd w:id="625"/>
      <w:r>
        <w:rPr>
          <w:rFonts w:ascii="Amiri" w:hAnsi="Amiri" w:eastAsia="Amiri" w:cs="Amiri"/>
          <w:color w:val="111111"/>
          <w:sz w:val="28"/>
          <w:sz w:val="28"/>
          <w:szCs w:val="28"/>
          <w:rtl w:val="true"/>
          <w:lang w:bidi="ar-SA"/>
        </w:rPr>
        <w:t>هجم عليه عسكر ابن زياد بقيادة ابن الأشعث بعد أن أخبرهم ابنُها بلال بوجوده</w:t>
      </w:r>
      <w:r>
        <w:rPr>
          <w:rStyle w:val="FootnoteAnchor"/>
          <w:rtl w:val="true"/>
        </w:rPr>
        <w:footnoteReference w:id="583"/>
      </w:r>
      <w:r>
        <w:rPr>
          <w:rFonts w:ascii="IRNazanin" w:hAnsi="IRNazanin" w:eastAsia="IRNazanin"/>
          <w:color w:val="111111"/>
          <w:sz w:val="28"/>
          <w:sz w:val="28"/>
          <w:szCs w:val="28"/>
          <w:rtl w:val="true"/>
          <w:lang w:bidi="fa-IR"/>
        </w:rPr>
        <w:t xml:space="preserve">، فكانت المواجهة المسلّحة بين مسلم علیه السلام والعسكر، والتي انتهت بأسر مسلم علیه السلام </w:t>
      </w:r>
      <w:r>
        <w:rPr>
          <w:rFonts w:eastAsia="IRNazanin" w:cs="IRNazanin"/>
          <w:color w:val="111111"/>
          <w:sz w:val="28"/>
          <w:szCs w:val="28"/>
          <w:rtl w:val="true"/>
          <w:lang w:bidi="fa-IR"/>
        </w:rPr>
        <w:t>.</w:t>
      </w:r>
    </w:p>
    <w:p>
      <w:pPr>
        <w:pStyle w:val="Heading3"/>
        <w:numPr>
          <w:ilvl w:val="2"/>
          <w:numId w:val="1"/>
        </w:numPr>
        <w:rPr/>
      </w:pPr>
      <w:bookmarkStart w:id="626" w:name="__RefHeading___Toc8289164_2870459653"/>
      <w:bookmarkStart w:id="627" w:name="_Toc225"/>
      <w:bookmarkEnd w:id="626"/>
      <w:r>
        <w:rPr/>
        <w:t>2</w:t>
      </w:r>
      <w:r>
        <w:rPr>
          <w:rtl w:val="true"/>
        </w:rPr>
        <w:t xml:space="preserve">- </w:t>
      </w:r>
      <w:r>
        <w:rPr>
          <w:rtl w:val="true"/>
        </w:rPr>
        <w:t>دار الروميين</w:t>
      </w:r>
      <w:r>
        <w:rPr>
          <w:rtl w:val="true"/>
        </w:rPr>
        <w:t>:</w:t>
      </w:r>
      <w:bookmarkEnd w:id="627"/>
    </w:p>
    <w:p>
      <w:pPr>
        <w:pStyle w:val="BookText"/>
        <w:rPr/>
      </w:pPr>
      <w:r>
        <w:rPr>
          <w:rFonts w:ascii="IRNazanin" w:hAnsi="IRNazanin" w:eastAsia="IRNazanin"/>
          <w:color w:val="111111"/>
          <w:sz w:val="28"/>
          <w:sz w:val="28"/>
          <w:szCs w:val="28"/>
          <w:rtl w:val="true"/>
          <w:lang w:bidi="fa-IR"/>
        </w:rPr>
        <w:t xml:space="preserve">هي مزبلة لأهل الكوفة ومكان النفايات والأوساخ حتى استقطعها عنبسة بن سعيد بن يزيد بن عبد الملك، وكان خلفها باب لدار الإمارة تُدعى باسمها، ومنها دخل الأشراف والأعوان من أهل الكوفة لنصرة ابن زياد عندما حاصر مسلم بن عقيل علیه السلام قصر الإمارة، وقد ساهم دخولهم في تقوية معنويات ابن زياد ودعمه في محاربة مسلم علیه السلام </w:t>
      </w:r>
      <w:r>
        <w:rPr>
          <w:rFonts w:eastAsia="IRNazanin" w:cs="IRNazanin"/>
          <w:color w:val="111111"/>
          <w:sz w:val="28"/>
          <w:szCs w:val="28"/>
          <w:rtl w:val="true"/>
          <w:lang w:bidi="fa-IR"/>
        </w:rPr>
        <w:t>.</w:t>
      </w:r>
    </w:p>
    <w:p>
      <w:pPr>
        <w:pStyle w:val="Heading3"/>
        <w:numPr>
          <w:ilvl w:val="2"/>
          <w:numId w:val="1"/>
        </w:numPr>
        <w:rPr/>
      </w:pPr>
      <w:bookmarkStart w:id="628" w:name="__RefHeading___Toc8289166_2870459653"/>
      <w:bookmarkStart w:id="629" w:name="_Toc226"/>
      <w:bookmarkEnd w:id="628"/>
      <w:r>
        <w:rPr/>
        <w:t>3</w:t>
      </w:r>
      <w:r>
        <w:rPr>
          <w:rtl w:val="true"/>
        </w:rPr>
        <w:t xml:space="preserve">- </w:t>
      </w:r>
      <w:r>
        <w:rPr>
          <w:rtl w:val="true"/>
        </w:rPr>
        <w:t>السبخة</w:t>
      </w:r>
      <w:r>
        <w:rPr>
          <w:rtl w:val="true"/>
        </w:rPr>
        <w:t>:</w:t>
      </w:r>
      <w:bookmarkEnd w:id="629"/>
    </w:p>
    <w:p>
      <w:pPr>
        <w:pStyle w:val="BookText"/>
        <w:rPr/>
      </w:pPr>
      <w:r>
        <w:rPr>
          <w:rFonts w:ascii="IRNazanin" w:hAnsi="IRNazanin" w:eastAsia="IRNazanin"/>
          <w:color w:val="111111"/>
          <w:sz w:val="28"/>
          <w:sz w:val="28"/>
          <w:szCs w:val="28"/>
          <w:rtl w:val="true"/>
          <w:lang w:bidi="fa-IR"/>
        </w:rPr>
        <w:t xml:space="preserve">وهي منطقة في الكوفة تقع في الجهة الشرقية من المسجد، وفيها صُلبت جثث جماعة من أصحاب مسلم علیه السلام </w:t>
      </w:r>
      <w:r>
        <w:rPr>
          <w:rFonts w:eastAsia="IRNazanin" w:cs="IRNazanin"/>
          <w:color w:val="111111"/>
          <w:sz w:val="28"/>
          <w:szCs w:val="28"/>
          <w:rtl w:val="true"/>
          <w:lang w:bidi="fa-IR"/>
        </w:rPr>
        <w:t>.</w:t>
      </w:r>
    </w:p>
    <w:p>
      <w:pPr>
        <w:pStyle w:val="Heading3"/>
        <w:numPr>
          <w:ilvl w:val="2"/>
          <w:numId w:val="1"/>
        </w:numPr>
        <w:rPr/>
      </w:pPr>
      <w:bookmarkStart w:id="630" w:name="__RefHeading___Toc8289168_2870459653"/>
      <w:bookmarkStart w:id="631" w:name="_Toc227"/>
      <w:bookmarkEnd w:id="630"/>
      <w:r>
        <w:rPr>
          <w:rtl w:val="true"/>
        </w:rPr>
        <w:t>أسواق الكوفة</w:t>
      </w:r>
      <w:bookmarkEnd w:id="631"/>
    </w:p>
    <w:p>
      <w:pPr>
        <w:pStyle w:val="BookText"/>
        <w:rPr/>
      </w:pPr>
      <w:r>
        <w:rPr>
          <w:rFonts w:ascii="Amiri" w:hAnsi="Amiri" w:eastAsia="Amiri" w:cs="Amiri"/>
          <w:color w:val="111111"/>
          <w:sz w:val="28"/>
          <w:sz w:val="28"/>
          <w:szCs w:val="28"/>
          <w:rtl w:val="true"/>
          <w:lang w:bidi="ar-SA"/>
        </w:rPr>
        <w:t>عند استقرار الناس في الكوفة خُطّت الأسواق لهم؛ لتنظيم حياتهم الاقتصادية وتنشيط عملية التبادل التجاري فيما بينهم من جهة، وبين أهل الكوفة والبدو الذين يقصدون الكوفة لشراء ما يحتاجونه منها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ازدهرت الكوفة بالصناعات اليدوية؛ لأنّ المهاجرين إليها هم من سكان مدن الجزيرة العربية واليمن، وقد حملوا معهم صناعاتهم وحرفهم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خُطّت الأسواق بالقرب من القصر، ولكن سعد بن أبي وقاص كان يغلق باب القصر ويأمر الناس بالسكوت حتى لا تصل غوغاؤهم إليه، وتؤثر عليه؛ لذلك </w:t>
      </w:r>
      <w:bookmarkStart w:id="632" w:name="pg10991_100860"/>
    </w:p>
    <w:p>
      <w:pPr>
        <w:pStyle w:val="BookText"/>
        <w:rPr/>
      </w:pPr>
      <w:bookmarkEnd w:id="632"/>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عنِّي الصويتُ</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خطت بعد ذلك من المسجد والقصر إلى دار الوليد بن عقبة من جهة، وإلى القلائين من جهة أُخرى، وإلى منازل ثقيف من جهة ثالثة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الأسواق في بادئ أمرها لا بناء فيها سوى ظلال بواري من الحصير كان يضعها الباعة لتظللهم في الأماكن التي يختارونها للبيع والشراء، وكان نظام الأسواق على سنّة المسجد، فمَن سبق إلى موضع فهو له حتى يفرغ منه</w:t>
      </w:r>
      <w:r>
        <w:rPr>
          <w:rStyle w:val="FootnoteAnchor"/>
          <w:rtl w:val="true"/>
        </w:rPr>
        <w:footnoteReference w:id="586"/>
      </w:r>
      <w:r>
        <w:rPr>
          <w:rFonts w:ascii="Amiri" w:hAnsi="Amiri" w:eastAsia="Amiri" w:cs="Amiri"/>
          <w:color w:val="111111"/>
          <w:sz w:val="28"/>
          <w:sz w:val="28"/>
          <w:szCs w:val="28"/>
          <w:rtl w:val="true"/>
          <w:lang w:bidi="ar-SA"/>
        </w:rPr>
        <w:t>، وظلت كذلك حتى زمن ابن زياد الذي أمر بتسقيف هذه الأسواق وبنائها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الأسواق مرّت سبايا الحسين علیه السلام يتقدَّمهم الإمام زين العابدين علیه السلام ، وقد ازدحم أهل الكوفة فيها يتفرّجون عليهم وهم بين باكٍ وشامت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الأسواق ما يعرف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يقع في الجانب الشرقي للكناسة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والكناسة هي مزبلة لبني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قُتل هانئ بن عروة رضوان الله تعالى عليه وهو ينادي قبيلته، فلم يتقدَّم أحد منها لنصرته أو تخليصه من شرطة ابن زياد، مع أنّ سوق الغنم كان على تخوم محلّة مذحج، ولكن الخوف والجبن منعهم من نصرته حتى أُعدم علیه السلام وسُحبت جثتُه في شوارع وأزقّة الكوفة</w:t>
      </w:r>
      <w:r>
        <w:rPr>
          <w:rFonts w:eastAsia="IRNazanin" w:cs="IRNazanin"/>
          <w:color w:val="111111"/>
          <w:sz w:val="28"/>
          <w:szCs w:val="28"/>
          <w:rtl w:val="true"/>
          <w:lang w:bidi="fa-IR"/>
        </w:rPr>
        <w:t>.</w:t>
      </w:r>
    </w:p>
    <w:p>
      <w:pPr>
        <w:pStyle w:val="Heading3"/>
        <w:numPr>
          <w:ilvl w:val="2"/>
          <w:numId w:val="1"/>
        </w:numPr>
        <w:rPr/>
      </w:pPr>
      <w:bookmarkStart w:id="633" w:name="__RefHeading___Toc8289170_2870459653"/>
      <w:bookmarkStart w:id="634" w:name="_Toc228"/>
      <w:bookmarkEnd w:id="633"/>
      <w:r>
        <w:rPr/>
        <w:t>4</w:t>
      </w:r>
      <w:r>
        <w:rPr>
          <w:rtl w:val="true"/>
        </w:rPr>
        <w:t xml:space="preserve">- </w:t>
      </w:r>
      <w:r>
        <w:rPr>
          <w:rtl w:val="true"/>
        </w:rPr>
        <w:t>طرق الكوفة</w:t>
      </w:r>
      <w:bookmarkEnd w:id="63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تتميز مدينة الكوفة بوجود طرق متعددة فيها، وقد عرفت تلك الطرق بأسماء خاصة، نستعرض فيما يلي أهمّ تلك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الحج إلى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الطرق فيها؛ لذلك فإنّ أهل الكوفة إذا أرادوا الخروج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على جهة القبلة، فتكون أول المنازل لهم القادسية، ثمّ المغشية، ثمّ القرعاء، ثمّ واقصة، ثمّ العقبة، ثمّ، ثمّ الشقوق، ثمّ بطان، وهذه الأربعة أماكن ديار بني أسد، والعليبة وهي مدينة على سور، والجفر منازل طي، ثمّ إلى مدينة يد، وهي التي ينزلها عمّال طريق مكّة وأهلها قيس وأكثرهم بنو عبس والنقرة، ومنها يعطف الطريق مَن أراد المدينة أو أرا د أهلها</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الطريق سلكه الإمام الحسين علیه السلام مع أهل بيته في قدومه من مكّة قاصداً الكوفة، حتى اعترضه جيش الحرّ بن يزيد الرياحي، فغيّر مسير الركب إلى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يتفرّع هذا الطريق من الكوفة والقرعاء، ومنها إلى مارق، ومنها إلى القلع، ثم إلى سلمستان، ثمَّ إلى أقر، ثمَّ إلى الأخاديد، ثمّ إلى عين صيد، ثمّ إلى عين جمل، ثمّ إلى البصرة، ومسافة هذا الطريق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فرسخاً، وقد سلك هذا الطريق عبيد الله بن زياد عندما توجّه إلى الكوفة، حتى يصل إليها قبل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من الكوفة أيضاً، ومن الحيرة كذلك، وأول مرحلة منه إلى القطقطانة، ثمَّ إلى البقعة، ثم إلى الأبيض، ثمّ إلى الحوشي، ثمّ إلى الجمع، ثمَّ إلى الخطي، ثم إلى الجبة، وإلى القلو في الرواري، إلى ساعدة، ثمّ إلى البقيعة والأعناك، ثمَّ إلى أذرعات فالمنزل فدمشق</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سلكت سبايا الحسين علیه السلام هذا الطريق عندما أمر يزيدُ واليَ الكوفة بإرسالهم إلى دمشق</w:t>
      </w:r>
      <w:r>
        <w:rPr>
          <w:rFonts w:eastAsia="IRNazanin" w:cs="IRNazanin"/>
          <w:color w:val="111111"/>
          <w:sz w:val="28"/>
          <w:szCs w:val="28"/>
          <w:rtl w:val="true"/>
          <w:lang w:bidi="fa-IR"/>
        </w:rPr>
        <w:t xml:space="preserve">. </w:t>
      </w:r>
      <w:bookmarkStart w:id="635" w:name="pg10991_100864"/>
    </w:p>
    <w:p>
      <w:pPr>
        <w:pStyle w:val="BookText"/>
        <w:rPr/>
      </w:pPr>
      <w:bookmarkEnd w:id="635"/>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من ناحية الشمال، النخيلة، كربلاء</w:t>
      </w:r>
      <w:r>
        <w:rPr>
          <w:rStyle w:val="FootnoteAnchor"/>
          <w:rtl w:val="true"/>
        </w:rPr>
        <w:footnoteReference w:id="590"/>
      </w:r>
      <w:r>
        <w:rPr>
          <w:rFonts w:ascii="IRNazanin" w:hAnsi="IRNazanin" w:eastAsia="IRNazanin"/>
          <w:color w:val="111111"/>
          <w:sz w:val="28"/>
          <w:sz w:val="28"/>
          <w:szCs w:val="28"/>
          <w:rtl w:val="true"/>
          <w:lang w:bidi="fa-IR"/>
        </w:rPr>
        <w:t>، وحاول عبيد الله بن زياد إحكام السيطرة على هذا الطريق ليمنع أنصار الحسين علیه السلام من أهل الكوفة من الالتحاق بمعسكره والقتال معه في كربلاء</w:t>
      </w:r>
      <w:r>
        <w:rPr>
          <w:rFonts w:eastAsia="IRNazanin" w:cs="IRNazanin"/>
          <w:color w:val="111111"/>
          <w:sz w:val="28"/>
          <w:szCs w:val="28"/>
          <w:rtl w:val="true"/>
          <w:lang w:bidi="fa-IR"/>
        </w:rPr>
        <w:t>.</w:t>
      </w:r>
    </w:p>
    <w:p>
      <w:pPr>
        <w:pStyle w:val="Heading3"/>
        <w:numPr>
          <w:ilvl w:val="2"/>
          <w:numId w:val="1"/>
        </w:numPr>
        <w:rPr/>
      </w:pPr>
      <w:bookmarkStart w:id="636" w:name="__RefHeading___Toc8289172_2870459653"/>
      <w:bookmarkStart w:id="637" w:name="_Toc229"/>
      <w:bookmarkEnd w:id="636"/>
      <w:r>
        <w:rPr/>
        <w:t>5</w:t>
      </w:r>
      <w:r>
        <w:rPr>
          <w:rtl w:val="true"/>
        </w:rPr>
        <w:t xml:space="preserve">- </w:t>
      </w:r>
      <w:r>
        <w:rPr>
          <w:rtl w:val="true"/>
        </w:rPr>
        <w:t>أهمّ معالم المدينة</w:t>
      </w:r>
      <w:bookmarkEnd w:id="637"/>
    </w:p>
    <w:p>
      <w:pPr>
        <w:pStyle w:val="BookText"/>
        <w:rPr/>
      </w:pPr>
      <w:r>
        <w:rPr>
          <w:rFonts w:ascii="IRNazanin" w:hAnsi="IRNazanin" w:eastAsia="IRNazanin"/>
          <w:color w:val="111111"/>
          <w:sz w:val="28"/>
          <w:sz w:val="28"/>
          <w:szCs w:val="28"/>
          <w:rtl w:val="true"/>
          <w:lang w:bidi="fa-IR"/>
        </w:rPr>
        <w:t>حظيت مدينة الكوفة بمنزلة علمية ساهمت في نشر وتطور بعض العلوم، ولا زالت آثارها تُدرس في وقتنا الحاضر، حيث يقف النحويون على آراء روَّاد هذه المدرسة في دروس اللغة العربية وقراءة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أيضاً نشأت مدرسة أهل البيت علیهم السلام ، وخاصّة عندما نقل الإمام علي علیه السلام عاصمته إليها، فالتفّ حوله أهل الكوفة ينهلون من علمه وبيانه، ليكون منهجاً في دراستهم، فبزغ منهم أكابر العلماء الذين يشهد العدو والصديق بفضلهم،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التمار، ورُشيد الهجري، وكُميل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أُخرى، فإن الكوفة من الأماكن التي حظيت بمنزلة خاصة، فعن أبي الحسن موسى بن جعفر علیه السلام ، عن أبيه علیه السلام ،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البلدان أربعة، فقال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وَالتِّينِ وَالزَّيْتُونِ </w:t>
      </w:r>
      <w:r>
        <w:rPr>
          <w:rFonts w:ascii="Amiri" w:hAnsi="Amiri" w:eastAsia="Amiri" w:cs="Amiri"/>
          <w:i/>
          <w:i/>
          <w:iCs/>
          <w:color w:val="111111"/>
          <w:sz w:val="28"/>
          <w:sz w:val="28"/>
          <w:szCs w:val="28"/>
          <w:rtl w:val="true"/>
          <w:lang w:bidi="ar-SA"/>
        </w:rPr>
        <w:t>وَطُورِ سِينِينَ</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فالتين المدينة، والزيتون بيت المقدس، وطور سينين الكوفة، وهذا البلد الأمين مكة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أبي جعفر علیه السلام ، عن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الكوفة، والقرار المسجد، والمعين الفرات</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638" w:name="pg10991_100866"/>
    </w:p>
    <w:p>
      <w:pPr>
        <w:pStyle w:val="BookText"/>
        <w:rPr/>
      </w:pPr>
      <w:bookmarkEnd w:id="638"/>
      <w:r>
        <w:rPr>
          <w:rFonts w:ascii="IRNazanin" w:hAnsi="IRNazanin" w:eastAsia="IRNazanin"/>
          <w:color w:val="111111"/>
          <w:sz w:val="28"/>
          <w:sz w:val="28"/>
          <w:szCs w:val="28"/>
          <w:rtl w:val="true"/>
          <w:lang w:bidi="fa-IR"/>
        </w:rPr>
        <w:t>وعن الإمام أبي عبد الله علیه السلام في فضل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ولايتنا على أهل الأمصار فلم يقبلها إلّا أهل الكوفة</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ذلك هناك بعض الأماكن الميزة في مدينة الكوفة لها أهمية دينية وسياسية، نذكر منها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8289174_2870459653"/>
      <w:bookmarkStart w:id="640" w:name="_Toc230"/>
      <w:bookmarkEnd w:id="639"/>
      <w:r>
        <w:rPr>
          <w:rtl w:val="true"/>
        </w:rPr>
        <w:t>أ</w:t>
      </w:r>
      <w:r>
        <w:rPr>
          <w:rtl w:val="true"/>
        </w:rPr>
        <w:t xml:space="preserve">) </w:t>
      </w:r>
      <w:r>
        <w:rPr>
          <w:rtl w:val="true"/>
        </w:rPr>
        <w:t>مسجد الكوفة</w:t>
      </w:r>
      <w:bookmarkEnd w:id="640"/>
    </w:p>
    <w:p>
      <w:pPr>
        <w:pStyle w:val="BookText"/>
        <w:rPr/>
      </w:pPr>
      <w:r>
        <w:rPr>
          <w:rFonts w:ascii="Amiri" w:hAnsi="Amiri" w:eastAsia="Amiri" w:cs="Amiri"/>
          <w:color w:val="111111"/>
          <w:sz w:val="28"/>
          <w:sz w:val="28"/>
          <w:szCs w:val="28"/>
          <w:rtl w:val="true"/>
          <w:lang w:bidi="ar-SA"/>
        </w:rPr>
        <w:t>يظهر من المصادر التاريخية أنّ مسجد الكوفة كانت آثاره باقية عندما دخلها سعد بن أبي وقاص؛ لذلك لمّا انتهى إلى موضع مسجدها أمر رجلاً رامياً شديد الرمي، فرمى من المسجد إلى أربع جهات، وحيث سقط سهمه بنى الناس منازلهم، ولما انتهى من تحديد هذه العلامات سمح للناس بالبناء فيها، وترك هذه المساحة بين المسجد ونهاية سقوط السهام فارغة للاستفادة منها في تجميع الجيش وتجهيزه للغزوات والحروب مع الفُرس أو الروم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ودلّت الأخبار الكثيرة على أنّ أول مَن خطَّ مسجد الكوفة هو آدم علیه السلام ، وأنّ مسجد الكوفة ببنائه الحالي قد نقص عن مساحته كثيراً، فقد ذكر الصدوق في كتاب مَن لا يحضره الفقيه، والمجلسي في البحار بالإسناد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مسجد الكوفة آخر السرّاجين خطّه آدم، وأنا أكره أن أدخله راكباً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غيَّره من خطته؟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ذلك فالطوفان في زمن نوح، ثمّ غيَّره أصحاب كسرى والنعمان بن المنذر، ثمّ غيَّره زياد بن أبي سفيان</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وتميّز مسجد الكوفة بموقع سفينة نوح الذي لا زال موجوداً إلى الآن، حيث فار التنور من زاويتيه، ونُجرت السفينة في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مسجد الكوفة رابع أربعة مساجد للمسلمين، ركعتان أحبّ إليّ من عشرة فيما سواه، ولقد نُجرت سفينة نوح في وسطه وفار التنور من زاويتيه والبركة منه على اثنى عشر ميلاً من حيث ما أتيته، ولقد نقص منه اثنا عشر ألف ذراع بما كان على عهدهم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مسجد الكوفة يتخيَّر المسافر بين القصر والتمام، وذهب أكثر الإمامية إلى ترجيح الإتمام، وخلافه شاذ نادر، وروي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ومسجد الكوفة، وحائر الحسين علیه السلام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ويُستحب الاعتكاف في مسجد الكوفة، فقد وردت الأخبار عن الأئمّة علیهم السلام في فضل الاعتكاف فيه، وقد عمل العلماء بهذه السنة فكانوا يتعبّدون في هذا المسجد الشريف، وقد سُئل الإمام أبو عبد الله علیه السلام عن الاعتكاف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إلّا في المسجد الحرام، أو مسجد الرسول، أو مسجد الكوفة، أو مسجد جماعة، وتصوم ما دمت معتكفاً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فضل الصلاة فيه، فعن هارون بن خارجة، عن أبي عبد الله علیه السلام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أتُصلي الصلاة كلها في مسجد الكوفة؟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كنت بحضرته لرجوت أن لا تفوتني فيه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وتدري ما فضله؟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صالح ولا نبي إلّا وقد صلى في مسجد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رسول الله صلی الله علیه و اله لما أُسري به </w:t>
      </w:r>
      <w:bookmarkStart w:id="641" w:name="pg10991_100870"/>
    </w:p>
    <w:p>
      <w:pPr>
        <w:pStyle w:val="BookText"/>
        <w:rPr/>
      </w:pPr>
      <w:bookmarkEnd w:id="641"/>
      <w:r>
        <w:rPr>
          <w:rFonts w:ascii="IRNazanin" w:hAnsi="IRNazanin" w:eastAsia="IRNazanin"/>
          <w:color w:val="111111"/>
          <w:sz w:val="28"/>
          <w:sz w:val="28"/>
          <w:szCs w:val="28"/>
          <w:rtl w:val="true"/>
          <w:lang w:bidi="fa-IR"/>
        </w:rPr>
        <w:t xml:space="preserve">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أنت مقابل مسجد كوفان؟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ربك حتى أهبط فأُصلي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فصلى فيه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الصلاة المكتوبة فيه تعدل بألف صلاة، وإن النافلة فيه تعدل بخمسمائة صلاة، وإن مقدمه لروضة من رياض الجنة، وإن ميمنته روضة من رياض الجنة، وإن ميسرته روضة من رياض الجنة، وإن مؤخره روضة من رياض الجنة، وإن الجلوس فيه بغير صلاة ولا ذكر لَعبادة، ولو علم الناس ما فيه لأتوه ولو حبواً</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8289176_2870459653"/>
      <w:bookmarkStart w:id="643" w:name="_Toc231"/>
      <w:bookmarkEnd w:id="642"/>
      <w:r>
        <w:rPr>
          <w:rtl w:val="true"/>
        </w:rPr>
        <w:t>ب</w:t>
      </w:r>
      <w:r>
        <w:rPr>
          <w:rtl w:val="true"/>
        </w:rPr>
        <w:t xml:space="preserve">) </w:t>
      </w:r>
      <w:r>
        <w:rPr>
          <w:rtl w:val="true"/>
        </w:rPr>
        <w:t>دار الإمارة</w:t>
      </w:r>
      <w:bookmarkEnd w:id="643"/>
    </w:p>
    <w:p>
      <w:pPr>
        <w:pStyle w:val="BookText"/>
        <w:rPr/>
      </w:pPr>
      <w:r>
        <w:rPr>
          <w:rFonts w:ascii="Amiri" w:hAnsi="Amiri" w:eastAsia="Amiri" w:cs="Amiri"/>
          <w:color w:val="111111"/>
          <w:sz w:val="28"/>
          <w:sz w:val="28"/>
          <w:szCs w:val="28"/>
          <w:rtl w:val="true"/>
          <w:lang w:bidi="ar-SA"/>
        </w:rPr>
        <w:t xml:space="preserve">خطط سعد بن أبي وقاص دار الإمارة بجانب مسجد الكوفة ليكون مركزاً لقيادته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ما بناه على شكل ثلاث غرف جعل الباب الرئيسة في باحة القصر، وجعل باباً ثانياً في حائط المسجد لوصله إلى المحراب عند الصلاة</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وصل خبر تحرّك مسلم علیه السلام إلى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الثورة التي كادت أن تُطيح بابن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مذعوراً قصر الإمارة عن طريق باب المحراب، خائفاً من جيش مسلم علیه السلام فأحكم غلق الأبواب وحصّن نفسه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تعرَّض بيت مال المسلمين للسرقة والنهب أمر سعد بن أبي وقاص ببناء السور لحمايته من اللصوص، ووسع زياد بن أبيه دار الإمارة ليكون بناءً مربّعاً، وأظهرت التقسيمات الأخيرة لدائرة الآثار العراقية أنّ طول دار الإمارة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وسُمك الجدران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وفي بعض الأجزاء قد يصل إلى مترين، وقد دعم كلَّ ضلع من الجدران الأربعة بأربعة أبراج نصف دائرية لتقويتها، وكانت المسافة </w:t>
      </w:r>
      <w:bookmarkStart w:id="644" w:name="pg10991_100872"/>
    </w:p>
    <w:p>
      <w:pPr>
        <w:pStyle w:val="BookText"/>
        <w:rPr/>
      </w:pPr>
      <w:bookmarkEnd w:id="644"/>
      <w:r>
        <w:rPr>
          <w:rFonts w:ascii="Amiri" w:hAnsi="Amiri" w:eastAsia="Amiri" w:cs="Amiri"/>
          <w:color w:val="111111"/>
          <w:sz w:val="28"/>
          <w:sz w:val="28"/>
          <w:szCs w:val="28"/>
          <w:rtl w:val="true"/>
          <w:lang w:bidi="ar-SA"/>
        </w:rPr>
        <w:t xml:space="preserve">بين كلِّ برج وآخر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وأمّا الأركان فقد قويَّت ببرج مستديرة يبلغ ثلاثة أرباع الدائرة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باب الدار الرئيسية في الجهة الشمالية في وسط الضلع الشمالي لمدخل السور الرئيسي، وبين باب السور وباب دار الإمارة مدخلاً عرضه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ينتهي بقاعة مربعة عليها قبة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التي جلس فيها عبيد الله بن زياد عندما كان أميراً للكوفة حيث وُضِع له سرير وقد أحاط به الأشراف والحرس وقائد الشرطة والمقرَّبون منه وأُدخلت عليه ضعينة الحسين علیه السلام بعد انتهاء واقعة الطفّ ومعهم الإمام زين العابدين علیه السلام مكبَّلاً بالقيود والأغلال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السور، فإنّ زياد بن أبيه أعاد بناءه أيضاً، وقد وسّعه فبلغ عرضه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وطوله كذلك، وأمّا معدل سُمك الجدران فأربعة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أحد المختصّين في علم الآثار أنّ ارتفاع هذا السور يصل إلى عشرين متراً، والذي يرجِّح هذا الاستنباط أنّ أساس هذا السور كان عريضاً ممّا يظنّ فيه أنّه كان يتّخذ لرفع البناء إلى ما يقرب هذا التحديد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أعلى هذا السور رُميت جثّة مسلم بن عقيل علیه السلام ، بعد أن أمر ابن زياد أن يُصعد به إلى أعلى القصر ويُقطع رأسه وتُرمى جثّته من فوق السور؛ ليمنع أصحابه من الدخول لإنقاذه، بالإضافة إلى أنّ ابن زياد أراد أن ينظر أكبر عدد ممكن من أهل الكوفة إلى إعدام مسلم علیه السلام بهذه الطريقة الوحشية؛ ليدخل الخوف والرعب في قلوبهم، ويمتنعون عن القيام بأي حركة ضده</w:t>
      </w:r>
      <w:r>
        <w:rPr>
          <w:rFonts w:eastAsia="IRNazanin" w:cs="IRNazanin"/>
          <w:color w:val="111111"/>
          <w:sz w:val="28"/>
          <w:szCs w:val="28"/>
          <w:rtl w:val="true"/>
          <w:lang w:bidi="fa-IR"/>
        </w:rPr>
        <w:t>.</w:t>
      </w:r>
    </w:p>
    <w:p>
      <w:pPr>
        <w:pStyle w:val="Heading3"/>
        <w:numPr>
          <w:ilvl w:val="2"/>
          <w:numId w:val="1"/>
        </w:numPr>
        <w:rPr/>
      </w:pPr>
      <w:bookmarkStart w:id="645" w:name="__RefHeading___Toc8289178_2870459653"/>
      <w:bookmarkStart w:id="646" w:name="_Toc232"/>
      <w:bookmarkEnd w:id="645"/>
      <w:r>
        <w:rPr>
          <w:rtl w:val="true"/>
        </w:rPr>
        <w:t>المحور الثاني</w:t>
      </w:r>
      <w:r>
        <w:rPr>
          <w:rtl w:val="true"/>
        </w:rPr>
        <w:t xml:space="preserve">: </w:t>
      </w:r>
      <w:r>
        <w:rPr>
          <w:rtl w:val="true"/>
        </w:rPr>
        <w:t>تركيب الكوفة السكاني</w:t>
      </w:r>
      <w:bookmarkEnd w:id="6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الكوفة مركز مهمّ وحسّاس فقد أصبحت محطَّ أنظار كثير من العرب </w:t>
      </w:r>
      <w:bookmarkStart w:id="647" w:name="pg10991_100874"/>
    </w:p>
    <w:p>
      <w:pPr>
        <w:pStyle w:val="BookText"/>
        <w:rPr/>
      </w:pPr>
      <w:bookmarkEnd w:id="647"/>
      <w:r>
        <w:rPr>
          <w:rFonts w:ascii="Amiri" w:hAnsi="Amiri" w:eastAsia="Amiri" w:cs="Amiri"/>
          <w:color w:val="111111"/>
          <w:sz w:val="28"/>
          <w:sz w:val="28"/>
          <w:szCs w:val="28"/>
          <w:rtl w:val="true"/>
          <w:lang w:bidi="ar-SA"/>
        </w:rPr>
        <w:t>المسلمين، وذلك لأنّها مدينة حيويّة، تتميز بموقع زراعيّ و تجاريّ آنذاك، فاستوطنها كثير من السيّاح والتجّار؛ لذا أصبح مجتمعها متنوعاً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يهمّنا هنا في هذا المحور هو الحديث عن هذا المجتمع بتنوِّعه وقبائله وتوزيعه على المدينة، فالكلام يقع في جهتين</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8289180_2870459653"/>
      <w:bookmarkStart w:id="649" w:name="_Toc233"/>
      <w:bookmarkEnd w:id="648"/>
      <w:r>
        <w:rPr>
          <w:rtl w:val="true"/>
        </w:rPr>
        <w:t>الجهة الأُولى</w:t>
      </w:r>
      <w:r>
        <w:rPr>
          <w:rtl w:val="true"/>
        </w:rPr>
        <w:t xml:space="preserve">: </w:t>
      </w:r>
      <w:r>
        <w:rPr>
          <w:rtl w:val="true"/>
        </w:rPr>
        <w:t>قبائل الكوفة وتوزيعها</w:t>
      </w:r>
      <w:bookmarkEnd w:id="649"/>
    </w:p>
    <w:p>
      <w:pPr>
        <w:pStyle w:val="BookText"/>
        <w:rPr/>
      </w:pPr>
      <w:r>
        <w:rPr>
          <w:rFonts w:ascii="Amiri" w:hAnsi="Amiri" w:eastAsia="Amiri" w:cs="Amiri"/>
          <w:color w:val="111111"/>
          <w:sz w:val="28"/>
          <w:sz w:val="28"/>
          <w:szCs w:val="28"/>
          <w:rtl w:val="true"/>
          <w:lang w:bidi="ar-SA"/>
        </w:rPr>
        <w:t xml:space="preserve">كانت قبائل الكوفة مقسّمة إلى عشرة أقسام، ولكن سعد بن أبي وقاص كتب إلى عمر بن الخطاب في تعديلهم فكتب إليه أن عدِّلهم، فأرسل إلى قوم من أنساب العرب وذوي رأيهم وعقلائهم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سعيد بن نمران ومشعلة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فعدلوهم على الأسباع وجعلوهم أسباعاً</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التقسيم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وحلفاؤها من الأحابيش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عمرو بن قيس عيلان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ومنهم غسان بن شبام، وبجيلة، وخثعم، وكندة، وحضرموت، والأزد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وحميرة، وهمدان وحلفائهم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وسائر الرباب، وهوزان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وغطفان، ومحارب، والنمر، وضحة، وتغلب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وعك، وعبد القيس، وأهل هجر، والحمراء</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كلّ قسم من هذه الأسباع أمير وحامل راية تميّز القبائل في القسم الواحد، وكانت الدولة تمدّ الأميرَ بما يحتاجه من أموال وأرزاق ليوزعها على أفراد </w:t>
      </w:r>
    </w:p>
    <w:p>
      <w:pPr>
        <w:pStyle w:val="BookText"/>
        <w:rPr/>
      </w:pPr>
      <w:r>
        <w:rPr>
          <w:rFonts w:ascii="Amiri" w:hAnsi="Amiri" w:eastAsia="Amiri" w:cs="Amiri"/>
          <w:color w:val="111111"/>
          <w:sz w:val="28"/>
          <w:sz w:val="28"/>
          <w:szCs w:val="28"/>
          <w:rtl w:val="true"/>
          <w:lang w:bidi="ar-SA"/>
        </w:rPr>
        <w:t>القبائل الذين تحت إمرته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وُزِّعت القبائل للسكن في الكوفة وفقاً للتخطيط الذي بعثه عمر بن الخطاب إلى سعد بن أبي وقاص وأمره بالعمل به، فأصبح توزيع القبائل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لقبيلتي سليم وثقيف، والمنهج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لهمدان، والمنهج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لبجيلة، والمنهج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لتميم وتغلب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المنهج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ومزينة، والمنهج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لتميم ومحارب، والمنهج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لأسد وعامر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المنهج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لبجالة وبجلية، والمنهج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لجديلة واللفيف والمنهج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لجهينة واللفيف</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الجيش الإسلامي كان يعتمد اعتماداً مباشراً على هذه القبائل التي يطلب مشاركتها عند إعلان الحرب، وخاصةً في فترة الفتوحات الإسلاميّة التي انطلقت من الكوفة، وكانت القبيلة تختار رجلاً ليمثلها عن القائد العسكري للجيش الذي يُسمى أميراً، ويكون هذا الشخص الممثِّل لقبيلته، أشرفهم منزلةً وأوسعهم علماً، وأحسنهم أخلاقاً حتى يتمّ ترشيحه لهذا المنصب 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أعطى الإمام علي علیه السلام الحرية في اختيار مَن يمثل القبائل في جيشه الذي اشترك في الحرب ضد معاوية في معركة صفّين، فكان على رأس الأسباع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الثقفي، على قيس وعبد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اليربوع، على غيم وخبه وقريش وكنانه وأسد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محنف بن سليم، على الأزد وبجيلة وخثعم والأنصار وخزاعة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 على كندة وحضرموت وقضاعة ومهرة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بن النظر، على مذحج والأشعريين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بن مرّة الهمداني، على همدان ومَن معهم من 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 على طيء ويجمعهم الدعوة مع مذحج، وراية مذحج مع زياد بن النضر، وراية طيء مع عدي بن حاتم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نظام الأسباع في الكوفة حتى عهد زياد بن أبيه الذي تمّ استبداله بنظام الأرباع</w:t>
      </w:r>
      <w:r>
        <w:rPr>
          <w:rStyle w:val="FootnoteAnchor"/>
          <w:rtl w:val="true"/>
        </w:rPr>
        <w:footnoteReference w:id="606"/>
      </w:r>
      <w:r>
        <w:rPr>
          <w:rFonts w:ascii="Amiri" w:hAnsi="Amiri" w:eastAsia="Amiri" w:cs="Amiri"/>
          <w:color w:val="111111"/>
          <w:sz w:val="28"/>
          <w:sz w:val="28"/>
          <w:szCs w:val="28"/>
          <w:rtl w:val="true"/>
          <w:lang w:bidi="ar-SA"/>
        </w:rPr>
        <w:t>، وألغى اختيار القبيلة للأفضل الذي يمثلها، واستبداله بمَن هو أشدّ ولاءً في القبيلة للحزب الأُموي، ومَن له نشاط في خدمته، وأن يكون تاريخه معروفاً بذلك، وإن كانت القبيلة لم توافق عليه ممثلاً عنها، بل حتى لو كانت تعاديه وتنبذه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يهتمّ زياد بن أبيه بالفضائل الأخلاقية والملكات النفسية الكريمة التي يمتلكها الشخص الذي اختاره ليكون مسؤولاً عن كلّ قسم، فقد جعل على ربع أهل المدينة عمرو بن حريث، وجعل على ربع تميم وهمدان خالد بن عرفطة، وجعل قيس بن الوليد على ربع ربيع وكندة، وجعل أبا بردة بن أبي موسى على مذحج وأسد</w:t>
      </w:r>
      <w:r>
        <w:rPr>
          <w:rStyle w:val="FootnoteAnchor"/>
          <w:rtl w:val="true"/>
        </w:rPr>
        <w:footnoteReference w:id="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ساهم هذا التنظيم الجديد في إضعاف القبائل المناوئة للأُمويين، وتخفيف حدّة العصبية القبليّة وصولاً إلى ممارسة الدولة لسلطتها ومسؤولياتها، في تنظيم الجيوش وترتيب القيادات والسيطرة على توزيع العطاء على المقاتلين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عبيد الله بن زياد ازدادت سيطرة الأُمويين على قبائل الكوفة؛ لأنّ ابن </w:t>
      </w:r>
      <w:bookmarkStart w:id="650" w:name="pg10991_100880"/>
    </w:p>
    <w:p>
      <w:pPr>
        <w:pStyle w:val="BookText"/>
        <w:rPr/>
      </w:pPr>
      <w:bookmarkEnd w:id="650"/>
      <w:r>
        <w:rPr>
          <w:rFonts w:ascii="Amiri" w:hAnsi="Amiri" w:eastAsia="Amiri" w:cs="Amiri"/>
          <w:color w:val="111111"/>
          <w:sz w:val="28"/>
          <w:sz w:val="28"/>
          <w:szCs w:val="28"/>
          <w:rtl w:val="true"/>
          <w:lang w:bidi="ar-SA"/>
        </w:rPr>
        <w:t>زياد جعل للعرفاء الصلاحية المطلقة في توزيع الحقوق المالية والأرزاق على حسب ولاء الفرد للأُمويين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الجناح العسكري في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اتّصال مباشر بالدولة، بعد أن نظّم السجلات لهم في ديوان الجند، وبهذا التنظيم الدقيق والمتقن من ابن زياد، فقدت القبيلة وزعيمها مراكزها في مقابل أوامر ونواهي الدولة، وخاصّة في النزاعات المسلحة؛ لأنّ أفرادها مرتبطون بنظام الجيش المركزي للمدينة يتعرّضون إلى أقصى العقوبات والتي تصل إلى عقوبة الإعدام إذا خالفوا تعاليم القائد العسكري للمدينة، أو اشتركوا مع القبيلة ضده، وهذا ما حدث مع هانئ بن عروة، وهو كبير عشيرة مذحج والذي قُتل ولم يتقدَّم أحدٌ لنصرته خوفاً من عقوبة ابن زياد لهم</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8289182_2870459653"/>
      <w:bookmarkStart w:id="652" w:name="_Toc234"/>
      <w:bookmarkEnd w:id="651"/>
      <w:r>
        <w:rPr>
          <w:rtl w:val="true"/>
        </w:rPr>
        <w:t>الجهة الثانية</w:t>
      </w:r>
      <w:r>
        <w:rPr>
          <w:rtl w:val="true"/>
        </w:rPr>
        <w:t xml:space="preserve">: </w:t>
      </w:r>
      <w:r>
        <w:rPr>
          <w:rtl w:val="true"/>
        </w:rPr>
        <w:t>أهمّ قبائل المدينة</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القبائل العربية التي أسلمت على يد الإمام علي علیه السلام ، في اليمن حيث مكان سكناها، ثمَّ انتقلت مع الجيش الإسلامي إلى المدينة والكوفة وشاركت في حروب الإمام علي علیه السلام وخاصّة في حرب صفين، عندما كان عليهم سعيد بن قيس، وقد أبلى بلاءً حسناً، هو وعشيرته حتى جزع منهم معاوية جزعاً لمّا رأى شدَّة بأسهم وقوتهم، وما لحق بجيشه من هزيمة بسببهم، وقد مدحهم الإمام علي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لوكنتُ بوّاباً على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ادخلي بسلام</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وقد استُشهد عدد من أبطال هذه القبيلة في سبيل نصرة الإمام الحسين علیه السلام ، أمثال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تمامة الصائدي والذي كان يقبض الأموال من الشيعة بأمر من مسلم بن </w:t>
      </w:r>
    </w:p>
    <w:p>
      <w:pPr>
        <w:pStyle w:val="BookText"/>
        <w:rPr/>
      </w:pPr>
      <w:r>
        <w:rPr>
          <w:rFonts w:ascii="IRNazanin" w:hAnsi="IRNazanin" w:eastAsia="IRNazanin"/>
          <w:color w:val="111111"/>
          <w:sz w:val="28"/>
          <w:sz w:val="28"/>
          <w:szCs w:val="28"/>
          <w:rtl w:val="true"/>
          <w:lang w:bidi="fa-IR"/>
        </w:rPr>
        <w:t xml:space="preserve">عقيل علیه السلام ويشتري بها السلاح، وبعد استشهاد مسلم علیه السلام توجّه إلى كربلاء ليشترك مع الإمام الحسين علیه السلام حتى استُشهد بين يديه، وهو الذي قال له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ذكرت الصلاة جعلك الله من المصلين الذاكرين</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خضير المشرقي الهمداني، سيد القرّاء في الكوفة، وقد استُشهد بعد أن ضربه كعب بن جابر الأزدي برمحه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أسعد 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عمرو الصيداوي الهمداني قتل بعد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عريب الصائدي 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أبي عمير 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بن عبد الله الهمداني الشاكري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 الشاكري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الهمداني الكوفي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القبائل العربية التي سكنت الكوفة واشتُهرت باسم زعيمها وقائدها الصحابي الجليل حجر بن عدي الكندي، الذي كان من الموالين للإمام أمير المؤمنين علیه السلام ، وقد اعترض على سياسة زياد بن أبيه الظالمة حتى حصلت المواجهة بينه وبين الجيش الأُموي فاعتُقل مع جماعة من أصحابه المخلصين، ثمَّ أرسلهم ابن زياد إلى معاوية لينفذ حكم الإعدام بهم، وقد شارك في نصرة الإمام الحسين علیه السلام من هذه القبيلة الحارث بن أمرئ الكندي الكوفي، وأبو الشعثاء الكندي</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53" w:name="pg10991_100884"/>
    </w:p>
    <w:p>
      <w:pPr>
        <w:pStyle w:val="BookText"/>
        <w:rPr/>
      </w:pPr>
      <w:bookmarkEnd w:id="6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القبائل المعروفة، وينسبها أهل الأنساب إلى مذحج بن مالك بن أدد</w:t>
      </w:r>
      <w:r>
        <w:rPr>
          <w:rStyle w:val="FootnoteAnchor"/>
          <w:rtl w:val="true"/>
        </w:rPr>
        <w:footnoteReference w:id="613"/>
      </w:r>
      <w:r>
        <w:rPr>
          <w:rFonts w:ascii="IRNazanin" w:hAnsi="IRNazanin" w:eastAsia="IRNazanin"/>
          <w:color w:val="111111"/>
          <w:sz w:val="28"/>
          <w:sz w:val="28"/>
          <w:szCs w:val="28"/>
          <w:rtl w:val="true"/>
          <w:lang w:bidi="fa-IR"/>
        </w:rPr>
        <w:t>، ويُعتبر مالك الأشتر من شجعان هذه القبيلة وأكثرهم وفاءً لأمير المؤمنين علیه السلام ؛ إذ إنّه يرجع إلى النخع، والنخع من أكبر بطون بني مذحج</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هانئ بن عروة الذي وقف موقفاً عظيماً في نصرة رسول الحسين علیه السلام ، عندما أدخله داره وأوفى بعهده في حمايته حتى قُتل دونه، ولم يتعاون مع عبيد الله بن زياد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القبائل العربية التي عاشت في الجزيرة العربية</w:t>
      </w:r>
      <w:r>
        <w:rPr>
          <w:rStyle w:val="FootnoteAnchor"/>
          <w:rtl w:val="true"/>
        </w:rPr>
        <w:footnoteReference w:id="615"/>
      </w:r>
      <w:r>
        <w:rPr>
          <w:rFonts w:ascii="IRNazanin" w:hAnsi="IRNazanin" w:eastAsia="IRNazanin"/>
          <w:color w:val="111111"/>
          <w:sz w:val="28"/>
          <w:sz w:val="28"/>
          <w:szCs w:val="28"/>
          <w:rtl w:val="true"/>
          <w:lang w:bidi="fa-IR"/>
        </w:rPr>
        <w:t>، ثمَّ انتقلت إلى الكوفة مع الجيش الإسلامي، وشارك من هذه القبيلة في نصرة الحسين علیه السلام عامر بن حسان الطائي</w:t>
      </w:r>
      <w:r>
        <w:rPr>
          <w:rFonts w:eastAsia="IRNazanin" w:cs="IRNazanin"/>
          <w:color w:val="111111"/>
          <w:sz w:val="28"/>
          <w:szCs w:val="28"/>
          <w:rtl w:val="true"/>
          <w:lang w:bidi="fa-IR"/>
        </w:rPr>
        <w:t>.</w:t>
      </w:r>
    </w:p>
    <w:p>
      <w:pPr>
        <w:pStyle w:val="Heading3"/>
        <w:numPr>
          <w:ilvl w:val="2"/>
          <w:numId w:val="1"/>
        </w:numPr>
        <w:rPr/>
      </w:pPr>
      <w:bookmarkStart w:id="654" w:name="__RefHeading___Toc8289184_2870459653"/>
      <w:bookmarkStart w:id="655" w:name="_Toc235"/>
      <w:bookmarkEnd w:id="654"/>
      <w:r>
        <w:rPr>
          <w:rtl w:val="true"/>
        </w:rPr>
        <w:t>المحور الثالث</w:t>
      </w:r>
      <w:r>
        <w:rPr>
          <w:rtl w:val="true"/>
        </w:rPr>
        <w:t xml:space="preserve">: </w:t>
      </w:r>
      <w:r>
        <w:rPr>
          <w:rtl w:val="true"/>
        </w:rPr>
        <w:t>الصراع السياسي في الكوفة</w:t>
      </w:r>
      <w:bookmarkEnd w:id="655"/>
    </w:p>
    <w:p>
      <w:pPr>
        <w:pStyle w:val="BookText"/>
        <w:rPr/>
      </w:pPr>
      <w:r>
        <w:rPr>
          <w:rFonts w:ascii="IRNazanin" w:hAnsi="IRNazanin" w:eastAsia="IRNazanin"/>
          <w:color w:val="111111"/>
          <w:sz w:val="28"/>
          <w:sz w:val="28"/>
          <w:szCs w:val="28"/>
          <w:rtl w:val="true"/>
          <w:lang w:bidi="fa-IR"/>
        </w:rPr>
        <w:t>عندما انتقلت القبائل العربية من مكّة والمدينة إلى الكوفة انتقلت معها وجهات النظر السياسيّة المختلفة في إدارة الأُمّة وقيادتها؛ الأمر الذي صيّر المجتمع الكوفي أكثر تعقيداً؛ لذا حينما وصل مسلم علیه السلام إلى الكوفة كان هناك اتجاه يرى أنّ الخلافة تنصيب إلهي منحصر في أهل البيت علیه السلام ، بالإضافة إلى وجود حزبين؛ مما جعل الكوفة تتجاذب إلى ثلاثة اتجاهات وهي</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ويُمثل هذا الاتجاه شيعة الإمام علي علیه السلام الذين التزموا بأوامر الرسول الكريم صلی الله علیه و اله في بيعة الغدير، وأطاعوا الإمام علیه السلام واتّبعوه، دون غيره من الخلفاء واشتركوا في حروبه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وصفين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 لأهل الكوفة </w:t>
      </w:r>
    </w:p>
    <w:p>
      <w:pPr>
        <w:pStyle w:val="BookText"/>
        <w:rPr/>
      </w:pPr>
      <w:r>
        <w:rPr>
          <w:rFonts w:ascii="Amiri" w:hAnsi="Amiri" w:eastAsia="Amiri" w:cs="Amiri"/>
          <w:color w:val="111111"/>
          <w:sz w:val="28"/>
          <w:sz w:val="28"/>
          <w:szCs w:val="28"/>
          <w:rtl w:val="true"/>
          <w:lang w:bidi="ar-SA"/>
        </w:rPr>
        <w:t>فيها دور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جعل الإمام علي علیه السلام الكوفة عاصمة له؛ ترسخت جذور شيعة الكوفة وأخذوا ينهلون من فيض وجوده المبارك وخاصّة العلماء والأُدباء والمحدّثين، فحفظوا خطبه واستمعوا إلى حديثه، وكانوا يسألونه ويستفسرون منه عن أُمور دينهم ودنياهم، وقد نقلوا خُطَبَه الشريفة وأحاديثه من جيل إلى آخر وإلى يومنا في كافة شؤون الحياة السياسيّة والدينيّة والاجتماعيّة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دخل مسلم الكوفة، نشط زعماء هذا التوجه في توحيد صفوف الشيعة وأخذ البيعة منهم لمسلم بن عقيل علیه السلام ، وقاموا بثورة عندما سُجِن هانئ بن عروة في دار الإمارة، ولكن ثورتهم فشلت وقُتل قائدهم وسُجن بعض زعمائهم والبعض الآخر التحق بمعسكر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الحزب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الحزب الذي أنشأه عثمان بن عفان في المدينة إبّان خلافته، عندما دعم بني أُمية بشكل مطلق، ومدّهم بالأموال، وثبت نفوذهم في البلدان الإسلاميّة عندما عيَّنهم أُمراء عليها، وكان معاوية بن أبي سفيان من أنشط أعضاء هذا الحزب حيث نجح في نشره في بلاد الشام، وثبّت في نفس الوقت مكانته بين الناس كي يتمكّن من زيادة أنصاره وأعوانه؛ ليتحدّى بهم الدولة الإسلاميّة المركزية، ويرفض قرار عزله عن بلاد الشام، ويجنِّد أفراد الحزب الموالين له لشنّ حرب ضد الإمام علي علیه السلام الخليفة الشرعي، ويطلب الخلافة لنفسه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واستطاع بحيله الباطلة أن يكسب لحزبه شخصيات مهمّة من أهل الكوفة، إضافة إلى عامة الناس بعد أن أغراهم بالأموال، أمثال شريح القاضي، والأشعث بن القيس، وغيرهما ممَّن كان له دور وتأثير كبير في إيقاف معركة صفِّين وإجبار </w:t>
      </w:r>
    </w:p>
    <w:p>
      <w:pPr>
        <w:pStyle w:val="BookText"/>
        <w:rPr/>
      </w:pPr>
      <w:r>
        <w:rPr>
          <w:rFonts w:ascii="IRNazanin" w:hAnsi="IRNazanin" w:eastAsia="IRNazanin"/>
          <w:color w:val="111111"/>
          <w:sz w:val="28"/>
          <w:sz w:val="28"/>
          <w:szCs w:val="28"/>
          <w:rtl w:val="true"/>
          <w:lang w:bidi="fa-IR"/>
        </w:rPr>
        <w:t>الإمام علیه السلام على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صلح الإمام الحسن علیه السلام أدرك معاوية عظمة مدينة الكوفة فكرياً، حيث العلماء والفقهاء بحلقاتهم العلمية في مسجد الكوفة، واقتصادياً لوجود الأراضي الزراعيّة الخصبة التي تشكل مورداً مالياً ضخماً للخلافة، والتي يهتمّ بها معاوية كثيراً لأنّها تشكِّل العمود الفقري لسياسة 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ولأجل السيطرة على الواقع الكوفي عُيِّن زيادُ ابن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بظلمه وغطرسته وعدائه الشديد للإمام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عليهم، وأمره معاوية بأن يُسبَّ الإمام علي علیه السلام على المنابر، فكان الخطيب الأُموي يفتتح خطبة الجمعة بسبِّ ولعن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أصبحت فترة ولاية زياد بن أبيه من أشدّ السنين ظلماً على شيعة الكوفة، حيث القتل والسجن والتعذيب لكلِّ معارض أو مخالف للحزب الأُموي، والترغيب والتشويق بالأموال لكلِّ مَن ينضمّ ويرتبط بالحزب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 مسلم علیه السلام الكوفة كان الحزب الأُموي قد مرّت عليه عشرون سنة في السلطة، فالأجهزة الأمنيّة والعسكريّة والاقتصاديّة وتنظيم الحياة الاجتماعيّة كلّها تحت نفوذ هذا الحزب وأعضائه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تمسّكت بعض الشخصيات المنتفعة ببقاء مدينة الكوفة تحت سيطرة الأُمويين ومنعت انتقالها إلى الشيعة والموالين لأهل البيت علیهم السلام ، لذلك كتبوا إلى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عندما شعروا بأنّ النعمان ضعيف أو يتضاعف خوفاً من فقدان الحزب الأُموي سيطرته على هذه المدينة، وبالتالي تتعرَّض مصالحهم للخطر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وبمساعدة هؤلاء استطاع عبيد الله بن زياد أن يجهِّز جيشاً من أهل الكوفة لمحاربة الحسين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الحزب الذي عُرف في الكوفة بعد انتهاء واقعة صفين، عندما انشقّ أفراد هذا الحزب عن جيش الإمام علي علیه السلام واعترضوا عليه لأنّه رضي بالتحكيم، وقد حاججهم الإمام علي علیه السلام ، فرجع قسم كبير منهم، وقاتل علیه السلام القسم الآخر فما بقي منهم إلّا عدد قليل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حزبهم ظهر من جديد في عهد معاوية، فخرجوا على الدولة الأُموية هذه المرّة، فحاربهم زياد بن أبيه، وفي واقعة كربلاء، اشتركوا مع جيش عمر بن سعد لمحاربة الحسين علیه السلام انتقاماً من أبيه علیه السلام </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0991_100895"/>
      <w:bookmarkStart w:id="657" w:name="pg10991_100895"/>
      <w:bookmarkEnd w:id="657"/>
    </w:p>
    <w:p>
      <w:pPr>
        <w:pStyle w:val="Heading3"/>
        <w:numPr>
          <w:ilvl w:val="2"/>
          <w:numId w:val="1"/>
        </w:numPr>
        <w:rPr/>
      </w:pPr>
      <w:bookmarkStart w:id="658" w:name="pg10991_100895"/>
      <w:bookmarkStart w:id="659" w:name="__RefHeading___Toc8289186_2870459653"/>
      <w:bookmarkStart w:id="660" w:name="_Toc236"/>
      <w:bookmarkEnd w:id="658"/>
      <w:bookmarkEnd w:id="659"/>
      <w:r>
        <w:rPr>
          <w:rtl w:val="true"/>
        </w:rPr>
        <w:t>أساليب التغييب لفضائل أمير المؤمنين علیه السلام</w:t>
      </w:r>
      <w:bookmarkEnd w:id="660"/>
    </w:p>
    <w:p>
      <w:pPr>
        <w:pStyle w:val="Heading3"/>
        <w:numPr>
          <w:ilvl w:val="2"/>
          <w:numId w:val="1"/>
        </w:numPr>
        <w:rPr/>
      </w:pPr>
      <w:bookmarkStart w:id="661" w:name="__RefHeading___Toc8289188_2870459653"/>
      <w:bookmarkStart w:id="662" w:name="_Toc237"/>
      <w:bookmarkEnd w:id="661"/>
      <w:r>
        <w:rPr>
          <w:rtl w:val="true"/>
        </w:rPr>
        <w:t>(</w:t>
      </w:r>
      <w:r>
        <w:rPr>
          <w:rtl w:val="true"/>
        </w:rPr>
        <w:t>حديث الغدير أُنْمُوذَجاً</w:t>
      </w:r>
      <w:r>
        <w:rPr>
          <w:rtl w:val="true"/>
        </w:rPr>
        <w:t>)</w:t>
      </w:r>
      <w:bookmarkEnd w:id="662"/>
    </w:p>
    <w:p>
      <w:pPr>
        <w:pStyle w:val="Heading3"/>
        <w:numPr>
          <w:ilvl w:val="2"/>
          <w:numId w:val="1"/>
        </w:numPr>
        <w:rPr/>
      </w:pPr>
      <w:bookmarkStart w:id="663" w:name="__RefHeading___Toc8289190_2870459653"/>
      <w:bookmarkStart w:id="664" w:name="_Toc238"/>
      <w:bookmarkEnd w:id="663"/>
      <w:r>
        <w:rPr>
          <w:rtl w:val="true"/>
        </w:rPr>
        <w:t>الشيخ رسول كاظم عبد السادة</w:t>
      </w:r>
      <w:bookmarkEnd w:id="664"/>
    </w:p>
    <w:p>
      <w:pPr>
        <w:pStyle w:val="BookText"/>
        <w:rPr/>
      </w:pPr>
      <w:r>
        <w:rPr>
          <w:rFonts w:ascii="Amiri" w:hAnsi="Amiri" w:eastAsia="Amiri" w:cs="Amiri"/>
          <w:color w:val="111111"/>
          <w:sz w:val="28"/>
          <w:sz w:val="28"/>
          <w:szCs w:val="28"/>
          <w:rtl w:val="true"/>
          <w:lang w:bidi="ar-SA"/>
        </w:rPr>
        <w:t>الشيخ رسول كاظم عبد السادة</w:t>
      </w:r>
      <w:r>
        <w:rPr>
          <w:rStyle w:val="FootnoteAnchor"/>
          <w:rtl w:val="true"/>
        </w:rPr>
        <w:footnoteReference w:id="616"/>
      </w:r>
    </w:p>
    <w:p>
      <w:pPr>
        <w:pStyle w:val="Heading3"/>
        <w:numPr>
          <w:ilvl w:val="2"/>
          <w:numId w:val="1"/>
        </w:numPr>
        <w:rPr/>
      </w:pPr>
      <w:bookmarkStart w:id="665" w:name="__RefHeading___Toc8289192_2870459653"/>
      <w:bookmarkStart w:id="666" w:name="_Toc239"/>
      <w:bookmarkEnd w:id="665"/>
      <w:r>
        <w:rPr>
          <w:rtl w:val="true"/>
        </w:rPr>
        <w:t>المقدّمة</w:t>
      </w:r>
      <w:bookmarkEnd w:id="666"/>
    </w:p>
    <w:p>
      <w:pPr>
        <w:pStyle w:val="BookText"/>
        <w:rPr/>
      </w:pPr>
      <w:r>
        <w:rPr>
          <w:rFonts w:ascii="Amiri" w:hAnsi="Amiri" w:eastAsia="Amiri" w:cs="Amiri"/>
          <w:color w:val="111111"/>
          <w:sz w:val="28"/>
          <w:sz w:val="28"/>
          <w:szCs w:val="28"/>
          <w:rtl w:val="true"/>
          <w:lang w:bidi="ar-SA"/>
        </w:rPr>
        <w:t>ابتُلي التراث الإسلامي بآفات عديد، لعل من أبرزها ظاهرة تغييب فضائل أهل بيت النبوّة ومحاولة إخفائها، ليُغلق الطريق أمام انتقالها إلى الأجيال اللاحقة، على الرغم من كونها كرامات خصَّهم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الإمام أمير المؤمنين من تلك الظاهرة، حيث تعرَّضت فضائله لهجمة شرسة تطوَّع فيها بعض المخالفين وبأساليب متعدّدة؛ للحدِّ منها، مع أنّها ملأت الخافقين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نسلِّط الأضواء في هذا المقال على الأساليب التي استُخدمت في إخفاء فضائل الإمام علي علیه السلام متَّخذين من حديث الغدير أُنْمُوذَجاً، وقد اخترنا هذا الحديث لشهرته وكثرة الحضور عند إبلاغ النبي صلی الله علیه و اله به، ومع ذلك تجرّأ بعض المؤرِّخين والمحدِّثين على إخفائه وتغييبه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كحدث وحديث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يُعرف مدى خطورة مسلك أولئك المؤرِّخين وقدرتهم على التلاعب بالتاريخ مهما كانت وقائعه واضحة</w:t>
      </w:r>
      <w:r>
        <w:rPr>
          <w:rFonts w:eastAsia="IRNazanin" w:cs="IRNazanin"/>
          <w:color w:val="111111"/>
          <w:sz w:val="28"/>
          <w:szCs w:val="28"/>
          <w:rtl w:val="true"/>
          <w:lang w:bidi="fa-IR"/>
        </w:rPr>
        <w:t xml:space="preserve">. </w:t>
      </w:r>
      <w:bookmarkStart w:id="667" w:name="pg10991_100897"/>
    </w:p>
    <w:p>
      <w:pPr>
        <w:pStyle w:val="BookText"/>
        <w:rPr/>
      </w:pPr>
      <w:bookmarkEnd w:id="667"/>
      <w:r>
        <w:rPr>
          <w:rFonts w:ascii="Amiri" w:hAnsi="Amiri" w:eastAsia="Amiri" w:cs="Amiri"/>
          <w:color w:val="111111"/>
          <w:sz w:val="28"/>
          <w:sz w:val="28"/>
          <w:szCs w:val="28"/>
          <w:rtl w:val="true"/>
          <w:lang w:bidi="ar-SA"/>
        </w:rPr>
        <w:t>وفيما يلي نستعرِّض تلك الأساليب التي استُخدمت في هذا المجال</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8289194_2870459653"/>
      <w:bookmarkStart w:id="669" w:name="_Toc240"/>
      <w:bookmarkEnd w:id="668"/>
      <w:r>
        <w:rPr>
          <w:rtl w:val="true"/>
        </w:rPr>
        <w:t>الأُسلوب الأوّل</w:t>
      </w:r>
      <w:r>
        <w:rPr>
          <w:rtl w:val="true"/>
        </w:rPr>
        <w:t xml:space="preserve">: </w:t>
      </w:r>
      <w:r>
        <w:rPr>
          <w:rtl w:val="true"/>
        </w:rPr>
        <w:t>تغييب الحديث من حيث المكان</w:t>
      </w:r>
      <w:bookmarkEnd w:id="66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المكان يلعب دوراً مهمّاً في فهم كثير من الحوادث التاريخية، وقد يقترن الحدث بمكان ما بحيث ينتقل الذهن إلى المكان بمجرّد ذكر الحادثة، فإذا غُيِّب المكان وأُلغي من الرقعة الجغرافية نهائيّاً فسيحيط تلك الحادثة غموض، وهذا ما حدث لواقعة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حيثُ حاولت الدول المتعاقبة في منطقة الحجاز إخفاء هذه المنطقة وربط الغدير بميقات الجحفة ليشتبه على مَن يريد الوصول إليه والصلاة في مسجده من الشيعة</w:t>
      </w:r>
      <w:r>
        <w:rPr>
          <w:rStyle w:val="FootnoteAnchor"/>
          <w:rtl w:val="true"/>
        </w:rPr>
        <w:footnoteReference w:id="618"/>
      </w:r>
      <w:r>
        <w:rPr>
          <w:rFonts w:ascii="Amiri" w:hAnsi="Amiri" w:eastAsia="Amiri" w:cs="Amiri"/>
          <w:color w:val="111111"/>
          <w:sz w:val="28"/>
          <w:sz w:val="28"/>
          <w:szCs w:val="28"/>
          <w:rtl w:val="true"/>
          <w:lang w:bidi="ar-SA"/>
        </w:rPr>
        <w:t xml:space="preserve">، وهذا 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أدارسة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يهتمّون به بشكل خاصّ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وبناء الجحفة، الذي حفظ ذكرى الغدير في مسير العودة من حجّة الوداع، بدليل الاهتمام بسفر الحجّاج المصريّين والمغاربة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لا ننسى أنّ منطقة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جزءاً لا يتجزّأ من حكومة مصر، </w:t>
      </w:r>
    </w:p>
    <w:p>
      <w:pPr>
        <w:pStyle w:val="BookText"/>
        <w:rPr/>
      </w:pPr>
      <w:r>
        <w:rPr>
          <w:rFonts w:ascii="IRNazanin" w:hAnsi="IRNazanin" w:eastAsia="IRNazanin"/>
          <w:color w:val="111111"/>
          <w:sz w:val="28"/>
          <w:sz w:val="28"/>
          <w:szCs w:val="28"/>
          <w:rtl w:val="true"/>
          <w:lang w:bidi="fa-IR"/>
        </w:rPr>
        <w:t xml:space="preserve">وقد انضمّت بعد سقوط الفاطميّين إلى منطقة نفوذ صلاح الدِّين الأيّوبي، وقد جرت سياسة الولاة والخلفاء على إبقاء هذا الميقات متهدِّماً طيلة قرون مديدة، كي لا تكون حادثة توقّف الرسول صلی الله علیه و اله في مكان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إحراجاً لقوم وتقويةً 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سقوط الفاطميّين سنة </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صلاح الدِّين الأيّوبي، وتسنّم الأيوبيّين السلطةَ في مصر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صار سبباً لازدهار ميناء جدّة، وجعل الجحفة في مسير الانهدام ومّعْرَضه، جعلهم يفرحون أنّهم استطاعوا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الفهم الصحيح للتأريخ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يحذفوا التأريخ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وقد جُدِّد بناء مسجد الميقات، وتوفّرت الإمكانات اللازمة للذين يريدون أن ينسلّوا من أنفسهم في هذا الميقات ليضعوها أمام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الفرصة سانحة لإحياء تاريخ أهمّ مكان على مسير عودة الرسول من حجّة الوداع، بإحياء مسجد الغدير في جهة شمال شرقي البناء التاريخي، وبنفس الاعتبار التاريخي والشرعي، وهمّة الذين جدّدوا بناء مسجد الميقات، وبناء مسجد بدر في بدر، وبناء مسجد العقبة في منى، ومسجد عمر ومسجد عليّ علیه السلام في المدينة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الإلغاء للمكان كان إلغاء مكان مرقد الإمام علي علیه السلام في النجف، إمعاناً في تغييب فضائل ومناقب الإمام علیه السلام ، وأوّل مَن أثار تلك الشبهة هو الخطيب البغدادي،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حكى لنا أبو نعيم أحمد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بكر الطلحي يذكر أنّ أبا جعفر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ينكر أن يكون القبر المزور بظاهر الكوفة قبر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الرافضة قبر مَن هذا لرجمته بالحجارة، هذا قبر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قبر عليّ بن أبي طالب، </w:t>
      </w:r>
      <w:bookmarkStart w:id="670" w:name="pg10991_100900"/>
    </w:p>
    <w:p>
      <w:pPr>
        <w:pStyle w:val="BookText"/>
        <w:rPr/>
      </w:pPr>
      <w:bookmarkEnd w:id="670"/>
      <w:r>
        <w:rPr>
          <w:rFonts w:ascii="Amiri" w:hAnsi="Amiri" w:eastAsia="Amiri" w:cs="Amiri"/>
          <w:color w:val="111111"/>
          <w:sz w:val="28"/>
          <w:sz w:val="28"/>
          <w:szCs w:val="28"/>
          <w:rtl w:val="true"/>
          <w:lang w:bidi="ar-SA"/>
        </w:rPr>
        <w:t>لجعلت منزلي ومقيلي عنده أبداً</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على ذلك بعض المؤرِّخين من العامّة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وابن خلكان والذهبي وابن كثير</w:t>
      </w:r>
      <w:r>
        <w:rPr>
          <w:rStyle w:val="FootnoteAnchor"/>
          <w:rtl w:val="true"/>
        </w:rPr>
        <w:footnoteReference w:id="621"/>
      </w:r>
      <w:r>
        <w:rPr>
          <w:rFonts w:ascii="IRNazanin" w:hAnsi="IRNazanin" w:eastAsia="IRNazanin"/>
          <w:color w:val="111111"/>
          <w:sz w:val="28"/>
          <w:sz w:val="28"/>
          <w:szCs w:val="28"/>
          <w:rtl w:val="true"/>
          <w:lang w:bidi="fa-IR"/>
        </w:rPr>
        <w:t xml:space="preserve">، وقد أبطل هذه الشبه كثير من العلماء من الشيعة وغيرهم، فقد كتب السيد عبد الكريم بن طاوس رسالة في ذلك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الغري في تعيين قبر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ردَّ على هذه الشبهة ابن أبي الحديد في شرح النهج</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جرأة هولاء المؤرِّخين والمحدِّثين، بلغت إلى هذا المقدار وهو إلغاء أماكن بهذه الشهرة، تدعونا إلى التأمّل في الكثير من المدوّنات التاريخيّة ودراستها دراسة متفحِّص لئلّا تخفى علينا حقائق التاريخ واستحقاقات أفراده</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8289196_2870459653"/>
      <w:bookmarkStart w:id="672" w:name="_Toc241"/>
      <w:bookmarkEnd w:id="671"/>
      <w:r>
        <w:rPr>
          <w:rtl w:val="true"/>
        </w:rPr>
        <w:t>الأُسلوب الثاني</w:t>
      </w:r>
      <w:r>
        <w:rPr>
          <w:rtl w:val="true"/>
        </w:rPr>
        <w:t xml:space="preserve">: </w:t>
      </w:r>
      <w:r>
        <w:rPr>
          <w:rtl w:val="true"/>
        </w:rPr>
        <w:t>تغييب الشهود</w:t>
      </w:r>
      <w:bookmarkEnd w:id="67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ينتهِ الأمر إلى هذا المقدار فقط، بل حاول بعض المؤرِّخين إلغاء تجمُّعٍ جماهيريٍّ هائل ربما لم يشهد تاريخ الجزيرة العربية مثله؛ إذ إنّ عدد حضور الغدير يبلغ عند ابن الجوزي مائة وعشرين ألف</w:t>
      </w:r>
      <w:r>
        <w:rPr>
          <w:rStyle w:val="FootnoteAnchor"/>
          <w:rtl w:val="true"/>
        </w:rPr>
        <w:footnoteReference w:id="623"/>
      </w:r>
      <w:r>
        <w:rPr>
          <w:rFonts w:ascii="Amiri" w:hAnsi="Amiri" w:eastAsia="Amiri" w:cs="Amiri"/>
          <w:color w:val="111111"/>
          <w:sz w:val="28"/>
          <w:sz w:val="28"/>
          <w:szCs w:val="28"/>
          <w:rtl w:val="true"/>
          <w:lang w:bidi="ar-SA"/>
        </w:rPr>
        <w:t>، وعند الطبرسي سبعين ألف</w:t>
      </w:r>
      <w:r>
        <w:rPr>
          <w:rStyle w:val="FootnoteAnchor"/>
          <w:rtl w:val="true"/>
        </w:rPr>
        <w:footnoteReference w:id="624"/>
      </w:r>
      <w:r>
        <w:rPr>
          <w:rFonts w:ascii="IRNazanin" w:hAnsi="IRNazanin" w:eastAsia="IRNazanin"/>
          <w:color w:val="111111"/>
          <w:sz w:val="28"/>
          <w:sz w:val="28"/>
          <w:szCs w:val="28"/>
          <w:rtl w:val="true"/>
          <w:lang w:bidi="fa-IR"/>
        </w:rPr>
        <w:t xml:space="preserve">، وقد صرّح الإمام الصادق علیه السلام بإنّه بالرغم من وجود هذا العدد الهائل من المسلمين، لم يستطع الإمام </w:t>
      </w:r>
      <w:bookmarkStart w:id="673" w:name="pg10991_100902"/>
    </w:p>
    <w:p>
      <w:pPr>
        <w:pStyle w:val="BookText"/>
        <w:rPr/>
      </w:pPr>
      <w:bookmarkEnd w:id="673"/>
      <w:r>
        <w:rPr>
          <w:rFonts w:ascii="IRNazanin" w:hAnsi="IRNazanin" w:eastAsia="IRNazanin"/>
          <w:color w:val="111111"/>
          <w:sz w:val="28"/>
          <w:sz w:val="28"/>
          <w:szCs w:val="28"/>
          <w:rtl w:val="true"/>
          <w:lang w:bidi="fa-IR"/>
        </w:rPr>
        <w:t>أمير المؤمنين علیه السلام أن يثبت حقّه ظاهراً، فقد قال علیه السلام لعمرو بن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يا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لقى عليّ بن أبي طالب، أنّه كان له عشرة ألاف شاهد لم يقدر على أخذ حقّه، والرجل يأخذ حقّه بشاهدين، أنّ رسول الله صلی الله علیه و اله خرج من المدينة حاجّاً ومعه خمسة آلاف، ورجع من مكّة وقد شيَّعه خمسة آلاف من أهل مكّة، فلمّا انتهى إلى الجحفة نزل جبرئيل بولاية علي علیه السلام </w:t>
      </w:r>
      <w:r>
        <w:rPr>
          <w:rFonts w:eastAsia="IRNazanin" w:cs="IRNazanin"/>
          <w:color w:val="111111"/>
          <w:sz w:val="28"/>
          <w:szCs w:val="28"/>
          <w:rtl w:val="true"/>
          <w:lang w:bidi="fa-IR"/>
        </w:rPr>
        <w:t>»</w:t>
      </w:r>
      <w:r>
        <w:rPr>
          <w:rStyle w:val="FootnoteAnchor"/>
          <w:rtl w:val="true"/>
        </w:rPr>
        <w:footnoteReference w:id="625"/>
      </w:r>
      <w:r>
        <w:rPr>
          <w:rFonts w:ascii="Amiri" w:hAnsi="Amiri" w:eastAsia="Amiri" w:cs="Amiri"/>
          <w:color w:val="111111"/>
          <w:sz w:val="28"/>
          <w:sz w:val="28"/>
          <w:szCs w:val="28"/>
          <w:rtl w:val="true"/>
          <w:lang w:bidi="ar-SA"/>
        </w:rPr>
        <w:t>، وقد ذكر ابن أبي الحديد أنّ الحضور كانوا مائة ألف</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وجود حشدٍ جماهيريّ بهذا العدد الهائل لم يكن ذريعةً كافية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لثبوت صحّة هذه الحادثة وما جرى فيها، فكيف بغيره من المؤرِّخين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 حقّاً أضيعا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ولم أرَ مثل ذاك اليوم يوماً ولم أرَ مثله حقّاً أضيعا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الكراجكي، محمد بن علي،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8289198_2870459653"/>
      <w:bookmarkStart w:id="675" w:name="_Toc242"/>
      <w:bookmarkEnd w:id="674"/>
      <w:r>
        <w:rPr>
          <w:rtl w:val="true"/>
        </w:rPr>
        <w:t>الأُسلوب الثالث</w:t>
      </w:r>
      <w:r>
        <w:rPr>
          <w:rtl w:val="true"/>
        </w:rPr>
        <w:t xml:space="preserve">: </w:t>
      </w:r>
      <w:r>
        <w:rPr>
          <w:rtl w:val="true"/>
        </w:rPr>
        <w:t>تغييب المعنى</w:t>
      </w:r>
      <w:bookmarkEnd w:id="6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طائفة أُخرى أكثر تضييعاً للحقائق من سابقتها في تغييب الفضائل، هذه الطائفة لمّا ثبتت عندها الواقعة زماناً ومكاناً تصرَّفت في المتن بحثاً عن شبهة تصرف </w:t>
      </w:r>
    </w:p>
    <w:p>
      <w:pPr>
        <w:pStyle w:val="BookText"/>
        <w:rPr/>
      </w:pPr>
      <w:r>
        <w:rPr>
          <w:rFonts w:ascii="Amiri" w:hAnsi="Amiri" w:eastAsia="Amiri" w:cs="Amiri"/>
          <w:color w:val="111111"/>
          <w:sz w:val="28"/>
          <w:sz w:val="28"/>
          <w:szCs w:val="28"/>
          <w:rtl w:val="true"/>
          <w:lang w:bidi="ar-SA"/>
        </w:rPr>
        <w:t xml:space="preserve">المعنى المراد منه إلى غير مقصود الشارع ومراده، وهؤلاء هم اللذين وقفوا عند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 وراحوا يصرفونه إلى معانيه اللُغوية الأُخرى وهي بالطبع غير مرادة للنبي صلی الله علیه و اله في ذلك اليوم، نعم إنّ لكلمة مولى عدّة معانٍ لُغوية، فقد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تكرر ذكر المَوْلَى في الحديث، وهو اسْمٌ يقَع على جَماعةٍ كَثيِرَة،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والمَالكُ، والسَّيِّد، والمُنْعِم، والمُعْتِقُ، والنَّاصر، والمُحِبّ، والتَّابِع، والجارُ، وابنُ العَمّ، والحَلِيفُ، والعَقيد، والصِّهْر، والعبْد، والمُعْتَقُ، والمُنْعَم عَلَيه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الكثير من المحدِّثين صرف هذا المعنى عن الولاية والخلافة، فهذا الفخر الرازي في تفسيره لمّا وصل إلى قوله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لفظ المولى ههنا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قال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مَوْلَاكُمْ أي مصيركم، وتحقيقه أن المولى موضع الولي، وهو القرب،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هِيَ مَوْلَاكُمْ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فالمعنى أنّ النار هي موضعكم الذي تقربون منه وتصلون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أولى بكم، وهو قول الزجّاج والفرّاء وأبي عبيدة، وزعم أنّ ما قالته الشيعة ليس تفسيراً، وإنّما 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هذا الذي قالوه معنى، وليس بتفسير للفظ، لأنّ لو كان مولى وأولى بمعنى واحد في اللغة، لصح استعمال كلّ واحد منهما في مكان الآخر، فكان يجب أن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فلان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من فلان، 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فلان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فلان، ولمّا بطل ذلك علمنا أنّ الذي قالوه معنى وليس بتفسير، وإنّما نبّهنا على هذه الدقيقة لأنّ الشريف المرتضى لما تمسّك بإمامة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 مولى أنّه أولى، واحتجّ في ذلك بأقوال أئمّة اللغة في تفسير هذه الآية، بأنّ مولى معناه أولى، وإذا ثبت أنّ اللفظ محتمل له وجب حمله عليه، لأنّ ما عداه إمّا بين الثبوت، </w:t>
      </w:r>
    </w:p>
    <w:p>
      <w:pPr>
        <w:pStyle w:val="BookText"/>
        <w:rPr/>
      </w:pPr>
      <w:r>
        <w:rPr>
          <w:rFonts w:ascii="Amiri" w:hAnsi="Amiri" w:eastAsia="Amiri" w:cs="Amiri"/>
          <w:color w:val="111111"/>
          <w:sz w:val="28"/>
          <w:sz w:val="28"/>
          <w:szCs w:val="28"/>
          <w:rtl w:val="true"/>
          <w:lang w:bidi="ar-SA"/>
        </w:rPr>
        <w:t>ككونه ابن العمّ والناصر، أو بين الانتفاء، كالمعتِق والمعتَق، فيكون على التقدير الأول عبثاً، وعلى التقدير الثاني كذباً، وأمّا نحن فقد بيّنا بالدليل أنّ قول هؤلاء في هذا الموضع معنى لا تفسير، وحينئذٍ يسقط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معنى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مولى لكم، وذلك لأنّ مَن كانت النار مولاه فلا مولى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 الخذلان ومعينه البكاء، أي لا ناصر له ولا معين، وهذا الوجه متأكّد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الْكَافِرِينَ لَا مَوْلَى لَهُمْ </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يُغَاثُوا بِمَاءٍ كَالْمُهْلِ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المعنى للحديث منحصر بالأَوْلى الذي هو المتقدِّم غير مقيَّد بشيء من الأشياء وحال من الأحوال، قال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إفادة الأَولى للإمامة فظاهر، لأنّ 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الأملك بالتصرُّف، الأحقّ بالتدبير،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أَولى بالدم وبالمرأة وباليتيم وبالأمر، بمعنى الأحقّ الأملك، فإذا حصل هذا المعنى بين شخص وجماعة اقتضى كونه مفترض الطاعة عليهم من حيث كان أولى بهم من أنفسهم في تقديم مراداته وإن كرهوا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الأميني في الغدير، بعد البحث في صحّة خبر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دلالته على إمامة مولانا أمير المؤمنين علیه السلام فإنّا مهما شككنا في شيء فلا نشكّ في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نصّاً في المعنى الذي نحاوله بالوضع اللُغوي، أو مجملة في مفادها لاشتراكها بين معانٍ جمّة، وسواء كانت عَرِيَة عن القرائن لإثبات ما ندّعيه من معنى </w:t>
      </w:r>
    </w:p>
    <w:p>
      <w:pPr>
        <w:pStyle w:val="BookText"/>
        <w:rPr/>
      </w:pPr>
      <w:r>
        <w:rPr>
          <w:rFonts w:ascii="Amiri" w:hAnsi="Amiri" w:eastAsia="Amiri" w:cs="Amiri"/>
          <w:color w:val="111111"/>
          <w:sz w:val="28"/>
          <w:sz w:val="28"/>
          <w:szCs w:val="28"/>
          <w:rtl w:val="true"/>
          <w:lang w:bidi="ar-SA"/>
        </w:rPr>
        <w:t>الإمامة أو محتفّة بها، فإنّها في المقام لا تدلّ إلّا على ذلك؛ لفهم مَن وعاه من الحضور في ذلك المحتشد العظيم، ومَن بلغه النبأ بعد حين ممَّن يُحتجّ بقوله في اللُغة من غير نكير بينهم، وتتابع هذا الفهم فيمَن بعدهم من الشعراء ورجالات الأدب حتى عصرنا الحاضر، وذلك حجّة قاطعة في المعنى المراد</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الأسباب ولعلم الأئمّة علیهم السلام بأنّ البعض سوف يتلاعب بالمعنى المراد من المولى، أو بالحديث عموماً راحوا يبيِّنون لشيعتهم المعنى والمراد بأجلى عبارة لا تحتمل التأويل، فعن سهل بن 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 يروى عن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صلی الله علیه و اله وهو في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قول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أزال كلَّ تقية بضمان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 وبين أمر الله تعالى، ولكن قريشاً فعلت ما اشتهت بعده، وأمّا قبل نزول هذه الآية فلعله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الواضح أنّ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أزال كلَّ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المعاني الأُخرى التي أراد لها مَن فسَّرها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إبراهيم بن رجاء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بن محمد علیهما السلام ما أراد رسول الله صلی الله علیه و اله بقوله لعليٍّ علیه السلام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جعفر بن محمد علیهما السلام قاعداً،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والله عنها رسول الله صلی الله علیه و 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أولى بي من نفسي لا أمرَ لي معه، وأنا مولى المؤمنين أولى بهم من أنفسهم لا أمرَ لهم معي، ومَن كنت مولاه أولى به من نفسه لا أمرَ له معي، فعليّ بن أبي طالب مولاه أولى به من نفسه لا أمرَ له معه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676" w:name="pg10991_100911"/>
    </w:p>
    <w:p>
      <w:pPr>
        <w:pStyle w:val="BookText"/>
        <w:rPr/>
      </w:pPr>
      <w:bookmarkEnd w:id="676"/>
      <w:r>
        <w:rPr>
          <w:rFonts w:ascii="IRNazanin" w:hAnsi="IRNazanin" w:eastAsia="IRNazanin"/>
          <w:color w:val="111111"/>
          <w:sz w:val="28"/>
          <w:sz w:val="28"/>
          <w:szCs w:val="28"/>
          <w:rtl w:val="true"/>
          <w:lang w:bidi="fa-IR"/>
        </w:rPr>
        <w:t>وعن الحسن بن طريف،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أسأله ما معنى قول رسول الله صلی الله علیه و اله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بذلك أن جعله عَلماً يُعرف به حزب الله عند الفرقة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أبان بن تغلب،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علیهم السلام عن قول النبي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سعيد تسأل عن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أنّه يقوم فيهم مقامه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يتّضح ممَّا تقدَّم 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الغدير قد تعرَّض إلى أخطر هجمة تغييب وتهميش؛ وذلك بصرف المراد الحقيقي منه الذي نطق به النبي صلی الله علیه و اله إلى ما سواه</w:t>
      </w:r>
      <w:r>
        <w:rPr>
          <w:rFonts w:eastAsia="IRNazanin" w:cs="IRNazanin"/>
          <w:color w:val="111111"/>
          <w:sz w:val="28"/>
          <w:szCs w:val="28"/>
          <w:rtl w:val="true"/>
          <w:lang w:bidi="fa-IR"/>
        </w:rPr>
        <w:t>.</w:t>
      </w:r>
    </w:p>
    <w:p>
      <w:pPr>
        <w:pStyle w:val="Heading3"/>
        <w:numPr>
          <w:ilvl w:val="2"/>
          <w:numId w:val="1"/>
        </w:numPr>
        <w:rPr/>
      </w:pPr>
      <w:bookmarkStart w:id="677" w:name="__RefHeading___Toc8289200_2870459653"/>
      <w:bookmarkStart w:id="678" w:name="_Toc243"/>
      <w:bookmarkEnd w:id="677"/>
      <w:r>
        <w:rPr>
          <w:rtl w:val="true"/>
        </w:rPr>
        <w:t>الأُسلوب الرابع</w:t>
      </w:r>
      <w:r>
        <w:rPr>
          <w:rtl w:val="true"/>
        </w:rPr>
        <w:t xml:space="preserve">: </w:t>
      </w:r>
      <w:r>
        <w:rPr>
          <w:rtl w:val="true"/>
        </w:rPr>
        <w:t>قَلْب الفضائل إلى مثالب</w:t>
      </w:r>
      <w:bookmarkEnd w:id="67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وسائلهم في طمس الفضائل والمناقب، قَلْب الفضائل من الأوصاف السامية المباركة الموضوعة لها إلى مثالب ومطاعن، فمن ذلك أنّ النبي صلی الله علیه و اله حين احتفى بتنصيب أمير المؤمنين يوم الغدير خليفة للمسلمين عقد اجتماعاً للاحتفال بهذه المناسبة في الجحفة، فنصب خيمة للاجتماع، ومبايعة أمير المؤمنين علیه السلام ، وكانت له صلی الله علیه و اله عمامة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فعمم بها أمير المؤمنين علیه السلام ، وأمرهم بالدخول عليه في تلك الخيمة، ومصافحته ومبايعته، فدخل الصحابة واحداً بعد الآخر، حتى أنّ عمر بن الخطاب قال كلمته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عليُّ، أصبحت مولاي ومولى كلِّ مؤمنٍ ومؤمنة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أمير المؤمنين بعد ذلك اذ حضر متعمّماً بتلك العمامة يقول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عليٌّ في السحاب</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المعنى الصحيح لما ينسب إلى الشيعة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علیه السلام في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والمفهوم لدى عامّة المسلمين، ولا يرتاب فيه أحدٌ لوضوحه، إلّا أنّه لم يرُق لبعض المحدِّثين والمؤرِّخين بقاء تلك الفضيلة الدالّة على الغدير، والمذكِّرة به، فعمد إلى تشويهها إمعاناً في إبطالها وتغييب حقيقتها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الملطي في التنبيه والردّ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في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ذلك قول النبي صلی الله علیه و اله لعليٍّ حين أقبل وهو متعمم بعمامة النبي صلی الله علیه و اله كانت تُدعى السحاب، فتأوّله هؤلاء على غير تأويله</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نسب عبد الكريم الشهرستاني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فرقة من فرق الشيعة وهم السبائية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 في السحاب، والرعد صوته، والبرق تبسُّمه</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 فاُنظر كيف أُوِّل الحديث افتراءً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إنّ هذا المعنى لم يتأوَّله أحدٌ منهم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تأويله، كما ذكر الملَطي، وإنّما أوَّله الناس افتراء عليهم</w:t>
      </w:r>
      <w:r>
        <w:rPr>
          <w:rStyle w:val="FootnoteAnchor"/>
          <w:rtl w:val="true"/>
        </w:rPr>
        <w:footnoteReference w:id="643"/>
      </w:r>
      <w:r>
        <w:rPr>
          <w:rFonts w:ascii="Amiri" w:hAnsi="Amiri" w:eastAsia="Amiri" w:cs="Amiri"/>
          <w:color w:val="111111"/>
          <w:sz w:val="28"/>
          <w:sz w:val="28"/>
          <w:szCs w:val="28"/>
          <w:rtl w:val="true"/>
          <w:lang w:bidi="ar-SA"/>
        </w:rPr>
        <w:t>، وليت الملطي دلّنا على فرقة قالت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أفراد شذاذ تجد أمثالهم في كلِّ ملِّة ودين، فتعميم القول بذلك لكلِّ الشيعة، ونبزهم بالروافض وراءه ما وراءه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كلام الملطي في سياق حديثه عن فِرَق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فِرَقهم إلى ثماني عشرة فِرْقَة، ومن تلك الفِرَق فِرقة السبئية، ثمَّ قسَّم السبئية إلى فِرَق، ونسب إليهم عدّة 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قصده أنّ هؤلاء هم الشيعة فقد نسب إليهم </w:t>
      </w:r>
      <w:bookmarkStart w:id="679" w:name="pg10991_100915"/>
    </w:p>
    <w:p>
      <w:pPr>
        <w:pStyle w:val="BookText"/>
        <w:rPr/>
      </w:pPr>
      <w:bookmarkEnd w:id="679"/>
      <w:r>
        <w:rPr>
          <w:rFonts w:ascii="IRNazanin" w:hAnsi="IRNazanin" w:eastAsia="IRNazanin"/>
          <w:color w:val="111111"/>
          <w:sz w:val="28"/>
          <w:sz w:val="28"/>
          <w:szCs w:val="28"/>
          <w:rtl w:val="true"/>
          <w:lang w:bidi="fa-IR"/>
        </w:rPr>
        <w:t>كثير من الأُمور ظلماً وجهلاً، فالشيعة لا تقول بأن الإمام عليّ علیه السلام لم يمت، ولم تقل بإمامة محمد بن عليٍّ الذي لا زال يحرسه الأسد في غار</w:t>
      </w:r>
      <w:r>
        <w:rPr>
          <w:rFonts w:eastAsia="IRNazanin" w:cs="IRNazanin"/>
          <w:color w:val="111111"/>
          <w:sz w:val="28"/>
          <w:szCs w:val="28"/>
          <w:rtl w:val="true"/>
          <w:lang w:bidi="fa-IR"/>
        </w:rPr>
        <w:t>!!</w:t>
      </w:r>
    </w:p>
    <w:p>
      <w:pPr>
        <w:pStyle w:val="Heading3"/>
        <w:numPr>
          <w:ilvl w:val="2"/>
          <w:numId w:val="1"/>
        </w:numPr>
        <w:rPr/>
      </w:pPr>
      <w:bookmarkStart w:id="680" w:name="__RefHeading___Toc8289202_2870459653"/>
      <w:bookmarkStart w:id="681" w:name="_Toc244"/>
      <w:bookmarkEnd w:id="680"/>
      <w:r>
        <w:rPr>
          <w:rtl w:val="true"/>
        </w:rPr>
        <w:t>الأُسلوب الخامس</w:t>
      </w:r>
      <w:r>
        <w:rPr>
          <w:rtl w:val="true"/>
        </w:rPr>
        <w:t xml:space="preserve">: </w:t>
      </w:r>
      <w:r>
        <w:rPr>
          <w:rtl w:val="true"/>
        </w:rPr>
        <w:t>التغييب بالسكوت عن الحادثة وإهمال ذكرها</w:t>
      </w:r>
      <w:bookmarkEnd w:id="681"/>
    </w:p>
    <w:p>
      <w:pPr>
        <w:pStyle w:val="BookText"/>
        <w:rPr/>
      </w:pPr>
      <w:r>
        <w:rPr>
          <w:rFonts w:ascii="IRNazanin" w:hAnsi="IRNazanin" w:eastAsia="IRNazanin"/>
          <w:color w:val="111111"/>
          <w:sz w:val="28"/>
          <w:sz w:val="28"/>
          <w:szCs w:val="28"/>
          <w:rtl w:val="true"/>
          <w:lang w:bidi="fa-IR"/>
        </w:rPr>
        <w:t xml:space="preserve">ومن الوسائل الأُخرى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أكثر إنصافاً على الظاهر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السكوت وإهمال الحوادث الدالّة على فضل أمير المؤمنين وأهل البيت علیهم السلام ، حيث نجد الكثير من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شهرة واقعة الغدير وتوقُّف النبي صلی الله علیه و اله بالجحفة وخطبته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يتعرّض لهذه الحادثة فراراً من الإقرار بتلك الفضيلة، أو نفيها، فكأنّما هو يحتاط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احتياط في غير محله، وهذا يشمل كلّ تفاصيل الحادثة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عجائب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أهملا ذكر حادثة الغدير كأكبر مصداق لما تمثُّله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نزعة تطرُّف عجيبة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ما يدلّ على ذلك صاحب كتاب أضواء على الصحيحين،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يدلّ على عدم الوثوق بالصحيحين، وعدم اعتبار صحّة جميع ما ورد فيهما، هو التطرّف الطائفي المفرط والتعصّب الشديد لدى مؤلفَيهما وتعنُّتِهما تجاه الحقّ، وكان هذا التطرُّف قد اعترى البخاري أشدّ وأكثر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الحبّ المفرط والبغض الإفراطي يعرقل مسيرة الإنسان في كشف الحقائق، ويعمي العين عن مشاهدة الحقيقة، ويصمّ الآذان عن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الشواهد على ذلك إنّك ترى في البخاري ومسلم وصحيحيهما هذه العصبية المفرطة عندما تقرأ كتابيهما </w:t>
      </w:r>
    </w:p>
    <w:p>
      <w:pPr>
        <w:pStyle w:val="BookText"/>
        <w:rPr/>
      </w:pPr>
      <w:r>
        <w:rPr>
          <w:rFonts w:ascii="IRNazanin" w:hAnsi="IRNazanin" w:eastAsia="IRNazanin"/>
          <w:color w:val="111111"/>
          <w:sz w:val="28"/>
          <w:sz w:val="28"/>
          <w:szCs w:val="28"/>
          <w:rtl w:val="true"/>
          <w:lang w:bidi="fa-IR"/>
        </w:rPr>
        <w:t>وتلاحظ أنّهما لما يواجهان فضيلة مشهورة ومنقبة مهمّة من مناقب أمير المؤمنين علي علیه السلام وفيها دلالة صريحة على أفضليته لأمر الخلافة، وتقدُّمه على الآخرين فإنّهما يبادران إلى تعتيمها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المناقب والفضائل قد ورد ذكرها في سائر الصحاح الستّة والمدارك المعتبرة لدى أهل السنّة، وهي من يقينيّات الحوادث التاريخية ومسلَّماتها، وهي ممَّا أجمع عليه علماء السنّة والشيعة،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الغدير، آية التطهير، حديث الطائر المشوي، حديث سدّ الأبواب، وحديث أنا مدينة العلم وعليٌّ بابها، وقد روى كلُّ واحدة من هذه الفضائل والمناقب عشرات الصحابة وأثبتها علماء أهل السنّة في كتبهم المعتبرة، إلّا أنّ البخاري الذي لم يرضَ أن ينقل هذه المناقب المسلَّمة واليقينيّة ويخصص لها باباً خاصّاً في صحيحه فحسب، بل أفرد باباً خاصّاً في فضائل معاوية، وحيثُ إنّه لم يعثر على منقبة لمعاوية رويت على لسان رسول الله صلی الله علیه و اله حقّاً، يروي حديثين عن حبر الأُمّة ابن عباس جاء في أولاهما أنّه مدح معاوية لصحبته لرسول الله صلی الله علیه و اله ، وجاء في ثانيهما مدح لمعاوية بكونه فقيهاً وعالماً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كلّ العجب ممَّن يريد أن يصنِّف كتاباً جامعاً يلمّ فيه بما ورد من أحاديث رسول الله صلی الله علیه و اله ، ويكتب تفسيراً للقرآن، ويؤلِّف كتاباً في التاريخ، ولا يدع مدحاً وثناءاً من صحابي بحقِّ صحابي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وأورده فيها، وذلك أداء للأمانة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تسمح له نفسه بالإغماض عن واقعة ذات أهمية تاريخية، كحديث الغدير أو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أنّه ليس لهذا التغاضي والتجاهل من قِبل البخاري سبب إلّا التعتيم على مناقب أمير المؤمنين الإمام علي علیه السلام ، وإخفاء الحقائق الواقعية</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الغدير ممّا استدركه الحاكم على الصحيحين بعد أن أورده عن زيد </w:t>
      </w:r>
      <w:bookmarkStart w:id="682" w:name="pg10991_100919"/>
    </w:p>
    <w:p>
      <w:pPr>
        <w:pStyle w:val="BookText"/>
        <w:rPr/>
      </w:pPr>
      <w:bookmarkEnd w:id="682"/>
      <w:r>
        <w:rPr>
          <w:rFonts w:ascii="Amiri" w:hAnsi="Amiri" w:eastAsia="Amiri" w:cs="Amiri"/>
          <w:color w:val="111111"/>
          <w:sz w:val="28"/>
          <w:sz w:val="28"/>
          <w:szCs w:val="28"/>
          <w:rtl w:val="true"/>
          <w:lang w:bidi="ar-SA"/>
        </w:rPr>
        <w:t>بن أرقم، يقول الحاكم هذا حديث صحيح على شرط الشيخين ولم يخرجاه، وقد أخرجه الحافظ الذهبي في تلخيصه على المستدرك</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أبو حنيفة ممَّن يدعو أصحابه إلى عدم الإقرار بهذا الحديث، فقد ذكر محمد بن نوفل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الهيثم بن حبيب الصيرفي فدخل علينا أبو حنيفة النعمان بن ثابت، فذكرنا أمير المؤمنين علیه السلام ودار بيننا كلام منه، فقال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لأصحابنا لا تقرّوا بحديث غدير خم فيخصموكم، فتمعَّر وجه الهيثم بن حبيب الصيرفي،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يقرّون به، أما هو عندك يا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عندي وقد رويته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يقرّون به وقد حدَّثنا به حبيب بن أبي ثابت، عن أبي الطفيل،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نشد الله في الرحبة مَن سمعه؟ فقال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أنّه قد جرى في ذلك خوض حتى نشد عليٌّ الناسَ لذلك؟ فقال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نكذِّب عليّاً أو نرد قوله؟ فقال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نكذِّب عليَّاً ولا نرد قولاً قاله، ولكنك تعلم أنّ الناس قد غلا فيهم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رسول الله صلی الله علیه و اله ويخطب به، ونشفق نحن منه ونتّقيه لغلو غالٍ أو 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مَن قطع الكلام بمسائل سأل عنها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8289204_2870459653"/>
      <w:bookmarkStart w:id="684" w:name="_Toc245"/>
      <w:bookmarkEnd w:id="683"/>
      <w:r>
        <w:rPr>
          <w:rtl w:val="true"/>
        </w:rPr>
        <w:t>الأُسلوب السادس</w:t>
      </w:r>
      <w:r>
        <w:rPr>
          <w:rtl w:val="true"/>
        </w:rPr>
        <w:t xml:space="preserve">: </w:t>
      </w:r>
      <w:r>
        <w:rPr>
          <w:rtl w:val="true"/>
        </w:rPr>
        <w:t>التغييب بالتشكيك بصحّة الفضائل</w:t>
      </w:r>
      <w:bookmarkEnd w:id="68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كثير الورود ولم يسلم منه حديث في الفضائل، إلّا نزر قليل، فتجد الإثارة والتشويش على صحّة الخبر مذهب الكثير من المحدِّثين، حتى بلغ الحال أن يناقض بعضهم الآخر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 في 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فهذا ليس في شيءٍ من الأُمهات، إلّا في الترمذي وليس فيه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الزيادة فليست في </w:t>
      </w:r>
      <w:bookmarkStart w:id="685" w:name="pg10991_100921"/>
    </w:p>
    <w:p>
      <w:pPr>
        <w:pStyle w:val="BookText"/>
        <w:rPr/>
      </w:pPr>
      <w:bookmarkEnd w:id="685"/>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طريق الثقات أصلاً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عليه الألباني مفنِّداً رأيه هذا،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طُرُقه، وشواهده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 عن أبي الطفيل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غدير خم أمر بدوحات فقمن،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 بعد ذكره لمصادر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الدافع لتحرير الكلام على الحديث و بيان صحّته أنّني رأيت شيخ الإسلام بن تيمية، قد ضعف الشطر الأول من الحديث، و أمّا الشطر الآخر، فزعم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مبالغته الناتجة في تقديري من تسرُّعه في تضعيف الأحاديث قبل أن يجمع طُرُقَها و يدقق النظر فيها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8289206_2870459653"/>
      <w:bookmarkStart w:id="687" w:name="_Toc246"/>
      <w:bookmarkEnd w:id="686"/>
      <w:r>
        <w:rPr>
          <w:rtl w:val="true"/>
        </w:rPr>
        <w:t>الأُسلوب السابع</w:t>
      </w:r>
      <w:r>
        <w:rPr>
          <w:rtl w:val="true"/>
        </w:rPr>
        <w:t xml:space="preserve">: </w:t>
      </w:r>
      <w:r>
        <w:rPr>
          <w:rtl w:val="true"/>
        </w:rPr>
        <w:t>التغييب بنفي الكُتُب عن أصحابها أو تحريف طبعاتها</w:t>
      </w:r>
      <w:bookmarkEnd w:id="68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وجوه الالتفاف على الفضائل التي ثبتت لأمير المؤمنين علیه السلام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يقابلها من ظلامات وقعت عليهم من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الإلغاء أو التشكيك في نسبة الكتب </w:t>
      </w:r>
    </w:p>
    <w:p>
      <w:pPr>
        <w:pStyle w:val="BookText"/>
        <w:rPr/>
      </w:pPr>
      <w:r>
        <w:rPr>
          <w:rFonts w:ascii="Amiri" w:hAnsi="Amiri" w:eastAsia="Amiri" w:cs="Amiri"/>
          <w:color w:val="111111"/>
          <w:sz w:val="28"/>
          <w:sz w:val="28"/>
          <w:szCs w:val="28"/>
          <w:rtl w:val="true"/>
          <w:lang w:bidi="ar-SA"/>
        </w:rPr>
        <w:t>والنصوص التي ترد فيها تلك الفضائل أو الظلامات إلى أصحابها، أو تغيير النصوص في طبعات لاحقة للكتب سواء من قِبَل الجهات الطابعة، أو من نفس المؤلِّفين أو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تعرَّض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وكشف ما في الدارين للغزالي</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والكتاب الآخر هو نهج البلاغة الذي شكك فيه جماعة من المحدِّثين والمؤرِّخين من أنّ الشريف الرضي وضعه، وأنّه ليس من كلام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أسفرت الحجّة وجهها، وأجمع الجماهير على متن الحديث عن خطبته في يوم غدير خم باتّفاق الجميع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لقد أصبحت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تسليم ورضا وتحكيم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غلب الهوى لحبّ الرياسة، وحمل عمود الخلافة وعقود البنود، وخفقان الهوى في قعقعة الرايات، واشتباك ازدحام الخيول، وفتح الأمصار سقاهم كأس الهوى، فعادوا إلى الخلاف الأوّل فنبذوه وراء ظهورهم واشتروا به ثمناً قليلاً، فبئس ما يشترون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أحمد أمين أوّل المشكّكين في ذلك، قال يصف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وضعوا الكتب </w:t>
      </w:r>
    </w:p>
    <w:p>
      <w:pPr>
        <w:pStyle w:val="BookText"/>
        <w:rPr/>
      </w:pPr>
      <w:r>
        <w:rPr>
          <w:rFonts w:ascii="Amiri" w:hAnsi="Amiri" w:eastAsia="Amiri" w:cs="Amiri"/>
          <w:color w:val="111111"/>
          <w:sz w:val="28"/>
          <w:sz w:val="28"/>
          <w:szCs w:val="28"/>
          <w:rtl w:val="true"/>
          <w:lang w:bidi="ar-SA"/>
        </w:rPr>
        <w:t>وحشّوها بتعاليمهم ونسبوها لأئمّة أهل السنّة، ككتاب سرّ العارفين الذي نسبوه للغزالي</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أجابه به السيد الأمين العاملي،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المنسوب إلى الغزالي اسمه سرّ العالمين لا سرّ العارفين، فمن عدم معرفته باسمه يعرف مبلغ تثبته في الأمر، ومن أين عرف أن كتاب سرّ العالمين ليس للغزالي وإنّهم حشوه بتعاليمهم ونسبوه إليه، فهل شافه الغزالي وأخبره أنّ الكتاب ليس له أو نزل عليه وحي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تخرّص وسوء ظنٍّ نهى الله عنه، وتهجُّم على القدح بغير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ليست بحاجة إلى أن تنتصر بالغزالي فتضع كتاباً على لسانه، فلديها من الحجج والبراهين ما فيه كفاية واحتجاجها بكتاب الله وكتب خصومها المشهورة يغنيها عن الاحتجاج بكتابٍ مجهول يُنسب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الحافظ ابن حجر في لسان الميزان جزم بأنّه للغزالي فقال</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 الغزالي في كتاب سرّ العالمين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 أحمد أمين في هذا التشكيك الدكتور عبد الرحمن بدوي</w:t>
      </w:r>
      <w:r>
        <w:rPr>
          <w:rStyle w:val="FootnoteAnchor"/>
          <w:rtl w:val="true"/>
        </w:rPr>
        <w:footnoteReference w:id="656"/>
      </w:r>
      <w:r>
        <w:rPr>
          <w:rFonts w:ascii="IRNazanin" w:hAnsi="IRNazanin" w:eastAsia="IRNazanin"/>
          <w:color w:val="111111"/>
          <w:sz w:val="28"/>
          <w:sz w:val="28"/>
          <w:szCs w:val="28"/>
          <w:rtl w:val="true"/>
          <w:lang w:bidi="fa-IR"/>
        </w:rPr>
        <w:t xml:space="preserve">في صحّة نسبة هذا الكتاب للغزالي، مع ما يوجد في الكتاب من براهين كثيرة على صحّة نسبة الكتاب للغزالي، لم يقف عندها بدوي، بل قطع بالنسبة مكتفياً بذلك عن النظر والتأمّل، وكم لبدوي من هنات وهنات، أليس هو مَن نفى نسبة كتاب نهج البلاغة لأمير المؤمنين علیه السلام </w:t>
      </w:r>
      <w:r>
        <w:rPr>
          <w:rStyle w:val="FootnoteAnchor"/>
          <w:rtl w:val="true"/>
        </w:rPr>
        <w:footnoteReference w:id="657"/>
      </w:r>
      <w:r>
        <w:rPr>
          <w:rFonts w:ascii="Amiri" w:hAnsi="Amiri" w:eastAsia="Amiri" w:cs="Amiri"/>
          <w:color w:val="111111"/>
          <w:sz w:val="28"/>
          <w:sz w:val="28"/>
          <w:szCs w:val="28"/>
          <w:rtl w:val="true"/>
          <w:lang w:bidi="ar-SA"/>
        </w:rPr>
        <w:t>أفيؤتمن مثل هؤلاء على الدين وتاريخ الأُمّة؟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وقع التحريف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غدير خم معروف، وهو الموضع الذي قام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بفضل أمير المؤمنين عليّ بن أبي طالب، 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من 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حكى عنه ابن شهر آشوب وغيره في العصور المتقدِّمة من النسخ المخطوطة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الموضع الذي نص النبي صلَّى الله عليه وسلم فيه على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حرَّفته يد الطبع</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محقّقي الدواوين والجهات التي تتولّى طباعة الكتب التراثية من هذا الصنف الذي دأب على تغييب فضائل أهل البيت علیهم السلام ، فقد كان لهم الدور المميَّز في تحريف الحقيقة وطمس الآثار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الأميني، عند ترجمة حسان بن ثابت متعرِّضاً لتحريف الدواوين بعد الطباعة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لحسّان في مولانا أمير المؤمنين علیه السلام مدايح جمّة غير ما سبقت الإشارة إليه، إلّا أنّ يد الأمانة لم تقبض عليها يوم مُدت إلى ديوانه، فحرفت الكلم عن مواضعها، ولعبت بديوان حسّان، كما لعبت بغيره من الدواوين والكتب والمعاجم التي أُسقطت منها مدايح أهل البيت علیهم السلام وفضائلهم، والذكريات الحميدة لأتباعهم، كديوان الفرزدق الذي أسقطوا منها ميميته المشهورة في مولانا الإمام زين العابدين علیه السلام مع إشارة الناشر إليها في مقدمة شرح ديوانه</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هذا الذي تعرفُ البطحاءُ وطأتَهوالبيتُ يعرفُه والحلُّ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 خليل بن ايبك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لصاوي جامع ديوان الفرزدق، ففي نفس الديوان في حرف الميم 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يذكر ستّة أبيات فقط من القصيدة ولا أدري ما الذي حداه إلى هذه الخيانة الأدبية؟ أليس هو الذي سبق منه أن نقل عن تاريخ ابن خلكان والأغاني وشرح رسالة ابن زيدون سبب إنشائها؟ إن لم يعتمد هذه الكتب فلِمَ نقل عنها؟ وإن اعتمدها في نقل السبب فلِمَ لم ينقل القصيدة بكاملها عنهم؟ أليست هي جميعها من شعر الفرزدق؟ ألم يعلم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عنى بجمعه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القصيدة مثبتة في ديوان الفرزدق قبل أن يخلق؟ فهذا سبط ابن الجوزي ذكر في تذكرة الخواص رواية أبي نعيم في الحلية للقصيدة، 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أبو نعيم في الحلية إلّا بعض هذه الأبيات والباقي أخذته من 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ولعل الصاوي حاول تجاهل الواقع تقليداً لسلفه هشام حين تجاهل ذلك؟ وظنّ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وظنّه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سيخفي الحقيقة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طفحت بذكرها الكتب والمعاجم،</w:t>
      </w:r>
    </w:p>
    <w:p>
      <w:pPr>
        <w:pStyle w:val="BookText"/>
        <w:rPr/>
      </w:pPr>
      <w:r>
        <w:rPr>
          <w:rFonts w:ascii="Amiri" w:hAnsi="Amiri" w:eastAsia="Amiri" w:cs="Amiri"/>
          <w:color w:val="111111"/>
          <w:sz w:val="28"/>
          <w:sz w:val="28"/>
          <w:szCs w:val="28"/>
          <w:rtl w:val="true"/>
          <w:lang w:bidi="ar-SA"/>
        </w:rPr>
        <w:t>وكديوان كُمَيت، فإنّه حُرفت منه أبيات كما زيدت عليه أُخرى، وكديوان أمير الشعراء أبي فراس، وكديوان كشاجم الذي زحزحوا عنه كمية مهمّة من مراثي سيدنا الإمام السبط الشهيد سلام الله عليه</w:t>
      </w:r>
      <w:r>
        <w:rPr>
          <w:rFonts w:eastAsia="Amiri" w:cs="Amiri" w:ascii="Amiri" w:hAnsi="Amiri"/>
          <w:color w:val="111111"/>
          <w:sz w:val="28"/>
          <w:szCs w:val="28"/>
          <w:rtl w:val="true"/>
          <w:lang w:bidi="ar-SA"/>
        </w:rPr>
        <w:t>...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وكديوان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القصائد العلويات بمدح أمير المؤمنين، أُسقطت من الديوان على مرّ العصور، فلم نعثر لكبير شعراء العربية الكوفي المولد العلوي المذهب، إلّا على بيتين أو ثلاثة، وهو في غاية الغرابة، نعم يُعدّ المتنبي ممَّن ذكر الغدير في شعره فقد نسب إليه صاحب بغية الطلب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سألتك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الإمامة بالوصي</w:t>
      </w:r>
    </w:p>
    <w:p>
      <w:pPr>
        <w:pStyle w:val="BookText"/>
        <w:rPr/>
      </w:pPr>
      <w:r>
        <w:rPr>
          <w:rFonts w:ascii="Amiri" w:hAnsi="Amiri" w:eastAsia="Amiri" w:cs="Amiri"/>
          <w:color w:val="111111"/>
          <w:sz w:val="28"/>
          <w:sz w:val="28"/>
          <w:szCs w:val="28"/>
          <w:rtl w:val="true"/>
          <w:lang w:bidi="ar-SA"/>
        </w:rPr>
        <w:t>وأبان في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جبّار غوي</w:t>
      </w:r>
    </w:p>
    <w:p>
      <w:pPr>
        <w:pStyle w:val="BookText"/>
        <w:rPr/>
      </w:pPr>
      <w:r>
        <w:rPr>
          <w:rFonts w:ascii="Amiri" w:hAnsi="Amiri" w:eastAsia="Amiri" w:cs="Amiri"/>
          <w:color w:val="111111"/>
          <w:sz w:val="28"/>
          <w:sz w:val="28"/>
          <w:szCs w:val="28"/>
          <w:rtl w:val="true"/>
          <w:lang w:bidi="ar-SA"/>
        </w:rPr>
        <w:t>فضل الإمام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الربّ العلي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قصدت لحاجتي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وأعنت عبدك يا عليّ</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نعم بلغ التغييب في هذا الباب مرحلة خطيرة، فقد تابع التالون ما أسس الأوّلون فهاهم يحرِّفون الكتب المطبوعة بعد صدور الحقائق لتلك الفضائل في طبعاتها الأُولى، وأبرز ما يصادفنا في هذا المقام ما حدث في كتاب 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حديث الدار والإنذار</w:t>
      </w:r>
      <w:r>
        <w:rPr>
          <w:rStyle w:val="FootnoteAnchor"/>
          <w:rtl w:val="true"/>
        </w:rPr>
        <w:footnoteReference w:id="662"/>
      </w:r>
      <w:r>
        <w:rPr>
          <w:rFonts w:ascii="Amiri" w:hAnsi="Amiri" w:eastAsia="Amiri" w:cs="Amiri"/>
          <w:color w:val="111111"/>
          <w:sz w:val="28"/>
          <w:sz w:val="28"/>
          <w:szCs w:val="28"/>
          <w:rtl w:val="true"/>
          <w:lang w:bidi="ar-SA"/>
        </w:rPr>
        <w:t>في الطبعة الأُولى من كتابه 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النذير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ودعا محمّد عشيرته إلى طعام في بيته وحاول أن يحدِّثهم داعياً إياهم إلى الله، فقطع عمّه أبو لهب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واستنفر القوم ليقوموا، ودعاهم محمّد في الغداة كرّة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طعموا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إنساناً في العرب جاء قومه بأفضل ممَّا جئتكم به، قد جئتكم بخير الدنيا والآخرة، وقد أمرني ربّي أن أدعوكم إليه، فأيكم يوازرني هذا الأمر، وأن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عنه وهمّوا بتركه، لكن عليِّاً نهض وما يزال صبياً دون الحلم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عونك، أنا حرب على 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بنو هاشم وقهقه بعضهم وجعل نظرهم يتنقل من أبي طالب إلى ابنه، ثمَّ انصرفوا مستهزئين</w:t>
      </w:r>
      <w:r>
        <w:rPr>
          <w:rFonts w:eastAsia="Amiri" w:cs="Amiri" w:ascii="Amiri" w:hAnsi="Amiri"/>
          <w:color w:val="111111"/>
          <w:sz w:val="28"/>
          <w:szCs w:val="28"/>
          <w:rtl w:val="true"/>
          <w:lang w:bidi="ar-SA"/>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أسقط من الحديث أولاً ما فرَّع به رسول الله صلی الله علیه و اله كلامه من قوله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أخي ووصيي ووارثي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نسب إلى أمير المؤمنين ثانياً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 عونك، أنا حرب على 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دلَّنا على مصدر هذه النسبة في لفظ أيِّ محدِّث أو مؤرِّخ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وراقه أن يحكم في الحضور في تلك الحفلة بتبسُّم بني هاشم وقهقهة بعضهم، ولم نجد لهذا التفصيل مصدراً يعول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وراءه مَن يأخذه بمقاله، ولم يرَ هناك مَن يناقشه الحساب في تقوّلاته وتصرُّفاته أسقط منه ما يرجع إلى أمير المؤمنين علیه السلام في الطبعة الثانية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ولعل السرّ فيه لفتة منه إلى غاية ابن كثير وأمثاله بعد النشر، أو أنّ اللغط والصخب حول القول قد كثرا عليه هناك من مناوئي العترة الطاهرة، فأخذته أمواج اللوم والعتب حتى اضطرّته إلى الحذف والتحريف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العادة المطّردة في جملة من المطابع عاثت في الكتاب فغضّ عنها الطرف صاحبه لاشتراكه معها في المبدأ أو عجزه عن دفعها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جديدة لمتون كتب الحديث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معايير علمية متضمّنة هي قراءة لنفسيات المؤلِّفين والمحدِّثين مع ملاحظة الوسائل المختلفة التي يتّبعها البعض والانتقائية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سوف ينتج لنا قراءة صحيحة للتاريخ الإسلامي، ورجاله الأفذاذ ممَّن غيَّبت فضائلهم وانجازاتهم العظيمة، لعدم وجود المؤرِّخين والمحدِّثين الثقاة ممَّن يتحلّى بالجرأة والغيرة على الدين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0991_100938"/>
      <w:bookmarkStart w:id="689" w:name="pg10991_100938"/>
      <w:bookmarkEnd w:id="68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0" w:name="pg10991_100938"/>
      <w:bookmarkStart w:id="691" w:name="__RefHeading___Toc8289208_2870459653"/>
      <w:bookmarkStart w:id="692" w:name="_Toc247"/>
      <w:bookmarkEnd w:id="690"/>
      <w:bookmarkEnd w:id="691"/>
      <w:r>
        <w:rPr>
          <w:rtl w:val="true"/>
        </w:rPr>
        <w:t>خلاصة المقالات باللغة العربية والإنجليزية</w:t>
      </w:r>
      <w:bookmarkEnd w:id="69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الحكومة الإسلاميّة وولاية الفقيه</w:t>
      </w:r>
    </w:p>
    <w:p>
      <w:pPr>
        <w:pStyle w:val="BookText"/>
        <w:rPr/>
      </w:pPr>
      <w:r>
        <w:rPr>
          <w:rFonts w:ascii="Amiri" w:hAnsi="Amiri" w:eastAsia="Amiri" w:cs="Amiri"/>
          <w:color w:val="111111"/>
          <w:sz w:val="28"/>
          <w:sz w:val="28"/>
          <w:szCs w:val="28"/>
          <w:rtl w:val="true"/>
          <w:lang w:bidi="ar-SA"/>
        </w:rPr>
        <w:t>في ظلّ المبادئ السياسيّة للنهضة الحسينيّة</w:t>
      </w:r>
    </w:p>
    <w:p>
      <w:pPr>
        <w:pStyle w:val="BookText"/>
        <w:rPr/>
      </w:pPr>
      <w:r>
        <w:rPr>
          <w:rFonts w:ascii="Amiri" w:hAnsi="Amiri" w:eastAsia="Amiri" w:cs="Amiri"/>
          <w:color w:val="111111"/>
          <w:sz w:val="28"/>
          <w:sz w:val="28"/>
          <w:szCs w:val="28"/>
          <w:rtl w:val="true"/>
          <w:lang w:bidi="ar-SA"/>
        </w:rPr>
        <w:t>الشيخ قيصر التميمي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تعرّضنا في هذا المقال لإشكالية جديدة أدّت لإقصاء النهضة الحسينيّة في أهدافها السياسيّة، وهي إشكالية الفصل بين القيادتين الدينيّة والسياسيّة في عصر الغيبة، وتعتمد على جملة من القرائن والشواهد التاريخيّة والتراثيّة، ذكرنا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فصل الاختصاص الديني عن المنهج السياسي، ودعوى أن الحركة السياسيّة للمعصومين من أئمة أهل البيت علیهم السلام من خصائص عصمتهم وإمامتهم، والنصوص الدالة على أن كلّ راية تُرفع قبل قيام القائم علیه السلام فصاحبها طاغوت يُعبد من دون الله تعالى، والروايات الآمرة بالجلوس والناهية عن الخروج على السلطات الظالمة، وادّعاء كون سيرة المعصومين علیهم السلام بعد شهادة الحسين علیه السلام قائمة على ترك السعي لإقامة حكومة 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انتقلنا بعد ذلك للإجابة عن هذه الإشكاليّة وشواهدها في إطار العناوين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الحكومة الإسلاميّة وولاية الفقيه المطلقة، وفكرة المشاركة السياسيّة والاجتماعيّة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الحسبية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والحضور الحسيني المتميّز في الأوضاع الراهنة، ثم انتقلنا لمناقشة شواهد ونصوص الإشكاليّة بصورة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وخلصنا إلى كون المبادئ السياسيّة للنهضة الحسينيّة من أهمّ مصادر حركتنا السياسيّة والاجتماعيّة في عصرنا الحاضر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Establishing an Islamic Government and The Supreme Authority of the jurist, in the Light of the Political Principles of Imam al-°usayn‘s Uprising</w:t>
      </w:r>
    </w:p>
    <w:p>
      <w:pPr>
        <w:pStyle w:val="BookText"/>
        <w:rPr/>
      </w:pPr>
      <w:r>
        <w:rPr>
          <w:rFonts w:eastAsia="Times New Roman" w:cs="Times New Roman" w:ascii="Times New Roman" w:hAnsi="Times New Roman"/>
          <w:color w:val="111111"/>
          <w:sz w:val="28"/>
          <w:szCs w:val="28"/>
          <w:lang w:val="en-US" w:bidi="en-US"/>
        </w:rPr>
        <w:t>Shaykh Qay¥ar al-Tam¢m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of this essay embarks upon reviewing analytically a new problem that led to eliminating Imam al-°usayn‘s universal and reformative uprising from its political goals. This problem is namely discrimination between the religious and the political leaderships in the Occultation Age (i.e. the period of the invisibility of the awaited Imam al-Mahd¢). Proposed to scholastic disputation, this problem is claimed to be dependently derived from a number of points of evidence as well as historical and traditional indications, some of which are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notion of separating the religious domain from the political course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claim that the political approach of the Holy Imams of the Ahl al-Bayt (‛a) is one of the features exclusively granted to them on account of their ‛i¥mah (Divinely given inerrancy) and Imamate (leadership of the Muslim community)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Imamic traditions indicating that every standard (i.e. political movement) that is raised before the reappearance of the awaited Imam al-Mahd¢ (‛a) must be raised by a s¡gh£t; i.e. a false deity, who is worshipped beside Allah the Almighty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narrations carrying the Holy Imams‘ instructions of holding back (i.e. sitting motionless and refraining from revolting or assuming a political leadership) and warning against rising up against the tyrannical ruling authorities, and</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claim that, after the martyrdom of Imam al-°usayn (‛a), the Holy Imams followed a course that was founded on making no attempt to establish an Islamic government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Upon reviewing these claims, the writer moves to giving adequate answers to each one of them separately under such titles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notion of Islamic government and wil¡yat al-faq¢h; guardianship of the Islamic supreme jurist, or the jurisprudent‘s supreme authority over the Muslim community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notion of the political and social role of the supreme religious authority in the Muslim community, and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al-°usayn‘s characteristic presence in the current events and conditions of the Muslim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discusses analytically the aforesaid objections to the wil¡yat al-faq¢h notion and the points of evidence that were provided against it more exclusively</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Finally, he concludes that the political principles of Imam al-°usayn‘s reformative uprising have always been the key foundation and most important inspiring factor of the political and social progress of the Muslim community in the present day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الثورة الحسينية بين نظرية الشهادة وإقامة الحكومة</w:t>
      </w:r>
    </w:p>
    <w:p>
      <w:pPr>
        <w:pStyle w:val="BookText"/>
        <w:rPr/>
      </w:pPr>
      <w:r>
        <w:rPr>
          <w:rFonts w:ascii="Amiri" w:hAnsi="Amiri" w:eastAsia="Amiri" w:cs="Amiri"/>
          <w:color w:val="111111"/>
          <w:sz w:val="28"/>
          <w:sz w:val="28"/>
          <w:szCs w:val="28"/>
          <w:rtl w:val="true"/>
          <w:lang w:bidi="ar-SA"/>
        </w:rPr>
        <w:t>آية الله الشيخ محمد جواد اللنكراني</w:t>
      </w:r>
    </w:p>
    <w:p>
      <w:pPr>
        <w:pStyle w:val="BookText"/>
        <w:rPr/>
      </w:pPr>
      <w:r>
        <w:rPr>
          <w:rFonts w:ascii="IRNazanin" w:hAnsi="IRNazanin" w:eastAsia="IRNazanin"/>
          <w:color w:val="111111"/>
          <w:sz w:val="28"/>
          <w:sz w:val="28"/>
          <w:szCs w:val="28"/>
          <w:rtl w:val="true"/>
          <w:lang w:bidi="fa-IR"/>
        </w:rPr>
        <w:t>تناول الكاتب في المقال الذي بين أيدينا دراسة هدف الإمام الحسين علیه السلام من ثورته، فاستعرض في بداية البحث النظريات والاتجاهات التي طُرحت في هذا المجال بشكلٍ إجمالي، فذكر نظرية الشهادة، ونظرية الهدف المرحلي، ونظرية إقامة الحكومة، ونظرية التكليف الخاص، ونظرية الأهداف الطولية، ونظرية الظاهر والباطن، ونظرية الهدف المزدوج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ركّز على نظرية الشهادة، وذكر أنّها لاقت قبولاً كبيراً في الأوساط العلمية، واستدلّ لها بمجموعةٍ من كلمات الإمام الحسين علیه السلام ، بالأحداث التي سبقت واقعة الطف، وحلّل هذه النظرية وتبنّاها بإضافة متمّمٍ لها وهو أنّ الهدف ليس الشهادة بما هي، بل الهدف هو إحياء الأُمّة، واستنقاذ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آثاراً تترتب على نظرية الشهادة بهذا المعنى،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نهضة الإمام علیه السلام من الواجبات الدينيّة الأساسية التي لا يمكن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طريق في مثل هذه النهضة لإيقاظ الأُمّة إلّا الشهادة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الجانب الآخر ركّز الكاتب على نظرية إقامة الحكومة من بين النظريات التي استعرضها في بداية المقال، وذكر الأدلة التي أُقيمت على صحتها، ثم ناقشها من ناحية ثبوتية وإثباتية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الناحية الثبوتية بيّن أنّ سُبات الأمّة، ومعرفة الإمام بحقيقة أهل الكوفة لا تسمح بإقامة حكومة حقٍ يرأسها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الناحية الإثباتية بيّن أنه لا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يوجد ما يدلّ أو يُشعر بأنّ الإمام علیه السلام كان يهدف إلى إقامة دولةٍ إسلاميةٍ من 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الختام ناقش الاستدلال ببعض النصوص التي ادُّعي دلالتها على نظرية إقامة الحكومة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goal of Imam Al-°usayn‘s uprising</w:t>
      </w:r>
    </w:p>
    <w:p>
      <w:pPr>
        <w:pStyle w:val="BookText"/>
        <w:rPr/>
      </w:pPr>
      <w:r>
        <w:rPr>
          <w:rFonts w:eastAsia="Times New Roman" w:cs="Times New Roman" w:ascii="Times New Roman" w:hAnsi="Times New Roman"/>
          <w:color w:val="111111"/>
          <w:sz w:val="28"/>
          <w:szCs w:val="28"/>
          <w:lang w:val="en-US" w:bidi="en-US"/>
        </w:rPr>
        <w:t>between Planning for Martyrdom and the Establishment of Government</w:t>
      </w:r>
    </w:p>
    <w:p>
      <w:pPr>
        <w:pStyle w:val="BookText"/>
        <w:rPr/>
      </w:pPr>
      <w:r>
        <w:rPr>
          <w:rFonts w:eastAsia="Times New Roman" w:cs="Times New Roman" w:ascii="Times New Roman" w:hAnsi="Times New Roman"/>
          <w:color w:val="111111"/>
          <w:sz w:val="28"/>
          <w:szCs w:val="28"/>
          <w:lang w:val="en-US" w:bidi="en-US"/>
        </w:rPr>
        <w:t>Ayatollah Shaykh Mu¦ammad Jaw¡d al-Lankar¡n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Analyzing Imam al-°usayn‘s objective for his revolution, the writer of this essay begins with reviewing, yet generally, all the views and conceptions that were propounded in this connection. He thus refers to a number of views in this regard, which are namely: (1) Martyrdom; that is, Imam al-°usayn‘s goal was to win martyrdom, (2) achievement of a temporary goal, (3) establishment of government, (4) carrying out a private Divine duty, (5) starting a mission of futuristic fruits, (6) the outward-inward conception, and (7) the double goal 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Singling out the view of martyrdom and confirming that it received very much approval by the scientific milieus, the writer provides a number of words said by Imam al-°usayn (‛a) as well as a number of events that took place before the Battle of al-±aff as evidence to prove the view that Imam al-°usayn (‛a), by leading this revolution, intended for winning martyrdom. Yet, the writer, upon analyzing and adopting this view, adds an auxiliary factor to it when he expresses that the actual goal of the Imam (‛a) was not martyrdom in itself; rather, it was to revive the community and to save the masses from the tyranny of the ruling authorities, and these goals could not be achieved unless martyrdom would first be gained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mentions some effects that result from adopting the view of martyrdom being the purpose behind Imam al-°usayn‘s revolution in this very sense. Among these effects are that the Imam‘s uprising was one of the unavoidable basic religious duties and there was no other way for awakening the Muslim community than leading this uprising that would inevitably end with the Imam‘s martyrdom</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other part of his essay, the writer, within his review of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various opinions about the objective for Imam al-°usayn‘s revolution, highlights the view that the Imam‘s goal was to overthrow the ruling government and establish a new one. Making a reference to the points of evidence provided for proving the accuracy of this view, the writer embarks upon discussing these points from the aspect of the true state of affairs and the aspect of manifest proofs. With regard to reality, the writer points out the two factors that prevented the Imam (‛a) from establishing a truly Islamic government headed by him. These two factors were namely the period of blackout through which the Muslim community was passing these days, and the Imam‘s familiarity with the reality of the people of al-K£fah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regard to the manifest proofs, the writer confirms the absence of any factor that may prove, or make us feel, that Imam al-°usayn (‛a), upon revolting and leading his blessed uprising, aimed at establishing a true Islamic government</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Finally, the writer argues the points claimed to be evidence on the view of the Imam‘s intention to establish a government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تعبئة الأُمّة وإعدادها</w:t>
      </w:r>
    </w:p>
    <w:p>
      <w:pPr>
        <w:pStyle w:val="BookText"/>
        <w:rPr/>
      </w:pPr>
      <w:r>
        <w:rPr>
          <w:rFonts w:ascii="Amiri" w:hAnsi="Amiri" w:eastAsia="Amiri" w:cs="Amiri"/>
          <w:color w:val="111111"/>
          <w:sz w:val="28"/>
          <w:sz w:val="28"/>
          <w:szCs w:val="28"/>
          <w:rtl w:val="true"/>
          <w:lang w:bidi="ar-SA"/>
        </w:rPr>
        <w:t>السيّد محمّد الشوكي</w:t>
      </w:r>
    </w:p>
    <w:p>
      <w:pPr>
        <w:pStyle w:val="BookText"/>
        <w:rPr/>
      </w:pPr>
      <w:r>
        <w:rPr>
          <w:rFonts w:ascii="IRNazanin" w:hAnsi="IRNazanin" w:eastAsia="IRNazanin"/>
          <w:color w:val="111111"/>
          <w:sz w:val="28"/>
          <w:sz w:val="28"/>
          <w:szCs w:val="28"/>
          <w:rtl w:val="true"/>
          <w:lang w:bidi="fa-IR"/>
        </w:rPr>
        <w:t>تحدّث الباحث في هذا المقال عن المهمّة التي قام بها الإمام الحسين علیه السلام في تعبئة الأُمة وتهيئتها لمواجهة المشروع الأُموي، وكان قد تعرّض الباحث في مقالاتٍ سابقة للخطوات التي اتّخذها بنو أُمية للاستحواذ على السلطة، ومن أهمها توريث الحكم ليزيد ليبدأ معه عصر جديد من التسلّط العائلي على الحكم، كما يفعل الملوك والسلاطين، وكذلك تطرّق لمسألة مهمة وهي أن شخص الإمام علیه السلام هو التحدي الأبرز للمشروع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هذا القسم من مقالاته فقد بيّن الاستعدادات التي قام بها الإمام الحسين علیه السلام لمواجهة مرحلة ما بعد معاوية؛ فإنّ هذا الاستعداد أمر فرضته وظيفة الإمام والأحاديث التي جاءت عن النبي صلی الله علیه و اله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 الباحث بعرض وقائع مؤتمر مكة الذي ألقى فيه الإمام الحسين خطبته، ثمّ قام بتحليل هذه الخطبة، وبيان أثرها في الإعداد لمواجهة المرحلة المقبلة، والمضامين التي جاءت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أشار إلى الإيام الأخيرة لمعاوية ووصيته ليزيد وإطلاعه على ما يمكن أن يواجهه حال انتقال السلطة إليه، وبيّن الكاتب بعدُ كيفية انتقال السلطة إلى يزيد في ظروف آمنة هُيّئت مسبقاً من قبل معاوية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Starting Points and Backgrounds</w:t>
      </w:r>
    </w:p>
    <w:p>
      <w:pPr>
        <w:pStyle w:val="BookText"/>
        <w:rPr/>
      </w:pPr>
      <w:r>
        <w:rPr>
          <w:rFonts w:eastAsia="Times New Roman" w:cs="Times New Roman" w:ascii="Times New Roman" w:hAnsi="Times New Roman"/>
          <w:color w:val="111111"/>
          <w:sz w:val="28"/>
          <w:szCs w:val="28"/>
          <w:lang w:val="en-US" w:bidi="en-US"/>
        </w:rPr>
        <w:t>of Imam al-°usayn‘s uprising</w:t>
      </w:r>
    </w:p>
    <w:p>
      <w:pPr>
        <w:pStyle w:val="BookText"/>
        <w:rPr/>
      </w:pPr>
      <w:r>
        <w:rPr>
          <w:rFonts w:eastAsia="Times New Roman" w:cs="Times New Roman" w:ascii="Times New Roman" w:hAnsi="Times New Roman"/>
          <w:color w:val="111111"/>
          <w:sz w:val="28"/>
          <w:szCs w:val="28"/>
          <w:lang w:val="en-US" w:bidi="en-US"/>
        </w:rPr>
        <w:t>Part IV: Mobilizing and Preparing the Masses for revolting</w:t>
      </w:r>
    </w:p>
    <w:p>
      <w:pPr>
        <w:pStyle w:val="BookText"/>
        <w:rPr/>
      </w:pPr>
      <w:r>
        <w:rPr>
          <w:rFonts w:eastAsia="Times New Roman" w:cs="Times New Roman" w:ascii="Times New Roman" w:hAnsi="Times New Roman"/>
          <w:color w:val="111111"/>
          <w:sz w:val="28"/>
          <w:szCs w:val="28"/>
          <w:lang w:val="en-US" w:bidi="en-US"/>
        </w:rPr>
        <w:t>Sayyid Mu¦ammad al-Shawk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previous parts of this series of essays, the writer brought up the steps adopted by the Umayyads to seize power over the Muslim community, the most important of which was that power was given in inheritance to Yaz¢d after the death of his father, just like kings and sultans used to do, and thus a new age of hereditary seizure of power began. The writer then spotlighted the fact that Imam al-°usayn ibn ‛Al¢ (‛a) was the most challenging obstruction that faced the Umayyad devious scheme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part of the essay, he sheds light on the preparations made by Imam al-°usayn (‛a) for confronting the post-Mu‛¡wiyah stage to come to the point that such preparations embodied the carrying out of a religious duty imposed by the Imam‘s function and by the traditions reported from the Holy Prophet Mu¦ammad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Starting with a review of the events of the conference held in Makkah in which Imam al-°usayn (‛a) delivered his famous revolutionary speech, the writer analyzes the sections of this speech, putting on view its influence on the preparation for facing the coming stage and also analyzes the points mentioned therein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moves to taking up the last days of Mu‛¡wiyah‘s reign and the will he wrote to his son Yaz¢d in which he predicted the most dangerous challenges his son might face when power would be transferred to him</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After that, the writer reveals the way power was transferred to Yaz¢d after his father had paved the way and prepared secure conditions for the transference of power to his 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فلسفة البكاء على الإمام الحسين علیه 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رستم نجاد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 إضافة مفيدة وجادة لتقديم صورة واضحة المعالم عن فلسفة شعيرة مهمّة من الشعائر الحسينية، وهي شعيرة البكاء التي تعدّ من أهمّ مظاهر العزاء على سيد شباب أهل الجنة الإمام الحسين علیه السلام ، ولم ترد روايات بحق أي واحد من أهل البيت علیهم السلام بقدر ما وردت بحق الإمام الحسين علیه السلام ؛ لذا تعرّض الباحث لحكمة تأكيد الروايات على تلك الشعيرة، فعرض الوجوه والآراء والتحليلات المذكورة من قبل البعض حول فلسفة البكاء، ثمّ بعد ذلك اختار رؤية ذات أبعاد مركّبة متعددة تشكّل بمجموعها العام صورة متكاملة حول حكمة البكاء منسجمة مع الروايات الحاثّة على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Logic for weeping for Imam al-°usayn</w:t>
      </w:r>
    </w:p>
    <w:p>
      <w:pPr>
        <w:pStyle w:val="BookText"/>
        <w:rPr/>
      </w:pPr>
      <w:r>
        <w:rPr>
          <w:rFonts w:eastAsia="Times New Roman" w:cs="Times New Roman" w:ascii="Times New Roman" w:hAnsi="Times New Roman"/>
          <w:color w:val="111111"/>
          <w:sz w:val="28"/>
          <w:szCs w:val="28"/>
          <w:lang w:val="en-US" w:bidi="en-US"/>
        </w:rPr>
        <w:t>Dr. Shaykh Mahd¢ Rustam Nezh¡d</w:t>
      </w:r>
    </w:p>
    <w:p>
      <w:pPr>
        <w:pStyle w:val="BookText"/>
        <w:rPr/>
      </w:pPr>
      <w:r>
        <w:rPr>
          <w:rFonts w:eastAsia="Times New Roman" w:cs="Times New Roman" w:ascii="Times New Roman" w:hAnsi="Times New Roman"/>
          <w:color w:val="111111"/>
          <w:sz w:val="28"/>
          <w:szCs w:val="28"/>
          <w:lang w:val="en-US" w:bidi="en-US"/>
        </w:rPr>
        <w:t>The current essay is a constructive and serious addition aimed for presenting a conspicuous study of the philosophy of weeping for Imam al-°usayn (‛a) and weeping over his tragic saga that led to his martyrdom, since this weeping is seen as one of the most important rites of commemorating Imam al-°usayn (‛a), his uprising, and his martyrdom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Going through the traditional heritage of the Holy Imams (‛a), the writer proves that Imam al-°usayn (‛a) was given the lion‘s share of the narrations issued by and authentically reported from the Holy Imams (‛a), especially with regard to their emphasis on the rite of weeping for him, which is thus seen as one of the most significant aspects of expressing sorrow for the martyrdom of the chief of the youths of Paradise, Imam al-°usayn ibn ‛Al¢ (‛a)</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Thrashing out the logic for the importance assigned to the rite of weeping for Imam al-°usayn (‛a) by the Holy Imams (‛a) through their reported heritage, the writer of the essay reviews the reasons, views, and analyses mentioned by scholars about the logic for weeping. After that, he conclusively picks up one multifarious and compound view, which, in its totality, forms an integrated picture that explains the actual wisdom for weeping and, at the same time, is compatible with the Holy Imam‘s words that highlighted the importance of weeping as a ceremonial act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المؤسسة الشعائرية</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التأسيس والسيرورة، الأهداف والغايات</w:t>
      </w:r>
    </w:p>
    <w:p>
      <w:pPr>
        <w:pStyle w:val="BookText"/>
        <w:rPr/>
      </w:pPr>
      <w:r>
        <w:rPr>
          <w:rFonts w:ascii="Amiri" w:hAnsi="Amiri" w:eastAsia="Amiri" w:cs="Amiri"/>
          <w:color w:val="111111"/>
          <w:sz w:val="28"/>
          <w:sz w:val="28"/>
          <w:szCs w:val="28"/>
          <w:rtl w:val="true"/>
          <w:lang w:bidi="ar-SA"/>
        </w:rPr>
        <w:t>الشيخ عامر الجابري</w:t>
      </w:r>
    </w:p>
    <w:p>
      <w:pPr>
        <w:pStyle w:val="BookText"/>
        <w:rPr/>
      </w:pPr>
      <w:r>
        <w:rPr>
          <w:rFonts w:ascii="Amiri" w:hAnsi="Amiri" w:eastAsia="Amiri" w:cs="Amiri"/>
          <w:color w:val="111111"/>
          <w:sz w:val="28"/>
          <w:sz w:val="28"/>
          <w:szCs w:val="28"/>
          <w:rtl w:val="true"/>
          <w:lang w:bidi="ar-SA"/>
        </w:rPr>
        <w:t>عُنيت هذه الدراسة بموضوع مهم جداً من موضوعات النهضة الحسينية المباركة، ألا وهو موضوع الشعائر الحسينية، وانصبّ فيها جهد الباحث على جانبين من جوانب هذا الموضوع،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نشوء المؤسسة الشعائرية وتكوّنها، ثمّ أثرها في بناء الكيان الشيعي وتبلوره؛ فقسّمت الدراسة لهذا الأساس على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الأوّل نشوء المؤسسة الشعائرية وسيرورتها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جاء الحديث عنه في القسم الأوّل من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المبحث الثاني فيتناول دورها في بناء كيان التشيّع وتكميله، وسيأتي الحديث عنه في القسم الثاني من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ركّز الباحث في القسم الأوّل من دراسته على بدايات نشوء المؤسسة الشعائرية ورسم ملامحها من قبل الأئمة علیهم السلام ؛ وذلك من خلال مطلبين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مؤسسة المأتم الحسيني، والثاني مؤسسة زيارة الإمام الحسين علیه السلام ، فتحدّث في الأوّل عن كيفية تأسيس المأتم الحسيني ونشوئه على أيدي أهل البيت علیهم السلام ، ابتداءً من الإمام السجاد علیه السلام الذي يعدّ واضع بذور المأتم الحسيني، ومروراً بعهد الإمام الباقر علیه السلام والإمام الصادق علیه السلام الذي شهد فيه المأتم عصره الذهبي، وكذلك ما حصل من تطوراتٍ للمأتم في عهد سائر الأئمة علیهم السلام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المطلب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مؤسسة زيارة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الحديث فيه عن دوافع نشوء الزيارة ونموّها، ومساهمة أهل البيت علیهم السلام في ذلك؛ إذ يعدّ الإمام الباقر علیه السلام واضع اللبنة الأُولى لمؤسسة الزيارة، ثم الإمام الصادق علیه السلام ، وبقية الأئمة علیهم السلام من بعده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Institution of Commemorating Imam al-°usayn</w:t>
      </w:r>
    </w:p>
    <w:p>
      <w:pPr>
        <w:pStyle w:val="BookText"/>
        <w:rPr/>
      </w:pPr>
      <w:r>
        <w:rPr>
          <w:rFonts w:eastAsia="Times New Roman" w:cs="Times New Roman" w:ascii="Times New Roman" w:hAnsi="Times New Roman"/>
          <w:color w:val="111111"/>
          <w:sz w:val="28"/>
          <w:szCs w:val="28"/>
          <w:lang w:val="en-US" w:bidi="en-US"/>
        </w:rPr>
        <w:t>part I: Constitution and Process; Goals and outcomes</w:t>
      </w:r>
    </w:p>
    <w:p>
      <w:pPr>
        <w:pStyle w:val="BookText"/>
        <w:rPr/>
      </w:pPr>
      <w:r>
        <w:rPr>
          <w:rFonts w:eastAsia="Times New Roman" w:cs="Times New Roman" w:ascii="Times New Roman" w:hAnsi="Times New Roman"/>
          <w:color w:val="111111"/>
          <w:sz w:val="28"/>
          <w:szCs w:val="28"/>
          <w:lang w:val="en-US" w:bidi="en-US"/>
        </w:rPr>
        <w:t>Shaykh ‛ªmir al-J¡bir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study is dedicated to one of the most important issues of Imam al-°usayn‘s blessed uprising; namely, the issue of the rituals of commemorating Imam al-°usayn (‛a), his revolution and his martyrdom, widely known as °usayn¢ Rituals. Although this issue is in itself composed of many aspects, the writer has devoted his study to discussing two aspects only: the birth and composition of these rituals, which is the main topic of the first part of the current study, and their effect on building and developing the Sh¢‛ite entity, which is discussed in details in the second part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first part of the essay, the writer dedicates his study to the first emergence of the ritualistic establishment of commemorating Imam al-°usayn‘s martyrdom and proves that the features of these rituals were basically sketched by the Holy Imams (‛a). He thus divides this part of the essay into two major sections, the first of which discusses the establishment of the meetings for commemorating Imam al-°usayn‘s martyrdom, and the second deals with the establishment of pilgrimage to Imam al-°usayn ‘ s holy tomb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regard to the first section, the writer looks into the way the meetings for commemorating Imam al-°usayn (‛a) were established and initiated by the Holy Imams (‛a), starting with Imam al-Sajj¡d (‛a), who is considered the first to sow the seed of theses meetings, passing by Imam al-B¡qir (‛a) and Imam al-¯¡diq (‛a) whose era is seen as the golden age of the ritualistic gatherings for commemorating Imam al-°usayn (‛a), as well as the developments that occurred to these gatherings during the ages of the other Holy Imams (‛a)</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second section of this part, the motives for the rise and development of visiting and going on pilgrimage to Imam al-°usayn ‘ s holy tomb, as well as the Holy Imams ‘ advisory and practical contributions to this issue, has been discussed in details. Imam al-B¡qir (‛a) is regarded as the first to have founded this pilgrimage, followed by Imam al-¯¡diq (‛a) and the other Holy Imams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حجاجية السؤال في خطاب الإمام الحُسين علیه 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حوير</w:t>
      </w:r>
    </w:p>
    <w:p>
      <w:pPr>
        <w:pStyle w:val="BookText"/>
        <w:rPr/>
      </w:pPr>
      <w:r>
        <w:rPr>
          <w:rFonts w:ascii="IRNazanin" w:hAnsi="IRNazanin" w:eastAsia="IRNazanin"/>
          <w:color w:val="111111"/>
          <w:sz w:val="28"/>
          <w:sz w:val="28"/>
          <w:szCs w:val="28"/>
          <w:rtl w:val="true"/>
          <w:lang w:bidi="fa-IR"/>
        </w:rPr>
        <w:t>يُلفت الباحث النظر في هذا المقال إلى إحدى أهمّ وسائل الامام الحسين علیه السلام في إثبات أحقّيته وصواب نهجه القويم، وإقناع المتلقّي به، ألا وهو استخدام حِجاجية السؤال فيما إذا كان المتكلّم أو السائل يعلم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وتوزّع البحث على محورين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الأول للتعريف بالحِجاج وبيان معناه لدى اليونان والمسلمين والغرب في العصر الحديث، وكذلك توضيح معنى الخطاب بشكلٍ عام، والخطاب الحسيني وأنماطه المختلفة التي وردت فيها صيغ السؤال الحجاجي بشكلٍ خاص</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المحور الثاني فبيّن فيه أدوات السؤال الحجاجي في الخطاب الحسيني، كالهمزة والاستفهام وأسماء الاستفهام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Argumentative Interrogations</w:t>
      </w:r>
    </w:p>
    <w:p>
      <w:pPr>
        <w:pStyle w:val="BookText"/>
        <w:rPr/>
      </w:pPr>
      <w:r>
        <w:rPr>
          <w:rFonts w:eastAsia="Times New Roman" w:cs="Times New Roman" w:ascii="Times New Roman" w:hAnsi="Times New Roman"/>
          <w:color w:val="111111"/>
          <w:sz w:val="28"/>
          <w:szCs w:val="28"/>
          <w:lang w:val="en-US" w:bidi="en-US"/>
        </w:rPr>
        <w:t>in Imam al-°usayn ‘s Speeches</w:t>
      </w:r>
    </w:p>
    <w:p>
      <w:pPr>
        <w:pStyle w:val="BookText"/>
        <w:rPr/>
      </w:pPr>
      <w:r>
        <w:rPr>
          <w:rFonts w:eastAsia="Times New Roman" w:cs="Times New Roman" w:ascii="Times New Roman" w:hAnsi="Times New Roman"/>
          <w:color w:val="111111"/>
          <w:sz w:val="28"/>
          <w:szCs w:val="28"/>
          <w:lang w:val="en-US" w:bidi="en-US"/>
        </w:rPr>
        <w:t>Dr. Kh¡lid °uwayr</w:t>
      </w:r>
    </w:p>
    <w:p>
      <w:pPr>
        <w:pStyle w:val="BookText"/>
        <w:rPr/>
      </w:pPr>
      <w:r>
        <w:rPr>
          <w:rFonts w:eastAsia="Times New Roman" w:cs="Times New Roman" w:ascii="Times New Roman" w:hAnsi="Times New Roman"/>
          <w:color w:val="111111"/>
          <w:sz w:val="28"/>
          <w:szCs w:val="28"/>
          <w:lang w:val="en-US" w:bidi="en-US"/>
        </w:rPr>
        <w:t>In this essay, the writer attracts attentions to one of the methods Imam al-°usayn (‛a) used for proving his entitlement to leadership, confirming the accuracy of his flawless approach, and persuading people that he is the one and only rightful party; that is, the style of argumentative interrogation, which is used when a speaker, or more precisely an asker, has already known the answer to the question he poses; yet, he poses it in order to provide argument against the addressee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essay has thus been divided into two parts, each of which holds a central topic. In the first part, the writer defines argumentative interrogation and explains its connotation in the view of the ancient Greek, Muslims, and modern Western theologians. The writer also gives a general idea of speech before moving to show the distinctive features of Imam al-°usayn ‘ s speeches and their various types, especially those introduced in the form of argumentative interrogation</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second part, the writer reviews the articles of argumentative interrogation in Imam al-°usayn ‘ s speeches, such as the interrogative hamzah, particles, and nouns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الشّعر الحُسينيُّ في الدراسات الأدبيّة الحديثة</w:t>
      </w:r>
    </w:p>
    <w:p>
      <w:pPr>
        <w:pStyle w:val="BookText"/>
        <w:rPr/>
      </w:pPr>
      <w:r>
        <w:rPr>
          <w:rFonts w:ascii="Amiri" w:hAnsi="Amiri" w:eastAsia="Amiri" w:cs="Amiri"/>
          <w:color w:val="111111"/>
          <w:sz w:val="28"/>
          <w:sz w:val="28"/>
          <w:szCs w:val="28"/>
          <w:rtl w:val="true"/>
          <w:lang w:bidi="ar-SA"/>
        </w:rPr>
        <w:t>قراءة في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بين شعراء الشعوب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مجيد البديري</w:t>
      </w:r>
    </w:p>
    <w:p>
      <w:pPr>
        <w:pStyle w:val="BookText"/>
        <w:rPr/>
      </w:pPr>
      <w:r>
        <w:rPr>
          <w:rFonts w:ascii="Amiri" w:hAnsi="Amiri" w:eastAsia="Amiri" w:cs="Amiri"/>
          <w:color w:val="111111"/>
          <w:sz w:val="28"/>
          <w:sz w:val="28"/>
          <w:szCs w:val="28"/>
          <w:rtl w:val="true"/>
          <w:lang w:bidi="ar-SA"/>
        </w:rPr>
        <w:t>المقال هو قراءة متأنّية لكتابِ رائدٍ من روّاد الأدب الإسلامي المقارن، وهو عبارة عن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بالكاتب وجهوده في مجال الأدب الإسلامي المقارن، ومؤلفاته، ورؤيته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قراءة في صلب الكتاب، وأبوابه،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في الشعر العربي، واحتوى على فصلين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في الشعر العربي القديم، وأكّد المؤلّف فيه على أن البطش الأُموي قيّد كثيراً من الشعراء في رثاء الحسين علیه السلام ، وأنّ الشعر آنذاك اصطبغ بالصبغة الثائرة على الفساد الأُموي، مستعرضاً نماذج من ذلك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الشعر العربي الكربلائي الحديث، وبروز ظاهرة الشعر الملحميّ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رحيّ، كمسرحيتي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الشعريتين للشرقاوي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كاتب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اختُصّ به الكتاب إدراجه الشعر الشعبي بوصفه لوناً من ألوان الشعر، متجاهلاً الإشكاليّات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الكاتب أنّ المؤلف اهتمّ فيه بالشعر الأُوردي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فصلين أيضاً كلّ على حدة ذاكراً نماذج لكلا الفصلين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أوقفه مؤلّف الكتاب على الشعر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فصلين، مستعرضاً دور حكام الصفوية في تشجيع الشعر في مضمار هكذا، ذاكراً نماذج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بسط الكلام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ثم استعرض في الفصل الثاني الشعر الكربلائي الفارسي الحديث مع ذكر نماذج بارزة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 فيه المؤلف، الشعر الكربلائي عند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فصلين، وذكر لكلا الفصلين نماذج مهمّة من الشعراء الأتراك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فيه كاتب المقال لما ذكره المؤلف من إشكاليّات ترجمة الشعر، وما يتعلّق بهذا الموضوع المهم من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Elegies on Imam al-°usayn</w:t>
      </w:r>
    </w:p>
    <w:p>
      <w:pPr>
        <w:pStyle w:val="BookText"/>
        <w:rPr/>
      </w:pPr>
      <w:r>
        <w:rPr>
          <w:rFonts w:eastAsia="Times New Roman" w:cs="Times New Roman" w:ascii="Times New Roman" w:hAnsi="Times New Roman"/>
          <w:color w:val="111111"/>
          <w:sz w:val="28"/>
          <w:szCs w:val="28"/>
          <w:lang w:val="en-US" w:bidi="en-US"/>
        </w:rPr>
        <w:t>in the Modern Literary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perusal of “Kabral¡ ‘ bayna shu‛ar¡ ‘ al-shu‛£b al-isl¡miyyah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‛Al¢ Maj¢d al-Budayr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Seen as a deliberate perusal of one of the pioneering books in the field of comparative Islamic literature, the current essay is composed of three major parts. The first part comprises an introduction of the author, his efforts in the field of comparative Islamic literary, his writings, and his view about poetry of Karbal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رحمة الله </w:t>
      </w:r>
      <w:r>
        <w:rPr>
          <w:rFonts w:eastAsia="Times New Roman" w:cs="Times New Roman" w:ascii="Times New Roman" w:hAnsi="Times New Roman"/>
          <w:color w:val="111111"/>
          <w:sz w:val="28"/>
          <w:szCs w:val="28"/>
          <w:lang w:val="en-US" w:bidi="en-US"/>
        </w:rPr>
        <w:t>apos; in its capacity as the place where Imam al-°usayn (‛a) was martyred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part is a study of the book involved and its sections, since the first section of it, which is entitled: Karbal¡ ‘ in the Arabic Poetry, is divided into two chapters. Entitled, Karbal¡ ‘ in the classic Arabic poetry, Chapter One includes the author ‘ s idea that the persecution and brutality, practiced by the Umayyad ruling authorities, prevented the majority of poets from composing elegies on Imam al-°usayn (‛a). Hence, the most distinctive feature of poetry of that era was revolution against the Umayyad tyrannical rule. The author then presents some examples of poetic verses that were composed during that 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Two is dedicated to the modern Arabic poetry on Karbal¡ ‘ and the advent of the phenomenon of theatrical epical poetry, represented by al-°usayn Th¡ ‘ iran (Al-°usayn; A Revolutionist) and al-°usayn Shah¢dan (Al-°usayn; A Martyr)—two epical plays written by al-Sharq¡w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distinctive feature of the book involved, the writer of the essay adds, is that the author included it some folk poetry, considering it a type of poetry, ignoring the objections that might be arisen against 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for the second section of the book, the author dedicates it to the Urdu poetry, both the old and the modern, discussing each type in an independent chapter and mentioning samples of each type</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author of the book, in the third section, discusses the Persian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poetry, both the old and the modern, and devotes an independent chapter to each type, reviewing the role of the Safavid dynasty in encouraging on composing poetry on the topic of Imam al-°usayn‘s martyrdom and tragic saga. He finally cites samples of such poetry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then talks elaborately about the famous book of Raw¤at al-W¡‛i¨¢n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Chapter Two of the same section, the author surveys the modern Persian elegiac poetry and quotes the most famous models of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forth section, the author thrashes out the Turkish poetry of elegizing Imam al-°usayn (‛a), both the old and the modern. In two chapters too, the author reviews each type alone. He finalizes the section by quoting samples of such type of poetry</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third part of the essay, the writer discusses the author ‘ s thesis on the problems of translating poetry and all related issues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النثر في ثورتي التوابين والمختار الثقفي وتأثره بالنَّصّ القرآني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الزرفي</w:t>
      </w:r>
    </w:p>
    <w:p>
      <w:pPr>
        <w:pStyle w:val="BookText"/>
        <w:rPr/>
      </w:pPr>
      <w:r>
        <w:rPr>
          <w:rFonts w:ascii="Amiri" w:hAnsi="Amiri" w:eastAsia="Amiri" w:cs="Amiri"/>
          <w:color w:val="111111"/>
          <w:sz w:val="28"/>
          <w:sz w:val="28"/>
          <w:szCs w:val="28"/>
          <w:rtl w:val="true"/>
          <w:lang w:bidi="ar-SA"/>
        </w:rPr>
        <w:t>تناول الكاتب في مقاله مفهوم النثر الأدبي، ووظائفه، وسلّط الضوء على النثر في خصوص حقبة ثورة التوّابين ثم ما تلاها من حركة المختار الثقفي وثورته، ومدى القصدية في هذا اللون من الكلام غير الخاضع للوزن أو القافية من خلال محورين مهمين، خصّص أولهما للأنماط المتصورة للنثر الفني في كلا الحقبتين، فذكر عدة أنماط للنثر الفنّي،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ثم الرسائل الفنية، ثم العهود والوصايا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فاستعرض سريعاً فنّ الخطابة، وأثر الإسلام والقرآن في تطوّرها وتنميتها، ثم استعرض الخطابة في حقبتي التوّابين، والمختار، ذاكراً أسباب تطورها في خصوص تلك الحقبتين، مستعرضاً أشهر الخطباء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الباحث مدى دفع الإسلام لها باتّجاه الرقيّ والتطوّر، بعدما لم تلقَ رواجاً لها في الجاهلية، ثم استعرض عوامل تطوّر هذا الضرب الفنّي من ضروب النثر، ثم خصائصه إبّان تلكم الحقبتين آنفتي الذكر، ثم ثلَّث الكاتب بذكر الضرب الثالث من النثر الفنّي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العهود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تعريفهما استعرض سريعاً ما في الحقبتين من آثارٍ تدلّ عليهما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ثاني المحورين، فقد خصّصه الكاتب لدراسة أثر القرآن الكريم في النثر الفنّي لكلا الحقبتين ضمن أنماط أيضاً من الاقتباس القرآني، أو الاستشهاد بالآي القرآني، أو محاكاة أُسلوب القرآن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Prose in the Revolution of al-Taww¡b¢n (the Repenters) and the Revolution of al-Mukht¡r al-Thaqaf¢ and its Affectedness by the Qur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رحمة الله </w:t>
      </w:r>
      <w:r>
        <w:rPr>
          <w:rFonts w:eastAsia="Times New Roman" w:cs="Times New Roman" w:ascii="Times New Roman" w:hAnsi="Times New Roman"/>
          <w:color w:val="111111"/>
          <w:sz w:val="28"/>
          <w:szCs w:val="28"/>
          <w:lang w:val="en-US" w:bidi="en-US"/>
        </w:rPr>
        <w:t>apos;¡nic Texts</w:t>
      </w:r>
    </w:p>
    <w:p>
      <w:pPr>
        <w:pStyle w:val="BookText"/>
        <w:rPr/>
      </w:pPr>
      <w:r>
        <w:rPr>
          <w:rFonts w:eastAsia="Times New Roman" w:cs="Times New Roman" w:ascii="Times New Roman" w:hAnsi="Times New Roman"/>
          <w:color w:val="111111"/>
          <w:sz w:val="28"/>
          <w:szCs w:val="28"/>
          <w:lang w:val="en-US" w:bidi="en-US"/>
        </w:rPr>
        <w:t>Dr. H¡shim al-Zarf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Approaching the concept and functions of prose as a literary form of written or spoken language, the writer of this essay sheds an important light upon prose during the era of the revolution of al-Taww¡b¢n (repenters; some people of the K£fah city who regretted their failure to support Imam al-°usayn (‛a) and thus decided to revenge for him and revolt against his slayers) and the following era of al-Mukht¡r al-Thaqaf¢ ‘ s revolutionary movement. The writer also reveals the scope of intention in this category of speech that is free of rhyme and metrical structure. His study is founded on two basic central 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first part of the essay, the writer studies the probable types of prose during these two eras. He thus mentions a number of types such as elocution, literary letters, and epistles and precepts. He swiftly goes through the art of elocution and the effects of Islam and the Holy Qur ‘ ¡n on its development and progress. Dedicating the next lines to elocution during the two eras of al-Taww¡b¢n and al-Mukht¡r, the writer mentions the reasons for the development witnessed by the art of elocution during these two eras, listing the names of the most famous elocutionists of that 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regard to literary letters, the writer points out the fact that Islam played a major role in pushing the art of writing letters toward development and advancement, while this art had not met any popularity during the pre-Islamic era. He then moves to appraise the factors that contributed to the development of this type of prose and then the distinctive features of it during the two eras involved. Moving to the third category of prose; namely, epistles and precepts, the writer defines each of them, yet promptly, before referring to the traditions indicating their existence and activity during these two eras</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second part of the essay is allocated to studying the impacts of the Holy Qur ‘ ¡n on prose during these two eras along with quoting various types of prose from the Holy Qur ‘ ¡nic texts, including quotations and imitations of the Qur ‘ ¡nic style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فقه التربة الحسينية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وقوع التربة المباركة في الخلاء وحملها له و تجهيز الميت بها</w:t>
      </w:r>
    </w:p>
    <w:p>
      <w:pPr>
        <w:pStyle w:val="BookText"/>
        <w:rPr/>
      </w:pPr>
      <w:r>
        <w:rPr>
          <w:rFonts w:ascii="Amiri" w:hAnsi="Amiri" w:eastAsia="Amiri" w:cs="Amiri"/>
          <w:color w:val="111111"/>
          <w:sz w:val="28"/>
          <w:sz w:val="28"/>
          <w:szCs w:val="28"/>
          <w:rtl w:val="true"/>
          <w:lang w:bidi="ar-SA"/>
        </w:rPr>
        <w:t>الشيخ أحمد موسى العلي</w:t>
      </w:r>
    </w:p>
    <w:p>
      <w:pPr>
        <w:pStyle w:val="BookText"/>
        <w:rPr/>
      </w:pPr>
      <w:r>
        <w:rPr>
          <w:rFonts w:ascii="IRNazanin" w:hAnsi="IRNazanin" w:eastAsia="IRNazanin"/>
          <w:color w:val="111111"/>
          <w:sz w:val="28"/>
          <w:sz w:val="28"/>
          <w:szCs w:val="28"/>
          <w:rtl w:val="true"/>
          <w:lang w:bidi="fa-IR"/>
        </w:rPr>
        <w:t>تعرّض الكاتب في مقالات سابقة إلى عدة أحكام تتعلّق بالتربة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لسيد الشهداء علیه السلام ، كحرمة الاستنجاء بها أو تنجيسها، واستكمالاً لبحثه الآنف، تعرّض في مقاله هذا إلى ثلاثة مسائل أُخرى لها مسيس الصلة بما تقدم،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التربة المباركة في بيت الخلاء، والأحكام المترتّبة على ذلك شرعاً، من وجوب إخراجها ولو ببذل مال بإزاء ذلك، ثم حُكْم عدم إمكان الإخراج، وتعرّض للأقوال في ذلك، كل ّ بحسب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حمل التربة المباركة أثناء الولوج إلى بيت الخلاء، وحكم ذلك، والأقوال فيه، والأدلة على كلّ قول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تجهيز الميت بالتربة الحسينية المباركة، فقد حاول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فروع المسألة، كوضع التربة مع حنوط الميّت، واستحباب الكتابة بها على الكفن، واستحباب وضعها مع الميّت في القبر، ثم استحباب دفن الميّت عند المشاهد المشرفة، ومن أهمها مشهد سيد الشهداء أبي عبد الله الحسين علیه السلام ، وعرض إلى أقوال كلّ فرع وأدلته وتوابعه، وما يترتب عليه من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Religious Laws appertained to the blessed clay taken from Imam al-°usayn‘s tomb</w:t>
      </w:r>
    </w:p>
    <w:p>
      <w:pPr>
        <w:pStyle w:val="BookText"/>
        <w:rPr/>
      </w:pPr>
      <w:r>
        <w:rPr>
          <w:rFonts w:eastAsia="Times New Roman" w:cs="Times New Roman" w:ascii="Times New Roman" w:hAnsi="Times New Roman"/>
          <w:color w:val="111111"/>
          <w:sz w:val="28"/>
          <w:szCs w:val="28"/>
          <w:lang w:val="en-US" w:bidi="en-US"/>
        </w:rPr>
        <w:t>Part III: rulings of the °usayn¢ clay‘s falling in toilets, carrying a piece of it while toileting, and using it for the deceased</w:t>
      </w:r>
    </w:p>
    <w:p>
      <w:pPr>
        <w:pStyle w:val="BookText"/>
        <w:rPr/>
      </w:pPr>
      <w:r>
        <w:rPr>
          <w:rFonts w:eastAsia="Times New Roman" w:cs="Times New Roman" w:ascii="Times New Roman" w:hAnsi="Times New Roman"/>
          <w:color w:val="111111"/>
          <w:sz w:val="28"/>
          <w:szCs w:val="28"/>
          <w:lang w:val="en-US" w:bidi="en-US"/>
        </w:rPr>
        <w:t>Shaykh A¦mad M£s¡ al-‛Al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previous essays, the writer of this essay has discussed issues related to the rulings of the °usayn¢ clay (i.e. clays taken from Imam al-°usayn ‘ s holy tomb), such as the forbiddance of using such clays in washing the private parts after relieving nature and the forbiddance of sullying them. As continuation of his essays, the writer discusses in the current essay three more issues related to the same subject matter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issue is the laws and rulings appertained to the falling of a °usayn¢ clay into a toilet. Referring to these laws and rulings in details, the writer proves that it is obligatory to take out such clays that fell in lavatories or bathrooms even if this process requires spending some money as the wage for doing so. Assuming the case of the impossibility of taking such a clay out of there, the writer reviews the different opinions of master scholars of Sh¢‛ite jurisprudence in this regard, arguing the points of evidence provided to prove each opinion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issue is carrying a piece of the blessed °usayn¢ clay to a toilet. The writer thus demonstrates the ruling of this issue, the different opinions about its illegality or legality, and the points provided as evidence of each opinion</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third issue is using a piece of °usayn¢ clay as part of the things accompanying the deceased to his grave. Exerting all efforts possible in research, the writer investigates all the secondary topics related to this issue, such as the legality, or recommendation, of putting a piece of °usayn¢ clay with the stuff that accompanies a dead body in the grave, the recommendation of writing a supplicatory prayer or a Qur‘¡nic text on the shroud by using the liquid of °usayn¢ clay, the recommendation of putting a °usayn¢ clay with the dead body in the grave, and the recommendation of burying the deceased near the tombs of the Holy Imams and holy persons, especially near the holy shrine of Imam al-°usayn (‛a). While discussing each topic separately, the writer attaches the different opinions of scholars in this regard in addition to the points of evidence and the issues resulting therefrom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بالمعروف والنهي عن المنكر في السيرة الحسينية</w:t>
      </w:r>
    </w:p>
    <w:p>
      <w:pPr>
        <w:pStyle w:val="BookText"/>
        <w:rPr/>
      </w:pPr>
      <w:r>
        <w:rPr>
          <w:rFonts w:ascii="Amiri" w:hAnsi="Amiri" w:eastAsia="Amiri" w:cs="Amiri"/>
          <w:color w:val="111111"/>
          <w:sz w:val="28"/>
          <w:sz w:val="28"/>
          <w:szCs w:val="28"/>
          <w:rtl w:val="true"/>
          <w:lang w:bidi="ar-SA"/>
        </w:rPr>
        <w:t>تنوع الأساليب ووحدة الهدف</w:t>
      </w:r>
    </w:p>
    <w:p>
      <w:pPr>
        <w:pStyle w:val="BookText"/>
        <w:rPr/>
      </w:pPr>
      <w:r>
        <w:rPr>
          <w:rFonts w:ascii="Amiri" w:hAnsi="Amiri" w:eastAsia="Amiri" w:cs="Amiri"/>
          <w:color w:val="111111"/>
          <w:sz w:val="28"/>
          <w:sz w:val="28"/>
          <w:szCs w:val="28"/>
          <w:rtl w:val="true"/>
          <w:lang w:bidi="ar-SA"/>
        </w:rPr>
        <w:t>سارة رضائي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الحجاج</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أنّ لفريضة الأمر بالمعروف والنهي عن المنكر مكانةً متميزةً في التعاليم الإسلاميّة، لا يدانيها أيّ عمل من الأعمال؛ ولذا جعلها الله تعالى في مصاف الصلاة والصيام والخمس والزكاة وما شاكل ذلك، وشرّعها على جميع أفراد المجتمع، بما فيهم الأنبياء والأولياء والحكّام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هذه الأهمية القصوى، فقد تناولت الباحثة صاحبة المقال الكيفيّة المثلى للاستفادة من الأساليب المتنوّعة والطرق المختلفة والمؤثرة؛ بغية التوصّل إلى النتيجة المنشودة من أداء هذه الفريضة الإلهية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الإمام الحسين علیه السلام قد أعلن أنّ هدفه المقدّس من نهضة عاشوراء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الأمر بالمعروف والنهي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استفاد في نهضته من أساليب متنوعة وشاملة، وسبل مؤثرة للغاية، ولم يدّخر وسعاً أو يبخل بأيّ تضحيةٍ في سبيل تحقيق هذا الهدف الإلهيّ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فحاولت الكاتبة جاهدة في هذا المقال أن تبحث الأساليب المتنوّعة والعملية التي استفاد منها الإمام الحسين علیه السلام في سبيل العمل بفريضة الأمر بالمعروف والنهي عن المنكر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Enjoining the Right and Forbidding the Wrong in Imam al-°usayn ‘ s Conduct; Variety of Method and Unity of Goal</w:t>
      </w:r>
    </w:p>
    <w:p>
      <w:pPr>
        <w:pStyle w:val="BookText"/>
        <w:rPr/>
      </w:pPr>
      <w:r>
        <w:rPr>
          <w:rFonts w:eastAsia="Times New Roman" w:cs="Times New Roman" w:ascii="Times New Roman" w:hAnsi="Times New Roman"/>
          <w:color w:val="111111"/>
          <w:sz w:val="28"/>
          <w:szCs w:val="28"/>
          <w:lang w:val="en-US" w:bidi="en-US"/>
        </w:rPr>
        <w:t>S¡rah Rama¤¡n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Translated into Arabic by: Ra‛d al-°ijj¡j</w:t>
      </w:r>
    </w:p>
    <w:p>
      <w:pPr>
        <w:pStyle w:val="BookText"/>
        <w:rPr/>
      </w:pPr>
      <w:r>
        <w:rPr>
          <w:rFonts w:eastAsia="Times New Roman" w:cs="Times New Roman" w:ascii="Times New Roman" w:hAnsi="Times New Roman"/>
          <w:color w:val="111111"/>
          <w:sz w:val="28"/>
          <w:szCs w:val="28"/>
          <w:lang w:val="en-US" w:bidi="en-US"/>
        </w:rPr>
        <w:t>It goes without saying that the religious duty of enjoining the right and forbidding the wrong occupies a distinctively unmatched position in the teachings of Islam. For this reason, Allah the All-exalted has placed it at the same level of ritual prayer, fasting, one-fifth rate (khumus), poor-rate (zak¡t), and the other major religious duties in Islam. Moreover, the Lord has imposed this duty on all categories of the Muslim community, including prophets, saints, and rulers. According to the extreme significance of this religious duty, the writer of this essay attempts to discover the most ideal way of putting into practice the various methods and different and most effective approaches of carrying out this religious duty in order to attain the best result possible</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view of the fact that Imam al-°usayn (‛a) declared that the blessed objective of his uprising was to enjoin the right and forbid the wrong, he must have used various and all-comprehensive methods as well as highly effective ways for putting this goal into practice. Moreover, he must not have spared any effort in sacrificing all things possible for achieving this sublime Divine goal. In the light of these conclusions, the writer of this essay attempts to investigate and study these various methods and reveal the process adopted by Imam al-°usayn (‛a) in his putting into practice the religious duty of enjoining the right and forbidding the wrong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النُظُم التّربوية عند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نجم الموسوي</w:t>
      </w:r>
    </w:p>
    <w:p>
      <w:pPr>
        <w:pStyle w:val="BookText"/>
        <w:rPr/>
      </w:pPr>
      <w:r>
        <w:rPr>
          <w:rFonts w:ascii="IRNazanin" w:hAnsi="IRNazanin" w:eastAsia="IRNazanin"/>
          <w:color w:val="111111"/>
          <w:sz w:val="28"/>
          <w:sz w:val="28"/>
          <w:szCs w:val="28"/>
          <w:rtl w:val="true"/>
          <w:lang w:bidi="fa-IR"/>
        </w:rPr>
        <w:t>يتمحور هذا المقال حول مفصل مهم من مفاصل بناء المجتمعات، ألا وهو مفصل التربية والنظم والتربوية وضرورتها عموماً، ومن وجهة نظر الإسلام على وجه الخصوص، ثم عند عَلَم من أعلام الإسلام، وجبل من جباله الشامخات، وهو الامام الصادق علیه السلام ، فبدءاً عرّف الكاتب مفهوم التربية، ثم خَلُص إلى ضرورة وجود منهجٍ واضحٍ لها؛ كي تبتعد عن العفوية والتسطّح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قبسات وضّاءة من النظم التربوية التي قعّد قواعدها المعلّم العظيم الإمام الصادق علیه السلام من خلال استعراض قواعد ومفاهيم جاء بها هذا الإمام الهمام،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الباحث بنصوص رائعة في مجال الاهتمام بالنفس ذاتياً، ومراقبتها ومحاسبتها وتقويمها، ثم إطالة التفكّر والتأمّل لتصحيح العيوب، ودرء النواقص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التدرّج والتسلسل في التربية، وهي من القواعد الجبّارة في التربية الإسلاميّة التي حثّ عليها الإمام الصادق علیه السلام ، وأكّدها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الارتقائي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الأُسرة والمجتمع عبر التعامل المتكامل بين أفراد المجتمع، وإنشاء شبكة علاقاتٍ اجتماعيةٍ متّزنة عن طريق مداراة الناس والحثّ على التعاون فيما بينهم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تعرّض الكاتب للخصائص العامّة للنظام التربوي في الإسلام عند هذا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 الواقع التربوي المعاصر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Educational Systems in the View of Imam al-¯¡diq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Analytical Prospect</w:t>
      </w:r>
    </w:p>
    <w:p>
      <w:pPr>
        <w:pStyle w:val="BookText"/>
        <w:rPr/>
      </w:pPr>
      <w:r>
        <w:rPr>
          <w:rFonts w:eastAsia="Times New Roman" w:cs="Times New Roman" w:ascii="Times New Roman" w:hAnsi="Times New Roman"/>
          <w:color w:val="111111"/>
          <w:sz w:val="28"/>
          <w:szCs w:val="28"/>
          <w:lang w:val="en-US" w:bidi="en-US"/>
        </w:rPr>
        <w:t>Dr. Sayyid Najm al-M£saw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essay revolves round one of the most significant elements of social construction; namely, education, educational systems, and the necessity of acting upon predefined educational systems in general and from the view of Islam in particular. The writer thus discusses all these topics from the view of Imam Ja‛far al-¯¡diq (‛a), one of the most prominent figures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outset, the writer defines education as a concept and then moves to conclude the necessity of creating a clear-cut method of it so that education would be kept away from banality and superficiality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then goes through luminous examples of the educational systems founded by the great mentor, Imam al-¯¡diq (‛a), through reviewing a number of rules and concepts related to education and instituted by the great Imam (‛a). Some of these rules can be cited in the following 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Self-preparation: The writer cites fabulous maxims said by Imam al-¯¡diq (‛a) in the field of self-attention, self-regulation processes, self-monitoring, self-evaluation, and self-reconditioning, in addition to contemplation and deliberation purposed for correcting one‘s defects and warding off falling in flaws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Graduate and hierarchical education: This is one of the great rules in the Islamic education encouraged by Imam al-¯¡diq (‛a) and highlighted by modern progressive psychology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Educating one‘s family and community by way of integrated treatment among the individuals of the society and establishing a net of balanced social interrelationships through spreading such principles as indulgence and collaborative teamwork</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Finally, the writer touches on the general features of the educational system in Islam as viewed and presented by the great Imam al-¯¡diq (‛a), before moving to giving a swift idea about the reality of education in the present day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مدينة الكوفة، الجغرافية والمجتمع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العيساوي</w:t>
      </w:r>
    </w:p>
    <w:p>
      <w:pPr>
        <w:pStyle w:val="BookText"/>
        <w:rPr/>
      </w:pPr>
      <w:r>
        <w:rPr>
          <w:rFonts w:ascii="Amiri" w:hAnsi="Amiri" w:eastAsia="Amiri" w:cs="Amiri"/>
          <w:color w:val="111111"/>
          <w:sz w:val="28"/>
          <w:sz w:val="28"/>
          <w:szCs w:val="28"/>
          <w:rtl w:val="true"/>
          <w:lang w:bidi="ar-SA"/>
        </w:rPr>
        <w:t>تعدّ مدينة الكوفة من أهمّ المدن التي ساهمت في صياغة جملة من الأحداث التاريخية والثقافية، وذلك لموقعها الجغرافي، وتنوّع سكّانها، بالإضافة إلى وضعها السياسي الخاص؛ لذا انطلق الباحث في دراسة تلك المدينة من ثلاثة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في المحور الأوّل معالم مدينة الكوفة من ناحية جغرافيّة؛ إذ عيّن حدودها، وذكر أحياءها وأسواقها وأهم المعالم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المحور الثاني تناول مدينة الكوفة من زاوية تركيبتها السكانية، وبيّن توزيع القبائل فيها، وأهم القبائل التي سكنت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المحور الثالث ليسلّط الضوء على الوضع السياسي الذي كان قائماً، فقسّم التوجهات التي تجاذبت المجتمع الكوفي آنذاك إلى ثلاثة توجهات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الشيعي الموالي لأهل بيت النبوة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الأموي الذي أنشأه عثمان بن عفان في المدينة إبّان خلافته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وهو الحزب الذي عُرِف في الكوفة بعد انتهاء واقعة صفين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City of al-K£fah; Geography and Community</w:t>
      </w:r>
    </w:p>
    <w:p>
      <w:pPr>
        <w:pStyle w:val="BookText"/>
        <w:rPr/>
      </w:pPr>
      <w:r>
        <w:rPr>
          <w:rFonts w:eastAsia="Times New Roman" w:cs="Times New Roman" w:ascii="Times New Roman" w:hAnsi="Times New Roman"/>
          <w:color w:val="111111"/>
          <w:sz w:val="28"/>
          <w:szCs w:val="28"/>
          <w:lang w:val="en-US" w:bidi="en-US"/>
        </w:rPr>
        <w:t>A Historical Study</w:t>
      </w:r>
    </w:p>
    <w:p>
      <w:pPr>
        <w:pStyle w:val="BookText"/>
        <w:rPr/>
      </w:pPr>
      <w:r>
        <w:rPr>
          <w:rFonts w:eastAsia="Times New Roman" w:cs="Times New Roman" w:ascii="Times New Roman" w:hAnsi="Times New Roman"/>
          <w:color w:val="111111"/>
          <w:sz w:val="28"/>
          <w:szCs w:val="28"/>
          <w:lang w:val="en-US" w:bidi="en-US"/>
        </w:rPr>
        <w:t>Shaykh °asan al-‛«s¡w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Owing to its distinctive geographical location, demographic variety, and special political situation, al-K£fah city is considered one of the most important cities to have contributed to forming a good number of historical and cultural events. The writer of this essay, depending upon these facts, studies this city from three major 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Discussing the first point, the writer shows the geographical features and sites of the city, demarcating its frontiers and referring to its quarters, marketplaces, and most important sites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point, he looks at the city from the angle of population structure, showing the map of the distribution of its tribes and referring to the most famous tribes that lived there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third point, he throws light upon the political situation that was prevalent in the city of al-K£fah. He thus classifies the trends that pulled the community of this city in different directions into three major 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the Sh¢‛ite trend whose followers paid loyalty to the Ahl al-Bayt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the loyalists of the Umayyad party which was founded by ‛Uthm¡n ibn ‛Aff¡n in al-Mad¢nah city during his reign</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Third, the Khaw¡rij (mutineers), a faction that emerged in the city of al-K£fah after the Battle of ¯iff¢n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أساليب المخالفين في تغييب فضائل أمير المؤمنين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 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رسول كاظم عبد السادة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يتناول المقال الأساليب التي اتخّذها أعداء أهل البيت علیهم السلام في تغييب فضائلهم عن الساحة الإسلاميّة، وقد سلّط الكاتب الأضواء على حديث الغدير بوصفه نموذجاً لمحاولات بعضٍ التلاعب به وحرفه عن مدلوله الصحيح على الرغم من شهرته وكثرة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 الأساليب إلى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في الأُسلوب الأول عن تغييب الأماكن التي لها علاقة بالفضيلة، فيما أوضح في الأُسلوب الثاني محاولة التقليل من عدد الشهود الذين شهدوا الفضيلة أو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الأُسلوب الثالث ليظهر المنهجية التي اتُّبعت في التشويش على معنى النص سعياً لإبعاد أيّ فضيلة تُستظهر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الأُسلوب الرابع، فكشف لنا عن منهجية بعضٍ في قلب الفضيلة وتحويلها إلى مثلبةٍ، فيما عرّفَنا في الأُسول الخامس على طريقة اتّبعها بعضهم في الهروب من توثيق الفضيلة مع شهرتها؛ وذلك بالسكوت عنها وإهمالها، وهو ما وقع فيه مسلم والبخاري؛ إذ لم يذكرا واقعة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والتشكيك بصحة الفضائل أُسلوب آخر اتُّخِذَ في تغييب حديث الغدير وجملة من الفضائل، وهذا ما عرضه الباحث في الأُسلوب السادس، وختم المقام بالحديث عن أُسلوب تغييب الفضيلة من خلال نفي الكتب عن أصحابها، أو تحريف طباعتها، وهذا هو الأُسلوب السابع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Methods of concealing the virtues of Imam ‛Ali Amir al-Mu‘minin The Ghad¢r Tradition As A Sample</w:t>
      </w:r>
    </w:p>
    <w:p>
      <w:pPr>
        <w:pStyle w:val="BookText"/>
        <w:rPr/>
      </w:pPr>
      <w:r>
        <w:rPr>
          <w:rFonts w:eastAsia="Times New Roman" w:cs="Times New Roman" w:ascii="Times New Roman" w:hAnsi="Times New Roman"/>
          <w:color w:val="111111"/>
          <w:sz w:val="28"/>
          <w:szCs w:val="28"/>
          <w:lang w:val="en-US" w:bidi="en-US"/>
        </w:rPr>
        <w:t>Shaykh Ras£l K¡¨im ‛Abd al-S¡dah</w:t>
      </w:r>
    </w:p>
    <w:p>
      <w:pPr>
        <w:pStyle w:val="BookText"/>
        <w:rPr/>
      </w:pPr>
      <w:r>
        <w:rPr>
          <w:rFonts w:eastAsia="Times New Roman" w:cs="Times New Roman" w:ascii="Times New Roman" w:hAnsi="Times New Roman"/>
          <w:color w:val="111111"/>
          <w:sz w:val="28"/>
          <w:szCs w:val="28"/>
          <w:lang w:val="en-US" w:bidi="en-US"/>
        </w:rPr>
        <w:t>The essay reviews the methods adopted by the enemies of the Ahl al-Bayt (‛a) for concealing the virtues of the Holy Prophet‘s family members from the Muslim community for purpose of suppressing these virtues and preventing Muslims from having familiarity with them. The writer thus throws light upon the famous Ghad¢r Tradition—in which the Holy Prophet (¥) declared Imam ‛Al¢ (‛a) as his successor to the religious and political leadership of the Muslim community—as a sample of the Prophetic traditions that reveal the excellence of the Ahl al-Bayt (‛a) over all others and declare their virtues, since this Prophetic tradition, in particular, has been the target of many attempts of alteration and distortion from its true meaning in spite of its fame and innumerability of its transmitters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Focusing on the methods of concealing such traditions, the writer classifies them into seven categories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method was the enemies ‘ attempt to conceal the sites where the virtue was declared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method was their attempt to reduce the number of the witnesses who testified to the virtue or the event related to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third method was the course followed to create confusion about the actual meaning of the text, in order to carry away any virtue that can be deduced from that 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fourth method is about the wicked effort of the enemies to reverse the virtue and turn it into defect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fifth method represented a course adopted by some enemies, which entailed escaping from the documentation of the virtue despite its fame, by ignoring and neglecting it—a method majorly used by Muslim and al-Bukh¡r¢ who refrained from making any reference to the famous event and Prophetic tradition of Ghad¢r Khumm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sixth method was arousing doubts about the authenticity of the virtue. This method was mainly used against the famous Ghad¢r Tradition, as well as many other virtues, when the enemies of the Ahl al-Bayt tried to doubt the issuance of these traditions by the Holy Prophet</w:t>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seventh, and last, method, by which the essay is concluded, was the denial of the books that held these virtues having been written by their authors and the distortion of their contents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انما خرجت لطلب الاصلاح في امة جدة</w:t>
      </w:r>
    </w:p>
    <w:p>
      <w:pPr>
        <w:pStyle w:val="BookText"/>
        <w:rPr/>
      </w:pPr>
      <w:r>
        <w:rPr>
          <w:rFonts w:ascii="Amiri" w:hAnsi="Amiri" w:eastAsia="Amiri" w:cs="Amiri"/>
          <w:color w:val="111111"/>
          <w:sz w:val="28"/>
          <w:sz w:val="28"/>
          <w:szCs w:val="28"/>
          <w:rtl w:val="true"/>
          <w:lang w:bidi="ar-SA"/>
        </w:rPr>
        <w:t>الإصلاح الحسينى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فصلية مُتخصصة في النهضة الحسينية وتعنى بالدراسات الدينية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قد بيّنا مفصلاً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شهر رجب هو زمان خروج السفياني، وأن الروايات المتضافرة الواردة عن أهل البيت علیهم السلام تحثّ المؤمنين على تجنّب فتنة السفياني في الأشهُر الأُولى، ثم القيام والخروج عليه بعد ذلك، وهذا يعني أن هذه الرواية تتحدّث عن الزمان الذي سيخرج فيه السفياني، وهي تدعو المؤمنين إلى التريُّث في الخروج مدّة الشهر أو الشهرين أو الثلاثة أشهُر، حتى تحين الفرصة المناسبة لمناهضته والخروج عليه تحت راية اليماني، وهذا هو الذي نفهمه من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أحببتم أن تتأخّروا إلى شعبان فلا ضير، وإن أحببتم أن تصوموا في أهاليكم فلعلّ ذلك أن يكون أقوى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هذا يتناسب تماماً مع كون خروج القائم في يوم عاشوراء،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ستة أشهر من خروج السفياني، وبعد ثلاثة أشهر تقريباً من خروج المؤمنين تحت راية اليماني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كاظم، ولاية الأمر في عصر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تصدّى سماحته للإجابة عن هذه الشبهة في المصدر ذاته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له قدس سره مع جمع من علماء طهران،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21/9/1979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قدس سره بأن ولاية الفقيه في زمن الغيبة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السياسيّة وإدارة البلاد وتطبيق التشريعات والقوانين الإلهية الإسلاميّة، وكذا الإشراف العام على دوائر الدولة الإسلاميّة، وتعيين الولاة والقضاة وجباية الأموال والضرائب والحقوق والثروات وإنفاقها في مواردها، وتجييش الجيوش والدفاع عن بيضة الإسلام وثغور المسلمين، وإحقاق الحق وإرساء العدالة الاجتماعية، ومحاربة الطغاة والظالمين، وكل ما كان يقوم به الرسول الأكرم صلی الله علیه و اله والأئمة الهداة علیهم السلام من تطبيق للنظام الإسلامي في جميع المجالات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قدس سره أيضاً بأن ذلك كلّه من أهمّ الواجبات والوظائف الملقاة على عاتق العلماء والفقهاء العدول والأكفاء، وبهذه الرؤية وضع قدس سره الحوزة العلميّة والعلماء والفقهاء أمام مسؤولية كبيرة وخطيرة، حيث فرض لهم منصب القيادة والريادة للمجتمع في جميع الميادين، وهي أمانة ثقيلة، تجعل الحوزة العلميّة والعلماء أمام تحدّ كبير، ودور ريادي ينبغي دراسته ووضع أُسسه ومبادئه، وإعطاء خطّة متكاملة تبتدئ من النظرية وتنتهي بالتطبيق على أرض الواقع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إدريس،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العلامة،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كاشف الغطاء،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النائيني،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كاظم، ولاية الأمر في عصر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أُستاذنا الأجلّ سماحة آية الله الشيخ هادي آل الشيخ راضي حفظه الله ورعاه، حيث طرح عدّة تأملات حول مضمون هذه الإجابة في مجلس درسه الشريف حينما تعرّض لمبحث ولاية الفقيه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المنتظري، 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تفصيلية لهذا الوجه أيضاً، ذكرها في مجلس الدرس، في مبحث ولاية الفقيه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الگلبایگانی، لطف الله، حسين شهيد 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الشهید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 مجموعه آثار أُستاد شهيد 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 لمؤلفات الأُستاذ الشهيد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مرتضى، 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 النجف آبادي، نعمة الله، شهيد جاويد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عبد الرحمن بن علي، 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المسائل العكبرية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أستادي، رضا، سرگذشت كتاب شهيد جاويد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كتاب الشهيد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اللنکراني، شهاب الدین الاشراقی، باسداران 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زاهدي قمي، أبو الفضل، مقصد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مهدي، محرق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اللنکراني، شهاب الدین الاشراقی، باسداران 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محمد بن جعفر،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ابن شعبة،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كُتب وشخصيات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نقلاً عن كتاب 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عبد الحميد،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الحسن بن محمد، كامل 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الأزدي، لوط بن يحيى،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أحمد 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 إسماعيل 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 سُليم بن قيس،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محمد رضا، الإمام الحسين علیه السلام سماته وسيرته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النجمي، محمد صادق، خطبه حسين بن علي علیه السلام در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أنّ بعض نصوص هذه الخطبة رويت في بعض الكتب عن الإمام علي علیه السلام ، وقد يكون الإمام الحسين علیه السلام قد أعادها أو استشهد بها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يُشكَل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عبد الرحمن بن أبي بكر مات قبل ذلك في زمان معاوية، وقد رُويت هذه الوصية من طريق آخر، وليس فيها ذكر لعبد الرحمن، وإنّما للحسين علیه السلام ، وعبد الله بن عمر، وعبد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على،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أحمد بن أبي يعقوب،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شريف، حياة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وعضو الهيئة العلمية في جامعة المصطفى العالمية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المزيد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الشيخ المطهري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التحريف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وگومولتز، ويكتور، صد وبنجاه سال بمانيد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الكاشي، عبد الوهاب، مأساة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الكُلّمات القصار، الكُلّمة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 وصية الإمام الخميني الإلهية السياسيّة، صحيفة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فلسفة الشهادة والعزاء للعلامة السيد عبد 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شرف الدين، فلسفة الشهادة والعزاء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السياسة الحسينية للشيخ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الطريف أنّه نُشِر مؤخراً كتاب في أمريكا يحمل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 لعزل المذاهب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حواراً مفصلاً مع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مايكُلّ برانت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المساعدين السابقين في وكالة المخابرات المركزيّة الأمريكية؛ أشار فيه إلى خُطّة تستهدف الشيعة ومذهبهم، كما ورد في هذا الحوار إشارة إلى الجلسات السرّية لزعماء الوكالة ورئيس جهاز الاستخبارات البريطاني، لقد توصّلنا إلى أنّ انتصار الثورة الإسلاميّة الإيرانية لا يُعزى إلى السياسات الخاطئة التي اتخذها الشاه حيال الثورة، بل هنالك عوامل أُخرى مثل التأثر بثقافة الشهادة التي ظهرت قُبيل ألف وأربعمائة سنة من قِبَل سبط نبي الإسلام الإمام الحسين، وتتسع وتترسخ هذه الثقافة سنويّاً أيّام محرم من خلال إقامة مراسم 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عزمنا على تحريف هذه الثقافة وعقائد الشيعة من خلال توفير الدعم المالي لبعض الخطباء والرواديد والقائمين على رعاية هذه المراسم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 الجمهورية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المصادف </w:t>
      </w:r>
      <w:r>
        <w:rPr>
          <w:rFonts w:eastAsia="IRNazanin" w:cs="IRNazanin"/>
          <w:b w:val="false"/>
          <w:bCs w:val="false"/>
          <w:i w:val="false"/>
          <w:iCs w:val="false"/>
          <w:color w:val="333333"/>
          <w:sz w:val="20"/>
          <w:szCs w:val="20"/>
        </w:rPr>
        <w:t>26/7/2004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الاختصار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تتمة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شرف الدين، فلسفة الشهادة والعزاء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محمد بن المرتضى،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أهل البيت علیهم السلام تنوع أدوار ووحدة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تبنَّى هذا الرأي عدّة من المفكرين والباحثين الشيعة،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الشهيد محمد باقر الصدر رحمة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علیهم السلام تنوع أدوار ووحدة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محمد جواد مغنية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التفاصيل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في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محمد سعيد الحكيم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فاجعة الطف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بكاء الإمام السجاد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بكاء علي بن الحسين علیهما السلام على الحسين بن علي علیهما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واقعة كربلاء في الوجدان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بن إبراهيم، تاريخ النياحة على الإمام الشهيد الحسين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بن إبراهيم، تاريخ النياحة على الإمام الشهيد الحسين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نقلاً عن كتاب قهرمانان إسلام لعلي أكبر تشيد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علي بن الحسين،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واقعة كربلاء في الوجدان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اختيار معرفة الرجال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الكرباسي، محمد صادق، معجم خطباء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فيصل، المنبر الحسيني نشوؤه وحاضره وآفاق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مصطفى صادق، تاريخ آداب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واقعة كربلاء في الوجدان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فيصل، المنبر الحسيني نشوؤه وحاضره وآفاق المستقبل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المنتخب في جمع المراثي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حسين،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اختيار معرفة الرجال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أبو القاسم، 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الخامنئي، علي، أجوبة الاستفتاءات للسيد الخامنئي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 الفتاوى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استحباب البكاء لقتل الحسين علیه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حسن، 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الشعائر الحسينية بين الأصالة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بن إبراهيم، تاريخ النياحة على الإمام الشهيد الحسين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واقعة كربلاء في الوجدان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الشعائر الحسينية بين الأصالة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الكرباسي، محمد صادق محمد، دائرة المعارف الحسينية، 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نقلاً عن شهر حسين لمحمد باقر المدرس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نقلاً عن جغرافيائى كربلائى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الكرباسي، محمد صادق محمد، دائرة المعارف الحسينية، 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نقلاً عن تاريخجه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الهندي، محمد هارون، الرحلة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الموسم الهولندية، العدد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الكرباسي، محمد صادق محمد، دائرة المعارف الحسينية، 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واقعة كربلاء في الوجدان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 المجموعة الكاملة لآثار الشهيد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حيدر، نظرية السنّة في الفكر الإمامي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قولويه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مما يرتبط بزيارة الحسين علیه 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واقعة كربلاء في الوجدان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بن إبراهيم بن صالح، تاريخ النياحة على الإمام الشهيد الحسين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علي، الإمام علي الهادي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وتشديد ثانيه تارةً وبالتخفيف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محمد مرتضى،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بن إبراهيم بن صالح، تاريخ النياحة على الإمام الشهيد الحسين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هاشم معروف، من وحي الثورة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هاشم معروف، من وحي الثورة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بن إبراهيم، تاريخ النياحة على الإمام الشهيد الحسين بن علي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علي بن الحسين،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مظلم تحت الأرض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علي، الإمام الهادي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الخطاب الحجاجي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اللسان والميزان أو التكوثر 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ظافر الشهري، استراتيجيات الخطاب مقاربة لغوية تداولية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أطره ومنطلقاته وتقنياته من خلال مصنف في الحجاج، الخطابة الجديدة، لبيرلمان وأولبريشت تيتيكا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ظافر الشهري، استراتيجيات الخطاب مقاربة لغوية تداولية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العزاوي، اللغة والحجاج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في أصول الحوار وتجديد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الخطابة،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الولي، مدخل إلى الحجاج أفلاطون وأرسطو وشايم بيرلمان، بحث منشور في مجلة عالم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الخطابة،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الطوفي الحنبلي، علم الجذل في علم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القارصي، البلاغة والحجاج من خلال نظرية المساءلة لميشال مايير،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الطوفي الحنبلي، علم الجذل في علم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صولة، الحجاج أطره و منطلقاته وتقنياته من خلال مصنف في الحجاج، الخطابة الجديدة، لبيرلمان وأولبريشت تيتيكا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العزاوي، اللغة والحجاج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العزاوي، 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 النقاري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الحباشة، التداولية والحجاج مداخل ونصوص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دهش فرحان الطائيّ، الملمح التداولي في النحو العربي، بحث منشور في مجلة العميد،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القارصي، البلاغة والحجاج من خلال نظرية المساءلة لميشال مايير،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نعيمة يعمرانن، الحجاج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محمد الأمين الطلبة، الحجاج في البلاغة المعاصرة بحث في بلاغة النقد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الريفي، الحجاج عند أرسطو،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الطوفي الحنبلي، علم الجذل في علم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القارصي، البلاغة والحجاج من خلال نظرية المساءلة لميشال مايير،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معجم المصطلحات البلاغية وتطورها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الطوفي الحنبلي، علم الجذل في علم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لسانيات النص أو ما بعد لسانيات الجملة وما قبل الخطاب،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في تحليل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المتوكل، قضايا اللغة العربية في اللسانيات الوظيفية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ميجان الرويلي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البازعي، دليل الناقد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إضاءة لأكثر من سبعين تياراً ومصطلحاً نقدياً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نورمان فاركلوف، تحليل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النصي في البحث الاجتماعي،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طلال 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ميجان الرويلي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البازعي، دليل الناقد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إضاءة لأكثر من سبعين تياراً ومصطلحاً نقدياً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محمد الأمين الطلبة، الحجاج في البلاغة المعاصرة بحث في بلاغة النقد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أو الحِجَاج،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حاتم الشامي،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 كثير اللحم،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تجهمت الرجل وجهمته إذا استقبلته بوجه مكفهر،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تغلظ له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الكفعمي، البلد الأمين والدرع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الديلمي،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أعثم الكوفي،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المكي،مقتل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الحمويني، ابراهيم بن محمد،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 الكوفي،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يجدر الذكر أن من أهمّ وظائف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 هو بيان الوصف للمسؤول عنه،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أسسها وعلومها وفنونها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الآنوار،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الديلمي،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وأُستاذ مساعد في جامعة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هذه الدراسات الأكاديمية، على سبيل المثال لا الحصر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مجيب، كربلاء بين شعراء الشعوب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جهاد، حصة الغريب، شعرية الترجمة وترجمة الشعر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الترجمة في الأدب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ياسمين فيدوح، دار صفحات للدراسات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أُستاد مساعد دكتور في كلية الشيخ الطوسي الجامعة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محمد بن يعقوب،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محمود بن عمر،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حلمي، شوقي ضيف، نقد النثر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في نتاج ابن الأثير النقدي والإبداعي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الفن ومذاهبه في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إسماعيل، الأدب وفنونه دراسة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في 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حلمي، شوقي ضيف، نقد النثر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في نتاج ابن الأثير النقدي والإبداعي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الأُسلوبية علم وتاريخ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العربية في عصرها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الفن ومذاهبه في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العربية في عصرها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الزيات، أحمد، تاريخ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طليمات، غازي، مختار الأشقر، عرفان، الأدب الجاهلي قضاياه أغراضه أعلامه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 محمد عبد المنعم، الحياة الأدبية في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 محمد عبد المنعم، الحياة الأدبية في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الفن ومذاهبه في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الفن ومذاهبه في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الفن ومذاهبه في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العصر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التوابين بعد استشهاد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المغزى والأُسلوب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علي، مراحل تطور النثر العربي في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العصر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اليازجي، كمال، الأساليب الأدبية في النثر العربي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الشايب، أحمد، الأُسلوب دراسة بلاغية تحليلية لأُصول الأساليب 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الفن ومذاهبه في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أنيس، تطوّر الأساليب النثرية في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 مي يوسف، النثر الفني بين صدر الإسلام والعصر الأُموي دراسة تحليلية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جواد رضا، الرسائل الفنيّة في العصر الإسلامي حتى نهاية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بن معاوية بن حصين، أبو بحر التميمي، كان سيداً مطاعاً، أسلم في حياة النبي صلی الله علیه و اله ، حدَّث عن الإمام علي علیه السلام وأبي ذر الغفاري والعباس</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توفّي سنة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ﻫ في إمرة مصعب بن الزبير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بن عثمان،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الرحمن بن سعيد بن قيس، أحد عمَّال المختار على الموصل، قام بمساندة جيش المختار الذي بعثه بقيادة يزيد بن أنس لقتال جيش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علي، مراحل تطوّر النثر العربي في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حب الله، المقدمة في نقد النثر العربي مشروع رؤية جديدة في تقنيات البحث والكتابة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علي، مراحل تطوّر النثر العربي في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محسن، أثر حركة التوابين في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زعمائها ورسائلهم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الموفق بن أحمد،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خطب العرب 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 محمد عبد المنعم، الحياة الأدبية في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العربية في عصرها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جواد رضا، الرسائل الفنيّة في العصر الإسلامي إلى نهاية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 مي يوسف، النثر الفني بين صدر الإسلام والعصر الأُموي دراسة تحليلية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جواد رضا، الرسائل الفنيّة في العصر الإسلامي إلى نهاية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القلقشندي، أحمد، صبح الأعشى في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معصوم المدني، علي صدر الدين، أنوار الربيع في أنواع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الدسوقي، محمد، البنية اللغوية في النص الشعري درس تطبيقي في ضوء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خُطب العرب 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 محمد عبد المنعم، الحياة الأدبية في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خطب العرب 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موسى، من أسرار التعبير القرآني دراسة تحليلية لسورة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معصوم المدني، علي صدر الدين، أنوار الربيع في أنواع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خُطب العرب 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رسائل العرب 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بيوض، الرّسائل السياسيّة في العصر العباسي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العربية في عصرها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المناجيات وأدعية الأيام عند الإمام زين العابدين علیه السلام دراسة أُسلوبية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الحوفي، أحمد محمد، أدب السياسة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اﻟﻤﺒﺮد، ﻣﺤﻤﺪ ﺑﻦ ﻳﺰﻳﺪ، الكامل في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والحيصة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دريد، 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مصطفى صادق، إعجاز القرآن والبلاغة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صفوت، جمهرة رسائل العرب في عصور العربية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 القاسم،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الميرزا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يكون الشكّ بتحقّق الموضوع مع العلم بالحكم، 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نعلم أنّ شرب الخمر حرام، لكن نشكّ في أنّه هل هذا السائل المعين الذي في القدح هو خمر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سعيد، دليل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الدورة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عبد النبي، المعالم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القمشه اي القمّي، محمد علي، المعالم المأثورة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الفقه في الطهارة للميرزا هاشم الآملي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ملا محمد باقر، 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المناط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يُفتَّش عن ملاك الحكم ومناطه، فيعمّم هذا الحكم إلى مسألة أُخرى يُتوافر فيها ذلك الملاك والمناط إن كان قطعيّاً، وإلّا فلا يعمّم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أحمد، معجم ألفاظ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محمد أمين، كلمة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هداية الأُمّة إلى أحكام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شهاب الدين، منهاج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 الاستدلال بالرواية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محمد أمين، كلمة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نجم الدين جعفر بن الحسن،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محمد بن جمال الدين، 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الأصفهاني،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والمحقّق الحلي، محمد بن الحسن و نجم الدين جعفر بن الحسن، النهاية والنكت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التوحيدي التبريزي، محمد علي،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أبحاث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محمد بن جمال الدين، 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والمحقّق الحلي، محمد بن الحسن و نجم الدين جعفر بن الحسن، النهاية والنكت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علي، مدارك الأحكام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الاشتهاردي، علي بناه، مدارك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الروحاني، محمد،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اللنكراني، محمد الفاضل، الأحكام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السيستاني، علي،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الخراساني، حسين،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علي، مدارك الأحكام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بن أبي طالب،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الميرزا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المنسوب للإمام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النهاية في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نجم الدين جعفر بن الحسن، 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روض الجنان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الميرزا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محمد أمين، حاشية رد المحتار على الدر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تنوير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يحيى بن شرف، روضة الطالبين وعمدة المفتين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المصري، محمد بن عبد الباقي، شرح الزرقاني على موطّأ 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صالح عبد السميع، جواهر الإكليل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الدسوقي، محمد عرفة، حاشية الدسوقي على الشرح الكبير لأبي البركات سيدي أحمد الدردير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 إصدار وزارة الأوقاف الكويتية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محمد بن علي، 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فقهاء المذاهب السابقة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جعفر بن الحسن، 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النهاية في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الحائري، المير سيد علي محمد علي، الشرح الصغير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السيدة فاطمة صلی الله علیه و اله بنت الإمام موسى بن جعفر علیهما السلام ، من أعاظم أبنائه، وقبرها مشهد عظيم يُزار في مدينة قم المقدّسة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الشافعية والمالكية السابقة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نجم الدين جعفر بن الحسن، 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 مقداد بن عبد الله،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محمد بن مكي، 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الميرزا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محمد الحسن بن محمد،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ميرزا حسين، 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الحديث في 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روض الجنان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النهاية في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لحلّي، الحسن بن يوسف،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روض الجنان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الميرزا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الغروي، علي، 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حسن، مستدركات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 عبد الله، الحصون المنيعة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على كتاب حوار هادئ بين السنّة 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المغربي، النعمان بن محمد،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القزويني، محمد بن يزيد،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الميرزا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الميرزا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الغروي، علي، 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 لبحوث السيد الخوئي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باحثة إيرانية تحمل شهادة الماجستير في التفسير وعلوم القرآن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إسلامي، طالب في مرحلة الدكتوراه، قسم الفقه المقارن، في جامعة المصطفى صلی الله علیه و اله العالمية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مادة سلب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مادة عرف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الحسين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مادة عرف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مادة سير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الحسين بن محمد، 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مادة سار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عباسي مقدم، أُسوه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 قرآن وشيوه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 تبليغي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علاء الدين، كنز العمال في سُنن الأقوال والأفعال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كيهان الناطقة بالفارسية، </w:t>
      </w:r>
      <w:r>
        <w:rPr>
          <w:rFonts w:eastAsia="IRNazanin" w:cs="IRNazanin"/>
          <w:b w:val="false"/>
          <w:bCs w:val="false"/>
          <w:i w:val="false"/>
          <w:iCs w:val="false"/>
          <w:color w:val="333333"/>
          <w:sz w:val="20"/>
          <w:szCs w:val="20"/>
        </w:rPr>
        <w:t>13/7/1992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فقرات الوصية في الصفحات القادمة ضمن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الأُسلوب الكتابي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بورافشاني، محمد مهدي، جلوه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 سبز وسرخ عاشورا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يُشار إلى أن أغلب تلك الخطب طويلة؛ ولذا سنُشير إلى المقاطع التي تُبيِّن أهمية هذه الفريضة الإلهية ودعوة الإمام لأدائها فقط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الميرزا حسين، 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ابن شعبة، تحف العقول،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الإربلي، علي بن عيسى، كشف الغمة في معرفة الأئمة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في قتلى الطفوف،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علم نفس الطفل، دكتور أستاذ مساعد في 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ميسان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 التّربية والتعليم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البلاغ، المعالم الأساسية للمنهج التربوي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العذاري، شهاب الدين، ملامح المنهج التربوي عند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البلاغ، المعالم الأساسية للمنهج التربوي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 محمد محمود، التصميم التعليمي نظرية وممارسة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الخاقاني، فاطمة محمد آل شبير، الأمن التربوي للطفل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ابن شعبة، تحف العقول عن آل الرسول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نبيل وعياد، وليد، استراتيجيات تعلُّم مهارات التفكير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العذاري، شهاب الدين، ملامح المنهج التربوي عند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فلسفي، محمد تقي، الطفل بين الوراثة والتّربية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السيد فاضل الحسيني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العذارى، شهاب الدين، ملامح المنهج التربوي عند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ابن شعبة، تحف العقول عن آل الرسول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العذاري، شهاب الدين، مقومات التّربية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 النفسية للأطفال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البلاغ، المعالم الأساسية للمنهج التربوي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العذاري، شهاب الدين، ملامح المنهج التربوي عند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من جامعة المصطفى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محمد مرتضى،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مادة كوف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محمد بن أبي بكر،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مادة كوف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 محمد مرتضى،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مادة كوف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علي بن الحسين، 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علي بن محمد، الأحكام السلطانيّة والولايات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كاظم، تخطيط مدينة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لبنة، التي يُبْنَى بها، وهي المضروب من الطين مربعاً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مادة لبن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كاظم، تخطيط مدينة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حسن، تاريخ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كاظم، تخطيط مدينة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كاظم، تخطيط مدينة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محمد بن جعفر، فضل الكوفة ومساجدها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جعفر بن محمد 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كاظم، تخطيط مدينة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كاظم، تخطيط مدينة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نصر بن مزاحم،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فلهاوزن، يوليوس، الدولة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ابن مزاحم،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وسيلة الدارين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المفصل في تاريخ 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الجزري، علي بن أبي الكرم، اللباب في تهذيب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القبائل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الامير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ظاهرة إلغاء الفضائل المرتبطة بالأماكن كانت ديدن المؤرِّخين، حيث عمدوا إلى تغيير أسماء الأماكن التي تشير أسماؤها إلى فضائل أهل البيت علیهم السلام وهو الذي حدث لباب الثعبان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أبواب مسجد الكوفة، والذي سُمّي بذلك لظهور الجنّي بهيأة ثعبان وتكلُّمه مع أمير المؤمنين علیه السلام ؛ إذ تمّ إلغاء تلك الفضيلة وذلك بجلب فيل وربطه قرب الباب لصرف أذهان الناس والمؤرِّخين فيما بعد من الثعبان إلى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بن المطهَّر، 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الذي يقوم به أتباع المذهب الوهّابي من هدم المراقد المقدَّسة والمساجد الشريفة المنسوبة للنبي‘، محاولة منهم لإزالة الأثار الموصلة للارتباط بالنبي‘، وقد اتّبعوا بذلك سنّة عمر بن الخطاب حين قطع الشجرة التي تحتها بايع المسلمون النبي‘ بيعة الرضوان لما شاهد الناس يتبرّكون بالصلاة عندها، ففي الدر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ابن أبي شيبة في المصنف، عن نافع، قال بلغ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ناساً يأتون الشجرة التي بويع تحتها، فأمر بها 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بإسناده، عن حسان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أبا عبد الله الصادق علیه السلام من المدينة إلى 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انتهينا إلى مسجد الغدير نظر إلى ميسرة المسجد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موضع قدم رسول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علي بن عبد الله، وفاء الوفا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إبراهيم بن إسحاق، المناسك وأماكن طرق الحجّ ومعالم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إبراهيم رفعت باشا، 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البحراني،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بن المطهّر،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ذلك في كشف المهم،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كشف المهم عن طريق خبر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طاهر القمّي الشيرازي في كتاب الأربعين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أنّ ابن الكميت رأى في منامه رسول الله‘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قصيدة كانت لأبيك، يعني القصيدة المشتملة على حكاية الغدير،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فأنشدته إياها، فلمّا وصلتُ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أرَ مثله حقّاً أضيعا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رسول الله‘ بكاء شديداً،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أبوك، ولم أرَ مثله حقّاً أضيعا، ثمّ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الشيرازي، محمد طاهر، كتاب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الكراجكي في كنز الفوائد بإسناده، عن هناد بن السرى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أمير المؤمنين عليّ بن أبي طالب علیه السلام في المنام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هناد،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قول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الدوح دوح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إليك يا 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يا سيدي فقال علیه السلام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 المبارك بن محمد، 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محمد بن عمر،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أبو الصلاح،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مرتضى الحسيني،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عبد الحسين شرف الدين،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المراجعة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أبي القاسم،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علي بن محمد،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إبراهيم بن محمد،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علي بن برهان الدين، السيرة الحلبية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 جلال الدين، الحاوي للفتاوي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 محمد بن أحمد، التنبيه والرد على أهل الأهواء والبدع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عبد الكريم،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ويشبه هذا الإهمال أو يزيد عليه إهمال الدكتور أحمد زكي صفوت خطبة الغدير في كتابه جمهرة خطب العرب، وقد أثبتتها المصادر الموثوقة بأسانيد، وكذلك فعل في خطبة الزهراء الفدكية، رغم ورودها في مصادر أدبية عربية مهمّة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أحمد عبد العزيز، 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علي بن الحسين،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عيسى، الألفاظ الكتابية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أحمد ابن أبي طاهر،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النجمي، محمد صادق، 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محمد بن عبد الله،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أحمد، 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أحمد، 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محمد ناصر الدين،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يفوتنا أن نذكر هنا ما حصل لكتابين مهمّين من التشكيك في صحّة نسبتهما،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والسياسة لابن قتيبة، وذلك لما ورد فيه ذكر تفصيلي لحادثة إحراق باب دار الزهراء علیها السلام، وقد طبع هذا الكتاب عدّة طبعات في كلّ من مصر وبيروت، ومنه نسخ خطّية في مكاتب لندن وباريس، وبدار الكتب المصرية منه نسخة مخطوطة كُتبت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مَن تزعَّم التشكيك بنسبته إلى ابن قتيبة المستشرق غانيغوس المجريطي، ثمّ تبعه الدكتور دوزي في صدر كتابه تاريخ الأندلس وآدابه، والسيد أحمد صقر في مقدمته لكتاب تأويل مشكل القرآن المطبوع بالقاهرة سنة</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ﻫ،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نُسب إلى ابن قتيبة كتاب مشهور شهرة بطلان نسبته إليه، وهو كتاب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ابن قتيبة،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عليّ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فجر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مؤلفات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أنّنا نجد في المقابل مَن جند نفسه لكتابة هذه الفضائل وتدوينها، لكن مع ذلك فقدت تلك الكتب مع ما فقد من تراث الأُمّة العلمي، حكى العلّامة علي بن موسى، وعلي بن محمّد أبي المعالي الجويني الملقّب بإمام الحرمين أستاذ أبي حامد الغزالي أنّه كان يتعجَّب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مجلداً في بغداد في يد صحّاف فيه روايات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الثامنة والعشرون من طُرق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ويتلوه المجلد التاسعة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سليمان بن إبراهيم،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 عام</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الصفدي في ترجمة الأدلم المري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سلم الأدلم مولى بني تيم بن مرّة، شاعر من أهل المدينة قدم على حرب بن خالد بن يزيد بن معاوية ومدحه وله مدائح مستحسنة مستفيضة له في قثم بن العباس فيما ذكره الزبير بن بكار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بلغ حدّ التواتر وقد أخرجه كثير من الحفّاظ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محمد،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علي بن برهان الدين،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عبيد الله بن أحمد،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علي بن حسام الدين،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هيكل، محمد حسنين، 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هيكل، محمد حسنين، حياة محمد،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سنة</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محمد حسين، جريدة السياسة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الحديث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ذلك حدث لهذا الخبر في تفسير الطبري، فقد نقل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يؤازرني على هذا الأمر، على أن يكون أخي وكذا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أخي وكذا وكذا، فاسمعوا له وأطيعوا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جامع البيان عن تأويل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ﻫ، مطبعة مصطفى البابي الحلبي وأولاده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في تاريخه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يؤازرني على هذا الأمر على أن يكون أخي ووصيي وخليفتي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أخي ووصيي وخليفتي فيكم، فاسمعوا له وأطيعوا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 تحقيق محمد أبي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العمل ليس من الطبري، وإنّما حصل من الناسخين للكتاب، فقد عبثوا بالكتب، وإلّا فالطبري دفع ثمن روايته حديثَ غدير خم، فقد قال فيه ابن حجر في 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صادق، فيه تشيُّع يسير، وموالاة لا تضرّ، وإنّما نُبز بالتشيُّع لأنّه صحّح حديث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الذهبي في التذكرة، عن الفرغاني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لمّا بلغه أنّ ابن أبي داود تكلَّم في حديث غدير خم، عمل كتاب الفضائل، وتكلّم على تصحيح الحديث،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مجلداً من طُرق الحديث لابن جرير، فاندهشت له ولكثرة تلك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الدمشقي، إسماعيل 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50402</Words>
  <Characters>237002</Characters>
  <CharactersWithSpaces>286073</CharactersWithSpaces>
  <Paragraphs>1535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2026-08-20T18:38:51Z</dcterms:created>
  <dc:creator>ghaemiyeh.com</dc:creator>
  <dc:description/>
  <dc:language>en-US</dc:language>
  <cp:lastModifiedBy/>
  <dcterms:modified xsi:type="dcterms:W3CDTF">2026-08-20T22:09:02Z</dcterms:modified>
  <cp:revision>1</cp:revision>
  <dc:subject/>
  <dc:title>الاصلاح الحسینی 8 مجلة فصلیة متخصصة فی النهضة و تعنی بالدراسات الدینیة</dc:title>
</cp:coreProperties>
</file>

<file path=docProps/custom.xml><?xml version="1.0" encoding="utf-8"?>
<Properties xmlns="http://schemas.openxmlformats.org/officeDocument/2006/custom-properties" xmlns:vt="http://schemas.openxmlformats.org/officeDocument/2006/docPropsVTypes"/>
</file>