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الهادی الى أحکام الرهن و ما یلیه فی الشرائع المفلس والحجر والصلح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71278_2870459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7971280_2870459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971282_2870459653">
            <w:r>
              <w:rPr>
                <w:webHidden/>
                <w:rStyle w:val="IndexLink"/>
                <w:rtl w:val="true"/>
              </w:rPr>
              <w:t>الفهرس</w:t>
            </w:r>
            <w:r>
              <w:rPr>
                <w:rStyle w:val="IndexLink"/>
                <w:rtl w:val="true"/>
              </w:rPr>
              <w:tab/>
            </w:r>
            <w:r>
              <w:rPr>
                <w:rStyle w:val="IndexLink"/>
              </w:rPr>
              <w:t>14</w:t>
            </w:r>
          </w:hyperlink>
        </w:p>
        <w:p>
          <w:pPr>
            <w:pStyle w:val="Contents2"/>
            <w:tabs>
              <w:tab w:val="clear" w:pos="8743"/>
              <w:tab w:val="right" w:pos="9026" w:leader="dot"/>
            </w:tabs>
            <w:rPr/>
          </w:pPr>
          <w:hyperlink w:anchor="__RefHeading___Toc7971284_2870459653">
            <w:r>
              <w:rPr>
                <w:webHidden/>
                <w:rStyle w:val="IndexLink"/>
                <w:rtl w:val="true"/>
              </w:rPr>
              <w:t>كتاب الرهن</w:t>
            </w:r>
            <w:r>
              <w:rPr>
                <w:rStyle w:val="IndexLink"/>
                <w:rtl w:val="true"/>
              </w:rPr>
              <w:tab/>
            </w:r>
            <w:r>
              <w:rPr>
                <w:rStyle w:val="IndexLink"/>
              </w:rPr>
              <w:t>34</w:t>
            </w:r>
          </w:hyperlink>
        </w:p>
        <w:p>
          <w:pPr>
            <w:pStyle w:val="Contents2"/>
            <w:tabs>
              <w:tab w:val="clear" w:pos="8743"/>
              <w:tab w:val="right" w:pos="9026" w:leader="dot"/>
            </w:tabs>
            <w:rPr/>
          </w:pPr>
          <w:hyperlink w:anchor="__RefHeading___Toc7971286_2870459653">
            <w:r>
              <w:rPr>
                <w:webHidden/>
                <w:rStyle w:val="IndexLink"/>
                <w:rtl w:val="true"/>
              </w:rPr>
              <w:t xml:space="preserve">الفصل الأوّل </w:t>
            </w:r>
            <w:r>
              <w:rPr>
                <w:rStyle w:val="IndexLink"/>
                <w:rtl w:val="true"/>
              </w:rPr>
              <w:t xml:space="preserve">: </w:t>
            </w:r>
            <w:r>
              <w:rPr>
                <w:rStyle w:val="IndexLink"/>
                <w:rtl w:val="true"/>
              </w:rPr>
              <w:t>في الرهن</w:t>
            </w:r>
            <w:r>
              <w:rPr>
                <w:rStyle w:val="IndexLink"/>
                <w:rtl w:val="true"/>
              </w:rPr>
              <w:tab/>
            </w:r>
            <w:r>
              <w:rPr>
                <w:rStyle w:val="IndexLink"/>
              </w:rPr>
              <w:t>34</w:t>
            </w:r>
          </w:hyperlink>
        </w:p>
        <w:p>
          <w:pPr>
            <w:pStyle w:val="Contents2"/>
            <w:tabs>
              <w:tab w:val="clear" w:pos="8743"/>
              <w:tab w:val="right" w:pos="9026" w:leader="dot"/>
            </w:tabs>
            <w:rPr/>
          </w:pPr>
          <w:hyperlink w:anchor="__RefHeading___Toc7971288_2870459653">
            <w:r>
              <w:rPr>
                <w:webHidden/>
                <w:rStyle w:val="IndexLink"/>
                <w:rtl w:val="true"/>
              </w:rPr>
              <w:t xml:space="preserve">في اشتراط الايجاب و القبول و القبض </w:t>
            </w:r>
            <w:r>
              <w:rPr>
                <w:rStyle w:val="IndexLink"/>
                <w:rtl w:val="true"/>
              </w:rPr>
              <w:t xml:space="preserve">... </w:t>
            </w:r>
            <w:r>
              <w:rPr>
                <w:rStyle w:val="IndexLink"/>
              </w:rPr>
              <w:t>27</w:t>
            </w:r>
            <w:r>
              <w:rPr>
                <w:rStyle w:val="IndexLink"/>
                <w:rtl w:val="true"/>
              </w:rPr>
              <w:tab/>
            </w:r>
            <w:r>
              <w:rPr>
                <w:rStyle w:val="IndexLink"/>
              </w:rPr>
              <w:t>36</w:t>
            </w:r>
          </w:hyperlink>
        </w:p>
        <w:p>
          <w:pPr>
            <w:pStyle w:val="Contents2"/>
            <w:tabs>
              <w:tab w:val="clear" w:pos="8743"/>
              <w:tab w:val="right" w:pos="9026" w:leader="dot"/>
            </w:tabs>
            <w:rPr/>
          </w:pPr>
          <w:hyperlink w:anchor="__RefHeading___Toc7971290_2870459653">
            <w:r>
              <w:rPr>
                <w:webHidden/>
                <w:rStyle w:val="IndexLink"/>
                <w:rtl w:val="true"/>
              </w:rPr>
              <w:t xml:space="preserve">الفصل الثاني </w:t>
            </w:r>
            <w:r>
              <w:rPr>
                <w:rStyle w:val="IndexLink"/>
                <w:rtl w:val="true"/>
              </w:rPr>
              <w:t xml:space="preserve">: </w:t>
            </w:r>
            <w:r>
              <w:rPr>
                <w:rStyle w:val="IndexLink"/>
                <w:rtl w:val="true"/>
              </w:rPr>
              <w:t>في شرائط الرهن</w:t>
            </w:r>
            <w:r>
              <w:rPr>
                <w:rStyle w:val="IndexLink"/>
                <w:rtl w:val="true"/>
              </w:rPr>
              <w:tab/>
            </w:r>
            <w:r>
              <w:rPr>
                <w:rStyle w:val="IndexLink"/>
              </w:rPr>
              <w:t>42</w:t>
            </w:r>
          </w:hyperlink>
        </w:p>
        <w:p>
          <w:pPr>
            <w:pStyle w:val="Contents2"/>
            <w:tabs>
              <w:tab w:val="clear" w:pos="8743"/>
              <w:tab w:val="right" w:pos="9026" w:leader="dot"/>
            </w:tabs>
            <w:rPr/>
          </w:pPr>
          <w:hyperlink w:anchor="__RefHeading___Toc7971292_2870459653">
            <w:r>
              <w:rPr>
                <w:webHidden/>
                <w:rStyle w:val="IndexLink"/>
                <w:rtl w:val="true"/>
              </w:rPr>
              <w:t xml:space="preserve">الفصل الثالث </w:t>
            </w:r>
            <w:r>
              <w:rPr>
                <w:rStyle w:val="IndexLink"/>
                <w:rtl w:val="true"/>
              </w:rPr>
              <w:t xml:space="preserve">: </w:t>
            </w:r>
            <w:r>
              <w:rPr>
                <w:rStyle w:val="IndexLink"/>
                <w:rtl w:val="true"/>
              </w:rPr>
              <w:t>في الحقّ</w:t>
            </w:r>
            <w:r>
              <w:rPr>
                <w:rStyle w:val="IndexLink"/>
                <w:rtl w:val="true"/>
              </w:rPr>
              <w:tab/>
            </w:r>
            <w:r>
              <w:rPr>
                <w:rStyle w:val="IndexLink"/>
              </w:rPr>
              <w:t>46</w:t>
            </w:r>
          </w:hyperlink>
        </w:p>
        <w:p>
          <w:pPr>
            <w:pStyle w:val="Contents2"/>
            <w:tabs>
              <w:tab w:val="clear" w:pos="8743"/>
              <w:tab w:val="right" w:pos="9026" w:leader="dot"/>
            </w:tabs>
            <w:rPr/>
          </w:pPr>
          <w:hyperlink w:anchor="__RefHeading___Toc7971294_2870459653">
            <w:r>
              <w:rPr>
                <w:webHidden/>
                <w:rStyle w:val="IndexLink"/>
                <w:rtl w:val="true"/>
              </w:rPr>
              <w:t xml:space="preserve">فرع </w:t>
            </w:r>
            <w:r>
              <w:rPr>
                <w:rStyle w:val="IndexLink"/>
                <w:rtl w:val="true"/>
              </w:rPr>
              <w:t xml:space="preserve">: </w:t>
            </w:r>
            <w:r>
              <w:rPr>
                <w:rStyle w:val="IndexLink"/>
                <w:rtl w:val="true"/>
              </w:rPr>
              <w:t>في عدم جواز الرهن على العين</w:t>
            </w:r>
            <w:r>
              <w:rPr>
                <w:rStyle w:val="IndexLink"/>
                <w:rtl w:val="true"/>
              </w:rPr>
              <w:tab/>
            </w:r>
            <w:r>
              <w:rPr>
                <w:rStyle w:val="IndexLink"/>
              </w:rPr>
              <w:t>48</w:t>
            </w:r>
          </w:hyperlink>
        </w:p>
        <w:p>
          <w:pPr>
            <w:pStyle w:val="Contents2"/>
            <w:tabs>
              <w:tab w:val="clear" w:pos="8743"/>
              <w:tab w:val="right" w:pos="9026" w:leader="dot"/>
            </w:tabs>
            <w:rPr/>
          </w:pPr>
          <w:hyperlink w:anchor="__RefHeading___Toc7971296_2870459653">
            <w:r>
              <w:rPr>
                <w:webHidden/>
                <w:rStyle w:val="IndexLink"/>
                <w:rtl w:val="true"/>
              </w:rPr>
              <w:t xml:space="preserve">الفصل الرابع </w:t>
            </w:r>
            <w:r>
              <w:rPr>
                <w:rStyle w:val="IndexLink"/>
                <w:rtl w:val="true"/>
              </w:rPr>
              <w:t xml:space="preserve">: </w:t>
            </w:r>
            <w:r>
              <w:rPr>
                <w:rStyle w:val="IndexLink"/>
                <w:rtl w:val="true"/>
              </w:rPr>
              <w:t>في الراهن</w:t>
            </w:r>
            <w:r>
              <w:rPr>
                <w:rStyle w:val="IndexLink"/>
                <w:rtl w:val="true"/>
              </w:rPr>
              <w:tab/>
            </w:r>
            <w:r>
              <w:rPr>
                <w:rStyle w:val="IndexLink"/>
              </w:rPr>
              <w:t>50</w:t>
            </w:r>
          </w:hyperlink>
        </w:p>
        <w:p>
          <w:pPr>
            <w:pStyle w:val="Contents2"/>
            <w:tabs>
              <w:tab w:val="clear" w:pos="8743"/>
              <w:tab w:val="right" w:pos="9026" w:leader="dot"/>
            </w:tabs>
            <w:rPr/>
          </w:pPr>
          <w:hyperlink w:anchor="__RefHeading___Toc7971298_2870459653">
            <w:r>
              <w:rPr>
                <w:webHidden/>
                <w:rStyle w:val="IndexLink"/>
                <w:rtl w:val="true"/>
              </w:rPr>
              <w:t xml:space="preserve">الفصل الخامس </w:t>
            </w:r>
            <w:r>
              <w:rPr>
                <w:rStyle w:val="IndexLink"/>
                <w:rtl w:val="true"/>
              </w:rPr>
              <w:t xml:space="preserve">: </w:t>
            </w:r>
            <w:r>
              <w:rPr>
                <w:rStyle w:val="IndexLink"/>
                <w:rtl w:val="true"/>
              </w:rPr>
              <w:t>في المرتهن</w:t>
            </w:r>
            <w:r>
              <w:rPr>
                <w:rStyle w:val="IndexLink"/>
                <w:rtl w:val="true"/>
              </w:rPr>
              <w:tab/>
            </w:r>
            <w:r>
              <w:rPr>
                <w:rStyle w:val="IndexLink"/>
              </w:rPr>
              <w:t>52</w:t>
            </w:r>
          </w:hyperlink>
        </w:p>
        <w:p>
          <w:pPr>
            <w:pStyle w:val="Contents2"/>
            <w:tabs>
              <w:tab w:val="clear" w:pos="8743"/>
              <w:tab w:val="right" w:pos="9026" w:leader="dot"/>
            </w:tabs>
            <w:rPr/>
          </w:pPr>
          <w:hyperlink w:anchor="__RefHeading___Toc7971300_2870459653">
            <w:r>
              <w:rPr>
                <w:webHidden/>
                <w:rStyle w:val="IndexLink"/>
                <w:rtl w:val="true"/>
              </w:rPr>
              <w:t xml:space="preserve">فيما اذا شرط المرتهن الوكالة في العقد لنفسه أو لغيره </w:t>
            </w:r>
            <w:r>
              <w:rPr>
                <w:rStyle w:val="IndexLink"/>
                <w:rtl w:val="true"/>
              </w:rPr>
              <w:t xml:space="preserve">... </w:t>
            </w:r>
            <w:r>
              <w:rPr>
                <w:rStyle w:val="IndexLink"/>
              </w:rPr>
              <w:t>44</w:t>
            </w:r>
            <w:r>
              <w:rPr>
                <w:rStyle w:val="IndexLink"/>
                <w:rtl w:val="true"/>
              </w:rPr>
              <w:tab/>
            </w:r>
            <w:r>
              <w:rPr>
                <w:rStyle w:val="IndexLink"/>
              </w:rPr>
              <w:t>53</w:t>
            </w:r>
          </w:hyperlink>
        </w:p>
        <w:p>
          <w:pPr>
            <w:pStyle w:val="Contents2"/>
            <w:tabs>
              <w:tab w:val="clear" w:pos="8743"/>
              <w:tab w:val="right" w:pos="9026" w:leader="dot"/>
            </w:tabs>
            <w:rPr/>
          </w:pPr>
          <w:hyperlink w:anchor="__RefHeading___Toc7971302_2870459653">
            <w:r>
              <w:rPr>
                <w:webHidden/>
                <w:rStyle w:val="IndexLink"/>
                <w:rtl w:val="true"/>
              </w:rPr>
              <w:t xml:space="preserve">الفرع الأوّل </w:t>
            </w:r>
            <w:r>
              <w:rPr>
                <w:rStyle w:val="IndexLink"/>
                <w:rtl w:val="true"/>
              </w:rPr>
              <w:t xml:space="preserve">: </w:t>
            </w:r>
            <w:r>
              <w:rPr>
                <w:rStyle w:val="IndexLink"/>
                <w:rtl w:val="true"/>
              </w:rPr>
              <w:t>في أنّ الرهن أمانة في يد المرتهن</w:t>
            </w:r>
            <w:r>
              <w:rPr>
                <w:rStyle w:val="IndexLink"/>
                <w:rtl w:val="true"/>
              </w:rPr>
              <w:tab/>
            </w:r>
            <w:r>
              <w:rPr>
                <w:rStyle w:val="IndexLink"/>
              </w:rPr>
              <w:t>56</w:t>
            </w:r>
          </w:hyperlink>
        </w:p>
        <w:p>
          <w:pPr>
            <w:pStyle w:val="Contents2"/>
            <w:tabs>
              <w:tab w:val="clear" w:pos="8743"/>
              <w:tab w:val="right" w:pos="9026" w:leader="dot"/>
            </w:tabs>
            <w:rPr/>
          </w:pPr>
          <w:hyperlink w:anchor="__RefHeading___Toc7971304_2870459653">
            <w:r>
              <w:rPr>
                <w:webHidden/>
                <w:rStyle w:val="IndexLink"/>
                <w:rtl w:val="true"/>
              </w:rPr>
              <w:t xml:space="preserve">في أنّ الرهن أمانة في يد المرتهن </w:t>
            </w:r>
            <w:r>
              <w:rPr>
                <w:rStyle w:val="IndexLink"/>
                <w:rtl w:val="true"/>
              </w:rPr>
              <w:t xml:space="preserve">... </w:t>
            </w:r>
            <w:r>
              <w:rPr>
                <w:rStyle w:val="IndexLink"/>
              </w:rPr>
              <w:t>46</w:t>
            </w:r>
            <w:r>
              <w:rPr>
                <w:rStyle w:val="IndexLink"/>
                <w:rtl w:val="true"/>
              </w:rPr>
              <w:tab/>
            </w:r>
            <w:r>
              <w:rPr>
                <w:rStyle w:val="IndexLink"/>
              </w:rPr>
              <w:t>56</w:t>
            </w:r>
          </w:hyperlink>
        </w:p>
        <w:p>
          <w:pPr>
            <w:pStyle w:val="Contents2"/>
            <w:tabs>
              <w:tab w:val="clear" w:pos="8743"/>
              <w:tab w:val="right" w:pos="9026" w:leader="dot"/>
            </w:tabs>
            <w:rPr/>
          </w:pPr>
          <w:hyperlink w:anchor="__RefHeading___Toc7971306_2870459653">
            <w:r>
              <w:rPr>
                <w:webHidden/>
                <w:rStyle w:val="IndexLink"/>
                <w:rtl w:val="true"/>
              </w:rPr>
              <w:t xml:space="preserve">الفرع الثاني </w:t>
            </w:r>
            <w:r>
              <w:rPr>
                <w:rStyle w:val="IndexLink"/>
                <w:rtl w:val="true"/>
              </w:rPr>
              <w:t xml:space="preserve">: </w:t>
            </w:r>
            <w:r>
              <w:rPr>
                <w:rStyle w:val="IndexLink"/>
                <w:rtl w:val="true"/>
              </w:rPr>
              <w:t>في تصرّف المرتهن فى المال المرهون</w:t>
            </w:r>
            <w:r>
              <w:rPr>
                <w:rStyle w:val="IndexLink"/>
                <w:rtl w:val="true"/>
              </w:rPr>
              <w:tab/>
            </w:r>
            <w:r>
              <w:rPr>
                <w:rStyle w:val="IndexLink"/>
              </w:rPr>
              <w:t>58</w:t>
            </w:r>
          </w:hyperlink>
        </w:p>
        <w:p>
          <w:pPr>
            <w:pStyle w:val="Contents2"/>
            <w:tabs>
              <w:tab w:val="clear" w:pos="8743"/>
              <w:tab w:val="right" w:pos="9026" w:leader="dot"/>
            </w:tabs>
            <w:rPr/>
          </w:pPr>
          <w:hyperlink w:anchor="__RefHeading___Toc7971308_2870459653">
            <w:r>
              <w:rPr>
                <w:webHidden/>
                <w:rStyle w:val="IndexLink"/>
                <w:rtl w:val="true"/>
              </w:rPr>
              <w:t xml:space="preserve">الفرع الثالث </w:t>
            </w:r>
            <w:r>
              <w:rPr>
                <w:rStyle w:val="IndexLink"/>
                <w:rtl w:val="true"/>
              </w:rPr>
              <w:t xml:space="preserve">: </w:t>
            </w:r>
            <w:r>
              <w:rPr>
                <w:rStyle w:val="IndexLink"/>
                <w:rtl w:val="true"/>
              </w:rPr>
              <w:t>في استيفاء الدين من الرهن اذا مات الراهن</w:t>
            </w:r>
            <w:r>
              <w:rPr>
                <w:rStyle w:val="IndexLink"/>
                <w:rtl w:val="true"/>
              </w:rPr>
              <w:tab/>
            </w:r>
            <w:r>
              <w:rPr>
                <w:rStyle w:val="IndexLink"/>
              </w:rPr>
              <w:t>60</w:t>
            </w:r>
          </w:hyperlink>
        </w:p>
        <w:p>
          <w:pPr>
            <w:pStyle w:val="Contents2"/>
            <w:tabs>
              <w:tab w:val="clear" w:pos="8743"/>
              <w:tab w:val="right" w:pos="9026" w:leader="dot"/>
            </w:tabs>
            <w:rPr/>
          </w:pPr>
          <w:hyperlink w:anchor="__RefHeading___Toc7971310_2870459653">
            <w:r>
              <w:rPr>
                <w:webHidden/>
                <w:rStyle w:val="IndexLink"/>
                <w:rtl w:val="true"/>
              </w:rPr>
              <w:t xml:space="preserve">فيما اذا وضعا الرهن على يد عدل </w:t>
            </w:r>
            <w:r>
              <w:rPr>
                <w:rStyle w:val="IndexLink"/>
                <w:rtl w:val="true"/>
              </w:rPr>
              <w:t xml:space="preserve">... </w:t>
            </w:r>
            <w:r>
              <w:rPr>
                <w:rStyle w:val="IndexLink"/>
              </w:rPr>
              <w:t>52</w:t>
            </w:r>
            <w:r>
              <w:rPr>
                <w:rStyle w:val="IndexLink"/>
                <w:rtl w:val="true"/>
              </w:rPr>
              <w:tab/>
            </w:r>
            <w:r>
              <w:rPr>
                <w:rStyle w:val="IndexLink"/>
              </w:rPr>
              <w:t>61</w:t>
            </w:r>
          </w:hyperlink>
        </w:p>
        <w:p>
          <w:pPr>
            <w:pStyle w:val="Contents2"/>
            <w:tabs>
              <w:tab w:val="clear" w:pos="8743"/>
              <w:tab w:val="right" w:pos="9026" w:leader="dot"/>
            </w:tabs>
            <w:rPr/>
          </w:pPr>
          <w:hyperlink w:anchor="__RefHeading___Toc7971312_2870459653">
            <w:r>
              <w:rPr>
                <w:webHidden/>
                <w:rStyle w:val="IndexLink"/>
                <w:rtl w:val="true"/>
              </w:rPr>
              <w:t xml:space="preserve">الفرع الأوّل </w:t>
            </w:r>
            <w:r>
              <w:rPr>
                <w:rStyle w:val="IndexLink"/>
                <w:rtl w:val="true"/>
              </w:rPr>
              <w:t xml:space="preserve">: </w:t>
            </w:r>
            <w:r>
              <w:rPr>
                <w:rStyle w:val="IndexLink"/>
                <w:rtl w:val="true"/>
              </w:rPr>
              <w:t>فيما اذا وضعاه على يد عدل</w:t>
            </w:r>
            <w:r>
              <w:rPr>
                <w:rStyle w:val="IndexLink"/>
                <w:rtl w:val="true"/>
              </w:rPr>
              <w:tab/>
            </w:r>
            <w:r>
              <w:rPr>
                <w:rStyle w:val="IndexLink"/>
              </w:rPr>
              <w:t>62</w:t>
            </w:r>
          </w:hyperlink>
        </w:p>
        <w:p>
          <w:pPr>
            <w:pStyle w:val="Contents2"/>
            <w:tabs>
              <w:tab w:val="clear" w:pos="8743"/>
              <w:tab w:val="right" w:pos="9026" w:leader="dot"/>
            </w:tabs>
            <w:rPr/>
          </w:pPr>
          <w:hyperlink w:anchor="__RefHeading___Toc7971314_2870459653">
            <w:r>
              <w:rPr>
                <w:webHidden/>
                <w:rStyle w:val="IndexLink"/>
                <w:rtl w:val="true"/>
              </w:rPr>
              <w:t xml:space="preserve">الفرع الثاني </w:t>
            </w:r>
            <w:r>
              <w:rPr>
                <w:rStyle w:val="IndexLink"/>
                <w:rtl w:val="true"/>
              </w:rPr>
              <w:t xml:space="preserve">: </w:t>
            </w:r>
            <w:r>
              <w:rPr>
                <w:rStyle w:val="IndexLink"/>
                <w:rtl w:val="true"/>
              </w:rPr>
              <w:t>فيما لو باع المرتهن أو العدل الرهن</w:t>
            </w:r>
            <w:r>
              <w:rPr>
                <w:rStyle w:val="IndexLink"/>
                <w:rtl w:val="true"/>
              </w:rPr>
              <w:tab/>
            </w:r>
            <w:r>
              <w:rPr>
                <w:rStyle w:val="IndexLink"/>
              </w:rPr>
              <w:t>63</w:t>
            </w:r>
          </w:hyperlink>
        </w:p>
        <w:p>
          <w:pPr>
            <w:pStyle w:val="Contents2"/>
            <w:tabs>
              <w:tab w:val="clear" w:pos="8743"/>
              <w:tab w:val="right" w:pos="9026" w:leader="dot"/>
            </w:tabs>
            <w:rPr/>
          </w:pPr>
          <w:hyperlink w:anchor="__RefHeading___Toc7971316_2870459653">
            <w:r>
              <w:rPr>
                <w:webHidden/>
                <w:rStyle w:val="IndexLink"/>
                <w:rtl w:val="true"/>
              </w:rPr>
              <w:t xml:space="preserve">الفرع الثالث </w:t>
            </w:r>
            <w:r>
              <w:rPr>
                <w:rStyle w:val="IndexLink"/>
                <w:rtl w:val="true"/>
              </w:rPr>
              <w:t xml:space="preserve">: </w:t>
            </w:r>
            <w:r>
              <w:rPr>
                <w:rStyle w:val="IndexLink"/>
                <w:rtl w:val="true"/>
              </w:rPr>
              <w:t>فيما اذا مات المرتهن</w:t>
            </w:r>
            <w:r>
              <w:rPr>
                <w:rStyle w:val="IndexLink"/>
                <w:rtl w:val="true"/>
              </w:rPr>
              <w:tab/>
            </w:r>
            <w:r>
              <w:rPr>
                <w:rStyle w:val="IndexLink"/>
              </w:rPr>
              <w:t>64</w:t>
            </w:r>
          </w:hyperlink>
        </w:p>
        <w:p>
          <w:pPr>
            <w:pStyle w:val="Contents2"/>
            <w:tabs>
              <w:tab w:val="clear" w:pos="8743"/>
              <w:tab w:val="right" w:pos="9026" w:leader="dot"/>
            </w:tabs>
            <w:rPr/>
          </w:pPr>
          <w:hyperlink w:anchor="__RefHeading___Toc7971318_2870459653">
            <w:r>
              <w:rPr>
                <w:webHidden/>
                <w:rStyle w:val="IndexLink"/>
                <w:rtl w:val="true"/>
              </w:rPr>
              <w:t xml:space="preserve">الفصل السادس </w:t>
            </w:r>
            <w:r>
              <w:rPr>
                <w:rStyle w:val="IndexLink"/>
                <w:rtl w:val="true"/>
              </w:rPr>
              <w:t xml:space="preserve">: </w:t>
            </w:r>
            <w:r>
              <w:rPr>
                <w:rStyle w:val="IndexLink"/>
                <w:rtl w:val="true"/>
              </w:rPr>
              <w:t>في اللواحق</w:t>
            </w:r>
            <w:r>
              <w:rPr>
                <w:rStyle w:val="IndexLink"/>
                <w:rtl w:val="true"/>
              </w:rPr>
              <w:tab/>
            </w:r>
            <w:r>
              <w:rPr>
                <w:rStyle w:val="IndexLink"/>
              </w:rPr>
              <w:t>66</w:t>
            </w:r>
          </w:hyperlink>
        </w:p>
        <w:p>
          <w:pPr>
            <w:pStyle w:val="Contents2"/>
            <w:tabs>
              <w:tab w:val="clear" w:pos="8743"/>
              <w:tab w:val="right" w:pos="9026" w:leader="dot"/>
            </w:tabs>
            <w:rPr/>
          </w:pPr>
          <w:hyperlink w:anchor="__RefHeading___Toc7971320_2870459653">
            <w:r>
              <w:rPr>
                <w:webHidden/>
                <w:rStyle w:val="IndexLink"/>
                <w:rtl w:val="true"/>
              </w:rPr>
              <w:t xml:space="preserve">المقصد الأوّل </w:t>
            </w:r>
            <w:r>
              <w:rPr>
                <w:rStyle w:val="IndexLink"/>
                <w:rtl w:val="true"/>
              </w:rPr>
              <w:t xml:space="preserve">: </w:t>
            </w:r>
            <w:r>
              <w:rPr>
                <w:rStyle w:val="IndexLink"/>
                <w:rtl w:val="true"/>
              </w:rPr>
              <w:t>في أحكام متعلّقة بالراهن</w:t>
            </w:r>
            <w:r>
              <w:rPr>
                <w:rStyle w:val="IndexLink"/>
                <w:rtl w:val="true"/>
              </w:rPr>
              <w:tab/>
            </w:r>
            <w:r>
              <w:rPr>
                <w:rStyle w:val="IndexLink"/>
              </w:rPr>
              <w:t>66</w:t>
            </w:r>
          </w:hyperlink>
        </w:p>
        <w:p>
          <w:pPr>
            <w:pStyle w:val="Contents2"/>
            <w:tabs>
              <w:tab w:val="clear" w:pos="8743"/>
              <w:tab w:val="right" w:pos="9026" w:leader="dot"/>
            </w:tabs>
            <w:rPr/>
          </w:pPr>
          <w:hyperlink w:anchor="__RefHeading___Toc7971322_2870459653">
            <w:r>
              <w:rPr>
                <w:webHidden/>
                <w:rStyle w:val="IndexLink"/>
                <w:rtl w:val="true"/>
              </w:rPr>
              <w:t xml:space="preserve">الفرع الأوّل </w:t>
            </w:r>
            <w:r>
              <w:rPr>
                <w:rStyle w:val="IndexLink"/>
                <w:rtl w:val="true"/>
              </w:rPr>
              <w:t xml:space="preserve">: </w:t>
            </w:r>
            <w:r>
              <w:rPr>
                <w:rStyle w:val="IndexLink"/>
                <w:rtl w:val="true"/>
              </w:rPr>
              <w:t>في التصرّف في الرهن</w:t>
            </w:r>
            <w:r>
              <w:rPr>
                <w:rStyle w:val="IndexLink"/>
                <w:rtl w:val="true"/>
              </w:rPr>
              <w:tab/>
            </w:r>
            <w:r>
              <w:rPr>
                <w:rStyle w:val="IndexLink"/>
              </w:rPr>
              <w:t>67</w:t>
            </w:r>
          </w:hyperlink>
        </w:p>
        <w:p>
          <w:pPr>
            <w:pStyle w:val="Contents2"/>
            <w:tabs>
              <w:tab w:val="clear" w:pos="8743"/>
              <w:tab w:val="right" w:pos="9026" w:leader="dot"/>
            </w:tabs>
            <w:rPr/>
          </w:pPr>
          <w:hyperlink w:anchor="__RefHeading___Toc7971324_2870459653">
            <w:r>
              <w:rPr>
                <w:webHidden/>
                <w:rStyle w:val="IndexLink"/>
                <w:rtl w:val="true"/>
              </w:rPr>
              <w:t xml:space="preserve">الفرع الثاني </w:t>
            </w:r>
            <w:r>
              <w:rPr>
                <w:rStyle w:val="IndexLink"/>
                <w:rtl w:val="true"/>
              </w:rPr>
              <w:t xml:space="preserve">: </w:t>
            </w:r>
            <w:r>
              <w:rPr>
                <w:rStyle w:val="IndexLink"/>
                <w:rtl w:val="true"/>
              </w:rPr>
              <w:t>فيما لو وطئ الراهن أمته المرهونة</w:t>
            </w:r>
            <w:r>
              <w:rPr>
                <w:rStyle w:val="IndexLink"/>
                <w:rtl w:val="true"/>
              </w:rPr>
              <w:tab/>
            </w:r>
            <w:r>
              <w:rPr>
                <w:rStyle w:val="IndexLink"/>
              </w:rPr>
              <w:t>68</w:t>
            </w:r>
          </w:hyperlink>
        </w:p>
        <w:p>
          <w:pPr>
            <w:pStyle w:val="Contents2"/>
            <w:tabs>
              <w:tab w:val="clear" w:pos="8743"/>
              <w:tab w:val="right" w:pos="9026" w:leader="dot"/>
            </w:tabs>
            <w:rPr/>
          </w:pPr>
          <w:hyperlink w:anchor="__RefHeading___Toc7971326_2870459653">
            <w:r>
              <w:rPr>
                <w:webHidden/>
                <w:rStyle w:val="IndexLink"/>
                <w:rtl w:val="true"/>
              </w:rPr>
              <w:t xml:space="preserve">الفرع الثالث </w:t>
            </w:r>
            <w:r>
              <w:rPr>
                <w:rStyle w:val="IndexLink"/>
                <w:rtl w:val="true"/>
              </w:rPr>
              <w:t xml:space="preserve">: </w:t>
            </w:r>
            <w:r>
              <w:rPr>
                <w:rStyle w:val="IndexLink"/>
                <w:rtl w:val="true"/>
              </w:rPr>
              <w:t>فيما اذا أذن الراهن للمرتهن في البيع</w:t>
            </w:r>
            <w:r>
              <w:rPr>
                <w:rStyle w:val="IndexLink"/>
                <w:rtl w:val="true"/>
              </w:rPr>
              <w:tab/>
            </w:r>
            <w:r>
              <w:rPr>
                <w:rStyle w:val="IndexLink"/>
              </w:rPr>
              <w:t>69</w:t>
            </w:r>
          </w:hyperlink>
        </w:p>
        <w:p>
          <w:pPr>
            <w:pStyle w:val="Contents2"/>
            <w:tabs>
              <w:tab w:val="clear" w:pos="8743"/>
              <w:tab w:val="right" w:pos="9026" w:leader="dot"/>
            </w:tabs>
            <w:rPr/>
          </w:pPr>
          <w:hyperlink w:anchor="__RefHeading___Toc7971328_2870459653">
            <w:r>
              <w:rPr>
                <w:webHidden/>
                <w:rStyle w:val="IndexLink"/>
                <w:rtl w:val="true"/>
              </w:rPr>
              <w:t xml:space="preserve">المقصد الثاني </w:t>
            </w:r>
            <w:r>
              <w:rPr>
                <w:rStyle w:val="IndexLink"/>
                <w:rtl w:val="true"/>
              </w:rPr>
              <w:t xml:space="preserve">: </w:t>
            </w:r>
            <w:r>
              <w:rPr>
                <w:rStyle w:val="IndexLink"/>
                <w:rtl w:val="true"/>
              </w:rPr>
              <w:t>في أحكام متعلّقة بالرهن</w:t>
            </w:r>
            <w:r>
              <w:rPr>
                <w:rStyle w:val="IndexLink"/>
                <w:rtl w:val="true"/>
              </w:rPr>
              <w:tab/>
            </w:r>
            <w:r>
              <w:rPr>
                <w:rStyle w:val="IndexLink"/>
              </w:rPr>
              <w:t>70</w:t>
            </w:r>
          </w:hyperlink>
        </w:p>
        <w:p>
          <w:pPr>
            <w:pStyle w:val="Contents2"/>
            <w:tabs>
              <w:tab w:val="clear" w:pos="8743"/>
              <w:tab w:val="right" w:pos="9026" w:leader="dot"/>
            </w:tabs>
            <w:rPr/>
          </w:pPr>
          <w:hyperlink w:anchor="__RefHeading___Toc7971330_2870459653">
            <w:r>
              <w:rPr>
                <w:webHidden/>
                <w:rStyle w:val="IndexLink"/>
                <w:rtl w:val="true"/>
              </w:rPr>
              <w:t xml:space="preserve">الفرع الأوّل </w:t>
            </w:r>
            <w:r>
              <w:rPr>
                <w:rStyle w:val="IndexLink"/>
                <w:rtl w:val="true"/>
              </w:rPr>
              <w:t xml:space="preserve">: </w:t>
            </w:r>
            <w:r>
              <w:rPr>
                <w:rStyle w:val="IndexLink"/>
                <w:rtl w:val="true"/>
              </w:rPr>
              <w:t>في لزوم الرهن</w:t>
            </w:r>
            <w:r>
              <w:rPr>
                <w:rStyle w:val="IndexLink"/>
                <w:rtl w:val="true"/>
              </w:rPr>
              <w:tab/>
            </w:r>
            <w:r>
              <w:rPr>
                <w:rStyle w:val="IndexLink"/>
              </w:rPr>
              <w:t>70</w:t>
            </w:r>
          </w:hyperlink>
        </w:p>
        <w:p>
          <w:pPr>
            <w:pStyle w:val="Contents2"/>
            <w:tabs>
              <w:tab w:val="clear" w:pos="8743"/>
              <w:tab w:val="right" w:pos="9026" w:leader="dot"/>
            </w:tabs>
            <w:rPr/>
          </w:pPr>
          <w:hyperlink w:anchor="__RefHeading___Toc7971332_2870459653">
            <w:r>
              <w:rPr>
                <w:webHidden/>
                <w:rStyle w:val="IndexLink"/>
                <w:rtl w:val="true"/>
              </w:rPr>
              <w:t xml:space="preserve">الفرع الثاني </w:t>
            </w:r>
            <w:r>
              <w:rPr>
                <w:rStyle w:val="IndexLink"/>
                <w:rtl w:val="true"/>
              </w:rPr>
              <w:t xml:space="preserve">: </w:t>
            </w:r>
            <w:r>
              <w:rPr>
                <w:rStyle w:val="IndexLink"/>
                <w:rtl w:val="true"/>
              </w:rPr>
              <w:t>في أنّه لو انفسخ الرهن يبقى في يد المرتهن أمانة</w:t>
            </w:r>
            <w:r>
              <w:rPr>
                <w:rStyle w:val="IndexLink"/>
                <w:rtl w:val="true"/>
              </w:rPr>
              <w:tab/>
            </w:r>
            <w:r>
              <w:rPr>
                <w:rStyle w:val="IndexLink"/>
              </w:rPr>
              <w:t>71</w:t>
            </w:r>
          </w:hyperlink>
        </w:p>
        <w:p>
          <w:pPr>
            <w:pStyle w:val="Contents2"/>
            <w:tabs>
              <w:tab w:val="clear" w:pos="8743"/>
              <w:tab w:val="right" w:pos="9026" w:leader="dot"/>
            </w:tabs>
            <w:rPr/>
          </w:pPr>
          <w:hyperlink w:anchor="__RefHeading___Toc7971334_2870459653">
            <w:r>
              <w:rPr>
                <w:webHidden/>
                <w:rStyle w:val="IndexLink"/>
                <w:rtl w:val="true"/>
              </w:rPr>
              <w:t xml:space="preserve">فيما لو شرط ان لم‌يؤدّ أن‌يكون الرهن مبيعا </w:t>
            </w:r>
            <w:r>
              <w:rPr>
                <w:rStyle w:val="IndexLink"/>
                <w:rtl w:val="true"/>
              </w:rPr>
              <w:t xml:space="preserve">... </w:t>
            </w:r>
            <w:r>
              <w:rPr>
                <w:rStyle w:val="IndexLink"/>
              </w:rPr>
              <w:t>62</w:t>
            </w:r>
            <w:r>
              <w:rPr>
                <w:rStyle w:val="IndexLink"/>
                <w:rtl w:val="true"/>
              </w:rPr>
              <w:tab/>
            </w:r>
            <w:r>
              <w:rPr>
                <w:rStyle w:val="IndexLink"/>
              </w:rPr>
              <w:t>71</w:t>
            </w:r>
          </w:hyperlink>
        </w:p>
        <w:p>
          <w:pPr>
            <w:pStyle w:val="Contents2"/>
            <w:tabs>
              <w:tab w:val="clear" w:pos="8743"/>
              <w:tab w:val="right" w:pos="9026" w:leader="dot"/>
            </w:tabs>
            <w:rPr/>
          </w:pPr>
          <w:hyperlink w:anchor="__RefHeading___Toc7971336_2870459653">
            <w:r>
              <w:rPr>
                <w:webHidden/>
                <w:rStyle w:val="IndexLink"/>
                <w:rtl w:val="true"/>
              </w:rPr>
              <w:t xml:space="preserve">الفرع الأوّل </w:t>
            </w:r>
            <w:r>
              <w:rPr>
                <w:rStyle w:val="IndexLink"/>
                <w:rtl w:val="true"/>
              </w:rPr>
              <w:t xml:space="preserve">: </w:t>
            </w:r>
            <w:r>
              <w:rPr>
                <w:rStyle w:val="IndexLink"/>
                <w:rtl w:val="true"/>
              </w:rPr>
              <w:t>في اشتراط كون الرهن مبيعا ان لم‌يؤدّ الدين</w:t>
            </w:r>
            <w:r>
              <w:rPr>
                <w:rStyle w:val="IndexLink"/>
                <w:rtl w:val="true"/>
              </w:rPr>
              <w:tab/>
            </w:r>
            <w:r>
              <w:rPr>
                <w:rStyle w:val="IndexLink"/>
              </w:rPr>
              <w:t>71</w:t>
            </w:r>
          </w:hyperlink>
        </w:p>
        <w:p>
          <w:pPr>
            <w:pStyle w:val="Contents2"/>
            <w:tabs>
              <w:tab w:val="clear" w:pos="8743"/>
              <w:tab w:val="right" w:pos="9026" w:leader="dot"/>
            </w:tabs>
            <w:rPr/>
          </w:pPr>
          <w:hyperlink w:anchor="__RefHeading___Toc7971338_2870459653">
            <w:r>
              <w:rPr>
                <w:webHidden/>
                <w:rStyle w:val="IndexLink"/>
                <w:rtl w:val="true"/>
              </w:rPr>
              <w:t xml:space="preserve">فيما لو شرط ان لم‌يؤدّ أن‌يكون الرهن مبيعا </w:t>
            </w:r>
            <w:r>
              <w:rPr>
                <w:rStyle w:val="IndexLink"/>
                <w:rtl w:val="true"/>
              </w:rPr>
              <w:t xml:space="preserve">... </w:t>
            </w:r>
            <w:r>
              <w:rPr>
                <w:rStyle w:val="IndexLink"/>
              </w:rPr>
              <w:t>62</w:t>
            </w:r>
            <w:r>
              <w:rPr>
                <w:rStyle w:val="IndexLink"/>
                <w:rtl w:val="true"/>
              </w:rPr>
              <w:tab/>
            </w:r>
            <w:r>
              <w:rPr>
                <w:rStyle w:val="IndexLink"/>
              </w:rPr>
              <w:t>71</w:t>
            </w:r>
          </w:hyperlink>
        </w:p>
        <w:p>
          <w:pPr>
            <w:pStyle w:val="Contents2"/>
            <w:tabs>
              <w:tab w:val="clear" w:pos="8743"/>
              <w:tab w:val="right" w:pos="9026" w:leader="dot"/>
            </w:tabs>
            <w:rPr/>
          </w:pPr>
          <w:hyperlink w:anchor="__RefHeading___Toc7971340_2870459653">
            <w:r>
              <w:rPr>
                <w:webHidden/>
                <w:rStyle w:val="IndexLink"/>
                <w:rtl w:val="true"/>
              </w:rPr>
              <w:t xml:space="preserve">الفرع الثاني </w:t>
            </w:r>
            <w:r>
              <w:rPr>
                <w:rStyle w:val="IndexLink"/>
                <w:rtl w:val="true"/>
              </w:rPr>
              <w:t xml:space="preserve">: </w:t>
            </w:r>
            <w:r>
              <w:rPr>
                <w:rStyle w:val="IndexLink"/>
                <w:rtl w:val="true"/>
              </w:rPr>
              <w:t>فيما لو غصب المال ثمّ رهن المالك من الغاصب</w:t>
            </w:r>
            <w:r>
              <w:rPr>
                <w:rStyle w:val="IndexLink"/>
                <w:rtl w:val="true"/>
              </w:rPr>
              <w:tab/>
            </w:r>
            <w:r>
              <w:rPr>
                <w:rStyle w:val="IndexLink"/>
              </w:rPr>
              <w:t>72</w:t>
            </w:r>
          </w:hyperlink>
        </w:p>
        <w:p>
          <w:pPr>
            <w:pStyle w:val="Contents2"/>
            <w:tabs>
              <w:tab w:val="clear" w:pos="8743"/>
              <w:tab w:val="right" w:pos="9026" w:leader="dot"/>
            </w:tabs>
            <w:rPr/>
          </w:pPr>
          <w:hyperlink w:anchor="__RefHeading___Toc7971342_2870459653">
            <w:r>
              <w:rPr>
                <w:webHidden/>
                <w:rStyle w:val="IndexLink"/>
                <w:rtl w:val="true"/>
              </w:rPr>
              <w:t xml:space="preserve">في ملكيّة ما يحصل من الرهن من فائدة </w:t>
            </w:r>
            <w:r>
              <w:rPr>
                <w:rStyle w:val="IndexLink"/>
                <w:rtl w:val="true"/>
              </w:rPr>
              <w:t xml:space="preserve">... </w:t>
            </w:r>
            <w:r>
              <w:rPr>
                <w:rStyle w:val="IndexLink"/>
              </w:rPr>
              <w:t>65</w:t>
            </w:r>
            <w:r>
              <w:rPr>
                <w:rStyle w:val="IndexLink"/>
                <w:rtl w:val="true"/>
              </w:rPr>
              <w:tab/>
            </w:r>
            <w:r>
              <w:rPr>
                <w:rStyle w:val="IndexLink"/>
              </w:rPr>
              <w:t>74</w:t>
            </w:r>
          </w:hyperlink>
        </w:p>
        <w:p>
          <w:pPr>
            <w:pStyle w:val="Contents2"/>
            <w:tabs>
              <w:tab w:val="clear" w:pos="8743"/>
              <w:tab w:val="right" w:pos="9026" w:leader="dot"/>
            </w:tabs>
            <w:rPr/>
          </w:pPr>
          <w:hyperlink w:anchor="__RefHeading___Toc7971344_2870459653">
            <w:r>
              <w:rPr>
                <w:webHidden/>
                <w:rStyle w:val="IndexLink"/>
                <w:rtl w:val="true"/>
              </w:rPr>
              <w:t xml:space="preserve">فيما اذا رهن مال غيره باذنه </w:t>
            </w:r>
            <w:r>
              <w:rPr>
                <w:rStyle w:val="IndexLink"/>
                <w:rtl w:val="true"/>
              </w:rPr>
              <w:t xml:space="preserve">... </w:t>
            </w:r>
            <w:r>
              <w:rPr>
                <w:rStyle w:val="IndexLink"/>
              </w:rPr>
              <w:t>66</w:t>
            </w:r>
            <w:r>
              <w:rPr>
                <w:rStyle w:val="IndexLink"/>
                <w:rtl w:val="true"/>
              </w:rPr>
              <w:tab/>
            </w:r>
            <w:r>
              <w:rPr>
                <w:rStyle w:val="IndexLink"/>
              </w:rPr>
              <w:t>75</w:t>
            </w:r>
          </w:hyperlink>
        </w:p>
        <w:p>
          <w:pPr>
            <w:pStyle w:val="Contents2"/>
            <w:tabs>
              <w:tab w:val="clear" w:pos="8743"/>
              <w:tab w:val="right" w:pos="9026" w:leader="dot"/>
            </w:tabs>
            <w:rPr/>
          </w:pPr>
          <w:hyperlink w:anchor="__RefHeading___Toc7971346_2870459653">
            <w:r>
              <w:rPr>
                <w:webHidden/>
                <w:rStyle w:val="IndexLink"/>
                <w:rtl w:val="true"/>
              </w:rPr>
              <w:t xml:space="preserve">فيما لو كان في يده رهنان بدينين متغايرين </w:t>
            </w:r>
            <w:r>
              <w:rPr>
                <w:rStyle w:val="IndexLink"/>
                <w:rtl w:val="true"/>
              </w:rPr>
              <w:t xml:space="preserve">... </w:t>
            </w:r>
            <w:r>
              <w:rPr>
                <w:rStyle w:val="IndexLink"/>
              </w:rPr>
              <w:t>66</w:t>
            </w:r>
            <w:r>
              <w:rPr>
                <w:rStyle w:val="IndexLink"/>
                <w:rtl w:val="true"/>
              </w:rPr>
              <w:tab/>
            </w:r>
            <w:r>
              <w:rPr>
                <w:rStyle w:val="IndexLink"/>
              </w:rPr>
              <w:t>75</w:t>
            </w:r>
          </w:hyperlink>
        </w:p>
        <w:p>
          <w:pPr>
            <w:pStyle w:val="Contents2"/>
            <w:tabs>
              <w:tab w:val="clear" w:pos="8743"/>
              <w:tab w:val="right" w:pos="9026" w:leader="dot"/>
            </w:tabs>
            <w:rPr/>
          </w:pPr>
          <w:hyperlink w:anchor="__RefHeading___Toc7971348_2870459653">
            <w:r>
              <w:rPr>
                <w:webHidden/>
                <w:rStyle w:val="IndexLink"/>
                <w:rtl w:val="true"/>
              </w:rPr>
              <w:t xml:space="preserve">فيما اذا رهن مال غيره باذنه </w:t>
            </w:r>
            <w:r>
              <w:rPr>
                <w:rStyle w:val="IndexLink"/>
                <w:rtl w:val="true"/>
              </w:rPr>
              <w:t xml:space="preserve">... </w:t>
            </w:r>
            <w:r>
              <w:rPr>
                <w:rStyle w:val="IndexLink"/>
              </w:rPr>
              <w:t>66</w:t>
            </w:r>
            <w:r>
              <w:rPr>
                <w:rStyle w:val="IndexLink"/>
                <w:rtl w:val="true"/>
              </w:rPr>
              <w:tab/>
            </w:r>
            <w:r>
              <w:rPr>
                <w:rStyle w:val="IndexLink"/>
              </w:rPr>
              <w:t>75</w:t>
            </w:r>
          </w:hyperlink>
        </w:p>
        <w:p>
          <w:pPr>
            <w:pStyle w:val="Contents2"/>
            <w:tabs>
              <w:tab w:val="clear" w:pos="8743"/>
              <w:tab w:val="right" w:pos="9026" w:leader="dot"/>
            </w:tabs>
            <w:rPr/>
          </w:pPr>
          <w:hyperlink w:anchor="__RefHeading___Toc7971350_2870459653">
            <w:r>
              <w:rPr>
                <w:webHidden/>
                <w:rStyle w:val="IndexLink"/>
                <w:rtl w:val="true"/>
              </w:rPr>
              <w:t xml:space="preserve">فيما اذا رهن النخل </w:t>
            </w:r>
            <w:r>
              <w:rPr>
                <w:rStyle w:val="IndexLink"/>
                <w:rtl w:val="true"/>
              </w:rPr>
              <w:t xml:space="preserve">... </w:t>
            </w:r>
            <w:r>
              <w:rPr>
                <w:rStyle w:val="IndexLink"/>
              </w:rPr>
              <w:t>67</w:t>
            </w:r>
            <w:r>
              <w:rPr>
                <w:rStyle w:val="IndexLink"/>
                <w:rtl w:val="true"/>
              </w:rPr>
              <w:tab/>
            </w:r>
            <w:r>
              <w:rPr>
                <w:rStyle w:val="IndexLink"/>
              </w:rPr>
              <w:t>76</w:t>
            </w:r>
          </w:hyperlink>
        </w:p>
        <w:p>
          <w:pPr>
            <w:pStyle w:val="Contents2"/>
            <w:tabs>
              <w:tab w:val="clear" w:pos="8743"/>
              <w:tab w:val="right" w:pos="9026" w:leader="dot"/>
            </w:tabs>
            <w:rPr/>
          </w:pPr>
          <w:hyperlink w:anchor="__RefHeading___Toc7971352_2870459653">
            <w:r>
              <w:rPr>
                <w:webHidden/>
                <w:rStyle w:val="IndexLink"/>
                <w:rtl w:val="true"/>
              </w:rPr>
              <w:t xml:space="preserve">فيما اذا جنى المرهون </w:t>
            </w:r>
            <w:r>
              <w:rPr>
                <w:rStyle w:val="IndexLink"/>
                <w:rtl w:val="true"/>
              </w:rPr>
              <w:t xml:space="preserve">... </w:t>
            </w:r>
            <w:r>
              <w:rPr>
                <w:rStyle w:val="IndexLink"/>
              </w:rPr>
              <w:t>68</w:t>
            </w:r>
            <w:r>
              <w:rPr>
                <w:rStyle w:val="IndexLink"/>
                <w:rtl w:val="true"/>
              </w:rPr>
              <w:tab/>
            </w:r>
            <w:r>
              <w:rPr>
                <w:rStyle w:val="IndexLink"/>
              </w:rPr>
              <w:t>77</w:t>
            </w:r>
          </w:hyperlink>
        </w:p>
        <w:p>
          <w:pPr>
            <w:pStyle w:val="Contents2"/>
            <w:tabs>
              <w:tab w:val="clear" w:pos="8743"/>
              <w:tab w:val="right" w:pos="9026" w:leader="dot"/>
            </w:tabs>
            <w:rPr/>
          </w:pPr>
          <w:hyperlink w:anchor="__RefHeading___Toc7971354_2870459653">
            <w:r>
              <w:rPr>
                <w:webHidden/>
                <w:rStyle w:val="IndexLink"/>
                <w:rtl w:val="true"/>
              </w:rPr>
              <w:t xml:space="preserve">فيما لو أتلف الرهن متلف </w:t>
            </w:r>
            <w:r>
              <w:rPr>
                <w:rStyle w:val="IndexLink"/>
                <w:rtl w:val="true"/>
              </w:rPr>
              <w:t xml:space="preserve">... </w:t>
            </w:r>
            <w:r>
              <w:rPr>
                <w:rStyle w:val="IndexLink"/>
              </w:rPr>
              <w:t>70</w:t>
            </w:r>
            <w:r>
              <w:rPr>
                <w:rStyle w:val="IndexLink"/>
                <w:rtl w:val="true"/>
              </w:rPr>
              <w:tab/>
            </w:r>
            <w:r>
              <w:rPr>
                <w:rStyle w:val="IndexLink"/>
              </w:rPr>
              <w:t>79</w:t>
            </w:r>
          </w:hyperlink>
        </w:p>
        <w:p>
          <w:pPr>
            <w:pStyle w:val="Contents2"/>
            <w:tabs>
              <w:tab w:val="clear" w:pos="8743"/>
              <w:tab w:val="right" w:pos="9026" w:leader="dot"/>
            </w:tabs>
            <w:rPr/>
          </w:pPr>
          <w:hyperlink w:anchor="__RefHeading___Toc7971356_2870459653">
            <w:r>
              <w:rPr>
                <w:webHidden/>
                <w:rStyle w:val="IndexLink"/>
                <w:rtl w:val="true"/>
              </w:rPr>
              <w:t xml:space="preserve">فيما لو رهن عصيرا فصار خمرا </w:t>
            </w:r>
            <w:r>
              <w:rPr>
                <w:rStyle w:val="IndexLink"/>
                <w:rtl w:val="true"/>
              </w:rPr>
              <w:t xml:space="preserve">... </w:t>
            </w:r>
            <w:r>
              <w:rPr>
                <w:rStyle w:val="IndexLink"/>
              </w:rPr>
              <w:t>70</w:t>
            </w:r>
            <w:r>
              <w:rPr>
                <w:rStyle w:val="IndexLink"/>
                <w:rtl w:val="true"/>
              </w:rPr>
              <w:tab/>
            </w:r>
            <w:r>
              <w:rPr>
                <w:rStyle w:val="IndexLink"/>
              </w:rPr>
              <w:t>79</w:t>
            </w:r>
          </w:hyperlink>
        </w:p>
        <w:p>
          <w:pPr>
            <w:pStyle w:val="Contents2"/>
            <w:tabs>
              <w:tab w:val="clear" w:pos="8743"/>
              <w:tab w:val="right" w:pos="9026" w:leader="dot"/>
            </w:tabs>
            <w:rPr/>
          </w:pPr>
          <w:hyperlink w:anchor="__RefHeading___Toc7971358_2870459653">
            <w:r>
              <w:rPr>
                <w:webHidden/>
                <w:rStyle w:val="IndexLink"/>
                <w:rtl w:val="true"/>
              </w:rPr>
              <w:t xml:space="preserve">فيما لو رهنه بيضة </w:t>
            </w:r>
            <w:r>
              <w:rPr>
                <w:rStyle w:val="IndexLink"/>
                <w:rtl w:val="true"/>
              </w:rPr>
              <w:t xml:space="preserve">... </w:t>
            </w:r>
            <w:r>
              <w:rPr>
                <w:rStyle w:val="IndexLink"/>
              </w:rPr>
              <w:t>71</w:t>
            </w:r>
            <w:r>
              <w:rPr>
                <w:rStyle w:val="IndexLink"/>
                <w:rtl w:val="true"/>
              </w:rPr>
              <w:tab/>
            </w:r>
            <w:r>
              <w:rPr>
                <w:rStyle w:val="IndexLink"/>
              </w:rPr>
              <w:t>80</w:t>
            </w:r>
          </w:hyperlink>
        </w:p>
        <w:p>
          <w:pPr>
            <w:pStyle w:val="Contents2"/>
            <w:tabs>
              <w:tab w:val="clear" w:pos="8743"/>
              <w:tab w:val="right" w:pos="9026" w:leader="dot"/>
            </w:tabs>
            <w:rPr/>
          </w:pPr>
          <w:hyperlink w:anchor="__RefHeading___Toc7971360_2870459653">
            <w:r>
              <w:rPr>
                <w:webHidden/>
                <w:rStyle w:val="IndexLink"/>
                <w:rtl w:val="true"/>
              </w:rPr>
              <w:t xml:space="preserve">المقصد الثالث </w:t>
            </w:r>
            <w:r>
              <w:rPr>
                <w:rStyle w:val="IndexLink"/>
                <w:rtl w:val="true"/>
              </w:rPr>
              <w:t xml:space="preserve">: </w:t>
            </w:r>
            <w:r>
              <w:rPr>
                <w:rStyle w:val="IndexLink"/>
                <w:rtl w:val="true"/>
              </w:rPr>
              <w:t>في النزاع الواقع فيه</w:t>
            </w:r>
            <w:r>
              <w:rPr>
                <w:rStyle w:val="IndexLink"/>
                <w:rtl w:val="true"/>
              </w:rPr>
              <w:tab/>
            </w:r>
            <w:r>
              <w:rPr>
                <w:rStyle w:val="IndexLink"/>
              </w:rPr>
              <w:t>82</w:t>
            </w:r>
          </w:hyperlink>
        </w:p>
        <w:p>
          <w:pPr>
            <w:pStyle w:val="Contents2"/>
            <w:tabs>
              <w:tab w:val="clear" w:pos="8743"/>
              <w:tab w:val="right" w:pos="9026" w:leader="dot"/>
            </w:tabs>
            <w:rPr/>
          </w:pPr>
          <w:hyperlink w:anchor="__RefHeading___Toc7971362_2870459653">
            <w:r>
              <w:rPr>
                <w:webHidden/>
                <w:rStyle w:val="IndexLink"/>
                <w:rtl w:val="true"/>
              </w:rPr>
              <w:t xml:space="preserve">فيما اذا رهن مشاعا </w:t>
            </w:r>
            <w:r>
              <w:rPr>
                <w:rStyle w:val="IndexLink"/>
                <w:rtl w:val="true"/>
              </w:rPr>
              <w:t xml:space="preserve">... </w:t>
            </w:r>
            <w:r>
              <w:rPr>
                <w:rStyle w:val="IndexLink"/>
              </w:rPr>
              <w:t>73</w:t>
            </w:r>
            <w:r>
              <w:rPr>
                <w:rStyle w:val="IndexLink"/>
                <w:rtl w:val="true"/>
              </w:rPr>
              <w:tab/>
            </w:r>
            <w:r>
              <w:rPr>
                <w:rStyle w:val="IndexLink"/>
              </w:rPr>
              <w:t>82</w:t>
            </w:r>
          </w:hyperlink>
        </w:p>
        <w:p>
          <w:pPr>
            <w:pStyle w:val="Contents2"/>
            <w:tabs>
              <w:tab w:val="clear" w:pos="8743"/>
              <w:tab w:val="right" w:pos="9026" w:leader="dot"/>
            </w:tabs>
            <w:rPr/>
          </w:pPr>
          <w:hyperlink w:anchor="__RefHeading___Toc7971364_2870459653">
            <w:r>
              <w:rPr>
                <w:webHidden/>
                <w:rStyle w:val="IndexLink"/>
                <w:rtl w:val="true"/>
              </w:rPr>
              <w:t xml:space="preserve">فيما اذا مات المرتهن </w:t>
            </w:r>
            <w:r>
              <w:rPr>
                <w:rStyle w:val="IndexLink"/>
                <w:rtl w:val="true"/>
              </w:rPr>
              <w:t xml:space="preserve">... </w:t>
            </w:r>
            <w:r>
              <w:rPr>
                <w:rStyle w:val="IndexLink"/>
              </w:rPr>
              <w:t>73</w:t>
            </w:r>
            <w:r>
              <w:rPr>
                <w:rStyle w:val="IndexLink"/>
                <w:rtl w:val="true"/>
              </w:rPr>
              <w:tab/>
            </w:r>
            <w:r>
              <w:rPr>
                <w:rStyle w:val="IndexLink"/>
              </w:rPr>
              <w:t>82</w:t>
            </w:r>
          </w:hyperlink>
        </w:p>
        <w:p>
          <w:pPr>
            <w:pStyle w:val="Contents2"/>
            <w:tabs>
              <w:tab w:val="clear" w:pos="8743"/>
              <w:tab w:val="right" w:pos="9026" w:leader="dot"/>
            </w:tabs>
            <w:rPr/>
          </w:pPr>
          <w:hyperlink w:anchor="__RefHeading___Toc7971366_2870459653">
            <w:r>
              <w:rPr>
                <w:webHidden/>
                <w:rStyle w:val="IndexLink"/>
                <w:rtl w:val="true"/>
              </w:rPr>
              <w:t xml:space="preserve">فيما اذا فرّط في الرهن و تلف </w:t>
            </w:r>
            <w:r>
              <w:rPr>
                <w:rStyle w:val="IndexLink"/>
                <w:rtl w:val="true"/>
              </w:rPr>
              <w:t xml:space="preserve">... </w:t>
            </w:r>
            <w:r>
              <w:rPr>
                <w:rStyle w:val="IndexLink"/>
              </w:rPr>
              <w:t>74</w:t>
            </w:r>
            <w:r>
              <w:rPr>
                <w:rStyle w:val="IndexLink"/>
                <w:rtl w:val="true"/>
              </w:rPr>
              <w:tab/>
            </w:r>
            <w:r>
              <w:rPr>
                <w:rStyle w:val="IndexLink"/>
              </w:rPr>
              <w:t>83</w:t>
            </w:r>
          </w:hyperlink>
        </w:p>
        <w:p>
          <w:pPr>
            <w:pStyle w:val="Contents2"/>
            <w:tabs>
              <w:tab w:val="clear" w:pos="8743"/>
              <w:tab w:val="right" w:pos="9026" w:leader="dot"/>
            </w:tabs>
            <w:rPr/>
          </w:pPr>
          <w:hyperlink w:anchor="__RefHeading___Toc7971368_2870459653">
            <w:r>
              <w:rPr>
                <w:webHidden/>
                <w:rStyle w:val="IndexLink"/>
                <w:rtl w:val="true"/>
              </w:rPr>
              <w:t xml:space="preserve">فيما لو اختلفا فيما على الرهن </w:t>
            </w:r>
            <w:r>
              <w:rPr>
                <w:rStyle w:val="IndexLink"/>
                <w:rtl w:val="true"/>
              </w:rPr>
              <w:t xml:space="preserve">... </w:t>
            </w:r>
            <w:r>
              <w:rPr>
                <w:rStyle w:val="IndexLink"/>
              </w:rPr>
              <w:t>75</w:t>
            </w:r>
            <w:r>
              <w:rPr>
                <w:rStyle w:val="IndexLink"/>
                <w:rtl w:val="true"/>
              </w:rPr>
              <w:tab/>
            </w:r>
            <w:r>
              <w:rPr>
                <w:rStyle w:val="IndexLink"/>
              </w:rPr>
              <w:t>84</w:t>
            </w:r>
          </w:hyperlink>
        </w:p>
        <w:p>
          <w:pPr>
            <w:pStyle w:val="Contents2"/>
            <w:tabs>
              <w:tab w:val="clear" w:pos="8743"/>
              <w:tab w:val="right" w:pos="9026" w:leader="dot"/>
            </w:tabs>
            <w:rPr/>
          </w:pPr>
          <w:hyperlink w:anchor="__RefHeading___Toc7971370_2870459653">
            <w:r>
              <w:rPr>
                <w:webHidden/>
                <w:rStyle w:val="IndexLink"/>
                <w:rtl w:val="true"/>
              </w:rPr>
              <w:t xml:space="preserve">فيما لو اختلفا في كونه وديعة أو رهنا </w:t>
            </w:r>
            <w:r>
              <w:rPr>
                <w:rStyle w:val="IndexLink"/>
                <w:rtl w:val="true"/>
              </w:rPr>
              <w:t xml:space="preserve">... </w:t>
            </w:r>
            <w:r>
              <w:rPr>
                <w:rStyle w:val="IndexLink"/>
              </w:rPr>
              <w:t>77</w:t>
            </w:r>
            <w:r>
              <w:rPr>
                <w:rStyle w:val="IndexLink"/>
                <w:rtl w:val="true"/>
              </w:rPr>
              <w:tab/>
            </w:r>
            <w:r>
              <w:rPr>
                <w:rStyle w:val="IndexLink"/>
              </w:rPr>
              <w:t>86</w:t>
            </w:r>
          </w:hyperlink>
        </w:p>
        <w:p>
          <w:pPr>
            <w:pStyle w:val="Contents2"/>
            <w:tabs>
              <w:tab w:val="clear" w:pos="8743"/>
              <w:tab w:val="right" w:pos="9026" w:leader="dot"/>
            </w:tabs>
            <w:rPr/>
          </w:pPr>
          <w:hyperlink w:anchor="__RefHeading___Toc7971372_2870459653">
            <w:r>
              <w:rPr>
                <w:webHidden/>
                <w:rStyle w:val="IndexLink"/>
                <w:rtl w:val="true"/>
              </w:rPr>
              <w:t xml:space="preserve">فيما اذا أذن المرتهن للراهن في البيع و رجع ثمّ اختلفا </w:t>
            </w:r>
            <w:r>
              <w:rPr>
                <w:rStyle w:val="IndexLink"/>
                <w:rtl w:val="true"/>
              </w:rPr>
              <w:t xml:space="preserve">... </w:t>
            </w:r>
            <w:r>
              <w:rPr>
                <w:rStyle w:val="IndexLink"/>
              </w:rPr>
              <w:t>78</w:t>
            </w:r>
            <w:r>
              <w:rPr>
                <w:rStyle w:val="IndexLink"/>
                <w:rtl w:val="true"/>
              </w:rPr>
              <w:tab/>
            </w:r>
            <w:r>
              <w:rPr>
                <w:rStyle w:val="IndexLink"/>
              </w:rPr>
              <w:t>87</w:t>
            </w:r>
          </w:hyperlink>
        </w:p>
        <w:p>
          <w:pPr>
            <w:pStyle w:val="Contents2"/>
            <w:tabs>
              <w:tab w:val="clear" w:pos="8743"/>
              <w:tab w:val="right" w:pos="9026" w:leader="dot"/>
            </w:tabs>
            <w:rPr/>
          </w:pPr>
          <w:hyperlink w:anchor="__RefHeading___Toc7971374_2870459653">
            <w:r>
              <w:rPr>
                <w:webHidden/>
                <w:rStyle w:val="IndexLink"/>
                <w:rtl w:val="true"/>
              </w:rPr>
              <w:t xml:space="preserve">فيما اذا اختلفا فيما يباع به الرهن </w:t>
            </w:r>
            <w:r>
              <w:rPr>
                <w:rStyle w:val="IndexLink"/>
                <w:rtl w:val="true"/>
              </w:rPr>
              <w:t xml:space="preserve">... </w:t>
            </w:r>
            <w:r>
              <w:rPr>
                <w:rStyle w:val="IndexLink"/>
              </w:rPr>
              <w:t>80</w:t>
            </w:r>
            <w:r>
              <w:rPr>
                <w:rStyle w:val="IndexLink"/>
                <w:rtl w:val="true"/>
              </w:rPr>
              <w:tab/>
            </w:r>
            <w:r>
              <w:rPr>
                <w:rStyle w:val="IndexLink"/>
              </w:rPr>
              <w:t>89</w:t>
            </w:r>
          </w:hyperlink>
        </w:p>
        <w:p>
          <w:pPr>
            <w:pStyle w:val="Contents2"/>
            <w:tabs>
              <w:tab w:val="clear" w:pos="8743"/>
              <w:tab w:val="right" w:pos="9026" w:leader="dot"/>
            </w:tabs>
            <w:rPr/>
          </w:pPr>
          <w:hyperlink w:anchor="__RefHeading___Toc7971376_2870459653">
            <w:r>
              <w:rPr>
                <w:webHidden/>
                <w:rStyle w:val="IndexLink"/>
                <w:rtl w:val="true"/>
              </w:rPr>
              <w:t xml:space="preserve">فيما اذا ادّعى رهانة شيء فأنكر الراهن </w:t>
            </w:r>
            <w:r>
              <w:rPr>
                <w:rStyle w:val="IndexLink"/>
                <w:rtl w:val="true"/>
              </w:rPr>
              <w:t xml:space="preserve">... </w:t>
            </w:r>
            <w:r>
              <w:rPr>
                <w:rStyle w:val="IndexLink"/>
              </w:rPr>
              <w:t>80</w:t>
            </w:r>
            <w:r>
              <w:rPr>
                <w:rStyle w:val="IndexLink"/>
                <w:rtl w:val="true"/>
              </w:rPr>
              <w:tab/>
            </w:r>
            <w:r>
              <w:rPr>
                <w:rStyle w:val="IndexLink"/>
              </w:rPr>
              <w:t>89</w:t>
            </w:r>
          </w:hyperlink>
        </w:p>
        <w:p>
          <w:pPr>
            <w:pStyle w:val="Contents2"/>
            <w:tabs>
              <w:tab w:val="clear" w:pos="8743"/>
              <w:tab w:val="right" w:pos="9026" w:leader="dot"/>
            </w:tabs>
            <w:rPr/>
          </w:pPr>
          <w:hyperlink w:anchor="__RefHeading___Toc7971378_2870459653">
            <w:r>
              <w:rPr>
                <w:webHidden/>
                <w:rStyle w:val="IndexLink"/>
                <w:rtl w:val="true"/>
              </w:rPr>
              <w:t xml:space="preserve">فيما لو كان له دينان أحدهما برهن </w:t>
            </w:r>
            <w:r>
              <w:rPr>
                <w:rStyle w:val="IndexLink"/>
                <w:rtl w:val="true"/>
              </w:rPr>
              <w:t xml:space="preserve">... </w:t>
            </w:r>
            <w:r>
              <w:rPr>
                <w:rStyle w:val="IndexLink"/>
              </w:rPr>
              <w:t>81</w:t>
            </w:r>
            <w:r>
              <w:rPr>
                <w:rStyle w:val="IndexLink"/>
                <w:rtl w:val="true"/>
              </w:rPr>
              <w:tab/>
            </w:r>
            <w:r>
              <w:rPr>
                <w:rStyle w:val="IndexLink"/>
              </w:rPr>
              <w:t>90</w:t>
            </w:r>
          </w:hyperlink>
        </w:p>
        <w:p>
          <w:pPr>
            <w:pStyle w:val="Contents2"/>
            <w:tabs>
              <w:tab w:val="clear" w:pos="8743"/>
              <w:tab w:val="right" w:pos="9026" w:leader="dot"/>
            </w:tabs>
            <w:rPr/>
          </w:pPr>
          <w:hyperlink w:anchor="__RefHeading___Toc7971380_2870459653">
            <w:r>
              <w:rPr>
                <w:webHidden/>
                <w:rStyle w:val="IndexLink"/>
                <w:rtl w:val="true"/>
              </w:rPr>
              <w:t>كتاب المفلّس</w:t>
            </w:r>
            <w:r>
              <w:rPr>
                <w:rStyle w:val="IndexLink"/>
                <w:rtl w:val="true"/>
              </w:rPr>
              <w:tab/>
            </w:r>
            <w:r>
              <w:rPr>
                <w:rStyle w:val="IndexLink"/>
              </w:rPr>
              <w:t>92</w:t>
            </w:r>
          </w:hyperlink>
        </w:p>
        <w:p>
          <w:pPr>
            <w:pStyle w:val="Contents2"/>
            <w:tabs>
              <w:tab w:val="clear" w:pos="8743"/>
              <w:tab w:val="right" w:pos="9026" w:leader="dot"/>
            </w:tabs>
            <w:rPr/>
          </w:pPr>
          <w:hyperlink w:anchor="__RefHeading___Toc7971382_2870459653">
            <w:r>
              <w:rPr>
                <w:webHidden/>
                <w:rStyle w:val="IndexLink"/>
                <w:rtl w:val="true"/>
              </w:rPr>
              <w:t xml:space="preserve">الفرع الأوّل </w:t>
            </w:r>
            <w:r>
              <w:rPr>
                <w:rStyle w:val="IndexLink"/>
                <w:rtl w:val="true"/>
              </w:rPr>
              <w:t xml:space="preserve">: </w:t>
            </w:r>
            <w:r>
              <w:rPr>
                <w:rStyle w:val="IndexLink"/>
                <w:rtl w:val="true"/>
              </w:rPr>
              <w:t>في تعريف المفلس</w:t>
            </w:r>
            <w:r>
              <w:rPr>
                <w:rStyle w:val="IndexLink"/>
                <w:rtl w:val="true"/>
              </w:rPr>
              <w:tab/>
            </w:r>
            <w:r>
              <w:rPr>
                <w:rStyle w:val="IndexLink"/>
              </w:rPr>
              <w:t>93</w:t>
            </w:r>
          </w:hyperlink>
        </w:p>
        <w:p>
          <w:pPr>
            <w:pStyle w:val="Contents2"/>
            <w:tabs>
              <w:tab w:val="clear" w:pos="8743"/>
              <w:tab w:val="right" w:pos="9026" w:leader="dot"/>
            </w:tabs>
            <w:rPr/>
          </w:pPr>
          <w:hyperlink w:anchor="__RefHeading___Toc7971384_2870459653">
            <w:r>
              <w:rPr>
                <w:webHidden/>
                <w:rStyle w:val="IndexLink"/>
                <w:rtl w:val="true"/>
              </w:rPr>
              <w:t xml:space="preserve">الفرع الثاني </w:t>
            </w:r>
            <w:r>
              <w:rPr>
                <w:rStyle w:val="IndexLink"/>
                <w:rtl w:val="true"/>
              </w:rPr>
              <w:t xml:space="preserve">: </w:t>
            </w:r>
            <w:r>
              <w:rPr>
                <w:rStyle w:val="IndexLink"/>
                <w:rtl w:val="true"/>
              </w:rPr>
              <w:t>في شروط الحجر</w:t>
            </w:r>
            <w:r>
              <w:rPr>
                <w:rStyle w:val="IndexLink"/>
                <w:rtl w:val="true"/>
              </w:rPr>
              <w:tab/>
            </w:r>
            <w:r>
              <w:rPr>
                <w:rStyle w:val="IndexLink"/>
              </w:rPr>
              <w:t>94</w:t>
            </w:r>
          </w:hyperlink>
        </w:p>
        <w:p>
          <w:pPr>
            <w:pStyle w:val="Contents2"/>
            <w:tabs>
              <w:tab w:val="clear" w:pos="8743"/>
              <w:tab w:val="right" w:pos="9026" w:leader="dot"/>
            </w:tabs>
            <w:rPr/>
          </w:pPr>
          <w:hyperlink w:anchor="__RefHeading___Toc7971386_2870459653">
            <w:r>
              <w:rPr>
                <w:webHidden/>
                <w:rStyle w:val="IndexLink"/>
                <w:rtl w:val="true"/>
              </w:rPr>
              <w:t xml:space="preserve">الفرع الأوّل </w:t>
            </w:r>
            <w:r>
              <w:rPr>
                <w:rStyle w:val="IndexLink"/>
                <w:rtl w:val="true"/>
              </w:rPr>
              <w:t xml:space="preserve">: </w:t>
            </w:r>
            <w:r>
              <w:rPr>
                <w:rStyle w:val="IndexLink"/>
                <w:rtl w:val="true"/>
              </w:rPr>
              <w:t>في تصرّفاته بعد الحجر</w:t>
            </w:r>
            <w:r>
              <w:rPr>
                <w:rStyle w:val="IndexLink"/>
                <w:rtl w:val="true"/>
              </w:rPr>
              <w:tab/>
            </w:r>
            <w:r>
              <w:rPr>
                <w:rStyle w:val="IndexLink"/>
              </w:rPr>
              <w:t>97</w:t>
            </w:r>
          </w:hyperlink>
        </w:p>
        <w:p>
          <w:pPr>
            <w:pStyle w:val="Contents2"/>
            <w:tabs>
              <w:tab w:val="clear" w:pos="8743"/>
              <w:tab w:val="right" w:pos="9026" w:leader="dot"/>
            </w:tabs>
            <w:rPr/>
          </w:pPr>
          <w:hyperlink w:anchor="__RefHeading___Toc7971388_2870459653">
            <w:r>
              <w:rPr>
                <w:webHidden/>
                <w:rStyle w:val="IndexLink"/>
                <w:rtl w:val="true"/>
              </w:rPr>
              <w:t xml:space="preserve">الفرع الثاني </w:t>
            </w:r>
            <w:r>
              <w:rPr>
                <w:rStyle w:val="IndexLink"/>
                <w:rtl w:val="true"/>
              </w:rPr>
              <w:t xml:space="preserve">: </w:t>
            </w:r>
            <w:r>
              <w:rPr>
                <w:rStyle w:val="IndexLink"/>
                <w:rtl w:val="true"/>
              </w:rPr>
              <w:t>في الاقرار بعد الحجر</w:t>
            </w:r>
            <w:r>
              <w:rPr>
                <w:rStyle w:val="IndexLink"/>
                <w:rtl w:val="true"/>
              </w:rPr>
              <w:tab/>
            </w:r>
            <w:r>
              <w:rPr>
                <w:rStyle w:val="IndexLink"/>
              </w:rPr>
              <w:t>99</w:t>
            </w:r>
          </w:hyperlink>
        </w:p>
        <w:p>
          <w:pPr>
            <w:pStyle w:val="Contents2"/>
            <w:tabs>
              <w:tab w:val="clear" w:pos="8743"/>
              <w:tab w:val="right" w:pos="9026" w:leader="dot"/>
            </w:tabs>
            <w:rPr/>
          </w:pPr>
          <w:hyperlink w:anchor="__RefHeading___Toc7971390_2870459653">
            <w:r>
              <w:rPr>
                <w:webHidden/>
                <w:rStyle w:val="IndexLink"/>
                <w:rtl w:val="true"/>
              </w:rPr>
              <w:t xml:space="preserve">الفرع الثالث </w:t>
            </w:r>
            <w:r>
              <w:rPr>
                <w:rStyle w:val="IndexLink"/>
                <w:rtl w:val="true"/>
              </w:rPr>
              <w:t xml:space="preserve">: </w:t>
            </w:r>
            <w:r>
              <w:rPr>
                <w:rStyle w:val="IndexLink"/>
                <w:rtl w:val="true"/>
              </w:rPr>
              <w:t>فيما لو اشترى بخيار و فلّس و الخيار باق</w:t>
            </w:r>
            <w:r>
              <w:rPr>
                <w:rStyle w:val="IndexLink"/>
                <w:rtl w:val="true"/>
              </w:rPr>
              <w:tab/>
            </w:r>
            <w:r>
              <w:rPr>
                <w:rStyle w:val="IndexLink"/>
              </w:rPr>
              <w:t>100</w:t>
            </w:r>
          </w:hyperlink>
        </w:p>
        <w:p>
          <w:pPr>
            <w:pStyle w:val="Contents2"/>
            <w:tabs>
              <w:tab w:val="clear" w:pos="8743"/>
              <w:tab w:val="right" w:pos="9026" w:leader="dot"/>
            </w:tabs>
            <w:rPr/>
          </w:pPr>
          <w:hyperlink w:anchor="__RefHeading___Toc7971392_2870459653">
            <w:r>
              <w:rPr>
                <w:webHidden/>
                <w:rStyle w:val="IndexLink"/>
                <w:rtl w:val="true"/>
              </w:rPr>
              <w:t xml:space="preserve">الفرع الرابع </w:t>
            </w:r>
            <w:r>
              <w:rPr>
                <w:rStyle w:val="IndexLink"/>
                <w:rtl w:val="true"/>
              </w:rPr>
              <w:t xml:space="preserve">: </w:t>
            </w:r>
            <w:r>
              <w:rPr>
                <w:rStyle w:val="IndexLink"/>
                <w:rtl w:val="true"/>
              </w:rPr>
              <w:t>فيما لو أقرضه انسان مالاً بعد الحجر أو باعه بثمن في ذمّته</w:t>
            </w:r>
            <w:r>
              <w:rPr>
                <w:rStyle w:val="IndexLink"/>
                <w:rtl w:val="true"/>
              </w:rPr>
              <w:tab/>
            </w:r>
            <w:r>
              <w:rPr>
                <w:rStyle w:val="IndexLink"/>
              </w:rPr>
              <w:t>100</w:t>
            </w:r>
          </w:hyperlink>
        </w:p>
        <w:p>
          <w:pPr>
            <w:pStyle w:val="Contents2"/>
            <w:tabs>
              <w:tab w:val="clear" w:pos="8743"/>
              <w:tab w:val="right" w:pos="9026" w:leader="dot"/>
            </w:tabs>
            <w:rPr/>
          </w:pPr>
          <w:hyperlink w:anchor="__RefHeading___Toc7971394_2870459653">
            <w:r>
              <w:rPr>
                <w:webHidden/>
                <w:rStyle w:val="IndexLink"/>
                <w:rtl w:val="true"/>
              </w:rPr>
              <w:t xml:space="preserve">الفرع الخامس </w:t>
            </w:r>
            <w:r>
              <w:rPr>
                <w:rStyle w:val="IndexLink"/>
                <w:rtl w:val="true"/>
              </w:rPr>
              <w:t xml:space="preserve">: </w:t>
            </w:r>
            <w:r>
              <w:rPr>
                <w:rStyle w:val="IndexLink"/>
                <w:rtl w:val="true"/>
              </w:rPr>
              <w:t>فيما لو أقرّ بمال و جهل السبب</w:t>
            </w:r>
            <w:r>
              <w:rPr>
                <w:rStyle w:val="IndexLink"/>
                <w:rtl w:val="true"/>
              </w:rPr>
              <w:tab/>
            </w:r>
            <w:r>
              <w:rPr>
                <w:rStyle w:val="IndexLink"/>
              </w:rPr>
              <w:t>101</w:t>
            </w:r>
          </w:hyperlink>
        </w:p>
        <w:p>
          <w:pPr>
            <w:pStyle w:val="Contents2"/>
            <w:tabs>
              <w:tab w:val="clear" w:pos="8743"/>
              <w:tab w:val="right" w:pos="9026" w:leader="dot"/>
            </w:tabs>
            <w:rPr/>
          </w:pPr>
          <w:hyperlink w:anchor="__RefHeading___Toc7971396_2870459653">
            <w:r>
              <w:rPr>
                <w:webHidden/>
                <w:rStyle w:val="IndexLink"/>
                <w:rtl w:val="true"/>
              </w:rPr>
              <w:t xml:space="preserve">الفرع السادس </w:t>
            </w:r>
            <w:r>
              <w:rPr>
                <w:rStyle w:val="IndexLink"/>
                <w:rtl w:val="true"/>
              </w:rPr>
              <w:t xml:space="preserve">: </w:t>
            </w:r>
            <w:r>
              <w:rPr>
                <w:rStyle w:val="IndexLink"/>
                <w:rtl w:val="true"/>
              </w:rPr>
              <w:t>في أنّه لاتحلّ الديون المؤجّلة بالحجر و تحلّ بالموت</w:t>
            </w:r>
            <w:r>
              <w:rPr>
                <w:rStyle w:val="IndexLink"/>
                <w:rtl w:val="true"/>
              </w:rPr>
              <w:tab/>
            </w:r>
            <w:r>
              <w:rPr>
                <w:rStyle w:val="IndexLink"/>
              </w:rPr>
              <w:t>102</w:t>
            </w:r>
          </w:hyperlink>
        </w:p>
        <w:p>
          <w:pPr>
            <w:pStyle w:val="Contents2"/>
            <w:tabs>
              <w:tab w:val="clear" w:pos="8743"/>
              <w:tab w:val="right" w:pos="9026" w:leader="dot"/>
            </w:tabs>
            <w:rPr/>
          </w:pPr>
          <w:hyperlink w:anchor="__RefHeading___Toc7971398_2870459653">
            <w:r>
              <w:rPr>
                <w:webHidden/>
                <w:rStyle w:val="IndexLink"/>
                <w:rtl w:val="true"/>
              </w:rPr>
              <w:t xml:space="preserve">الفرع الأوّل </w:t>
            </w:r>
            <w:r>
              <w:rPr>
                <w:rStyle w:val="IndexLink"/>
                <w:rtl w:val="true"/>
              </w:rPr>
              <w:t xml:space="preserve">: </w:t>
            </w:r>
            <w:r>
              <w:rPr>
                <w:rStyle w:val="IndexLink"/>
                <w:rtl w:val="true"/>
              </w:rPr>
              <w:t>فيما لو وجد الغريم متاعه بعينه و المفلس حيّ</w:t>
            </w:r>
            <w:r>
              <w:rPr>
                <w:rStyle w:val="IndexLink"/>
                <w:rtl w:val="true"/>
              </w:rPr>
              <w:tab/>
            </w:r>
            <w:r>
              <w:rPr>
                <w:rStyle w:val="IndexLink"/>
              </w:rPr>
              <w:t>104</w:t>
            </w:r>
          </w:hyperlink>
        </w:p>
        <w:p>
          <w:pPr>
            <w:pStyle w:val="Contents2"/>
            <w:tabs>
              <w:tab w:val="clear" w:pos="8743"/>
              <w:tab w:val="right" w:pos="9026" w:leader="dot"/>
            </w:tabs>
            <w:rPr/>
          </w:pPr>
          <w:hyperlink w:anchor="__RefHeading___Toc7971400_2870459653">
            <w:r>
              <w:rPr>
                <w:webHidden/>
                <w:rStyle w:val="IndexLink"/>
                <w:rtl w:val="true"/>
              </w:rPr>
              <w:t xml:space="preserve">الفرع الثاني </w:t>
            </w:r>
            <w:r>
              <w:rPr>
                <w:rStyle w:val="IndexLink"/>
                <w:rtl w:val="true"/>
              </w:rPr>
              <w:t xml:space="preserve">: </w:t>
            </w:r>
            <w:r>
              <w:rPr>
                <w:rStyle w:val="IndexLink"/>
                <w:rtl w:val="true"/>
              </w:rPr>
              <w:t>فيما اذا مات المديون و وجد الغريم متاعه بعينه</w:t>
            </w:r>
            <w:r>
              <w:rPr>
                <w:rStyle w:val="IndexLink"/>
                <w:rtl w:val="true"/>
              </w:rPr>
              <w:tab/>
            </w:r>
            <w:r>
              <w:rPr>
                <w:rStyle w:val="IndexLink"/>
              </w:rPr>
              <w:t>105</w:t>
            </w:r>
          </w:hyperlink>
        </w:p>
        <w:p>
          <w:pPr>
            <w:pStyle w:val="Contents2"/>
            <w:tabs>
              <w:tab w:val="clear" w:pos="8743"/>
              <w:tab w:val="right" w:pos="9026" w:leader="dot"/>
            </w:tabs>
            <w:rPr/>
          </w:pPr>
          <w:hyperlink w:anchor="__RefHeading___Toc7971402_2870459653">
            <w:r>
              <w:rPr>
                <w:webHidden/>
                <w:rStyle w:val="IndexLink"/>
                <w:rtl w:val="true"/>
              </w:rPr>
              <w:t xml:space="preserve">الفرع الثالث </w:t>
            </w:r>
            <w:r>
              <w:rPr>
                <w:rStyle w:val="IndexLink"/>
                <w:rtl w:val="true"/>
              </w:rPr>
              <w:t xml:space="preserve">: </w:t>
            </w:r>
            <w:r>
              <w:rPr>
                <w:rStyle w:val="IndexLink"/>
                <w:rtl w:val="true"/>
              </w:rPr>
              <w:t>فيما لو وجد بعض المبيع سليما</w:t>
            </w:r>
            <w:r>
              <w:rPr>
                <w:rStyle w:val="IndexLink"/>
                <w:rtl w:val="true"/>
              </w:rPr>
              <w:tab/>
            </w:r>
            <w:r>
              <w:rPr>
                <w:rStyle w:val="IndexLink"/>
              </w:rPr>
              <w:t>107</w:t>
            </w:r>
          </w:hyperlink>
        </w:p>
        <w:p>
          <w:pPr>
            <w:pStyle w:val="Contents2"/>
            <w:tabs>
              <w:tab w:val="clear" w:pos="8743"/>
              <w:tab w:val="right" w:pos="9026" w:leader="dot"/>
            </w:tabs>
            <w:rPr/>
          </w:pPr>
          <w:hyperlink w:anchor="__RefHeading___Toc7971404_2870459653">
            <w:r>
              <w:rPr>
                <w:webHidden/>
                <w:rStyle w:val="IndexLink"/>
                <w:rtl w:val="true"/>
              </w:rPr>
              <w:t xml:space="preserve">الفرع الأوّل </w:t>
            </w:r>
            <w:r>
              <w:rPr>
                <w:rStyle w:val="IndexLink"/>
                <w:rtl w:val="true"/>
              </w:rPr>
              <w:t xml:space="preserve">: </w:t>
            </w:r>
            <w:r>
              <w:rPr>
                <w:rStyle w:val="IndexLink"/>
                <w:rtl w:val="true"/>
              </w:rPr>
              <w:t>فيما لو حصل للمبيع نماء</w:t>
            </w:r>
            <w:r>
              <w:rPr>
                <w:rStyle w:val="IndexLink"/>
                <w:rtl w:val="true"/>
              </w:rPr>
              <w:tab/>
            </w:r>
            <w:r>
              <w:rPr>
                <w:rStyle w:val="IndexLink"/>
              </w:rPr>
              <w:t>108</w:t>
            </w:r>
          </w:hyperlink>
        </w:p>
        <w:p>
          <w:pPr>
            <w:pStyle w:val="Contents2"/>
            <w:tabs>
              <w:tab w:val="clear" w:pos="8743"/>
              <w:tab w:val="right" w:pos="9026" w:leader="dot"/>
            </w:tabs>
            <w:rPr/>
          </w:pPr>
          <w:hyperlink w:anchor="__RefHeading___Toc7971406_2870459653">
            <w:r>
              <w:rPr>
                <w:webHidden/>
                <w:rStyle w:val="IndexLink"/>
                <w:rtl w:val="true"/>
              </w:rPr>
              <w:t xml:space="preserve">الفرع الثاني </w:t>
            </w:r>
            <w:r>
              <w:rPr>
                <w:rStyle w:val="IndexLink"/>
                <w:rtl w:val="true"/>
              </w:rPr>
              <w:t xml:space="preserve">: </w:t>
            </w:r>
            <w:r>
              <w:rPr>
                <w:rStyle w:val="IndexLink"/>
                <w:rtl w:val="true"/>
              </w:rPr>
              <w:t>فيما لو اشترى حبّا فزرعه أو بيضا فأحضنه و نحو ذلك</w:t>
            </w:r>
            <w:r>
              <w:rPr>
                <w:rStyle w:val="IndexLink"/>
                <w:rtl w:val="true"/>
              </w:rPr>
              <w:tab/>
            </w:r>
            <w:r>
              <w:rPr>
                <w:rStyle w:val="IndexLink"/>
              </w:rPr>
              <w:t>110</w:t>
            </w:r>
          </w:hyperlink>
        </w:p>
        <w:p>
          <w:pPr>
            <w:pStyle w:val="Contents2"/>
            <w:tabs>
              <w:tab w:val="clear" w:pos="8743"/>
              <w:tab w:val="right" w:pos="9026" w:leader="dot"/>
            </w:tabs>
            <w:rPr/>
          </w:pPr>
          <w:hyperlink w:anchor="__RefHeading___Toc7971408_2870459653">
            <w:r>
              <w:rPr>
                <w:webHidden/>
                <w:rStyle w:val="IndexLink"/>
                <w:rtl w:val="true"/>
              </w:rPr>
              <w:t xml:space="preserve">الفرع الثالث </w:t>
            </w:r>
            <w:r>
              <w:rPr>
                <w:rStyle w:val="IndexLink"/>
                <w:rtl w:val="true"/>
              </w:rPr>
              <w:t xml:space="preserve">: </w:t>
            </w:r>
            <w:r>
              <w:rPr>
                <w:rStyle w:val="IndexLink"/>
                <w:rtl w:val="true"/>
              </w:rPr>
              <w:t>فيما لو باع شقصا و فلّس المشتري</w:t>
            </w:r>
            <w:r>
              <w:rPr>
                <w:rStyle w:val="IndexLink"/>
                <w:rtl w:val="true"/>
              </w:rPr>
              <w:tab/>
            </w:r>
            <w:r>
              <w:rPr>
                <w:rStyle w:val="IndexLink"/>
              </w:rPr>
              <w:t>110</w:t>
            </w:r>
          </w:hyperlink>
        </w:p>
        <w:p>
          <w:pPr>
            <w:pStyle w:val="Contents2"/>
            <w:tabs>
              <w:tab w:val="clear" w:pos="8743"/>
              <w:tab w:val="right" w:pos="9026" w:leader="dot"/>
            </w:tabs>
            <w:rPr/>
          </w:pPr>
          <w:hyperlink w:anchor="__RefHeading___Toc7971410_2870459653">
            <w:r>
              <w:rPr>
                <w:webHidden/>
                <w:rStyle w:val="IndexLink"/>
                <w:rtl w:val="true"/>
              </w:rPr>
              <w:t xml:space="preserve">الفرع الأوّل </w:t>
            </w:r>
            <w:r>
              <w:rPr>
                <w:rStyle w:val="IndexLink"/>
                <w:rtl w:val="true"/>
              </w:rPr>
              <w:t xml:space="preserve">: </w:t>
            </w:r>
            <w:r>
              <w:rPr>
                <w:rStyle w:val="IndexLink"/>
                <w:rtl w:val="true"/>
              </w:rPr>
              <w:t>فيما لو فلّس المستأجر</w:t>
            </w:r>
            <w:r>
              <w:rPr>
                <w:rStyle w:val="IndexLink"/>
                <w:rtl w:val="true"/>
              </w:rPr>
              <w:tab/>
            </w:r>
            <w:r>
              <w:rPr>
                <w:rStyle w:val="IndexLink"/>
              </w:rPr>
              <w:t>112</w:t>
            </w:r>
          </w:hyperlink>
        </w:p>
        <w:p>
          <w:pPr>
            <w:pStyle w:val="Contents2"/>
            <w:tabs>
              <w:tab w:val="clear" w:pos="8743"/>
              <w:tab w:val="right" w:pos="9026" w:leader="dot"/>
            </w:tabs>
            <w:rPr/>
          </w:pPr>
          <w:hyperlink w:anchor="__RefHeading___Toc7971412_2870459653">
            <w:r>
              <w:rPr>
                <w:webHidden/>
                <w:rStyle w:val="IndexLink"/>
                <w:rtl w:val="true"/>
              </w:rPr>
              <w:t xml:space="preserve">الفرع الثاني </w:t>
            </w:r>
            <w:r>
              <w:rPr>
                <w:rStyle w:val="IndexLink"/>
                <w:rtl w:val="true"/>
              </w:rPr>
              <w:t xml:space="preserve">: </w:t>
            </w:r>
            <w:r>
              <w:rPr>
                <w:rStyle w:val="IndexLink"/>
                <w:rtl w:val="true"/>
              </w:rPr>
              <w:t>فيما لو اشترى أرضا فغرس فيها أو بنى ثمّ فلّس</w:t>
            </w:r>
            <w:r>
              <w:rPr>
                <w:rStyle w:val="IndexLink"/>
                <w:rtl w:val="true"/>
              </w:rPr>
              <w:tab/>
            </w:r>
            <w:r>
              <w:rPr>
                <w:rStyle w:val="IndexLink"/>
              </w:rPr>
              <w:t>113</w:t>
            </w:r>
          </w:hyperlink>
        </w:p>
        <w:p>
          <w:pPr>
            <w:pStyle w:val="Contents2"/>
            <w:tabs>
              <w:tab w:val="clear" w:pos="8743"/>
              <w:tab w:val="right" w:pos="9026" w:leader="dot"/>
            </w:tabs>
            <w:rPr/>
          </w:pPr>
          <w:hyperlink w:anchor="__RefHeading___Toc7971414_2870459653">
            <w:r>
              <w:rPr>
                <w:webHidden/>
                <w:rStyle w:val="IndexLink"/>
                <w:rtl w:val="true"/>
              </w:rPr>
              <w:t xml:space="preserve">الفرع الثالث </w:t>
            </w:r>
            <w:r>
              <w:rPr>
                <w:rStyle w:val="IndexLink"/>
                <w:rtl w:val="true"/>
              </w:rPr>
              <w:t xml:space="preserve">: </w:t>
            </w:r>
            <w:r>
              <w:rPr>
                <w:rStyle w:val="IndexLink"/>
                <w:rtl w:val="true"/>
              </w:rPr>
              <w:t>فيما لو اشترى زيتا فخلطه بمثله</w:t>
            </w:r>
            <w:r>
              <w:rPr>
                <w:rStyle w:val="IndexLink"/>
                <w:rtl w:val="true"/>
              </w:rPr>
              <w:tab/>
            </w:r>
            <w:r>
              <w:rPr>
                <w:rStyle w:val="IndexLink"/>
              </w:rPr>
              <w:t>114</w:t>
            </w:r>
          </w:hyperlink>
        </w:p>
        <w:p>
          <w:pPr>
            <w:pStyle w:val="Contents2"/>
            <w:tabs>
              <w:tab w:val="clear" w:pos="8743"/>
              <w:tab w:val="right" w:pos="9026" w:leader="dot"/>
            </w:tabs>
            <w:rPr/>
          </w:pPr>
          <w:hyperlink w:anchor="__RefHeading___Toc7971416_2870459653">
            <w:r>
              <w:rPr>
                <w:webHidden/>
                <w:rStyle w:val="IndexLink"/>
                <w:rtl w:val="true"/>
              </w:rPr>
              <w:t xml:space="preserve">فيما لو عمل عملاً في المبيع و في أحكام السلم </w:t>
            </w:r>
            <w:r>
              <w:rPr>
                <w:rStyle w:val="IndexLink"/>
                <w:rtl w:val="true"/>
              </w:rPr>
              <w:t xml:space="preserve">... </w:t>
            </w:r>
            <w:r>
              <w:rPr>
                <w:rStyle w:val="IndexLink"/>
              </w:rPr>
              <w:t>106</w:t>
            </w:r>
            <w:r>
              <w:rPr>
                <w:rStyle w:val="IndexLink"/>
                <w:rtl w:val="true"/>
              </w:rPr>
              <w:tab/>
            </w:r>
            <w:r>
              <w:rPr>
                <w:rStyle w:val="IndexLink"/>
              </w:rPr>
              <w:t>115</w:t>
            </w:r>
          </w:hyperlink>
        </w:p>
        <w:p>
          <w:pPr>
            <w:pStyle w:val="Contents2"/>
            <w:tabs>
              <w:tab w:val="clear" w:pos="8743"/>
              <w:tab w:val="right" w:pos="9026" w:leader="dot"/>
            </w:tabs>
            <w:rPr/>
          </w:pPr>
          <w:hyperlink w:anchor="__RefHeading___Toc7971418_2870459653">
            <w:r>
              <w:rPr>
                <w:webHidden/>
                <w:rStyle w:val="IndexLink"/>
                <w:rtl w:val="true"/>
              </w:rPr>
              <w:t xml:space="preserve">الفرع الأوّل </w:t>
            </w:r>
            <w:r>
              <w:rPr>
                <w:rStyle w:val="IndexLink"/>
                <w:rtl w:val="true"/>
              </w:rPr>
              <w:t xml:space="preserve">: </w:t>
            </w:r>
            <w:r>
              <w:rPr>
                <w:rStyle w:val="IndexLink"/>
                <w:rtl w:val="true"/>
              </w:rPr>
              <w:t>فيما اذا عمل المفلس في المتاع عملاً</w:t>
            </w:r>
            <w:r>
              <w:rPr>
                <w:rStyle w:val="IndexLink"/>
                <w:rtl w:val="true"/>
              </w:rPr>
              <w:tab/>
            </w:r>
            <w:r>
              <w:rPr>
                <w:rStyle w:val="IndexLink"/>
              </w:rPr>
              <w:t>115</w:t>
            </w:r>
          </w:hyperlink>
        </w:p>
        <w:p>
          <w:pPr>
            <w:pStyle w:val="Contents2"/>
            <w:tabs>
              <w:tab w:val="clear" w:pos="8743"/>
              <w:tab w:val="right" w:pos="9026" w:leader="dot"/>
            </w:tabs>
            <w:rPr/>
          </w:pPr>
          <w:hyperlink w:anchor="__RefHeading___Toc7971420_2870459653">
            <w:r>
              <w:rPr>
                <w:webHidden/>
                <w:rStyle w:val="IndexLink"/>
                <w:rtl w:val="true"/>
              </w:rPr>
              <w:t xml:space="preserve">الفرع الثاني </w:t>
            </w:r>
            <w:r>
              <w:rPr>
                <w:rStyle w:val="IndexLink"/>
                <w:rtl w:val="true"/>
              </w:rPr>
              <w:t xml:space="preserve">: </w:t>
            </w:r>
            <w:r>
              <w:rPr>
                <w:rStyle w:val="IndexLink"/>
                <w:rtl w:val="true"/>
              </w:rPr>
              <w:t>فيما لو أسلم في متاع ثمّ أفلس المسلم اليه</w:t>
            </w:r>
            <w:r>
              <w:rPr>
                <w:rStyle w:val="IndexLink"/>
                <w:rtl w:val="true"/>
              </w:rPr>
              <w:tab/>
            </w:r>
            <w:r>
              <w:rPr>
                <w:rStyle w:val="IndexLink"/>
              </w:rPr>
              <w:t>116</w:t>
            </w:r>
          </w:hyperlink>
        </w:p>
        <w:p>
          <w:pPr>
            <w:pStyle w:val="Contents2"/>
            <w:tabs>
              <w:tab w:val="clear" w:pos="8743"/>
              <w:tab w:val="right" w:pos="9026" w:leader="dot"/>
            </w:tabs>
            <w:rPr/>
          </w:pPr>
          <w:hyperlink w:anchor="__RefHeading___Toc7971422_2870459653">
            <w:r>
              <w:rPr>
                <w:webHidden/>
                <w:rStyle w:val="IndexLink"/>
                <w:rtl w:val="true"/>
              </w:rPr>
              <w:t xml:space="preserve">في بعض الأحكام المتعلّقة بالمفلس </w:t>
            </w:r>
            <w:r>
              <w:rPr>
                <w:rStyle w:val="IndexLink"/>
                <w:rtl w:val="true"/>
              </w:rPr>
              <w:t xml:space="preserve">... </w:t>
            </w:r>
            <w:r>
              <w:rPr>
                <w:rStyle w:val="IndexLink"/>
              </w:rPr>
              <w:t>108</w:t>
            </w:r>
            <w:r>
              <w:rPr>
                <w:rStyle w:val="IndexLink"/>
                <w:rtl w:val="true"/>
              </w:rPr>
              <w:tab/>
            </w:r>
            <w:r>
              <w:rPr>
                <w:rStyle w:val="IndexLink"/>
              </w:rPr>
              <w:t>117</w:t>
            </w:r>
          </w:hyperlink>
        </w:p>
        <w:p>
          <w:pPr>
            <w:pStyle w:val="Contents2"/>
            <w:tabs>
              <w:tab w:val="clear" w:pos="8743"/>
              <w:tab w:val="right" w:pos="9026" w:leader="dot"/>
            </w:tabs>
            <w:rPr/>
          </w:pPr>
          <w:hyperlink w:anchor="__RefHeading___Toc7971424_2870459653">
            <w:r>
              <w:rPr>
                <w:webHidden/>
                <w:rStyle w:val="IndexLink"/>
                <w:rtl w:val="true"/>
              </w:rPr>
              <w:t xml:space="preserve">الفرع الأوّل </w:t>
            </w:r>
            <w:r>
              <w:rPr>
                <w:rStyle w:val="IndexLink"/>
                <w:rtl w:val="true"/>
              </w:rPr>
              <w:t xml:space="preserve">: </w:t>
            </w:r>
            <w:r>
              <w:rPr>
                <w:rStyle w:val="IndexLink"/>
                <w:rtl w:val="true"/>
              </w:rPr>
              <w:t>فيما لو جني على المفلس</w:t>
            </w:r>
            <w:r>
              <w:rPr>
                <w:rStyle w:val="IndexLink"/>
                <w:rtl w:val="true"/>
              </w:rPr>
              <w:tab/>
            </w:r>
            <w:r>
              <w:rPr>
                <w:rStyle w:val="IndexLink"/>
              </w:rPr>
              <w:t>118</w:t>
            </w:r>
          </w:hyperlink>
        </w:p>
        <w:p>
          <w:pPr>
            <w:pStyle w:val="Contents2"/>
            <w:tabs>
              <w:tab w:val="clear" w:pos="8743"/>
              <w:tab w:val="right" w:pos="9026" w:leader="dot"/>
            </w:tabs>
            <w:rPr/>
          </w:pPr>
          <w:hyperlink w:anchor="__RefHeading___Toc7971426_2870459653">
            <w:r>
              <w:rPr>
                <w:webHidden/>
                <w:rStyle w:val="IndexLink"/>
                <w:rtl w:val="true"/>
              </w:rPr>
              <w:t xml:space="preserve">الفرع الثاني </w:t>
            </w:r>
            <w:r>
              <w:rPr>
                <w:rStyle w:val="IndexLink"/>
                <w:rtl w:val="true"/>
              </w:rPr>
              <w:t xml:space="preserve">: </w:t>
            </w:r>
            <w:r>
              <w:rPr>
                <w:rStyle w:val="IndexLink"/>
                <w:rtl w:val="true"/>
              </w:rPr>
              <w:t>فيما اذا شهد شاهد للمفلس بمال</w:t>
            </w:r>
            <w:r>
              <w:rPr>
                <w:rStyle w:val="IndexLink"/>
                <w:rtl w:val="true"/>
              </w:rPr>
              <w:tab/>
            </w:r>
            <w:r>
              <w:rPr>
                <w:rStyle w:val="IndexLink"/>
              </w:rPr>
              <w:t>119</w:t>
            </w:r>
          </w:hyperlink>
        </w:p>
        <w:p>
          <w:pPr>
            <w:pStyle w:val="Contents2"/>
            <w:tabs>
              <w:tab w:val="clear" w:pos="8743"/>
              <w:tab w:val="right" w:pos="9026" w:leader="dot"/>
            </w:tabs>
            <w:rPr/>
          </w:pPr>
          <w:hyperlink w:anchor="__RefHeading___Toc7971428_2870459653">
            <w:r>
              <w:rPr>
                <w:webHidden/>
                <w:rStyle w:val="IndexLink"/>
                <w:rtl w:val="true"/>
              </w:rPr>
              <w:t xml:space="preserve">الفرع الثالث </w:t>
            </w:r>
            <w:r>
              <w:rPr>
                <w:rStyle w:val="IndexLink"/>
                <w:rtl w:val="true"/>
              </w:rPr>
              <w:t xml:space="preserve">: </w:t>
            </w:r>
            <w:r>
              <w:rPr>
                <w:rStyle w:val="IndexLink"/>
                <w:rtl w:val="true"/>
              </w:rPr>
              <w:t>فيما لو مات المفلس</w:t>
            </w:r>
            <w:r>
              <w:rPr>
                <w:rStyle w:val="IndexLink"/>
                <w:rtl w:val="true"/>
              </w:rPr>
              <w:tab/>
            </w:r>
            <w:r>
              <w:rPr>
                <w:rStyle w:val="IndexLink"/>
              </w:rPr>
              <w:t>120</w:t>
            </w:r>
          </w:hyperlink>
        </w:p>
        <w:p>
          <w:pPr>
            <w:pStyle w:val="Contents2"/>
            <w:tabs>
              <w:tab w:val="clear" w:pos="8743"/>
              <w:tab w:val="right" w:pos="9026" w:leader="dot"/>
            </w:tabs>
            <w:rPr/>
          </w:pPr>
          <w:hyperlink w:anchor="__RefHeading___Toc7971430_2870459653">
            <w:r>
              <w:rPr>
                <w:webHidden/>
                <w:rStyle w:val="IndexLink"/>
                <w:rtl w:val="true"/>
              </w:rPr>
              <w:t xml:space="preserve">الفرع الرابع </w:t>
            </w:r>
            <w:r>
              <w:rPr>
                <w:rStyle w:val="IndexLink"/>
                <w:rtl w:val="true"/>
              </w:rPr>
              <w:t xml:space="preserve">: </w:t>
            </w:r>
            <w:r>
              <w:rPr>
                <w:rStyle w:val="IndexLink"/>
                <w:rtl w:val="true"/>
              </w:rPr>
              <w:t>في انظار المعسر</w:t>
            </w:r>
            <w:r>
              <w:rPr>
                <w:rStyle w:val="IndexLink"/>
                <w:rtl w:val="true"/>
              </w:rPr>
              <w:tab/>
            </w:r>
            <w:r>
              <w:rPr>
                <w:rStyle w:val="IndexLink"/>
              </w:rPr>
              <w:t>121</w:t>
            </w:r>
          </w:hyperlink>
        </w:p>
        <w:p>
          <w:pPr>
            <w:pStyle w:val="Contents2"/>
            <w:tabs>
              <w:tab w:val="clear" w:pos="8743"/>
              <w:tab w:val="right" w:pos="9026" w:leader="dot"/>
            </w:tabs>
            <w:rPr/>
          </w:pPr>
          <w:hyperlink w:anchor="__RefHeading___Toc7971432_2870459653">
            <w:r>
              <w:rPr>
                <w:webHidden/>
                <w:rStyle w:val="IndexLink"/>
                <w:rtl w:val="true"/>
              </w:rPr>
              <w:t xml:space="preserve">القول في قسمة ماله </w:t>
            </w:r>
            <w:r>
              <w:rPr>
                <w:rStyle w:val="IndexLink"/>
                <w:rtl w:val="true"/>
              </w:rPr>
              <w:t xml:space="preserve">... </w:t>
            </w:r>
            <w:r>
              <w:rPr>
                <w:rStyle w:val="IndexLink"/>
              </w:rPr>
              <w:t>114</w:t>
            </w:r>
            <w:r>
              <w:rPr>
                <w:rStyle w:val="IndexLink"/>
                <w:rtl w:val="true"/>
              </w:rPr>
              <w:tab/>
            </w:r>
            <w:r>
              <w:rPr>
                <w:rStyle w:val="IndexLink"/>
              </w:rPr>
              <w:t>123</w:t>
            </w:r>
          </w:hyperlink>
        </w:p>
        <w:p>
          <w:pPr>
            <w:pStyle w:val="Contents2"/>
            <w:tabs>
              <w:tab w:val="clear" w:pos="8743"/>
              <w:tab w:val="right" w:pos="9026" w:leader="dot"/>
            </w:tabs>
            <w:rPr/>
          </w:pPr>
          <w:hyperlink w:anchor="__RefHeading___Toc7971434_2870459653">
            <w:r>
              <w:rPr>
                <w:webHidden/>
                <w:rStyle w:val="IndexLink"/>
                <w:rtl w:val="true"/>
              </w:rPr>
              <w:t xml:space="preserve">الفرع الأوّل </w:t>
            </w:r>
            <w:r>
              <w:rPr>
                <w:rStyle w:val="IndexLink"/>
                <w:rtl w:val="true"/>
              </w:rPr>
              <w:t xml:space="preserve">: </w:t>
            </w:r>
            <w:r>
              <w:rPr>
                <w:rStyle w:val="IndexLink"/>
                <w:rtl w:val="true"/>
              </w:rPr>
              <w:t>في بعض ما يستحبّ عند بيع مال المفلس</w:t>
            </w:r>
            <w:r>
              <w:rPr>
                <w:rStyle w:val="IndexLink"/>
                <w:rtl w:val="true"/>
              </w:rPr>
              <w:tab/>
            </w:r>
            <w:r>
              <w:rPr>
                <w:rStyle w:val="IndexLink"/>
              </w:rPr>
              <w:t>124</w:t>
            </w:r>
          </w:hyperlink>
        </w:p>
        <w:p>
          <w:pPr>
            <w:pStyle w:val="Contents2"/>
            <w:tabs>
              <w:tab w:val="clear" w:pos="8743"/>
              <w:tab w:val="right" w:pos="9026" w:leader="dot"/>
            </w:tabs>
            <w:rPr/>
          </w:pPr>
          <w:hyperlink w:anchor="__RefHeading___Toc7971436_2870459653">
            <w:r>
              <w:rPr>
                <w:webHidden/>
                <w:rStyle w:val="IndexLink"/>
                <w:rtl w:val="true"/>
              </w:rPr>
              <w:t xml:space="preserve">الفرع الثاني </w:t>
            </w:r>
            <w:r>
              <w:rPr>
                <w:rStyle w:val="IndexLink"/>
                <w:rtl w:val="true"/>
              </w:rPr>
              <w:t xml:space="preserve">: </w:t>
            </w:r>
            <w:r>
              <w:rPr>
                <w:rStyle w:val="IndexLink"/>
                <w:rtl w:val="true"/>
              </w:rPr>
              <w:t>في عدم اجبار المفلس على بيع داره و ما يحتاج اليه</w:t>
            </w:r>
            <w:r>
              <w:rPr>
                <w:rStyle w:val="IndexLink"/>
                <w:rtl w:val="true"/>
              </w:rPr>
              <w:tab/>
            </w:r>
            <w:r>
              <w:rPr>
                <w:rStyle w:val="IndexLink"/>
              </w:rPr>
              <w:t>125</w:t>
            </w:r>
          </w:hyperlink>
        </w:p>
        <w:p>
          <w:pPr>
            <w:pStyle w:val="Contents2"/>
            <w:tabs>
              <w:tab w:val="clear" w:pos="8743"/>
              <w:tab w:val="right" w:pos="9026" w:leader="dot"/>
            </w:tabs>
            <w:rPr/>
          </w:pPr>
          <w:hyperlink w:anchor="__RefHeading___Toc7971438_2870459653">
            <w:r>
              <w:rPr>
                <w:webHidden/>
                <w:rStyle w:val="IndexLink"/>
                <w:rtl w:val="true"/>
              </w:rPr>
              <w:t xml:space="preserve">الفرع الثالث </w:t>
            </w:r>
            <w:r>
              <w:rPr>
                <w:rStyle w:val="IndexLink"/>
                <w:rtl w:val="true"/>
              </w:rPr>
              <w:t xml:space="preserve">: </w:t>
            </w:r>
            <w:r>
              <w:rPr>
                <w:rStyle w:val="IndexLink"/>
                <w:rtl w:val="true"/>
              </w:rPr>
              <w:t>فيما لو باع الحاكم أو أمينه مال المفلس ثمّ طلب بزيادة</w:t>
            </w:r>
            <w:r>
              <w:rPr>
                <w:rStyle w:val="IndexLink"/>
                <w:rtl w:val="true"/>
              </w:rPr>
              <w:tab/>
            </w:r>
            <w:r>
              <w:rPr>
                <w:rStyle w:val="IndexLink"/>
              </w:rPr>
              <w:t>127</w:t>
            </w:r>
          </w:hyperlink>
        </w:p>
        <w:p>
          <w:pPr>
            <w:pStyle w:val="Contents2"/>
            <w:tabs>
              <w:tab w:val="clear" w:pos="8743"/>
              <w:tab w:val="right" w:pos="9026" w:leader="dot"/>
            </w:tabs>
            <w:rPr/>
          </w:pPr>
          <w:hyperlink w:anchor="__RefHeading___Toc7971440_2870459653">
            <w:r>
              <w:rPr>
                <w:webHidden/>
                <w:rStyle w:val="IndexLink"/>
                <w:rtl w:val="true"/>
              </w:rPr>
              <w:t xml:space="preserve">فيما اذا قسّم الحاكم مال المفلس ثمّ ظهر غريم </w:t>
            </w:r>
            <w:r>
              <w:rPr>
                <w:rStyle w:val="IndexLink"/>
                <w:rtl w:val="true"/>
              </w:rPr>
              <w:t xml:space="preserve">... </w:t>
            </w:r>
            <w:r>
              <w:rPr>
                <w:rStyle w:val="IndexLink"/>
              </w:rPr>
              <w:t>118</w:t>
            </w:r>
            <w:r>
              <w:rPr>
                <w:rStyle w:val="IndexLink"/>
                <w:rtl w:val="true"/>
              </w:rPr>
              <w:tab/>
            </w:r>
            <w:r>
              <w:rPr>
                <w:rStyle w:val="IndexLink"/>
              </w:rPr>
              <w:t>127</w:t>
            </w:r>
          </w:hyperlink>
        </w:p>
        <w:p>
          <w:pPr>
            <w:pStyle w:val="Contents2"/>
            <w:tabs>
              <w:tab w:val="clear" w:pos="8743"/>
              <w:tab w:val="right" w:pos="9026" w:leader="dot"/>
            </w:tabs>
            <w:rPr/>
          </w:pPr>
          <w:hyperlink w:anchor="__RefHeading___Toc7971442_2870459653">
            <w:r>
              <w:rPr>
                <w:webHidden/>
                <w:rStyle w:val="IndexLink"/>
                <w:rtl w:val="true"/>
              </w:rPr>
              <w:t xml:space="preserve">فيما اذا كان عليه ديون حالّة و مؤجّلة </w:t>
            </w:r>
            <w:r>
              <w:rPr>
                <w:rStyle w:val="IndexLink"/>
                <w:rtl w:val="true"/>
              </w:rPr>
              <w:t xml:space="preserve">... </w:t>
            </w:r>
            <w:r>
              <w:rPr>
                <w:rStyle w:val="IndexLink"/>
              </w:rPr>
              <w:t>119</w:t>
            </w:r>
            <w:r>
              <w:rPr>
                <w:rStyle w:val="IndexLink"/>
                <w:rtl w:val="true"/>
              </w:rPr>
              <w:tab/>
            </w:r>
            <w:r>
              <w:rPr>
                <w:rStyle w:val="IndexLink"/>
              </w:rPr>
              <w:t>128</w:t>
            </w:r>
          </w:hyperlink>
        </w:p>
        <w:p>
          <w:pPr>
            <w:pStyle w:val="Contents2"/>
            <w:tabs>
              <w:tab w:val="clear" w:pos="8743"/>
              <w:tab w:val="right" w:pos="9026" w:leader="dot"/>
            </w:tabs>
            <w:rPr/>
          </w:pPr>
          <w:hyperlink w:anchor="__RefHeading___Toc7971444_2870459653">
            <w:r>
              <w:rPr>
                <w:webHidden/>
                <w:rStyle w:val="IndexLink"/>
                <w:rtl w:val="true"/>
              </w:rPr>
              <w:t xml:space="preserve">فيما اذا جنى عبد المفلس </w:t>
            </w:r>
            <w:r>
              <w:rPr>
                <w:rStyle w:val="IndexLink"/>
                <w:rtl w:val="true"/>
              </w:rPr>
              <w:t xml:space="preserve">... </w:t>
            </w:r>
            <w:r>
              <w:rPr>
                <w:rStyle w:val="IndexLink"/>
              </w:rPr>
              <w:t>119</w:t>
            </w:r>
            <w:r>
              <w:rPr>
                <w:rStyle w:val="IndexLink"/>
                <w:rtl w:val="true"/>
              </w:rPr>
              <w:tab/>
            </w:r>
            <w:r>
              <w:rPr>
                <w:rStyle w:val="IndexLink"/>
              </w:rPr>
              <w:t>128</w:t>
            </w:r>
          </w:hyperlink>
        </w:p>
        <w:p>
          <w:pPr>
            <w:pStyle w:val="Contents2"/>
            <w:tabs>
              <w:tab w:val="clear" w:pos="8743"/>
              <w:tab w:val="right" w:pos="9026" w:leader="dot"/>
            </w:tabs>
            <w:rPr/>
          </w:pPr>
          <w:hyperlink w:anchor="__RefHeading___Toc7971446_2870459653">
            <w:r>
              <w:rPr>
                <w:webHidden/>
                <w:rStyle w:val="IndexLink"/>
                <w:rtl w:val="true"/>
              </w:rPr>
              <w:t xml:space="preserve">في حبس المفلس </w:t>
            </w:r>
            <w:r>
              <w:rPr>
                <w:rStyle w:val="IndexLink"/>
                <w:rtl w:val="true"/>
              </w:rPr>
              <w:t xml:space="preserve">... </w:t>
            </w:r>
            <w:r>
              <w:rPr>
                <w:rStyle w:val="IndexLink"/>
              </w:rPr>
              <w:t>120</w:t>
            </w:r>
            <w:r>
              <w:rPr>
                <w:rStyle w:val="IndexLink"/>
                <w:rtl w:val="true"/>
              </w:rPr>
              <w:tab/>
            </w:r>
            <w:r>
              <w:rPr>
                <w:rStyle w:val="IndexLink"/>
              </w:rPr>
              <w:t>129</w:t>
            </w:r>
          </w:hyperlink>
        </w:p>
        <w:p>
          <w:pPr>
            <w:pStyle w:val="Contents2"/>
            <w:tabs>
              <w:tab w:val="clear" w:pos="8743"/>
              <w:tab w:val="right" w:pos="9026" w:leader="dot"/>
            </w:tabs>
            <w:rPr/>
          </w:pPr>
          <w:hyperlink w:anchor="__RefHeading___Toc7971448_2870459653">
            <w:r>
              <w:rPr>
                <w:webHidden/>
                <w:rStyle w:val="IndexLink"/>
                <w:rtl w:val="true"/>
              </w:rPr>
              <w:t xml:space="preserve">الفرع الأوّل </w:t>
            </w:r>
            <w:r>
              <w:rPr>
                <w:rStyle w:val="IndexLink"/>
                <w:rtl w:val="true"/>
              </w:rPr>
              <w:t xml:space="preserve">: </w:t>
            </w:r>
            <w:r>
              <w:rPr>
                <w:rStyle w:val="IndexLink"/>
                <w:rtl w:val="true"/>
              </w:rPr>
              <w:t>في عدم جواز حبس المديون المعسر</w:t>
            </w:r>
            <w:r>
              <w:rPr>
                <w:rStyle w:val="IndexLink"/>
                <w:rtl w:val="true"/>
              </w:rPr>
              <w:tab/>
            </w:r>
            <w:r>
              <w:rPr>
                <w:rStyle w:val="IndexLink"/>
              </w:rPr>
              <w:t>130</w:t>
            </w:r>
          </w:hyperlink>
        </w:p>
        <w:p>
          <w:pPr>
            <w:pStyle w:val="Contents2"/>
            <w:tabs>
              <w:tab w:val="clear" w:pos="8743"/>
              <w:tab w:val="right" w:pos="9026" w:leader="dot"/>
            </w:tabs>
            <w:rPr/>
          </w:pPr>
          <w:hyperlink w:anchor="__RefHeading___Toc7971450_2870459653">
            <w:r>
              <w:rPr>
                <w:webHidden/>
                <w:rStyle w:val="IndexLink"/>
                <w:rtl w:val="true"/>
              </w:rPr>
              <w:t xml:space="preserve">الفرع الثاني </w:t>
            </w:r>
            <w:r>
              <w:rPr>
                <w:rStyle w:val="IndexLink"/>
                <w:rtl w:val="true"/>
              </w:rPr>
              <w:t xml:space="preserve">: </w:t>
            </w:r>
            <w:r>
              <w:rPr>
                <w:rStyle w:val="IndexLink"/>
                <w:rtl w:val="true"/>
              </w:rPr>
              <w:t>فيما اذا شهدت البيّنة بتلف أمواله أو بالاعسار</w:t>
            </w:r>
            <w:r>
              <w:rPr>
                <w:rStyle w:val="IndexLink"/>
                <w:rtl w:val="true"/>
              </w:rPr>
              <w:tab/>
            </w:r>
            <w:r>
              <w:rPr>
                <w:rStyle w:val="IndexLink"/>
              </w:rPr>
              <w:t>131</w:t>
            </w:r>
          </w:hyperlink>
        </w:p>
        <w:p>
          <w:pPr>
            <w:pStyle w:val="Contents2"/>
            <w:tabs>
              <w:tab w:val="clear" w:pos="8743"/>
              <w:tab w:val="right" w:pos="9026" w:leader="dot"/>
            </w:tabs>
            <w:rPr/>
          </w:pPr>
          <w:hyperlink w:anchor="__RefHeading___Toc7971452_2870459653">
            <w:r>
              <w:rPr>
                <w:webHidden/>
                <w:rStyle w:val="IndexLink"/>
                <w:rtl w:val="true"/>
              </w:rPr>
              <w:t xml:space="preserve">الفرع الثالث </w:t>
            </w:r>
            <w:r>
              <w:rPr>
                <w:rStyle w:val="IndexLink"/>
                <w:rtl w:val="true"/>
              </w:rPr>
              <w:t xml:space="preserve">: </w:t>
            </w:r>
            <w:r>
              <w:rPr>
                <w:rStyle w:val="IndexLink"/>
                <w:rtl w:val="true"/>
              </w:rPr>
              <w:t>فيما اذا لم‌يعلم له أصل مال و ادّعى الاعسار</w:t>
            </w:r>
            <w:r>
              <w:rPr>
                <w:rStyle w:val="IndexLink"/>
                <w:rtl w:val="true"/>
              </w:rPr>
              <w:tab/>
            </w:r>
            <w:r>
              <w:rPr>
                <w:rStyle w:val="IndexLink"/>
              </w:rPr>
              <w:t>132</w:t>
            </w:r>
          </w:hyperlink>
        </w:p>
        <w:p>
          <w:pPr>
            <w:pStyle w:val="Contents2"/>
            <w:tabs>
              <w:tab w:val="clear" w:pos="8743"/>
              <w:tab w:val="right" w:pos="9026" w:leader="dot"/>
            </w:tabs>
            <w:rPr/>
          </w:pPr>
          <w:hyperlink w:anchor="__RefHeading___Toc7971454_2870459653">
            <w:r>
              <w:rPr>
                <w:webHidden/>
                <w:rStyle w:val="IndexLink"/>
                <w:rtl w:val="true"/>
              </w:rPr>
              <w:t>كتاب الحجر</w:t>
            </w:r>
            <w:r>
              <w:rPr>
                <w:rStyle w:val="IndexLink"/>
                <w:rtl w:val="true"/>
              </w:rPr>
              <w:tab/>
            </w:r>
            <w:r>
              <w:rPr>
                <w:rStyle w:val="IndexLink"/>
              </w:rPr>
              <w:t>134</w:t>
            </w:r>
          </w:hyperlink>
        </w:p>
        <w:p>
          <w:pPr>
            <w:pStyle w:val="Contents2"/>
            <w:tabs>
              <w:tab w:val="clear" w:pos="8743"/>
              <w:tab w:val="right" w:pos="9026" w:leader="dot"/>
            </w:tabs>
            <w:rPr/>
          </w:pPr>
          <w:hyperlink w:anchor="__RefHeading___Toc7971456_2870459653">
            <w:r>
              <w:rPr>
                <w:webHidden/>
                <w:rStyle w:val="IndexLink"/>
                <w:rtl w:val="true"/>
              </w:rPr>
              <w:t xml:space="preserve">الفصل الأوّل </w:t>
            </w:r>
            <w:r>
              <w:rPr>
                <w:rStyle w:val="IndexLink"/>
                <w:rtl w:val="true"/>
              </w:rPr>
              <w:t xml:space="preserve">: </w:t>
            </w:r>
            <w:r>
              <w:rPr>
                <w:rStyle w:val="IndexLink"/>
                <w:rtl w:val="true"/>
              </w:rPr>
              <w:t>في موجباته</w:t>
            </w:r>
            <w:r>
              <w:rPr>
                <w:rStyle w:val="IndexLink"/>
                <w:rtl w:val="true"/>
              </w:rPr>
              <w:tab/>
            </w:r>
            <w:r>
              <w:rPr>
                <w:rStyle w:val="IndexLink"/>
              </w:rPr>
              <w:t>136</w:t>
            </w:r>
          </w:hyperlink>
        </w:p>
        <w:p>
          <w:pPr>
            <w:pStyle w:val="Contents2"/>
            <w:tabs>
              <w:tab w:val="clear" w:pos="8743"/>
              <w:tab w:val="right" w:pos="9026" w:leader="dot"/>
            </w:tabs>
            <w:rPr/>
          </w:pPr>
          <w:hyperlink w:anchor="__RefHeading___Toc7971458_2870459653">
            <w:r>
              <w:rPr>
                <w:webHidden/>
                <w:rStyle w:val="IndexLink"/>
                <w:rtl w:val="true"/>
              </w:rPr>
              <w:t xml:space="preserve">في حجر الصغير </w:t>
            </w:r>
            <w:r>
              <w:rPr>
                <w:rStyle w:val="IndexLink"/>
                <w:rtl w:val="true"/>
              </w:rPr>
              <w:t xml:space="preserve">... </w:t>
            </w:r>
            <w:r>
              <w:rPr>
                <w:rStyle w:val="IndexLink"/>
              </w:rPr>
              <w:t>128</w:t>
            </w:r>
            <w:r>
              <w:rPr>
                <w:rStyle w:val="IndexLink"/>
                <w:rtl w:val="true"/>
              </w:rPr>
              <w:tab/>
            </w:r>
            <w:r>
              <w:rPr>
                <w:rStyle w:val="IndexLink"/>
              </w:rPr>
              <w:t>137</w:t>
            </w:r>
          </w:hyperlink>
        </w:p>
        <w:p>
          <w:pPr>
            <w:pStyle w:val="Contents2"/>
            <w:tabs>
              <w:tab w:val="clear" w:pos="8743"/>
              <w:tab w:val="right" w:pos="9026" w:leader="dot"/>
            </w:tabs>
            <w:rPr/>
          </w:pPr>
          <w:hyperlink w:anchor="__RefHeading___Toc7971460_2870459653">
            <w:r>
              <w:rPr>
                <w:webHidden/>
                <w:rStyle w:val="IndexLink"/>
                <w:rtl w:val="true"/>
              </w:rPr>
              <w:t xml:space="preserve">في اعتبار الرشد </w:t>
            </w:r>
            <w:r>
              <w:rPr>
                <w:rStyle w:val="IndexLink"/>
                <w:rtl w:val="true"/>
              </w:rPr>
              <w:t xml:space="preserve">... </w:t>
            </w:r>
            <w:r>
              <w:rPr>
                <w:rStyle w:val="IndexLink"/>
              </w:rPr>
              <w:t>135</w:t>
            </w:r>
            <w:r>
              <w:rPr>
                <w:rStyle w:val="IndexLink"/>
                <w:rtl w:val="true"/>
              </w:rPr>
              <w:tab/>
            </w:r>
            <w:r>
              <w:rPr>
                <w:rStyle w:val="IndexLink"/>
              </w:rPr>
              <w:t>145</w:t>
            </w:r>
          </w:hyperlink>
        </w:p>
        <w:p>
          <w:pPr>
            <w:pStyle w:val="Contents2"/>
            <w:tabs>
              <w:tab w:val="clear" w:pos="8743"/>
              <w:tab w:val="right" w:pos="9026" w:leader="dot"/>
            </w:tabs>
            <w:rPr/>
          </w:pPr>
          <w:hyperlink w:anchor="__RefHeading___Toc7971462_2870459653">
            <w:r>
              <w:rPr>
                <w:webHidden/>
                <w:rStyle w:val="IndexLink"/>
                <w:rtl w:val="true"/>
              </w:rPr>
              <w:t xml:space="preserve">في اعتبار الرشد </w:t>
            </w:r>
            <w:r>
              <w:rPr>
                <w:rStyle w:val="IndexLink"/>
                <w:rtl w:val="true"/>
              </w:rPr>
              <w:t xml:space="preserve">... </w:t>
            </w:r>
            <w:r>
              <w:rPr>
                <w:rStyle w:val="IndexLink"/>
              </w:rPr>
              <w:t>135</w:t>
            </w:r>
            <w:r>
              <w:rPr>
                <w:rStyle w:val="IndexLink"/>
                <w:rtl w:val="true"/>
              </w:rPr>
              <w:tab/>
            </w:r>
            <w:r>
              <w:rPr>
                <w:rStyle w:val="IndexLink"/>
              </w:rPr>
              <w:t>147</w:t>
            </w:r>
          </w:hyperlink>
        </w:p>
        <w:p>
          <w:pPr>
            <w:pStyle w:val="Contents2"/>
            <w:tabs>
              <w:tab w:val="clear" w:pos="8743"/>
              <w:tab w:val="right" w:pos="9026" w:leader="dot"/>
            </w:tabs>
            <w:rPr/>
          </w:pPr>
          <w:hyperlink w:anchor="__RefHeading___Toc7971464_2870459653">
            <w:r>
              <w:rPr>
                <w:webHidden/>
                <w:rStyle w:val="IndexLink"/>
                <w:rtl w:val="true"/>
              </w:rPr>
              <w:t xml:space="preserve">فرع </w:t>
            </w:r>
            <w:r>
              <w:rPr>
                <w:rStyle w:val="IndexLink"/>
                <w:rtl w:val="true"/>
              </w:rPr>
              <w:t xml:space="preserve">: </w:t>
            </w:r>
            <w:r>
              <w:rPr>
                <w:rStyle w:val="IndexLink"/>
                <w:rtl w:val="true"/>
              </w:rPr>
              <w:t>فيما اذا وكّله أجنبي في معاملة أو أذن له الولي في النكاح</w:t>
            </w:r>
            <w:r>
              <w:rPr>
                <w:rStyle w:val="IndexLink"/>
                <w:rtl w:val="true"/>
              </w:rPr>
              <w:tab/>
            </w:r>
            <w:r>
              <w:rPr>
                <w:rStyle w:val="IndexLink"/>
              </w:rPr>
              <w:t>149</w:t>
            </w:r>
          </w:hyperlink>
        </w:p>
        <w:p>
          <w:pPr>
            <w:pStyle w:val="Contents2"/>
            <w:tabs>
              <w:tab w:val="clear" w:pos="8743"/>
              <w:tab w:val="right" w:pos="9026" w:leader="dot"/>
            </w:tabs>
            <w:rPr/>
          </w:pPr>
          <w:hyperlink w:anchor="__RefHeading___Toc7971466_2870459653">
            <w:r>
              <w:rPr>
                <w:webHidden/>
                <w:rStyle w:val="IndexLink"/>
                <w:rtl w:val="true"/>
              </w:rPr>
              <w:t xml:space="preserve">في تصرّفات المملوك </w:t>
            </w:r>
            <w:r>
              <w:rPr>
                <w:rStyle w:val="IndexLink"/>
                <w:rtl w:val="true"/>
              </w:rPr>
              <w:t xml:space="preserve">... </w:t>
            </w:r>
            <w:r>
              <w:rPr>
                <w:rStyle w:val="IndexLink"/>
              </w:rPr>
              <w:t>141</w:t>
            </w:r>
            <w:r>
              <w:rPr>
                <w:rStyle w:val="IndexLink"/>
                <w:rtl w:val="true"/>
              </w:rPr>
              <w:tab/>
            </w:r>
            <w:r>
              <w:rPr>
                <w:rStyle w:val="IndexLink"/>
              </w:rPr>
              <w:t>150</w:t>
            </w:r>
          </w:hyperlink>
        </w:p>
        <w:p>
          <w:pPr>
            <w:pStyle w:val="Contents2"/>
            <w:tabs>
              <w:tab w:val="clear" w:pos="8743"/>
              <w:tab w:val="right" w:pos="9026" w:leader="dot"/>
            </w:tabs>
            <w:rPr/>
          </w:pPr>
          <w:hyperlink w:anchor="__RefHeading___Toc7971468_2870459653">
            <w:r>
              <w:rPr>
                <w:webHidden/>
                <w:rStyle w:val="IndexLink"/>
                <w:rtl w:val="true"/>
              </w:rPr>
              <w:t xml:space="preserve">الفصل الثاني </w:t>
            </w:r>
            <w:r>
              <w:rPr>
                <w:rStyle w:val="IndexLink"/>
                <w:rtl w:val="true"/>
              </w:rPr>
              <w:t xml:space="preserve">: </w:t>
            </w:r>
            <w:r>
              <w:rPr>
                <w:rStyle w:val="IndexLink"/>
                <w:rtl w:val="true"/>
              </w:rPr>
              <w:t>في أحكام الحجر</w:t>
            </w:r>
            <w:r>
              <w:rPr>
                <w:rStyle w:val="IndexLink"/>
                <w:rtl w:val="true"/>
              </w:rPr>
              <w:tab/>
            </w:r>
            <w:r>
              <w:rPr>
                <w:rStyle w:val="IndexLink"/>
              </w:rPr>
              <w:t>152</w:t>
            </w:r>
          </w:hyperlink>
        </w:p>
        <w:p>
          <w:pPr>
            <w:pStyle w:val="Contents2"/>
            <w:tabs>
              <w:tab w:val="clear" w:pos="8743"/>
              <w:tab w:val="right" w:pos="9026" w:leader="dot"/>
            </w:tabs>
            <w:rPr/>
          </w:pPr>
          <w:hyperlink w:anchor="__RefHeading___Toc7971470_2870459653">
            <w:r>
              <w:rPr>
                <w:webHidden/>
                <w:rStyle w:val="IndexLink"/>
                <w:rtl w:val="true"/>
              </w:rPr>
              <w:t xml:space="preserve">في عدم ثبوت حجر المفلس و السفيه الاّ بحكم الحاكم </w:t>
            </w:r>
            <w:r>
              <w:rPr>
                <w:rStyle w:val="IndexLink"/>
                <w:rtl w:val="true"/>
              </w:rPr>
              <w:t xml:space="preserve">... </w:t>
            </w:r>
            <w:r>
              <w:rPr>
                <w:rStyle w:val="IndexLink"/>
              </w:rPr>
              <w:t>143</w:t>
            </w:r>
            <w:r>
              <w:rPr>
                <w:rStyle w:val="IndexLink"/>
                <w:rtl w:val="true"/>
              </w:rPr>
              <w:tab/>
            </w:r>
            <w:r>
              <w:rPr>
                <w:rStyle w:val="IndexLink"/>
              </w:rPr>
              <w:t>152</w:t>
            </w:r>
          </w:hyperlink>
        </w:p>
        <w:p>
          <w:pPr>
            <w:pStyle w:val="Contents2"/>
            <w:tabs>
              <w:tab w:val="clear" w:pos="8743"/>
              <w:tab w:val="right" w:pos="9026" w:leader="dot"/>
            </w:tabs>
            <w:rPr/>
          </w:pPr>
          <w:hyperlink w:anchor="__RefHeading___Toc7971472_2870459653">
            <w:r>
              <w:rPr>
                <w:webHidden/>
                <w:rStyle w:val="IndexLink"/>
                <w:rtl w:val="true"/>
              </w:rPr>
              <w:t xml:space="preserve">فيما اذا حجر عليه فبايعه انسان </w:t>
            </w:r>
            <w:r>
              <w:rPr>
                <w:rStyle w:val="IndexLink"/>
                <w:rtl w:val="true"/>
              </w:rPr>
              <w:t xml:space="preserve">... </w:t>
            </w:r>
            <w:r>
              <w:rPr>
                <w:rStyle w:val="IndexLink"/>
              </w:rPr>
              <w:t>144</w:t>
            </w:r>
            <w:r>
              <w:rPr>
                <w:rStyle w:val="IndexLink"/>
                <w:rtl w:val="true"/>
              </w:rPr>
              <w:tab/>
            </w:r>
            <w:r>
              <w:rPr>
                <w:rStyle w:val="IndexLink"/>
              </w:rPr>
              <w:t>153</w:t>
            </w:r>
          </w:hyperlink>
        </w:p>
        <w:p>
          <w:pPr>
            <w:pStyle w:val="Contents2"/>
            <w:tabs>
              <w:tab w:val="clear" w:pos="8743"/>
              <w:tab w:val="right" w:pos="9026" w:leader="dot"/>
            </w:tabs>
            <w:rPr/>
          </w:pPr>
          <w:hyperlink w:anchor="__RefHeading___Toc7971474_2870459653">
            <w:r>
              <w:rPr>
                <w:webHidden/>
                <w:rStyle w:val="IndexLink"/>
                <w:rtl w:val="true"/>
              </w:rPr>
              <w:t xml:space="preserve">فيما لو فكّ حجره ثمّ عاد مبذّرا </w:t>
            </w:r>
            <w:r>
              <w:rPr>
                <w:rStyle w:val="IndexLink"/>
                <w:rtl w:val="true"/>
              </w:rPr>
              <w:t xml:space="preserve">... </w:t>
            </w:r>
            <w:r>
              <w:rPr>
                <w:rStyle w:val="IndexLink"/>
              </w:rPr>
              <w:t>146</w:t>
            </w:r>
            <w:r>
              <w:rPr>
                <w:rStyle w:val="IndexLink"/>
                <w:rtl w:val="true"/>
              </w:rPr>
              <w:tab/>
            </w:r>
            <w:r>
              <w:rPr>
                <w:rStyle w:val="IndexLink"/>
              </w:rPr>
              <w:t>155</w:t>
            </w:r>
          </w:hyperlink>
        </w:p>
        <w:p>
          <w:pPr>
            <w:pStyle w:val="Contents2"/>
            <w:tabs>
              <w:tab w:val="clear" w:pos="8743"/>
              <w:tab w:val="right" w:pos="9026" w:leader="dot"/>
            </w:tabs>
            <w:rPr/>
          </w:pPr>
          <w:hyperlink w:anchor="__RefHeading___Toc7971476_2870459653">
            <w:r>
              <w:rPr>
                <w:webHidden/>
                <w:rStyle w:val="IndexLink"/>
                <w:rtl w:val="true"/>
              </w:rPr>
              <w:t xml:space="preserve">فيمن له الولاية على مال الطفل و المجنون </w:t>
            </w:r>
            <w:r>
              <w:rPr>
                <w:rStyle w:val="IndexLink"/>
                <w:rtl w:val="true"/>
              </w:rPr>
              <w:t xml:space="preserve">... </w:t>
            </w:r>
            <w:r>
              <w:rPr>
                <w:rStyle w:val="IndexLink"/>
              </w:rPr>
              <w:t>147</w:t>
            </w:r>
            <w:r>
              <w:rPr>
                <w:rStyle w:val="IndexLink"/>
                <w:rtl w:val="true"/>
              </w:rPr>
              <w:tab/>
            </w:r>
            <w:r>
              <w:rPr>
                <w:rStyle w:val="IndexLink"/>
              </w:rPr>
              <w:t>156</w:t>
            </w:r>
          </w:hyperlink>
        </w:p>
        <w:p>
          <w:pPr>
            <w:pStyle w:val="Contents2"/>
            <w:tabs>
              <w:tab w:val="clear" w:pos="8743"/>
              <w:tab w:val="right" w:pos="9026" w:leader="dot"/>
            </w:tabs>
            <w:rPr/>
          </w:pPr>
          <w:hyperlink w:anchor="__RefHeading___Toc7971478_2870459653">
            <w:r>
              <w:rPr>
                <w:webHidden/>
                <w:rStyle w:val="IndexLink"/>
                <w:rtl w:val="true"/>
              </w:rPr>
              <w:t xml:space="preserve">فيما اذا أحرم المحجور بحجّة واجبة </w:t>
            </w:r>
            <w:r>
              <w:rPr>
                <w:rStyle w:val="IndexLink"/>
                <w:rtl w:val="true"/>
              </w:rPr>
              <w:t xml:space="preserve">... </w:t>
            </w:r>
            <w:r>
              <w:rPr>
                <w:rStyle w:val="IndexLink"/>
              </w:rPr>
              <w:t>147</w:t>
            </w:r>
            <w:r>
              <w:rPr>
                <w:rStyle w:val="IndexLink"/>
                <w:rtl w:val="true"/>
              </w:rPr>
              <w:tab/>
            </w:r>
            <w:r>
              <w:rPr>
                <w:rStyle w:val="IndexLink"/>
              </w:rPr>
              <w:t>156</w:t>
            </w:r>
          </w:hyperlink>
        </w:p>
        <w:p>
          <w:pPr>
            <w:pStyle w:val="Contents2"/>
            <w:tabs>
              <w:tab w:val="clear" w:pos="8743"/>
              <w:tab w:val="right" w:pos="9026" w:leader="dot"/>
            </w:tabs>
            <w:rPr/>
          </w:pPr>
          <w:hyperlink w:anchor="__RefHeading___Toc7971480_2870459653">
            <w:r>
              <w:rPr>
                <w:webHidden/>
                <w:rStyle w:val="IndexLink"/>
                <w:rtl w:val="true"/>
              </w:rPr>
              <w:t xml:space="preserve">في انعقاد يمينه اذا حلف </w:t>
            </w:r>
            <w:r>
              <w:rPr>
                <w:rStyle w:val="IndexLink"/>
                <w:rtl w:val="true"/>
              </w:rPr>
              <w:t xml:space="preserve">... </w:t>
            </w:r>
            <w:r>
              <w:rPr>
                <w:rStyle w:val="IndexLink"/>
              </w:rPr>
              <w:t>148</w:t>
            </w:r>
            <w:r>
              <w:rPr>
                <w:rStyle w:val="IndexLink"/>
                <w:rtl w:val="true"/>
              </w:rPr>
              <w:tab/>
            </w:r>
            <w:r>
              <w:rPr>
                <w:rStyle w:val="IndexLink"/>
              </w:rPr>
              <w:t>157</w:t>
            </w:r>
          </w:hyperlink>
        </w:p>
        <w:p>
          <w:pPr>
            <w:pStyle w:val="Contents2"/>
            <w:tabs>
              <w:tab w:val="clear" w:pos="8743"/>
              <w:tab w:val="right" w:pos="9026" w:leader="dot"/>
            </w:tabs>
            <w:rPr/>
          </w:pPr>
          <w:hyperlink w:anchor="__RefHeading___Toc7971482_2870459653">
            <w:r>
              <w:rPr>
                <w:webHidden/>
                <w:rStyle w:val="IndexLink"/>
                <w:rtl w:val="true"/>
              </w:rPr>
              <w:t xml:space="preserve">في جواز عفوه عن القصاص </w:t>
            </w:r>
            <w:r>
              <w:rPr>
                <w:rStyle w:val="IndexLink"/>
                <w:rtl w:val="true"/>
              </w:rPr>
              <w:t xml:space="preserve">... </w:t>
            </w:r>
            <w:r>
              <w:rPr>
                <w:rStyle w:val="IndexLink"/>
              </w:rPr>
              <w:t>149</w:t>
            </w:r>
            <w:r>
              <w:rPr>
                <w:rStyle w:val="IndexLink"/>
                <w:rtl w:val="true"/>
              </w:rPr>
              <w:tab/>
            </w:r>
            <w:r>
              <w:rPr>
                <w:rStyle w:val="IndexLink"/>
              </w:rPr>
              <w:t>158</w:t>
            </w:r>
          </w:hyperlink>
        </w:p>
        <w:p>
          <w:pPr>
            <w:pStyle w:val="Contents2"/>
            <w:tabs>
              <w:tab w:val="clear" w:pos="8743"/>
              <w:tab w:val="right" w:pos="9026" w:leader="dot"/>
            </w:tabs>
            <w:rPr/>
          </w:pPr>
          <w:hyperlink w:anchor="__RefHeading___Toc7971484_2870459653">
            <w:r>
              <w:rPr>
                <w:webHidden/>
                <w:rStyle w:val="IndexLink"/>
                <w:rtl w:val="true"/>
              </w:rPr>
              <w:t xml:space="preserve">في اختبار الصبي قبل بلوغه </w:t>
            </w:r>
            <w:r>
              <w:rPr>
                <w:rStyle w:val="IndexLink"/>
                <w:rtl w:val="true"/>
              </w:rPr>
              <w:t xml:space="preserve">... </w:t>
            </w:r>
            <w:r>
              <w:rPr>
                <w:rStyle w:val="IndexLink"/>
              </w:rPr>
              <w:t>149</w:t>
            </w:r>
            <w:r>
              <w:rPr>
                <w:rStyle w:val="IndexLink"/>
                <w:rtl w:val="true"/>
              </w:rPr>
              <w:tab/>
            </w:r>
            <w:r>
              <w:rPr>
                <w:rStyle w:val="IndexLink"/>
              </w:rPr>
              <w:t>158</w:t>
            </w:r>
          </w:hyperlink>
        </w:p>
        <w:p>
          <w:pPr>
            <w:pStyle w:val="Contents2"/>
            <w:tabs>
              <w:tab w:val="clear" w:pos="8743"/>
              <w:tab w:val="right" w:pos="9026" w:leader="dot"/>
            </w:tabs>
            <w:rPr/>
          </w:pPr>
          <w:hyperlink w:anchor="__RefHeading___Toc7971486_2870459653">
            <w:r>
              <w:rPr>
                <w:webHidden/>
                <w:rStyle w:val="IndexLink"/>
                <w:rtl w:val="true"/>
              </w:rPr>
              <w:t>كتاب الصلح</w:t>
            </w:r>
            <w:r>
              <w:rPr>
                <w:rStyle w:val="IndexLink"/>
                <w:rtl w:val="true"/>
              </w:rPr>
              <w:tab/>
            </w:r>
            <w:r>
              <w:rPr>
                <w:rStyle w:val="IndexLink"/>
              </w:rPr>
              <w:t>160</w:t>
            </w:r>
          </w:hyperlink>
        </w:p>
        <w:p>
          <w:pPr>
            <w:pStyle w:val="Contents2"/>
            <w:tabs>
              <w:tab w:val="clear" w:pos="8743"/>
              <w:tab w:val="right" w:pos="9026" w:leader="dot"/>
            </w:tabs>
            <w:rPr/>
          </w:pPr>
          <w:hyperlink w:anchor="__RefHeading___Toc7971488_2870459653">
            <w:r>
              <w:rPr>
                <w:webHidden/>
                <w:rStyle w:val="IndexLink"/>
                <w:rtl w:val="true"/>
              </w:rPr>
              <w:t xml:space="preserve">الفرع الأوّل </w:t>
            </w:r>
            <w:r>
              <w:rPr>
                <w:rStyle w:val="IndexLink"/>
                <w:rtl w:val="true"/>
              </w:rPr>
              <w:t xml:space="preserve">: </w:t>
            </w:r>
            <w:r>
              <w:rPr>
                <w:rStyle w:val="IndexLink"/>
                <w:rtl w:val="true"/>
              </w:rPr>
              <w:t>في أنّ عقد الصلح ليس فرعا على غيره</w:t>
            </w:r>
            <w:r>
              <w:rPr>
                <w:rStyle w:val="IndexLink"/>
                <w:rtl w:val="true"/>
              </w:rPr>
              <w:tab/>
            </w:r>
            <w:r>
              <w:rPr>
                <w:rStyle w:val="IndexLink"/>
              </w:rPr>
              <w:t>161</w:t>
            </w:r>
          </w:hyperlink>
        </w:p>
        <w:p>
          <w:pPr>
            <w:pStyle w:val="Contents2"/>
            <w:tabs>
              <w:tab w:val="clear" w:pos="8743"/>
              <w:tab w:val="right" w:pos="9026" w:leader="dot"/>
            </w:tabs>
            <w:rPr/>
          </w:pPr>
          <w:hyperlink w:anchor="__RefHeading___Toc7971490_2870459653">
            <w:r>
              <w:rPr>
                <w:webHidden/>
                <w:rStyle w:val="IndexLink"/>
                <w:rtl w:val="true"/>
              </w:rPr>
              <w:t xml:space="preserve">الفرع الثاني </w:t>
            </w:r>
            <w:r>
              <w:rPr>
                <w:rStyle w:val="IndexLink"/>
                <w:rtl w:val="true"/>
              </w:rPr>
              <w:t xml:space="preserve">: </w:t>
            </w:r>
            <w:r>
              <w:rPr>
                <w:rStyle w:val="IndexLink"/>
                <w:rtl w:val="true"/>
              </w:rPr>
              <w:t>في الصلح مع الاقرار و الانكار</w:t>
            </w:r>
            <w:r>
              <w:rPr>
                <w:rStyle w:val="IndexLink"/>
                <w:rtl w:val="true"/>
              </w:rPr>
              <w:tab/>
            </w:r>
            <w:r>
              <w:rPr>
                <w:rStyle w:val="IndexLink"/>
              </w:rPr>
              <w:t>162</w:t>
            </w:r>
          </w:hyperlink>
        </w:p>
        <w:p>
          <w:pPr>
            <w:pStyle w:val="Contents2"/>
            <w:tabs>
              <w:tab w:val="clear" w:pos="8743"/>
              <w:tab w:val="right" w:pos="9026" w:leader="dot"/>
            </w:tabs>
            <w:rPr/>
          </w:pPr>
          <w:hyperlink w:anchor="__RefHeading___Toc7971492_2870459653">
            <w:r>
              <w:rPr>
                <w:webHidden/>
                <w:rStyle w:val="IndexLink"/>
                <w:rtl w:val="true"/>
              </w:rPr>
              <w:t xml:space="preserve">الفرع الثالث </w:t>
            </w:r>
            <w:r>
              <w:rPr>
                <w:rStyle w:val="IndexLink"/>
                <w:rtl w:val="true"/>
              </w:rPr>
              <w:t xml:space="preserve">: </w:t>
            </w:r>
            <w:r>
              <w:rPr>
                <w:rStyle w:val="IndexLink"/>
                <w:rtl w:val="true"/>
              </w:rPr>
              <w:t>في الصلح اذا أحلّ حراما أو حرّم حلالاً</w:t>
            </w:r>
            <w:r>
              <w:rPr>
                <w:rStyle w:val="IndexLink"/>
                <w:rtl w:val="true"/>
              </w:rPr>
              <w:tab/>
            </w:r>
            <w:r>
              <w:rPr>
                <w:rStyle w:val="IndexLink"/>
              </w:rPr>
              <w:t>164</w:t>
            </w:r>
          </w:hyperlink>
        </w:p>
        <w:p>
          <w:pPr>
            <w:pStyle w:val="Contents2"/>
            <w:tabs>
              <w:tab w:val="clear" w:pos="8743"/>
              <w:tab w:val="right" w:pos="9026" w:leader="dot"/>
            </w:tabs>
            <w:rPr/>
          </w:pPr>
          <w:hyperlink w:anchor="__RefHeading___Toc7971494_2870459653">
            <w:r>
              <w:rPr>
                <w:webHidden/>
                <w:rStyle w:val="IndexLink"/>
                <w:rtl w:val="true"/>
              </w:rPr>
              <w:t xml:space="preserve">الفرع الرابع </w:t>
            </w:r>
            <w:r>
              <w:rPr>
                <w:rStyle w:val="IndexLink"/>
                <w:rtl w:val="true"/>
              </w:rPr>
              <w:t xml:space="preserve">: </w:t>
            </w:r>
            <w:r>
              <w:rPr>
                <w:rStyle w:val="IndexLink"/>
                <w:rtl w:val="true"/>
              </w:rPr>
              <w:t>في الصلح مع علمهما بما وقعت المنازعة فيه و جهلهما</w:t>
            </w:r>
            <w:r>
              <w:rPr>
                <w:rStyle w:val="IndexLink"/>
                <w:rtl w:val="true"/>
              </w:rPr>
              <w:tab/>
            </w:r>
            <w:r>
              <w:rPr>
                <w:rStyle w:val="IndexLink"/>
              </w:rPr>
              <w:t>165</w:t>
            </w:r>
          </w:hyperlink>
        </w:p>
        <w:p>
          <w:pPr>
            <w:pStyle w:val="Contents2"/>
            <w:tabs>
              <w:tab w:val="clear" w:pos="8743"/>
              <w:tab w:val="right" w:pos="9026" w:leader="dot"/>
            </w:tabs>
            <w:rPr/>
          </w:pPr>
          <w:hyperlink w:anchor="__RefHeading___Toc7971496_2870459653">
            <w:r>
              <w:rPr>
                <w:webHidden/>
                <w:rStyle w:val="IndexLink"/>
                <w:rtl w:val="true"/>
              </w:rPr>
              <w:t xml:space="preserve">الفرع الخامس </w:t>
            </w:r>
            <w:r>
              <w:rPr>
                <w:rStyle w:val="IndexLink"/>
                <w:rtl w:val="true"/>
              </w:rPr>
              <w:t xml:space="preserve">: </w:t>
            </w:r>
            <w:r>
              <w:rPr>
                <w:rStyle w:val="IndexLink"/>
                <w:rtl w:val="true"/>
              </w:rPr>
              <w:t>في الايجاب و القبول</w:t>
            </w:r>
            <w:r>
              <w:rPr>
                <w:rStyle w:val="IndexLink"/>
                <w:rtl w:val="true"/>
              </w:rPr>
              <w:tab/>
            </w:r>
            <w:r>
              <w:rPr>
                <w:rStyle w:val="IndexLink"/>
              </w:rPr>
              <w:t>166</w:t>
            </w:r>
          </w:hyperlink>
        </w:p>
        <w:p>
          <w:pPr>
            <w:pStyle w:val="Contents2"/>
            <w:tabs>
              <w:tab w:val="clear" w:pos="8743"/>
              <w:tab w:val="right" w:pos="9026" w:leader="dot"/>
            </w:tabs>
            <w:rPr/>
          </w:pPr>
          <w:hyperlink w:anchor="__RefHeading___Toc7971498_2870459653">
            <w:r>
              <w:rPr>
                <w:webHidden/>
                <w:rStyle w:val="IndexLink"/>
                <w:rtl w:val="true"/>
              </w:rPr>
              <w:t xml:space="preserve">فيما اذا اصطلح الشريكان على أن‌يكون الربح و الخسران على أحدهما </w:t>
            </w:r>
            <w:r>
              <w:rPr>
                <w:rStyle w:val="IndexLink"/>
                <w:rtl w:val="true"/>
              </w:rPr>
              <w:t xml:space="preserve">... </w:t>
            </w:r>
            <w:r>
              <w:rPr>
                <w:rStyle w:val="IndexLink"/>
              </w:rPr>
              <w:t>158</w:t>
            </w:r>
            <w:r>
              <w:rPr>
                <w:rStyle w:val="IndexLink"/>
                <w:rtl w:val="true"/>
              </w:rPr>
              <w:tab/>
            </w:r>
            <w:r>
              <w:rPr>
                <w:rStyle w:val="IndexLink"/>
              </w:rPr>
              <w:t>167</w:t>
            </w:r>
          </w:hyperlink>
        </w:p>
        <w:p>
          <w:pPr>
            <w:pStyle w:val="Contents2"/>
            <w:tabs>
              <w:tab w:val="clear" w:pos="8743"/>
              <w:tab w:val="right" w:pos="9026" w:leader="dot"/>
            </w:tabs>
            <w:rPr/>
          </w:pPr>
          <w:hyperlink w:anchor="__RefHeading___Toc7971500_2870459653">
            <w:r>
              <w:rPr>
                <w:webHidden/>
                <w:rStyle w:val="IndexLink"/>
                <w:rtl w:val="true"/>
              </w:rPr>
              <w:t xml:space="preserve">في بعض فروع الصلح </w:t>
            </w:r>
            <w:r>
              <w:rPr>
                <w:rStyle w:val="IndexLink"/>
                <w:rtl w:val="true"/>
              </w:rPr>
              <w:t xml:space="preserve">... </w:t>
            </w:r>
            <w:r>
              <w:rPr>
                <w:rStyle w:val="IndexLink"/>
              </w:rPr>
              <w:t>160</w:t>
            </w:r>
            <w:r>
              <w:rPr>
                <w:rStyle w:val="IndexLink"/>
                <w:rtl w:val="true"/>
              </w:rPr>
              <w:tab/>
            </w:r>
            <w:r>
              <w:rPr>
                <w:rStyle w:val="IndexLink"/>
              </w:rPr>
              <w:t>168</w:t>
            </w:r>
          </w:hyperlink>
        </w:p>
        <w:p>
          <w:pPr>
            <w:pStyle w:val="Contents2"/>
            <w:tabs>
              <w:tab w:val="clear" w:pos="8743"/>
              <w:tab w:val="right" w:pos="9026" w:leader="dot"/>
            </w:tabs>
            <w:rPr/>
          </w:pPr>
          <w:hyperlink w:anchor="__RefHeading___Toc7971502_2870459653">
            <w:r>
              <w:rPr>
                <w:webHidden/>
                <w:rStyle w:val="IndexLink"/>
                <w:rtl w:val="true"/>
              </w:rPr>
              <w:t xml:space="preserve">الفرع الأوّل </w:t>
            </w:r>
            <w:r>
              <w:rPr>
                <w:rStyle w:val="IndexLink"/>
                <w:rtl w:val="true"/>
              </w:rPr>
              <w:t xml:space="preserve">: </w:t>
            </w:r>
            <w:r>
              <w:rPr>
                <w:rStyle w:val="IndexLink"/>
                <w:rtl w:val="true"/>
              </w:rPr>
              <w:t>فيما لو كان معهما درهمان فادّعاهما أحدهما و الآخر أحدهما</w:t>
            </w:r>
            <w:r>
              <w:rPr>
                <w:rStyle w:val="IndexLink"/>
                <w:rtl w:val="true"/>
              </w:rPr>
              <w:tab/>
            </w:r>
            <w:r>
              <w:rPr>
                <w:rStyle w:val="IndexLink"/>
              </w:rPr>
              <w:t>169</w:t>
            </w:r>
          </w:hyperlink>
        </w:p>
        <w:p>
          <w:pPr>
            <w:pStyle w:val="Contents2"/>
            <w:tabs>
              <w:tab w:val="clear" w:pos="8743"/>
              <w:tab w:val="right" w:pos="9026" w:leader="dot"/>
            </w:tabs>
            <w:rPr/>
          </w:pPr>
          <w:hyperlink w:anchor="__RefHeading___Toc7971504_2870459653">
            <w:r>
              <w:rPr>
                <w:webHidden/>
                <w:rStyle w:val="IndexLink"/>
                <w:rtl w:val="true"/>
              </w:rPr>
              <w:t xml:space="preserve">الفرع الثاني </w:t>
            </w:r>
            <w:r>
              <w:rPr>
                <w:rStyle w:val="IndexLink"/>
                <w:rtl w:val="true"/>
              </w:rPr>
              <w:t xml:space="preserve">: </w:t>
            </w:r>
            <w:r>
              <w:rPr>
                <w:rStyle w:val="IndexLink"/>
                <w:rtl w:val="true"/>
              </w:rPr>
              <w:t>في اشتباه الثوبين مع اختلاف قيمتهما</w:t>
            </w:r>
            <w:r>
              <w:rPr>
                <w:rStyle w:val="IndexLink"/>
                <w:rtl w:val="true"/>
              </w:rPr>
              <w:tab/>
            </w:r>
            <w:r>
              <w:rPr>
                <w:rStyle w:val="IndexLink"/>
              </w:rPr>
              <w:t>170</w:t>
            </w:r>
          </w:hyperlink>
        </w:p>
        <w:p>
          <w:pPr>
            <w:pStyle w:val="Contents2"/>
            <w:tabs>
              <w:tab w:val="clear" w:pos="8743"/>
              <w:tab w:val="right" w:pos="9026" w:leader="dot"/>
            </w:tabs>
            <w:rPr/>
          </w:pPr>
          <w:hyperlink w:anchor="__RefHeading___Toc7971506_2870459653">
            <w:r>
              <w:rPr>
                <w:webHidden/>
                <w:rStyle w:val="IndexLink"/>
                <w:rtl w:val="true"/>
              </w:rPr>
              <w:t xml:space="preserve">الفرع الثالث </w:t>
            </w:r>
            <w:r>
              <w:rPr>
                <w:rStyle w:val="IndexLink"/>
                <w:rtl w:val="true"/>
              </w:rPr>
              <w:t xml:space="preserve">: </w:t>
            </w:r>
            <w:r>
              <w:rPr>
                <w:rStyle w:val="IndexLink"/>
                <w:rtl w:val="true"/>
              </w:rPr>
              <w:t>فيما اذا بان أحد العوضين مستحقّا</w:t>
            </w:r>
            <w:r>
              <w:rPr>
                <w:rStyle w:val="IndexLink"/>
                <w:rtl w:val="true"/>
              </w:rPr>
              <w:tab/>
            </w:r>
            <w:r>
              <w:rPr>
                <w:rStyle w:val="IndexLink"/>
              </w:rPr>
              <w:t>172</w:t>
            </w:r>
          </w:hyperlink>
        </w:p>
        <w:p>
          <w:pPr>
            <w:pStyle w:val="Contents2"/>
            <w:tabs>
              <w:tab w:val="clear" w:pos="8743"/>
              <w:tab w:val="right" w:pos="9026" w:leader="dot"/>
            </w:tabs>
            <w:rPr/>
          </w:pPr>
          <w:hyperlink w:anchor="__RefHeading___Toc7971508_2870459653">
            <w:r>
              <w:rPr>
                <w:webHidden/>
                <w:rStyle w:val="IndexLink"/>
                <w:rtl w:val="true"/>
              </w:rPr>
              <w:t xml:space="preserve">في صحّة الصلح على عين بعين أو منفعة، و على منفعة بعين أو منفعة </w:t>
            </w:r>
            <w:r>
              <w:rPr>
                <w:rStyle w:val="IndexLink"/>
                <w:rtl w:val="true"/>
              </w:rPr>
              <w:t xml:space="preserve">... </w:t>
            </w:r>
            <w:r>
              <w:rPr>
                <w:rStyle w:val="IndexLink"/>
              </w:rPr>
              <w:t>164</w:t>
            </w:r>
            <w:r>
              <w:rPr>
                <w:rStyle w:val="IndexLink"/>
                <w:rtl w:val="true"/>
              </w:rPr>
              <w:tab/>
            </w:r>
            <w:r>
              <w:rPr>
                <w:rStyle w:val="IndexLink"/>
              </w:rPr>
              <w:t>173</w:t>
            </w:r>
          </w:hyperlink>
        </w:p>
        <w:p>
          <w:pPr>
            <w:pStyle w:val="Contents2"/>
            <w:tabs>
              <w:tab w:val="clear" w:pos="8743"/>
              <w:tab w:val="right" w:pos="9026" w:leader="dot"/>
            </w:tabs>
            <w:rPr/>
          </w:pPr>
          <w:hyperlink w:anchor="__RefHeading___Toc7971510_2870459653">
            <w:r>
              <w:rPr>
                <w:webHidden/>
                <w:rStyle w:val="IndexLink"/>
                <w:rtl w:val="true"/>
              </w:rPr>
              <w:t xml:space="preserve">في بعض الفروع المتعلّقة بالدعوى </w:t>
            </w:r>
            <w:r>
              <w:rPr>
                <w:rStyle w:val="IndexLink"/>
                <w:rtl w:val="true"/>
              </w:rPr>
              <w:t xml:space="preserve">... </w:t>
            </w:r>
            <w:r>
              <w:rPr>
                <w:rStyle w:val="IndexLink"/>
              </w:rPr>
              <w:t>164</w:t>
            </w:r>
            <w:r>
              <w:rPr>
                <w:rStyle w:val="IndexLink"/>
                <w:rtl w:val="true"/>
              </w:rPr>
              <w:tab/>
            </w:r>
            <w:r>
              <w:rPr>
                <w:rStyle w:val="IndexLink"/>
              </w:rPr>
              <w:t>173</w:t>
            </w:r>
          </w:hyperlink>
        </w:p>
        <w:p>
          <w:pPr>
            <w:pStyle w:val="Contents2"/>
            <w:tabs>
              <w:tab w:val="clear" w:pos="8743"/>
              <w:tab w:val="right" w:pos="9026" w:leader="dot"/>
            </w:tabs>
            <w:rPr/>
          </w:pPr>
          <w:hyperlink w:anchor="__RefHeading___Toc7971512_2870459653">
            <w:r>
              <w:rPr>
                <w:webHidden/>
                <w:rStyle w:val="IndexLink"/>
                <w:rtl w:val="true"/>
              </w:rPr>
              <w:t xml:space="preserve">الفرع الأوّل </w:t>
            </w:r>
            <w:r>
              <w:rPr>
                <w:rStyle w:val="IndexLink"/>
                <w:rtl w:val="true"/>
              </w:rPr>
              <w:t xml:space="preserve">: </w:t>
            </w:r>
            <w:r>
              <w:rPr>
                <w:rStyle w:val="IndexLink"/>
                <w:rtl w:val="true"/>
              </w:rPr>
              <w:t>فيما لو ادّعى دارا فأنكر الآخر فصالحه</w:t>
            </w:r>
            <w:r>
              <w:rPr>
                <w:rStyle w:val="IndexLink"/>
                <w:rtl w:val="true"/>
              </w:rPr>
              <w:tab/>
            </w:r>
            <w:r>
              <w:rPr>
                <w:rStyle w:val="IndexLink"/>
              </w:rPr>
              <w:t>174</w:t>
            </w:r>
          </w:hyperlink>
        </w:p>
        <w:p>
          <w:pPr>
            <w:pStyle w:val="Contents2"/>
            <w:tabs>
              <w:tab w:val="clear" w:pos="8743"/>
              <w:tab w:val="right" w:pos="9026" w:leader="dot"/>
            </w:tabs>
            <w:rPr/>
          </w:pPr>
          <w:hyperlink w:anchor="__RefHeading___Toc7971514_2870459653">
            <w:r>
              <w:rPr>
                <w:webHidden/>
                <w:rStyle w:val="IndexLink"/>
                <w:rtl w:val="true"/>
              </w:rPr>
              <w:t xml:space="preserve">الفرع الثاني </w:t>
            </w:r>
            <w:r>
              <w:rPr>
                <w:rStyle w:val="IndexLink"/>
                <w:rtl w:val="true"/>
              </w:rPr>
              <w:t xml:space="preserve">: </w:t>
            </w:r>
            <w:r>
              <w:rPr>
                <w:rStyle w:val="IndexLink"/>
                <w:rtl w:val="true"/>
              </w:rPr>
              <w:t>فيما لو ادّعى اثنان دارا في يد ثالث</w:t>
            </w:r>
            <w:r>
              <w:rPr>
                <w:rStyle w:val="IndexLink"/>
                <w:rtl w:val="true"/>
              </w:rPr>
              <w:tab/>
            </w:r>
            <w:r>
              <w:rPr>
                <w:rStyle w:val="IndexLink"/>
              </w:rPr>
              <w:t>175</w:t>
            </w:r>
          </w:hyperlink>
        </w:p>
        <w:p>
          <w:pPr>
            <w:pStyle w:val="Contents2"/>
            <w:tabs>
              <w:tab w:val="clear" w:pos="8743"/>
              <w:tab w:val="right" w:pos="9026" w:leader="dot"/>
            </w:tabs>
            <w:rPr/>
          </w:pPr>
          <w:hyperlink w:anchor="__RefHeading___Toc7971516_2870459653">
            <w:r>
              <w:rPr>
                <w:webHidden/>
                <w:rStyle w:val="IndexLink"/>
                <w:rtl w:val="true"/>
              </w:rPr>
              <w:t xml:space="preserve">الفرع الثالث </w:t>
            </w:r>
            <w:r>
              <w:rPr>
                <w:rStyle w:val="IndexLink"/>
                <w:rtl w:val="true"/>
              </w:rPr>
              <w:t xml:space="preserve">: </w:t>
            </w:r>
            <w:r>
              <w:rPr>
                <w:rStyle w:val="IndexLink"/>
                <w:rtl w:val="true"/>
              </w:rPr>
              <w:t>فيما لو صالح المدّعى عليه على سقي زرع المدّعي</w:t>
            </w:r>
            <w:r>
              <w:rPr>
                <w:rStyle w:val="IndexLink"/>
                <w:rtl w:val="true"/>
              </w:rPr>
              <w:tab/>
            </w:r>
            <w:r>
              <w:rPr>
                <w:rStyle w:val="IndexLink"/>
              </w:rPr>
              <w:t>176</w:t>
            </w:r>
          </w:hyperlink>
        </w:p>
        <w:p>
          <w:pPr>
            <w:pStyle w:val="Contents2"/>
            <w:tabs>
              <w:tab w:val="clear" w:pos="8743"/>
              <w:tab w:val="right" w:pos="9026" w:leader="dot"/>
            </w:tabs>
            <w:rPr/>
          </w:pPr>
          <w:hyperlink w:anchor="__RefHeading___Toc7971518_2870459653">
            <w:r>
              <w:rPr>
                <w:webHidden/>
                <w:rStyle w:val="IndexLink"/>
                <w:rtl w:val="true"/>
              </w:rPr>
              <w:t xml:space="preserve">الفرع الرابع </w:t>
            </w:r>
            <w:r>
              <w:rPr>
                <w:rStyle w:val="IndexLink"/>
                <w:rtl w:val="true"/>
              </w:rPr>
              <w:t xml:space="preserve">: </w:t>
            </w:r>
            <w:r>
              <w:rPr>
                <w:rStyle w:val="IndexLink"/>
                <w:rtl w:val="true"/>
              </w:rPr>
              <w:t>فيما لو قال المدّعى عليه</w:t>
            </w:r>
            <w:r>
              <w:rPr>
                <w:rStyle w:val="IndexLink"/>
                <w:rtl w:val="true"/>
              </w:rPr>
              <w:t xml:space="preserve">: </w:t>
            </w:r>
            <w:r>
              <w:rPr>
                <w:rStyle w:val="IndexLink"/>
                <w:rtl w:val="true"/>
              </w:rPr>
              <w:t>صالحني أو بعني</w:t>
            </w:r>
            <w:r>
              <w:rPr>
                <w:rStyle w:val="IndexLink"/>
                <w:rtl w:val="true"/>
              </w:rPr>
              <w:tab/>
            </w:r>
            <w:r>
              <w:rPr>
                <w:rStyle w:val="IndexLink"/>
              </w:rPr>
              <w:t>177</w:t>
            </w:r>
          </w:hyperlink>
        </w:p>
        <w:p>
          <w:pPr>
            <w:pStyle w:val="Contents2"/>
            <w:tabs>
              <w:tab w:val="clear" w:pos="8743"/>
              <w:tab w:val="right" w:pos="9026" w:leader="dot"/>
            </w:tabs>
            <w:rPr/>
          </w:pPr>
          <w:hyperlink w:anchor="__RefHeading___Toc7971520_2870459653">
            <w:r>
              <w:rPr>
                <w:webHidden/>
                <w:rStyle w:val="IndexLink"/>
                <w:rtl w:val="true"/>
              </w:rPr>
              <w:t xml:space="preserve">في أحكام النزاع في الأملاك </w:t>
            </w:r>
            <w:r>
              <w:rPr>
                <w:rStyle w:val="IndexLink"/>
                <w:rtl w:val="true"/>
              </w:rPr>
              <w:t xml:space="preserve">... </w:t>
            </w:r>
            <w:r>
              <w:rPr>
                <w:rStyle w:val="IndexLink"/>
              </w:rPr>
              <w:t>169</w:t>
            </w:r>
            <w:r>
              <w:rPr>
                <w:rStyle w:val="IndexLink"/>
                <w:rtl w:val="true"/>
              </w:rPr>
              <w:tab/>
            </w:r>
            <w:r>
              <w:rPr>
                <w:rStyle w:val="IndexLink"/>
              </w:rPr>
              <w:t>178</w:t>
            </w:r>
          </w:hyperlink>
        </w:p>
        <w:p>
          <w:pPr>
            <w:pStyle w:val="Contents2"/>
            <w:tabs>
              <w:tab w:val="clear" w:pos="8743"/>
              <w:tab w:val="right" w:pos="9026" w:leader="dot"/>
            </w:tabs>
            <w:rPr/>
          </w:pPr>
          <w:hyperlink w:anchor="__RefHeading___Toc7971522_2870459653">
            <w:r>
              <w:rPr>
                <w:webHidden/>
                <w:rStyle w:val="IndexLink"/>
                <w:rtl w:val="true"/>
              </w:rPr>
              <w:t xml:space="preserve">فيما اذا تنازع راكب الدابّة و قابض لجامها </w:t>
            </w:r>
            <w:r>
              <w:rPr>
                <w:rStyle w:val="IndexLink"/>
                <w:rtl w:val="true"/>
              </w:rPr>
              <w:t xml:space="preserve">... </w:t>
            </w:r>
            <w:r>
              <w:rPr>
                <w:rStyle w:val="IndexLink"/>
              </w:rPr>
              <w:t>184</w:t>
            </w:r>
            <w:r>
              <w:rPr>
                <w:rStyle w:val="IndexLink"/>
                <w:rtl w:val="true"/>
              </w:rPr>
              <w:tab/>
            </w:r>
            <w:r>
              <w:rPr>
                <w:rStyle w:val="IndexLink"/>
              </w:rPr>
              <w:t>193</w:t>
            </w:r>
          </w:hyperlink>
        </w:p>
        <w:p>
          <w:pPr>
            <w:pStyle w:val="Contents2"/>
            <w:tabs>
              <w:tab w:val="clear" w:pos="8743"/>
              <w:tab w:val="right" w:pos="9026" w:leader="dot"/>
            </w:tabs>
            <w:rPr/>
          </w:pPr>
          <w:hyperlink w:anchor="__RefHeading___Toc7971524_2870459653">
            <w:r>
              <w:rPr>
                <w:webHidden/>
                <w:rStyle w:val="IndexLink"/>
                <w:rtl w:val="true"/>
              </w:rPr>
              <w:t>كتاب الوديعة</w:t>
            </w:r>
            <w:r>
              <w:rPr>
                <w:rStyle w:val="IndexLink"/>
                <w:rtl w:val="true"/>
              </w:rPr>
              <w:tab/>
            </w:r>
            <w:r>
              <w:rPr>
                <w:rStyle w:val="IndexLink"/>
              </w:rPr>
              <w:t>196</w:t>
            </w:r>
          </w:hyperlink>
        </w:p>
        <w:p>
          <w:pPr>
            <w:pStyle w:val="Contents2"/>
            <w:tabs>
              <w:tab w:val="clear" w:pos="8743"/>
              <w:tab w:val="right" w:pos="9026" w:leader="dot"/>
            </w:tabs>
            <w:rPr/>
          </w:pPr>
          <w:hyperlink w:anchor="__RefHeading___Toc7971526_2870459653">
            <w:r>
              <w:rPr>
                <w:webHidden/>
                <w:rStyle w:val="IndexLink"/>
                <w:rtl w:val="true"/>
              </w:rPr>
              <w:t xml:space="preserve">النظر الأوّل </w:t>
            </w:r>
            <w:r>
              <w:rPr>
                <w:rStyle w:val="IndexLink"/>
                <w:rtl w:val="true"/>
              </w:rPr>
              <w:t xml:space="preserve">: </w:t>
            </w:r>
            <w:r>
              <w:rPr>
                <w:rStyle w:val="IndexLink"/>
                <w:rtl w:val="true"/>
              </w:rPr>
              <w:t>في العقد</w:t>
            </w:r>
            <w:r>
              <w:rPr>
                <w:rStyle w:val="IndexLink"/>
                <w:rtl w:val="true"/>
              </w:rPr>
              <w:tab/>
            </w:r>
            <w:r>
              <w:rPr>
                <w:rStyle w:val="IndexLink"/>
              </w:rPr>
              <w:t>196</w:t>
            </w:r>
          </w:hyperlink>
        </w:p>
        <w:p>
          <w:pPr>
            <w:pStyle w:val="Contents2"/>
            <w:tabs>
              <w:tab w:val="clear" w:pos="8743"/>
              <w:tab w:val="right" w:pos="9026" w:leader="dot"/>
            </w:tabs>
            <w:rPr/>
          </w:pPr>
          <w:hyperlink w:anchor="__RefHeading___Toc7971528_2870459653">
            <w:r>
              <w:rPr>
                <w:webHidden/>
                <w:rStyle w:val="IndexLink"/>
                <w:rtl w:val="true"/>
              </w:rPr>
              <w:t xml:space="preserve">فرع </w:t>
            </w:r>
            <w:r>
              <w:rPr>
                <w:rStyle w:val="IndexLink"/>
                <w:rtl w:val="true"/>
              </w:rPr>
              <w:t xml:space="preserve">: </w:t>
            </w:r>
            <w:r>
              <w:rPr>
                <w:rStyle w:val="IndexLink"/>
                <w:rtl w:val="true"/>
              </w:rPr>
              <w:t>فيما لو طرح مالاً عنده</w:t>
            </w:r>
            <w:r>
              <w:rPr>
                <w:rStyle w:val="IndexLink"/>
                <w:rtl w:val="true"/>
              </w:rPr>
              <w:tab/>
            </w:r>
            <w:r>
              <w:rPr>
                <w:rStyle w:val="IndexLink"/>
              </w:rPr>
              <w:t>197</w:t>
            </w:r>
          </w:hyperlink>
        </w:p>
        <w:p>
          <w:pPr>
            <w:pStyle w:val="Contents2"/>
            <w:tabs>
              <w:tab w:val="clear" w:pos="8743"/>
              <w:tab w:val="right" w:pos="9026" w:leader="dot"/>
            </w:tabs>
            <w:rPr/>
          </w:pPr>
          <w:hyperlink w:anchor="__RefHeading___Toc7971530_2870459653">
            <w:r>
              <w:rPr>
                <w:webHidden/>
                <w:rStyle w:val="IndexLink"/>
                <w:rtl w:val="true"/>
              </w:rPr>
              <w:t xml:space="preserve">فيما يجب على المستودع </w:t>
            </w:r>
            <w:r>
              <w:rPr>
                <w:rStyle w:val="IndexLink"/>
                <w:rtl w:val="true"/>
              </w:rPr>
              <w:t xml:space="preserve">... </w:t>
            </w:r>
            <w:r>
              <w:rPr>
                <w:rStyle w:val="IndexLink"/>
              </w:rPr>
              <w:t>190</w:t>
            </w:r>
            <w:r>
              <w:rPr>
                <w:rStyle w:val="IndexLink"/>
                <w:rtl w:val="true"/>
              </w:rPr>
              <w:tab/>
            </w:r>
            <w:r>
              <w:rPr>
                <w:rStyle w:val="IndexLink"/>
              </w:rPr>
              <w:t>199</w:t>
            </w:r>
          </w:hyperlink>
        </w:p>
        <w:p>
          <w:pPr>
            <w:pStyle w:val="Contents2"/>
            <w:tabs>
              <w:tab w:val="clear" w:pos="8743"/>
              <w:tab w:val="right" w:pos="9026" w:leader="dot"/>
            </w:tabs>
            <w:rPr/>
          </w:pPr>
          <w:hyperlink w:anchor="__RefHeading___Toc7971532_2870459653">
            <w:r>
              <w:rPr>
                <w:webHidden/>
                <w:rStyle w:val="IndexLink"/>
                <w:rtl w:val="true"/>
              </w:rPr>
              <w:t xml:space="preserve">الفرع الأوّل </w:t>
            </w:r>
            <w:r>
              <w:rPr>
                <w:rStyle w:val="IndexLink"/>
                <w:rtl w:val="true"/>
              </w:rPr>
              <w:t xml:space="preserve">: </w:t>
            </w:r>
            <w:r>
              <w:rPr>
                <w:rStyle w:val="IndexLink"/>
                <w:rtl w:val="true"/>
              </w:rPr>
              <w:t>في وجوب حفظ الوديعة</w:t>
            </w:r>
            <w:r>
              <w:rPr>
                <w:rStyle w:val="IndexLink"/>
                <w:rtl w:val="true"/>
              </w:rPr>
              <w:tab/>
            </w:r>
            <w:r>
              <w:rPr>
                <w:rStyle w:val="IndexLink"/>
              </w:rPr>
              <w:t>199</w:t>
            </w:r>
          </w:hyperlink>
        </w:p>
        <w:p>
          <w:pPr>
            <w:pStyle w:val="Contents2"/>
            <w:tabs>
              <w:tab w:val="clear" w:pos="8743"/>
              <w:tab w:val="right" w:pos="9026" w:leader="dot"/>
            </w:tabs>
            <w:rPr/>
          </w:pPr>
          <w:hyperlink w:anchor="__RefHeading___Toc7971534_2870459653">
            <w:r>
              <w:rPr>
                <w:webHidden/>
                <w:rStyle w:val="IndexLink"/>
                <w:rtl w:val="true"/>
              </w:rPr>
              <w:t xml:space="preserve">الفرع الثاني </w:t>
            </w:r>
            <w:r>
              <w:rPr>
                <w:rStyle w:val="IndexLink"/>
                <w:rtl w:val="true"/>
              </w:rPr>
              <w:t xml:space="preserve">: </w:t>
            </w:r>
            <w:r>
              <w:rPr>
                <w:rStyle w:val="IndexLink"/>
                <w:rtl w:val="true"/>
              </w:rPr>
              <w:t>فيما لو تلفت من غير تعدٍّ أو تفريط أو أخذت منه قهرا</w:t>
            </w:r>
            <w:r>
              <w:rPr>
                <w:rStyle w:val="IndexLink"/>
                <w:rtl w:val="true"/>
              </w:rPr>
              <w:tab/>
            </w:r>
            <w:r>
              <w:rPr>
                <w:rStyle w:val="IndexLink"/>
              </w:rPr>
              <w:t>200</w:t>
            </w:r>
          </w:hyperlink>
        </w:p>
        <w:p>
          <w:pPr>
            <w:pStyle w:val="Contents2"/>
            <w:tabs>
              <w:tab w:val="clear" w:pos="8743"/>
              <w:tab w:val="right" w:pos="9026" w:leader="dot"/>
            </w:tabs>
            <w:rPr/>
          </w:pPr>
          <w:hyperlink w:anchor="__RefHeading___Toc7971536_2870459653">
            <w:r>
              <w:rPr>
                <w:webHidden/>
                <w:rStyle w:val="IndexLink"/>
                <w:rtl w:val="true"/>
              </w:rPr>
              <w:t xml:space="preserve">الفرع الثالث </w:t>
            </w:r>
            <w:r>
              <w:rPr>
                <w:rStyle w:val="IndexLink"/>
                <w:rtl w:val="true"/>
              </w:rPr>
              <w:t xml:space="preserve">: </w:t>
            </w:r>
            <w:r>
              <w:rPr>
                <w:rStyle w:val="IndexLink"/>
                <w:rtl w:val="true"/>
              </w:rPr>
              <w:t>فيما لو كان هو الساعي في أخذها منه قهرا</w:t>
            </w:r>
            <w:r>
              <w:rPr>
                <w:rStyle w:val="IndexLink"/>
                <w:rtl w:val="true"/>
              </w:rPr>
              <w:tab/>
            </w:r>
            <w:r>
              <w:rPr>
                <w:rStyle w:val="IndexLink"/>
              </w:rPr>
              <w:t>202</w:t>
            </w:r>
          </w:hyperlink>
        </w:p>
        <w:p>
          <w:pPr>
            <w:pStyle w:val="Contents2"/>
            <w:tabs>
              <w:tab w:val="clear" w:pos="8743"/>
              <w:tab w:val="right" w:pos="9026" w:leader="dot"/>
            </w:tabs>
            <w:rPr/>
          </w:pPr>
          <w:hyperlink w:anchor="__RefHeading___Toc7971538_2870459653">
            <w:r>
              <w:rPr>
                <w:webHidden/>
                <w:rStyle w:val="IndexLink"/>
                <w:rtl w:val="true"/>
              </w:rPr>
              <w:t xml:space="preserve">الفرع الرابع </w:t>
            </w:r>
            <w:r>
              <w:rPr>
                <w:rStyle w:val="IndexLink"/>
                <w:rtl w:val="true"/>
              </w:rPr>
              <w:t xml:space="preserve">: </w:t>
            </w:r>
            <w:r>
              <w:rPr>
                <w:rStyle w:val="IndexLink"/>
                <w:rtl w:val="true"/>
              </w:rPr>
              <w:t>فيما لو تمكّن من الدفع</w:t>
            </w:r>
            <w:r>
              <w:rPr>
                <w:rStyle w:val="IndexLink"/>
                <w:rtl w:val="true"/>
              </w:rPr>
              <w:tab/>
            </w:r>
            <w:r>
              <w:rPr>
                <w:rStyle w:val="IndexLink"/>
              </w:rPr>
              <w:t>202</w:t>
            </w:r>
          </w:hyperlink>
        </w:p>
        <w:p>
          <w:pPr>
            <w:pStyle w:val="Contents2"/>
            <w:tabs>
              <w:tab w:val="clear" w:pos="8743"/>
              <w:tab w:val="right" w:pos="9026" w:leader="dot"/>
            </w:tabs>
            <w:rPr/>
          </w:pPr>
          <w:hyperlink w:anchor="__RefHeading___Toc7971540_2870459653">
            <w:r>
              <w:rPr>
                <w:webHidden/>
                <w:rStyle w:val="IndexLink"/>
                <w:rtl w:val="true"/>
              </w:rPr>
              <w:t xml:space="preserve">الفرع الخامس </w:t>
            </w:r>
            <w:r>
              <w:rPr>
                <w:rStyle w:val="IndexLink"/>
                <w:rtl w:val="true"/>
              </w:rPr>
              <w:t xml:space="preserve">: </w:t>
            </w:r>
            <w:r>
              <w:rPr>
                <w:rStyle w:val="IndexLink"/>
                <w:rtl w:val="true"/>
              </w:rPr>
              <w:t>فيما توقّف دفع الظالم عن الوديعة على انكارها كاذبا</w:t>
            </w:r>
            <w:r>
              <w:rPr>
                <w:rStyle w:val="IndexLink"/>
                <w:rtl w:val="true"/>
              </w:rPr>
              <w:tab/>
            </w:r>
            <w:r>
              <w:rPr>
                <w:rStyle w:val="IndexLink"/>
              </w:rPr>
              <w:t>204</w:t>
            </w:r>
          </w:hyperlink>
        </w:p>
        <w:p>
          <w:pPr>
            <w:pStyle w:val="Contents2"/>
            <w:tabs>
              <w:tab w:val="clear" w:pos="8743"/>
              <w:tab w:val="right" w:pos="9026" w:leader="dot"/>
            </w:tabs>
            <w:rPr/>
          </w:pPr>
          <w:hyperlink w:anchor="__RefHeading___Toc7971542_2870459653">
            <w:r>
              <w:rPr>
                <w:webHidden/>
                <w:rStyle w:val="IndexLink"/>
                <w:rtl w:val="true"/>
              </w:rPr>
              <w:t xml:space="preserve">في أنّ الوديعة من العقود الجائزة </w:t>
            </w:r>
            <w:r>
              <w:rPr>
                <w:rStyle w:val="IndexLink"/>
                <w:rtl w:val="true"/>
              </w:rPr>
              <w:t xml:space="preserve">... </w:t>
            </w:r>
            <w:r>
              <w:rPr>
                <w:rStyle w:val="IndexLink"/>
              </w:rPr>
              <w:t>196</w:t>
            </w:r>
            <w:r>
              <w:rPr>
                <w:rStyle w:val="IndexLink"/>
                <w:rtl w:val="true"/>
              </w:rPr>
              <w:tab/>
            </w:r>
            <w:r>
              <w:rPr>
                <w:rStyle w:val="IndexLink"/>
              </w:rPr>
              <w:t>205</w:t>
            </w:r>
          </w:hyperlink>
        </w:p>
        <w:p>
          <w:pPr>
            <w:pStyle w:val="Contents2"/>
            <w:tabs>
              <w:tab w:val="clear" w:pos="8743"/>
              <w:tab w:val="right" w:pos="9026" w:leader="dot"/>
            </w:tabs>
            <w:rPr/>
          </w:pPr>
          <w:hyperlink w:anchor="__RefHeading___Toc7971544_2870459653">
            <w:r>
              <w:rPr>
                <w:webHidden/>
                <w:rStyle w:val="IndexLink"/>
                <w:rtl w:val="true"/>
              </w:rPr>
              <w:t xml:space="preserve">في كيفيّة حفظ الوديعة </w:t>
            </w:r>
            <w:r>
              <w:rPr>
                <w:rStyle w:val="IndexLink"/>
                <w:rtl w:val="true"/>
              </w:rPr>
              <w:t xml:space="preserve">... </w:t>
            </w:r>
            <w:r>
              <w:rPr>
                <w:rStyle w:val="IndexLink"/>
              </w:rPr>
              <w:t>197</w:t>
            </w:r>
            <w:r>
              <w:rPr>
                <w:rStyle w:val="IndexLink"/>
                <w:rtl w:val="true"/>
              </w:rPr>
              <w:tab/>
            </w:r>
            <w:r>
              <w:rPr>
                <w:rStyle w:val="IndexLink"/>
              </w:rPr>
              <w:t>206</w:t>
            </w:r>
          </w:hyperlink>
        </w:p>
        <w:p>
          <w:pPr>
            <w:pStyle w:val="Contents2"/>
            <w:tabs>
              <w:tab w:val="clear" w:pos="8743"/>
              <w:tab w:val="right" w:pos="9026" w:leader="dot"/>
            </w:tabs>
            <w:rPr/>
          </w:pPr>
          <w:hyperlink w:anchor="__RefHeading___Toc7971546_2870459653">
            <w:r>
              <w:rPr>
                <w:webHidden/>
                <w:rStyle w:val="IndexLink"/>
                <w:rtl w:val="true"/>
              </w:rPr>
              <w:t xml:space="preserve">الفرع الأوّل </w:t>
            </w:r>
            <w:r>
              <w:rPr>
                <w:rStyle w:val="IndexLink"/>
                <w:rtl w:val="true"/>
              </w:rPr>
              <w:t xml:space="preserve">: </w:t>
            </w:r>
            <w:r>
              <w:rPr>
                <w:rStyle w:val="IndexLink"/>
                <w:rtl w:val="true"/>
              </w:rPr>
              <w:t>في وجوب حفظ الوديعة بما جرت العادة</w:t>
            </w:r>
            <w:r>
              <w:rPr>
                <w:rStyle w:val="IndexLink"/>
                <w:rtl w:val="true"/>
              </w:rPr>
              <w:tab/>
            </w:r>
            <w:r>
              <w:rPr>
                <w:rStyle w:val="IndexLink"/>
              </w:rPr>
              <w:t>206</w:t>
            </w:r>
          </w:hyperlink>
        </w:p>
        <w:p>
          <w:pPr>
            <w:pStyle w:val="Contents2"/>
            <w:tabs>
              <w:tab w:val="clear" w:pos="8743"/>
              <w:tab w:val="right" w:pos="9026" w:leader="dot"/>
            </w:tabs>
            <w:rPr/>
          </w:pPr>
          <w:hyperlink w:anchor="__RefHeading___Toc7971548_2870459653">
            <w:r>
              <w:rPr>
                <w:webHidden/>
                <w:rStyle w:val="IndexLink"/>
                <w:rtl w:val="true"/>
              </w:rPr>
              <w:t xml:space="preserve">الفرع الثاني </w:t>
            </w:r>
            <w:r>
              <w:rPr>
                <w:rStyle w:val="IndexLink"/>
                <w:rtl w:val="true"/>
              </w:rPr>
              <w:t xml:space="preserve">: </w:t>
            </w:r>
            <w:r>
              <w:rPr>
                <w:rStyle w:val="IndexLink"/>
                <w:rtl w:val="true"/>
              </w:rPr>
              <w:t>في حفظ الدابّة المودعة</w:t>
            </w:r>
            <w:r>
              <w:rPr>
                <w:rStyle w:val="IndexLink"/>
                <w:rtl w:val="true"/>
              </w:rPr>
              <w:tab/>
            </w:r>
            <w:r>
              <w:rPr>
                <w:rStyle w:val="IndexLink"/>
              </w:rPr>
              <w:t>207</w:t>
            </w:r>
          </w:hyperlink>
        </w:p>
        <w:p>
          <w:pPr>
            <w:pStyle w:val="Contents2"/>
            <w:tabs>
              <w:tab w:val="clear" w:pos="8743"/>
              <w:tab w:val="right" w:pos="9026" w:leader="dot"/>
            </w:tabs>
            <w:rPr/>
          </w:pPr>
          <w:hyperlink w:anchor="__RefHeading___Toc7971550_2870459653">
            <w:r>
              <w:rPr>
                <w:webHidden/>
                <w:rStyle w:val="IndexLink"/>
                <w:rtl w:val="true"/>
              </w:rPr>
              <w:t xml:space="preserve">الفرع الثالث </w:t>
            </w:r>
            <w:r>
              <w:rPr>
                <w:rStyle w:val="IndexLink"/>
                <w:rtl w:val="true"/>
              </w:rPr>
              <w:t xml:space="preserve">: </w:t>
            </w:r>
            <w:r>
              <w:rPr>
                <w:rStyle w:val="IndexLink"/>
                <w:rtl w:val="true"/>
              </w:rPr>
              <w:t>فيما لو نهى مالك الدابّة عن سقيها و علفها</w:t>
            </w:r>
            <w:r>
              <w:rPr>
                <w:rStyle w:val="IndexLink"/>
                <w:rtl w:val="true"/>
              </w:rPr>
              <w:tab/>
            </w:r>
            <w:r>
              <w:rPr>
                <w:rStyle w:val="IndexLink"/>
              </w:rPr>
              <w:t>208</w:t>
            </w:r>
          </w:hyperlink>
        </w:p>
        <w:p>
          <w:pPr>
            <w:pStyle w:val="Contents2"/>
            <w:tabs>
              <w:tab w:val="clear" w:pos="8743"/>
              <w:tab w:val="right" w:pos="9026" w:leader="dot"/>
            </w:tabs>
            <w:rPr/>
          </w:pPr>
          <w:hyperlink w:anchor="__RefHeading___Toc7971552_2870459653">
            <w:r>
              <w:rPr>
                <w:webHidden/>
                <w:rStyle w:val="IndexLink"/>
                <w:rtl w:val="true"/>
              </w:rPr>
              <w:t xml:space="preserve">فيما لو عيّن له موضع الاحتفاظ </w:t>
            </w:r>
            <w:r>
              <w:rPr>
                <w:rStyle w:val="IndexLink"/>
                <w:rtl w:val="true"/>
              </w:rPr>
              <w:t xml:space="preserve">... </w:t>
            </w:r>
            <w:r>
              <w:rPr>
                <w:rStyle w:val="IndexLink"/>
              </w:rPr>
              <w:t>200</w:t>
            </w:r>
            <w:r>
              <w:rPr>
                <w:rStyle w:val="IndexLink"/>
                <w:rtl w:val="true"/>
              </w:rPr>
              <w:tab/>
            </w:r>
            <w:r>
              <w:rPr>
                <w:rStyle w:val="IndexLink"/>
              </w:rPr>
              <w:t>209</w:t>
            </w:r>
          </w:hyperlink>
        </w:p>
        <w:p>
          <w:pPr>
            <w:pStyle w:val="Contents2"/>
            <w:tabs>
              <w:tab w:val="clear" w:pos="8743"/>
              <w:tab w:val="right" w:pos="9026" w:leader="dot"/>
            </w:tabs>
            <w:rPr/>
          </w:pPr>
          <w:hyperlink w:anchor="__RefHeading___Toc7971554_2870459653">
            <w:r>
              <w:rPr>
                <w:webHidden/>
                <w:rStyle w:val="IndexLink"/>
                <w:rtl w:val="true"/>
              </w:rPr>
              <w:t xml:space="preserve">في وديعة الطفل و المجنون </w:t>
            </w:r>
            <w:r>
              <w:rPr>
                <w:rStyle w:val="IndexLink"/>
                <w:rtl w:val="true"/>
              </w:rPr>
              <w:t xml:space="preserve">... </w:t>
            </w:r>
            <w:r>
              <w:rPr>
                <w:rStyle w:val="IndexLink"/>
              </w:rPr>
              <w:t>201</w:t>
            </w:r>
            <w:r>
              <w:rPr>
                <w:rStyle w:val="IndexLink"/>
                <w:rtl w:val="true"/>
              </w:rPr>
              <w:tab/>
            </w:r>
            <w:r>
              <w:rPr>
                <w:rStyle w:val="IndexLink"/>
              </w:rPr>
              <w:t>210</w:t>
            </w:r>
          </w:hyperlink>
        </w:p>
        <w:p>
          <w:pPr>
            <w:pStyle w:val="Contents2"/>
            <w:tabs>
              <w:tab w:val="clear" w:pos="8743"/>
              <w:tab w:val="right" w:pos="9026" w:leader="dot"/>
            </w:tabs>
            <w:rPr/>
          </w:pPr>
          <w:hyperlink w:anchor="__RefHeading___Toc7971556_2870459653">
            <w:r>
              <w:rPr>
                <w:webHidden/>
                <w:rStyle w:val="IndexLink"/>
                <w:rtl w:val="true"/>
              </w:rPr>
              <w:t xml:space="preserve">فيما اذا ظهر للمودع أمارة الموت </w:t>
            </w:r>
            <w:r>
              <w:rPr>
                <w:rStyle w:val="IndexLink"/>
                <w:rtl w:val="true"/>
              </w:rPr>
              <w:t xml:space="preserve">... </w:t>
            </w:r>
            <w:r>
              <w:rPr>
                <w:rStyle w:val="IndexLink"/>
              </w:rPr>
              <w:t>203</w:t>
            </w:r>
            <w:r>
              <w:rPr>
                <w:rStyle w:val="IndexLink"/>
                <w:rtl w:val="true"/>
              </w:rPr>
              <w:tab/>
            </w:r>
            <w:r>
              <w:rPr>
                <w:rStyle w:val="IndexLink"/>
              </w:rPr>
              <w:t>212</w:t>
            </w:r>
          </w:hyperlink>
        </w:p>
        <w:p>
          <w:pPr>
            <w:pStyle w:val="Contents2"/>
            <w:tabs>
              <w:tab w:val="clear" w:pos="8743"/>
              <w:tab w:val="right" w:pos="9026" w:leader="dot"/>
            </w:tabs>
            <w:rPr/>
          </w:pPr>
          <w:hyperlink w:anchor="__RefHeading___Toc7971558_2870459653">
            <w:r>
              <w:rPr>
                <w:webHidden/>
                <w:rStyle w:val="IndexLink"/>
                <w:rtl w:val="true"/>
              </w:rPr>
              <w:t xml:space="preserve">في وجوب اعادة الوديعة على المودع مع المطالبة </w:t>
            </w:r>
            <w:r>
              <w:rPr>
                <w:rStyle w:val="IndexLink"/>
                <w:rtl w:val="true"/>
              </w:rPr>
              <w:t xml:space="preserve">... </w:t>
            </w:r>
            <w:r>
              <w:rPr>
                <w:rStyle w:val="IndexLink"/>
              </w:rPr>
              <w:t>204</w:t>
            </w:r>
            <w:r>
              <w:rPr>
                <w:rStyle w:val="IndexLink"/>
                <w:rtl w:val="true"/>
              </w:rPr>
              <w:tab/>
            </w:r>
            <w:r>
              <w:rPr>
                <w:rStyle w:val="IndexLink"/>
              </w:rPr>
              <w:t>213</w:t>
            </w:r>
          </w:hyperlink>
        </w:p>
        <w:p>
          <w:pPr>
            <w:pStyle w:val="Contents2"/>
            <w:tabs>
              <w:tab w:val="clear" w:pos="8743"/>
              <w:tab w:val="right" w:pos="9026" w:leader="dot"/>
            </w:tabs>
            <w:rPr/>
          </w:pPr>
          <w:hyperlink w:anchor="__RefHeading___Toc7971560_2870459653">
            <w:r>
              <w:rPr>
                <w:webHidden/>
                <w:rStyle w:val="IndexLink"/>
                <w:rtl w:val="true"/>
              </w:rPr>
              <w:t xml:space="preserve">الفرع الأوّل </w:t>
            </w:r>
            <w:r>
              <w:rPr>
                <w:rStyle w:val="IndexLink"/>
                <w:rtl w:val="true"/>
              </w:rPr>
              <w:t xml:space="preserve">: </w:t>
            </w:r>
            <w:r>
              <w:rPr>
                <w:rStyle w:val="IndexLink"/>
                <w:rtl w:val="true"/>
              </w:rPr>
              <w:t>في وجوب ردّ الوديعة عند المطالبة</w:t>
            </w:r>
            <w:r>
              <w:rPr>
                <w:rStyle w:val="IndexLink"/>
                <w:rtl w:val="true"/>
              </w:rPr>
              <w:tab/>
            </w:r>
            <w:r>
              <w:rPr>
                <w:rStyle w:val="IndexLink"/>
              </w:rPr>
              <w:t>213</w:t>
            </w:r>
          </w:hyperlink>
        </w:p>
        <w:p>
          <w:pPr>
            <w:pStyle w:val="Contents2"/>
            <w:tabs>
              <w:tab w:val="clear" w:pos="8743"/>
              <w:tab w:val="right" w:pos="9026" w:leader="dot"/>
            </w:tabs>
            <w:rPr/>
          </w:pPr>
          <w:hyperlink w:anchor="__RefHeading___Toc7971562_2870459653">
            <w:r>
              <w:rPr>
                <w:webHidden/>
                <w:rStyle w:val="IndexLink"/>
                <w:rtl w:val="true"/>
              </w:rPr>
              <w:t xml:space="preserve">الفرع الثاني </w:t>
            </w:r>
            <w:r>
              <w:rPr>
                <w:rStyle w:val="IndexLink"/>
                <w:rtl w:val="true"/>
              </w:rPr>
              <w:t xml:space="preserve">: </w:t>
            </w:r>
            <w:r>
              <w:rPr>
                <w:rStyle w:val="IndexLink"/>
                <w:rtl w:val="true"/>
              </w:rPr>
              <w:t>فيما اذا كان المودع غاصبا</w:t>
            </w:r>
            <w:r>
              <w:rPr>
                <w:rStyle w:val="IndexLink"/>
                <w:rtl w:val="true"/>
              </w:rPr>
              <w:tab/>
            </w:r>
            <w:r>
              <w:rPr>
                <w:rStyle w:val="IndexLink"/>
              </w:rPr>
              <w:t>215</w:t>
            </w:r>
          </w:hyperlink>
        </w:p>
        <w:p>
          <w:pPr>
            <w:pStyle w:val="Contents2"/>
            <w:tabs>
              <w:tab w:val="clear" w:pos="8743"/>
              <w:tab w:val="right" w:pos="9026" w:leader="dot"/>
            </w:tabs>
            <w:rPr/>
          </w:pPr>
          <w:hyperlink w:anchor="__RefHeading___Toc7971564_2870459653">
            <w:r>
              <w:rPr>
                <w:webHidden/>
                <w:rStyle w:val="IndexLink"/>
                <w:rtl w:val="true"/>
              </w:rPr>
              <w:t xml:space="preserve">الفرع الثالث </w:t>
            </w:r>
            <w:r>
              <w:rPr>
                <w:rStyle w:val="IndexLink"/>
                <w:rtl w:val="true"/>
              </w:rPr>
              <w:t xml:space="preserve">: </w:t>
            </w:r>
            <w:r>
              <w:rPr>
                <w:rStyle w:val="IndexLink"/>
                <w:rtl w:val="true"/>
              </w:rPr>
              <w:t>فيما لو كان الغاصب مزجها بماله ثمّ أودع الجميع</w:t>
            </w:r>
            <w:r>
              <w:rPr>
                <w:rStyle w:val="IndexLink"/>
                <w:rtl w:val="true"/>
              </w:rPr>
              <w:tab/>
            </w:r>
            <w:r>
              <w:rPr>
                <w:rStyle w:val="IndexLink"/>
              </w:rPr>
              <w:t>216</w:t>
            </w:r>
          </w:hyperlink>
        </w:p>
        <w:p>
          <w:pPr>
            <w:pStyle w:val="Contents2"/>
            <w:tabs>
              <w:tab w:val="clear" w:pos="8743"/>
              <w:tab w:val="right" w:pos="9026" w:leader="dot"/>
            </w:tabs>
            <w:rPr/>
          </w:pPr>
          <w:hyperlink w:anchor="__RefHeading___Toc7971566_2870459653">
            <w:r>
              <w:rPr>
                <w:webHidden/>
                <w:rStyle w:val="IndexLink"/>
                <w:rtl w:val="true"/>
              </w:rPr>
              <w:t xml:space="preserve">النظر الثاني </w:t>
            </w:r>
            <w:r>
              <w:rPr>
                <w:rStyle w:val="IndexLink"/>
                <w:rtl w:val="true"/>
              </w:rPr>
              <w:t xml:space="preserve">: </w:t>
            </w:r>
            <w:r>
              <w:rPr>
                <w:rStyle w:val="IndexLink"/>
                <w:rtl w:val="true"/>
              </w:rPr>
              <w:t>في موجبات الضمان</w:t>
            </w:r>
            <w:r>
              <w:rPr>
                <w:rStyle w:val="IndexLink"/>
                <w:rtl w:val="true"/>
              </w:rPr>
              <w:tab/>
            </w:r>
            <w:r>
              <w:rPr>
                <w:rStyle w:val="IndexLink"/>
              </w:rPr>
              <w:t>218</w:t>
            </w:r>
          </w:hyperlink>
        </w:p>
        <w:p>
          <w:pPr>
            <w:pStyle w:val="Contents2"/>
            <w:tabs>
              <w:tab w:val="clear" w:pos="8743"/>
              <w:tab w:val="right" w:pos="9026" w:leader="dot"/>
            </w:tabs>
            <w:rPr/>
          </w:pPr>
          <w:hyperlink w:anchor="__RefHeading___Toc7971568_2870459653">
            <w:r>
              <w:rPr>
                <w:webHidden/>
                <w:rStyle w:val="IndexLink"/>
                <w:rtl w:val="true"/>
              </w:rPr>
              <w:t xml:space="preserve">القسم الأوّل </w:t>
            </w:r>
            <w:r>
              <w:rPr>
                <w:rStyle w:val="IndexLink"/>
                <w:rtl w:val="true"/>
              </w:rPr>
              <w:t xml:space="preserve">: </w:t>
            </w:r>
            <w:r>
              <w:rPr>
                <w:rStyle w:val="IndexLink"/>
                <w:rtl w:val="true"/>
              </w:rPr>
              <w:t>في التفريط</w:t>
            </w:r>
            <w:r>
              <w:rPr>
                <w:rStyle w:val="IndexLink"/>
                <w:rtl w:val="true"/>
              </w:rPr>
              <w:tab/>
            </w:r>
            <w:r>
              <w:rPr>
                <w:rStyle w:val="IndexLink"/>
              </w:rPr>
              <w:t>218</w:t>
            </w:r>
          </w:hyperlink>
        </w:p>
        <w:p>
          <w:pPr>
            <w:pStyle w:val="Contents2"/>
            <w:tabs>
              <w:tab w:val="clear" w:pos="8743"/>
              <w:tab w:val="right" w:pos="9026" w:leader="dot"/>
            </w:tabs>
            <w:rPr/>
          </w:pPr>
          <w:hyperlink w:anchor="__RefHeading___Toc7971570_2870459653">
            <w:r>
              <w:rPr>
                <w:webHidden/>
                <w:rStyle w:val="IndexLink"/>
                <w:rtl w:val="true"/>
              </w:rPr>
              <w:t xml:space="preserve">القسم الثاني </w:t>
            </w:r>
            <w:r>
              <w:rPr>
                <w:rStyle w:val="IndexLink"/>
                <w:rtl w:val="true"/>
              </w:rPr>
              <w:t xml:space="preserve">: </w:t>
            </w:r>
            <w:r>
              <w:rPr>
                <w:rStyle w:val="IndexLink"/>
                <w:rtl w:val="true"/>
              </w:rPr>
              <w:t>في التعدّي</w:t>
            </w:r>
            <w:r>
              <w:rPr>
                <w:rStyle w:val="IndexLink"/>
                <w:rtl w:val="true"/>
              </w:rPr>
              <w:tab/>
            </w:r>
            <w:r>
              <w:rPr>
                <w:rStyle w:val="IndexLink"/>
              </w:rPr>
              <w:t>220</w:t>
            </w:r>
          </w:hyperlink>
        </w:p>
        <w:p>
          <w:pPr>
            <w:pStyle w:val="Contents2"/>
            <w:tabs>
              <w:tab w:val="clear" w:pos="8743"/>
              <w:tab w:val="right" w:pos="9026" w:leader="dot"/>
            </w:tabs>
            <w:rPr/>
          </w:pPr>
          <w:hyperlink w:anchor="__RefHeading___Toc7971572_2870459653">
            <w:r>
              <w:rPr>
                <w:webHidden/>
                <w:rStyle w:val="IndexLink"/>
                <w:rtl w:val="true"/>
              </w:rPr>
              <w:t xml:space="preserve">النظرالثالث </w:t>
            </w:r>
            <w:r>
              <w:rPr>
                <w:rStyle w:val="IndexLink"/>
                <w:rtl w:val="true"/>
              </w:rPr>
              <w:t xml:space="preserve">: </w:t>
            </w:r>
            <w:r>
              <w:rPr>
                <w:rStyle w:val="IndexLink"/>
                <w:rtl w:val="true"/>
              </w:rPr>
              <w:t>في اللواحق</w:t>
            </w:r>
            <w:r>
              <w:rPr>
                <w:rStyle w:val="IndexLink"/>
                <w:rtl w:val="true"/>
              </w:rPr>
              <w:tab/>
            </w:r>
            <w:r>
              <w:rPr>
                <w:rStyle w:val="IndexLink"/>
              </w:rPr>
              <w:t>224</w:t>
            </w:r>
          </w:hyperlink>
        </w:p>
        <w:p>
          <w:pPr>
            <w:pStyle w:val="Contents2"/>
            <w:tabs>
              <w:tab w:val="clear" w:pos="8743"/>
              <w:tab w:val="right" w:pos="9026" w:leader="dot"/>
            </w:tabs>
            <w:rPr/>
          </w:pPr>
          <w:hyperlink w:anchor="__RefHeading___Toc7971574_2870459653">
            <w:r>
              <w:rPr>
                <w:webHidden/>
                <w:rStyle w:val="IndexLink"/>
                <w:rtl w:val="true"/>
              </w:rPr>
              <w:t xml:space="preserve">في السفر بالوديعة </w:t>
            </w:r>
            <w:r>
              <w:rPr>
                <w:rStyle w:val="IndexLink"/>
                <w:rtl w:val="true"/>
              </w:rPr>
              <w:t xml:space="preserve">... </w:t>
            </w:r>
            <w:r>
              <w:rPr>
                <w:rStyle w:val="IndexLink"/>
              </w:rPr>
              <w:t>215</w:t>
            </w:r>
            <w:r>
              <w:rPr>
                <w:rStyle w:val="IndexLink"/>
                <w:rtl w:val="true"/>
              </w:rPr>
              <w:tab/>
            </w:r>
            <w:r>
              <w:rPr>
                <w:rStyle w:val="IndexLink"/>
              </w:rPr>
              <w:t>224</w:t>
            </w:r>
          </w:hyperlink>
        </w:p>
        <w:p>
          <w:pPr>
            <w:pStyle w:val="Contents2"/>
            <w:tabs>
              <w:tab w:val="clear" w:pos="8743"/>
              <w:tab w:val="right" w:pos="9026" w:leader="dot"/>
            </w:tabs>
            <w:rPr/>
          </w:pPr>
          <w:hyperlink w:anchor="__RefHeading___Toc7971576_2870459653">
            <w:r>
              <w:rPr>
                <w:webHidden/>
                <w:rStyle w:val="IndexLink"/>
                <w:rtl w:val="true"/>
              </w:rPr>
              <w:t xml:space="preserve">في أنّه لايبرأ المودع الاّ بردّها الى المالك أو وكيله </w:t>
            </w:r>
            <w:r>
              <w:rPr>
                <w:rStyle w:val="IndexLink"/>
                <w:rtl w:val="true"/>
              </w:rPr>
              <w:t xml:space="preserve">... </w:t>
            </w:r>
            <w:r>
              <w:rPr>
                <w:rStyle w:val="IndexLink"/>
              </w:rPr>
              <w:t>216</w:t>
            </w:r>
            <w:r>
              <w:rPr>
                <w:rStyle w:val="IndexLink"/>
                <w:rtl w:val="true"/>
              </w:rPr>
              <w:tab/>
            </w:r>
            <w:r>
              <w:rPr>
                <w:rStyle w:val="IndexLink"/>
              </w:rPr>
              <w:t>225</w:t>
            </w:r>
          </w:hyperlink>
        </w:p>
        <w:p>
          <w:pPr>
            <w:pStyle w:val="Contents2"/>
            <w:tabs>
              <w:tab w:val="clear" w:pos="8743"/>
              <w:tab w:val="right" w:pos="9026" w:leader="dot"/>
            </w:tabs>
            <w:rPr/>
          </w:pPr>
          <w:hyperlink w:anchor="__RefHeading___Toc7971578_2870459653">
            <w:r>
              <w:rPr>
                <w:webHidden/>
                <w:rStyle w:val="IndexLink"/>
                <w:rtl w:val="true"/>
              </w:rPr>
              <w:t xml:space="preserve">فيما لو قدر على الحاكم فدفعها الى الثقة </w:t>
            </w:r>
            <w:r>
              <w:rPr>
                <w:rStyle w:val="IndexLink"/>
                <w:rtl w:val="true"/>
              </w:rPr>
              <w:t xml:space="preserve">... </w:t>
            </w:r>
            <w:r>
              <w:rPr>
                <w:rStyle w:val="IndexLink"/>
              </w:rPr>
              <w:t>216</w:t>
            </w:r>
            <w:r>
              <w:rPr>
                <w:rStyle w:val="IndexLink"/>
                <w:rtl w:val="true"/>
              </w:rPr>
              <w:tab/>
            </w:r>
            <w:r>
              <w:rPr>
                <w:rStyle w:val="IndexLink"/>
              </w:rPr>
              <w:t>225</w:t>
            </w:r>
          </w:hyperlink>
        </w:p>
        <w:p>
          <w:pPr>
            <w:pStyle w:val="Contents2"/>
            <w:tabs>
              <w:tab w:val="clear" w:pos="8743"/>
              <w:tab w:val="right" w:pos="9026" w:leader="dot"/>
            </w:tabs>
            <w:rPr/>
          </w:pPr>
          <w:hyperlink w:anchor="__RefHeading___Toc7971580_2870459653">
            <w:r>
              <w:rPr>
                <w:webHidden/>
                <w:rStyle w:val="IndexLink"/>
                <w:rtl w:val="true"/>
              </w:rPr>
              <w:t xml:space="preserve">فيما اذا أراد السفر فدفنها </w:t>
            </w:r>
            <w:r>
              <w:rPr>
                <w:rStyle w:val="IndexLink"/>
                <w:rtl w:val="true"/>
              </w:rPr>
              <w:t xml:space="preserve">... </w:t>
            </w:r>
            <w:r>
              <w:rPr>
                <w:rStyle w:val="IndexLink"/>
              </w:rPr>
              <w:t>216</w:t>
            </w:r>
            <w:r>
              <w:rPr>
                <w:rStyle w:val="IndexLink"/>
                <w:rtl w:val="true"/>
              </w:rPr>
              <w:tab/>
            </w:r>
            <w:r>
              <w:rPr>
                <w:rStyle w:val="IndexLink"/>
              </w:rPr>
              <w:t>225</w:t>
            </w:r>
          </w:hyperlink>
        </w:p>
        <w:p>
          <w:pPr>
            <w:pStyle w:val="Contents2"/>
            <w:tabs>
              <w:tab w:val="clear" w:pos="8743"/>
              <w:tab w:val="right" w:pos="9026" w:leader="dot"/>
            </w:tabs>
            <w:rPr/>
          </w:pPr>
          <w:hyperlink w:anchor="__RefHeading___Toc7971582_2870459653">
            <w:r>
              <w:rPr>
                <w:webHidden/>
                <w:rStyle w:val="IndexLink"/>
                <w:rtl w:val="true"/>
              </w:rPr>
              <w:t xml:space="preserve">فيما اذا أعاد الوديعة بعد التفريط الى الحرز </w:t>
            </w:r>
            <w:r>
              <w:rPr>
                <w:rStyle w:val="IndexLink"/>
                <w:rtl w:val="true"/>
              </w:rPr>
              <w:t xml:space="preserve">... </w:t>
            </w:r>
            <w:r>
              <w:rPr>
                <w:rStyle w:val="IndexLink"/>
              </w:rPr>
              <w:t>217</w:t>
            </w:r>
            <w:r>
              <w:rPr>
                <w:rStyle w:val="IndexLink"/>
                <w:rtl w:val="true"/>
              </w:rPr>
              <w:tab/>
            </w:r>
            <w:r>
              <w:rPr>
                <w:rStyle w:val="IndexLink"/>
              </w:rPr>
              <w:t>226</w:t>
            </w:r>
          </w:hyperlink>
        </w:p>
        <w:p>
          <w:pPr>
            <w:pStyle w:val="Contents2"/>
            <w:tabs>
              <w:tab w:val="clear" w:pos="8743"/>
              <w:tab w:val="right" w:pos="9026" w:leader="dot"/>
            </w:tabs>
            <w:rPr/>
          </w:pPr>
          <w:hyperlink w:anchor="__RefHeading___Toc7971584_2870459653">
            <w:r>
              <w:rPr>
                <w:webHidden/>
                <w:rStyle w:val="IndexLink"/>
                <w:rtl w:val="true"/>
              </w:rPr>
              <w:t xml:space="preserve">في انكار الوديعة أو دعوى تلفها أو ردّها </w:t>
            </w:r>
            <w:r>
              <w:rPr>
                <w:rStyle w:val="IndexLink"/>
                <w:rtl w:val="true"/>
              </w:rPr>
              <w:t xml:space="preserve">... </w:t>
            </w:r>
            <w:r>
              <w:rPr>
                <w:rStyle w:val="IndexLink"/>
              </w:rPr>
              <w:t>218</w:t>
            </w:r>
            <w:r>
              <w:rPr>
                <w:rStyle w:val="IndexLink"/>
                <w:rtl w:val="true"/>
              </w:rPr>
              <w:tab/>
            </w:r>
            <w:r>
              <w:rPr>
                <w:rStyle w:val="IndexLink"/>
              </w:rPr>
              <w:t>227</w:t>
            </w:r>
          </w:hyperlink>
        </w:p>
        <w:p>
          <w:pPr>
            <w:pStyle w:val="Contents2"/>
            <w:tabs>
              <w:tab w:val="clear" w:pos="8743"/>
              <w:tab w:val="right" w:pos="9026" w:leader="dot"/>
            </w:tabs>
            <w:rPr/>
          </w:pPr>
          <w:hyperlink w:anchor="__RefHeading___Toc7971586_2870459653">
            <w:r>
              <w:rPr>
                <w:webHidden/>
                <w:rStyle w:val="IndexLink"/>
                <w:rtl w:val="true"/>
              </w:rPr>
              <w:t xml:space="preserve">فرع </w:t>
            </w:r>
            <w:r>
              <w:rPr>
                <w:rStyle w:val="IndexLink"/>
                <w:rtl w:val="true"/>
              </w:rPr>
              <w:t xml:space="preserve">: </w:t>
            </w:r>
            <w:r>
              <w:rPr>
                <w:rStyle w:val="IndexLink"/>
                <w:rtl w:val="true"/>
              </w:rPr>
              <w:t>فيما لو أمر المودع المستودع بدفع الوديعة الى غير المالك</w:t>
            </w:r>
            <w:r>
              <w:rPr>
                <w:rStyle w:val="IndexLink"/>
                <w:rtl w:val="true"/>
              </w:rPr>
              <w:tab/>
            </w:r>
            <w:r>
              <w:rPr>
                <w:rStyle w:val="IndexLink"/>
              </w:rPr>
              <w:t>228</w:t>
            </w:r>
          </w:hyperlink>
        </w:p>
        <w:p>
          <w:pPr>
            <w:pStyle w:val="Contents2"/>
            <w:tabs>
              <w:tab w:val="clear" w:pos="8743"/>
              <w:tab w:val="right" w:pos="9026" w:leader="dot"/>
            </w:tabs>
            <w:rPr/>
          </w:pPr>
          <w:hyperlink w:anchor="__RefHeading___Toc7971588_2870459653">
            <w:r>
              <w:rPr>
                <w:webHidden/>
                <w:rStyle w:val="IndexLink"/>
                <w:rtl w:val="true"/>
              </w:rPr>
              <w:t xml:space="preserve">فيما اذا ادّعى التلف بعد ما أقام المالك البيّنة على الوديعة </w:t>
            </w:r>
            <w:r>
              <w:rPr>
                <w:rStyle w:val="IndexLink"/>
                <w:rtl w:val="true"/>
              </w:rPr>
              <w:t xml:space="preserve">... </w:t>
            </w:r>
            <w:r>
              <w:rPr>
                <w:rStyle w:val="IndexLink"/>
              </w:rPr>
              <w:t>220</w:t>
            </w:r>
            <w:r>
              <w:rPr>
                <w:rStyle w:val="IndexLink"/>
                <w:rtl w:val="true"/>
              </w:rPr>
              <w:tab/>
            </w:r>
            <w:r>
              <w:rPr>
                <w:rStyle w:val="IndexLink"/>
              </w:rPr>
              <w:t>229</w:t>
            </w:r>
          </w:hyperlink>
        </w:p>
        <w:p>
          <w:pPr>
            <w:pStyle w:val="Contents2"/>
            <w:tabs>
              <w:tab w:val="clear" w:pos="8743"/>
              <w:tab w:val="right" w:pos="9026" w:leader="dot"/>
            </w:tabs>
            <w:rPr/>
          </w:pPr>
          <w:hyperlink w:anchor="__RefHeading___Toc7971590_2870459653">
            <w:r>
              <w:rPr>
                <w:webHidden/>
                <w:rStyle w:val="IndexLink"/>
                <w:rtl w:val="true"/>
              </w:rPr>
              <w:t xml:space="preserve">فيما اذا عيّن له حرزا بعيدا عنه </w:t>
            </w:r>
            <w:r>
              <w:rPr>
                <w:rStyle w:val="IndexLink"/>
                <w:rtl w:val="true"/>
              </w:rPr>
              <w:t xml:space="preserve">... </w:t>
            </w:r>
            <w:r>
              <w:rPr>
                <w:rStyle w:val="IndexLink"/>
              </w:rPr>
              <w:t>222</w:t>
            </w:r>
            <w:r>
              <w:rPr>
                <w:rStyle w:val="IndexLink"/>
                <w:rtl w:val="true"/>
              </w:rPr>
              <w:tab/>
            </w:r>
            <w:r>
              <w:rPr>
                <w:rStyle w:val="IndexLink"/>
              </w:rPr>
              <w:t>231</w:t>
            </w:r>
          </w:hyperlink>
        </w:p>
        <w:p>
          <w:pPr>
            <w:pStyle w:val="Contents2"/>
            <w:tabs>
              <w:tab w:val="clear" w:pos="8743"/>
              <w:tab w:val="right" w:pos="9026" w:leader="dot"/>
            </w:tabs>
            <w:rPr/>
          </w:pPr>
          <w:hyperlink w:anchor="__RefHeading___Toc7971592_2870459653">
            <w:r>
              <w:rPr>
                <w:webHidden/>
                <w:rStyle w:val="IndexLink"/>
                <w:rtl w:val="true"/>
              </w:rPr>
              <w:t xml:space="preserve">فيما اذا اعترف بالوديعة ثمّ مات و جهلت عينها </w:t>
            </w:r>
            <w:r>
              <w:rPr>
                <w:rStyle w:val="IndexLink"/>
                <w:rtl w:val="true"/>
              </w:rPr>
              <w:t xml:space="preserve">... </w:t>
            </w:r>
            <w:r>
              <w:rPr>
                <w:rStyle w:val="IndexLink"/>
              </w:rPr>
              <w:t>222</w:t>
            </w:r>
            <w:r>
              <w:rPr>
                <w:rStyle w:val="IndexLink"/>
                <w:rtl w:val="true"/>
              </w:rPr>
              <w:tab/>
            </w:r>
            <w:r>
              <w:rPr>
                <w:rStyle w:val="IndexLink"/>
              </w:rPr>
              <w:t>231</w:t>
            </w:r>
          </w:hyperlink>
        </w:p>
        <w:p>
          <w:pPr>
            <w:pStyle w:val="Contents2"/>
            <w:tabs>
              <w:tab w:val="clear" w:pos="8743"/>
              <w:tab w:val="right" w:pos="9026" w:leader="dot"/>
            </w:tabs>
            <w:rPr/>
          </w:pPr>
          <w:hyperlink w:anchor="__RefHeading___Toc7971594_2870459653">
            <w:r>
              <w:rPr>
                <w:webHidden/>
                <w:rStyle w:val="IndexLink"/>
                <w:rtl w:val="true"/>
              </w:rPr>
              <w:t xml:space="preserve">فيما اذا كان في يده وديعة فادّعاها اثنان </w:t>
            </w:r>
            <w:r>
              <w:rPr>
                <w:rStyle w:val="IndexLink"/>
                <w:rtl w:val="true"/>
              </w:rPr>
              <w:t xml:space="preserve">... </w:t>
            </w:r>
            <w:r>
              <w:rPr>
                <w:rStyle w:val="IndexLink"/>
              </w:rPr>
              <w:t>224</w:t>
            </w:r>
            <w:r>
              <w:rPr>
                <w:rStyle w:val="IndexLink"/>
                <w:rtl w:val="true"/>
              </w:rPr>
              <w:tab/>
            </w:r>
            <w:r>
              <w:rPr>
                <w:rStyle w:val="IndexLink"/>
              </w:rPr>
              <w:t>233</w:t>
            </w:r>
          </w:hyperlink>
        </w:p>
        <w:p>
          <w:pPr>
            <w:pStyle w:val="Contents2"/>
            <w:tabs>
              <w:tab w:val="clear" w:pos="8743"/>
              <w:tab w:val="right" w:pos="9026" w:leader="dot"/>
            </w:tabs>
            <w:rPr/>
          </w:pPr>
          <w:hyperlink w:anchor="__RefHeading___Toc7971596_2870459653">
            <w:r>
              <w:rPr>
                <w:webHidden/>
                <w:rStyle w:val="IndexLink"/>
                <w:rtl w:val="true"/>
              </w:rPr>
              <w:t xml:space="preserve">فيما اذا فرّط و اختلفا في القيمة </w:t>
            </w:r>
            <w:r>
              <w:rPr>
                <w:rStyle w:val="IndexLink"/>
                <w:rtl w:val="true"/>
              </w:rPr>
              <w:t xml:space="preserve">... </w:t>
            </w:r>
            <w:r>
              <w:rPr>
                <w:rStyle w:val="IndexLink"/>
              </w:rPr>
              <w:t>225</w:t>
            </w:r>
            <w:r>
              <w:rPr>
                <w:rStyle w:val="IndexLink"/>
                <w:rtl w:val="true"/>
              </w:rPr>
              <w:tab/>
            </w:r>
            <w:r>
              <w:rPr>
                <w:rStyle w:val="IndexLink"/>
              </w:rPr>
              <w:t>234</w:t>
            </w:r>
          </w:hyperlink>
        </w:p>
        <w:p>
          <w:pPr>
            <w:pStyle w:val="Contents2"/>
            <w:tabs>
              <w:tab w:val="clear" w:pos="8743"/>
              <w:tab w:val="right" w:pos="9026" w:leader="dot"/>
            </w:tabs>
            <w:rPr/>
          </w:pPr>
          <w:hyperlink w:anchor="__RefHeading___Toc7971598_2870459653">
            <w:r>
              <w:rPr>
                <w:webHidden/>
                <w:rStyle w:val="IndexLink"/>
                <w:rtl w:val="true"/>
              </w:rPr>
              <w:t xml:space="preserve">فيما اذا مات المودع </w:t>
            </w:r>
            <w:r>
              <w:rPr>
                <w:rStyle w:val="IndexLink"/>
                <w:rtl w:val="true"/>
              </w:rPr>
              <w:t xml:space="preserve">... </w:t>
            </w:r>
            <w:r>
              <w:rPr>
                <w:rStyle w:val="IndexLink"/>
              </w:rPr>
              <w:t>226</w:t>
            </w:r>
            <w:r>
              <w:rPr>
                <w:rStyle w:val="IndexLink"/>
                <w:rtl w:val="true"/>
              </w:rPr>
              <w:tab/>
            </w:r>
            <w:r>
              <w:rPr>
                <w:rStyle w:val="IndexLink"/>
              </w:rPr>
              <w:t>235</w:t>
            </w:r>
          </w:hyperlink>
        </w:p>
        <w:p>
          <w:pPr>
            <w:pStyle w:val="Contents2"/>
            <w:tabs>
              <w:tab w:val="clear" w:pos="8743"/>
              <w:tab w:val="right" w:pos="9026" w:leader="dot"/>
            </w:tabs>
            <w:rPr/>
          </w:pPr>
          <w:hyperlink w:anchor="__RefHeading___Toc7971600_2870459653">
            <w:r>
              <w:rPr>
                <w:webHidden/>
                <w:rStyle w:val="IndexLink"/>
                <w:rtl w:val="true"/>
              </w:rPr>
              <w:t xml:space="preserve">في ذكر بعض المسائل المتعلّقة بالوديعة </w:t>
            </w:r>
            <w:r>
              <w:rPr>
                <w:rStyle w:val="IndexLink"/>
                <w:rtl w:val="true"/>
              </w:rPr>
              <w:t xml:space="preserve">... </w:t>
            </w:r>
            <w:r>
              <w:rPr>
                <w:rStyle w:val="IndexLink"/>
              </w:rPr>
              <w:t>226</w:t>
            </w:r>
            <w:r>
              <w:rPr>
                <w:rStyle w:val="IndexLink"/>
                <w:rtl w:val="true"/>
              </w:rPr>
              <w:tab/>
            </w:r>
            <w:r>
              <w:rPr>
                <w:rStyle w:val="IndexLink"/>
              </w:rPr>
              <w:t>235</w:t>
            </w:r>
          </w:hyperlink>
        </w:p>
        <w:p>
          <w:pPr>
            <w:pStyle w:val="Contents2"/>
            <w:tabs>
              <w:tab w:val="clear" w:pos="8743"/>
              <w:tab w:val="right" w:pos="9026" w:leader="dot"/>
            </w:tabs>
            <w:rPr/>
          </w:pPr>
          <w:hyperlink w:anchor="__RefHeading___Toc7971602_2870459653">
            <w:r>
              <w:rPr>
                <w:webHidden/>
                <w:rStyle w:val="IndexLink"/>
                <w:rtl w:val="true"/>
              </w:rPr>
              <w:t>كتاب العارية</w:t>
            </w:r>
            <w:r>
              <w:rPr>
                <w:rStyle w:val="IndexLink"/>
                <w:rtl w:val="true"/>
              </w:rPr>
              <w:tab/>
            </w:r>
            <w:r>
              <w:rPr>
                <w:rStyle w:val="IndexLink"/>
              </w:rPr>
              <w:t>238</w:t>
            </w:r>
          </w:hyperlink>
        </w:p>
        <w:p>
          <w:pPr>
            <w:pStyle w:val="Contents2"/>
            <w:tabs>
              <w:tab w:val="clear" w:pos="8743"/>
              <w:tab w:val="right" w:pos="9026" w:leader="dot"/>
            </w:tabs>
            <w:rPr/>
          </w:pPr>
          <w:hyperlink w:anchor="__RefHeading___Toc7971604_2870459653">
            <w:r>
              <w:rPr>
                <w:webHidden/>
                <w:rStyle w:val="IndexLink"/>
                <w:rtl w:val="true"/>
              </w:rPr>
              <w:t xml:space="preserve">الفصل الأوّل </w:t>
            </w:r>
            <w:r>
              <w:rPr>
                <w:rStyle w:val="IndexLink"/>
                <w:rtl w:val="true"/>
              </w:rPr>
              <w:t xml:space="preserve">: </w:t>
            </w:r>
            <w:r>
              <w:rPr>
                <w:rStyle w:val="IndexLink"/>
                <w:rtl w:val="true"/>
              </w:rPr>
              <w:t>في المعير</w:t>
            </w:r>
            <w:r>
              <w:rPr>
                <w:rStyle w:val="IndexLink"/>
                <w:rtl w:val="true"/>
              </w:rPr>
              <w:tab/>
            </w:r>
            <w:r>
              <w:rPr>
                <w:rStyle w:val="IndexLink"/>
              </w:rPr>
              <w:t>240</w:t>
            </w:r>
          </w:hyperlink>
        </w:p>
        <w:p>
          <w:pPr>
            <w:pStyle w:val="Contents2"/>
            <w:tabs>
              <w:tab w:val="clear" w:pos="8743"/>
              <w:tab w:val="right" w:pos="9026" w:leader="dot"/>
            </w:tabs>
            <w:rPr/>
          </w:pPr>
          <w:hyperlink w:anchor="__RefHeading___Toc7971606_2870459653">
            <w:r>
              <w:rPr>
                <w:webHidden/>
                <w:rStyle w:val="IndexLink"/>
                <w:rtl w:val="true"/>
              </w:rPr>
              <w:t xml:space="preserve">الفصل الثاني </w:t>
            </w:r>
            <w:r>
              <w:rPr>
                <w:rStyle w:val="IndexLink"/>
                <w:rtl w:val="true"/>
              </w:rPr>
              <w:t xml:space="preserve">: </w:t>
            </w:r>
            <w:r>
              <w:rPr>
                <w:rStyle w:val="IndexLink"/>
                <w:rtl w:val="true"/>
              </w:rPr>
              <w:t>في المستعير</w:t>
            </w:r>
            <w:r>
              <w:rPr>
                <w:rStyle w:val="IndexLink"/>
                <w:rtl w:val="true"/>
              </w:rPr>
              <w:tab/>
            </w:r>
            <w:r>
              <w:rPr>
                <w:rStyle w:val="IndexLink"/>
              </w:rPr>
              <w:t>242</w:t>
            </w:r>
          </w:hyperlink>
        </w:p>
        <w:p>
          <w:pPr>
            <w:pStyle w:val="Contents2"/>
            <w:tabs>
              <w:tab w:val="clear" w:pos="8743"/>
              <w:tab w:val="right" w:pos="9026" w:leader="dot"/>
            </w:tabs>
            <w:rPr/>
          </w:pPr>
          <w:hyperlink w:anchor="__RefHeading___Toc7971608_2870459653">
            <w:r>
              <w:rPr>
                <w:webHidden/>
                <w:rStyle w:val="IndexLink"/>
                <w:rtl w:val="true"/>
              </w:rPr>
              <w:t xml:space="preserve">الفرع الأوّل </w:t>
            </w:r>
            <w:r>
              <w:rPr>
                <w:rStyle w:val="IndexLink"/>
                <w:rtl w:val="true"/>
              </w:rPr>
              <w:t xml:space="preserve">: </w:t>
            </w:r>
            <w:r>
              <w:rPr>
                <w:rStyle w:val="IndexLink"/>
                <w:rtl w:val="true"/>
              </w:rPr>
              <w:t>في أنّ المستعير أمين</w:t>
            </w:r>
            <w:r>
              <w:rPr>
                <w:rStyle w:val="IndexLink"/>
                <w:rtl w:val="true"/>
              </w:rPr>
              <w:tab/>
            </w:r>
            <w:r>
              <w:rPr>
                <w:rStyle w:val="IndexLink"/>
              </w:rPr>
              <w:t>242</w:t>
            </w:r>
          </w:hyperlink>
        </w:p>
        <w:p>
          <w:pPr>
            <w:pStyle w:val="Contents2"/>
            <w:tabs>
              <w:tab w:val="clear" w:pos="8743"/>
              <w:tab w:val="right" w:pos="9026" w:leader="dot"/>
            </w:tabs>
            <w:rPr/>
          </w:pPr>
          <w:hyperlink w:anchor="__RefHeading___Toc7971610_2870459653">
            <w:r>
              <w:rPr>
                <w:webHidden/>
                <w:rStyle w:val="IndexLink"/>
                <w:rtl w:val="true"/>
              </w:rPr>
              <w:t xml:space="preserve">الفرع الثاني </w:t>
            </w:r>
            <w:r>
              <w:rPr>
                <w:rStyle w:val="IndexLink"/>
                <w:rtl w:val="true"/>
              </w:rPr>
              <w:t xml:space="preserve">: </w:t>
            </w:r>
            <w:r>
              <w:rPr>
                <w:rStyle w:val="IndexLink"/>
                <w:rtl w:val="true"/>
              </w:rPr>
              <w:t>في كيفيّة انتفاع المستعير من المعار به</w:t>
            </w:r>
            <w:r>
              <w:rPr>
                <w:rStyle w:val="IndexLink"/>
                <w:rtl w:val="true"/>
              </w:rPr>
              <w:tab/>
            </w:r>
            <w:r>
              <w:rPr>
                <w:rStyle w:val="IndexLink"/>
              </w:rPr>
              <w:t>243</w:t>
            </w:r>
          </w:hyperlink>
        </w:p>
        <w:p>
          <w:pPr>
            <w:pStyle w:val="Contents2"/>
            <w:tabs>
              <w:tab w:val="clear" w:pos="8743"/>
              <w:tab w:val="right" w:pos="9026" w:leader="dot"/>
            </w:tabs>
            <w:rPr/>
          </w:pPr>
          <w:hyperlink w:anchor="__RefHeading___Toc7971612_2870459653">
            <w:r>
              <w:rPr>
                <w:webHidden/>
                <w:rStyle w:val="IndexLink"/>
                <w:rtl w:val="true"/>
              </w:rPr>
              <w:t xml:space="preserve">في استعارة المحرم الصيد </w:t>
            </w:r>
            <w:r>
              <w:rPr>
                <w:rStyle w:val="IndexLink"/>
                <w:rtl w:val="true"/>
              </w:rPr>
              <w:t xml:space="preserve">... </w:t>
            </w:r>
            <w:r>
              <w:rPr>
                <w:rStyle w:val="IndexLink"/>
              </w:rPr>
              <w:t>235</w:t>
            </w:r>
            <w:r>
              <w:rPr>
                <w:rStyle w:val="IndexLink"/>
                <w:rtl w:val="true"/>
              </w:rPr>
              <w:tab/>
            </w:r>
            <w:r>
              <w:rPr>
                <w:rStyle w:val="IndexLink"/>
              </w:rPr>
              <w:t>244</w:t>
            </w:r>
          </w:hyperlink>
        </w:p>
        <w:p>
          <w:pPr>
            <w:pStyle w:val="Contents2"/>
            <w:tabs>
              <w:tab w:val="clear" w:pos="8743"/>
              <w:tab w:val="right" w:pos="9026" w:leader="dot"/>
            </w:tabs>
            <w:rPr/>
          </w:pPr>
          <w:hyperlink w:anchor="__RefHeading___Toc7971614_2870459653">
            <w:r>
              <w:rPr>
                <w:webHidden/>
                <w:rStyle w:val="IndexLink"/>
                <w:rtl w:val="true"/>
              </w:rPr>
              <w:t xml:space="preserve">في استعارة المحرم الصيد </w:t>
            </w:r>
            <w:r>
              <w:rPr>
                <w:rStyle w:val="IndexLink"/>
                <w:rtl w:val="true"/>
              </w:rPr>
              <w:t xml:space="preserve">... </w:t>
            </w:r>
            <w:r>
              <w:rPr>
                <w:rStyle w:val="IndexLink"/>
              </w:rPr>
              <w:t>235</w:t>
            </w:r>
            <w:r>
              <w:rPr>
                <w:rStyle w:val="IndexLink"/>
                <w:rtl w:val="true"/>
              </w:rPr>
              <w:tab/>
            </w:r>
            <w:r>
              <w:rPr>
                <w:rStyle w:val="IndexLink"/>
              </w:rPr>
              <w:t>246</w:t>
            </w:r>
          </w:hyperlink>
        </w:p>
        <w:p>
          <w:pPr>
            <w:pStyle w:val="Contents2"/>
            <w:tabs>
              <w:tab w:val="clear" w:pos="8743"/>
              <w:tab w:val="right" w:pos="9026" w:leader="dot"/>
            </w:tabs>
            <w:rPr/>
          </w:pPr>
          <w:hyperlink w:anchor="__RefHeading___Toc7971616_2870459653">
            <w:r>
              <w:rPr>
                <w:webHidden/>
                <w:rStyle w:val="IndexLink"/>
                <w:rtl w:val="true"/>
              </w:rPr>
              <w:t xml:space="preserve">فيما لو استعاره من الغاصب و هو لايعلم </w:t>
            </w:r>
            <w:r>
              <w:rPr>
                <w:rStyle w:val="IndexLink"/>
                <w:rtl w:val="true"/>
              </w:rPr>
              <w:t xml:space="preserve">... </w:t>
            </w:r>
            <w:r>
              <w:rPr>
                <w:rStyle w:val="IndexLink"/>
              </w:rPr>
              <w:t>237</w:t>
            </w:r>
            <w:r>
              <w:rPr>
                <w:rStyle w:val="IndexLink"/>
                <w:rtl w:val="true"/>
              </w:rPr>
              <w:tab/>
            </w:r>
            <w:r>
              <w:rPr>
                <w:rStyle w:val="IndexLink"/>
              </w:rPr>
              <w:t>246</w:t>
            </w:r>
          </w:hyperlink>
        </w:p>
        <w:p>
          <w:pPr>
            <w:pStyle w:val="Contents2"/>
            <w:tabs>
              <w:tab w:val="clear" w:pos="8743"/>
              <w:tab w:val="right" w:pos="9026" w:leader="dot"/>
            </w:tabs>
            <w:rPr/>
          </w:pPr>
          <w:hyperlink w:anchor="__RefHeading___Toc7971618_2870459653">
            <w:r>
              <w:rPr>
                <w:webHidden/>
                <w:rStyle w:val="IndexLink"/>
                <w:rtl w:val="true"/>
              </w:rPr>
              <w:t xml:space="preserve">الفصل الثالث </w:t>
            </w:r>
            <w:r>
              <w:rPr>
                <w:rStyle w:val="IndexLink"/>
                <w:rtl w:val="true"/>
              </w:rPr>
              <w:t xml:space="preserve">: </w:t>
            </w:r>
            <w:r>
              <w:rPr>
                <w:rStyle w:val="IndexLink"/>
                <w:rtl w:val="true"/>
              </w:rPr>
              <w:t>في العين المعارة</w:t>
            </w:r>
            <w:r>
              <w:rPr>
                <w:rStyle w:val="IndexLink"/>
                <w:rtl w:val="true"/>
              </w:rPr>
              <w:tab/>
            </w:r>
            <w:r>
              <w:rPr>
                <w:rStyle w:val="IndexLink"/>
              </w:rPr>
              <w:t>248</w:t>
            </w:r>
          </w:hyperlink>
        </w:p>
        <w:p>
          <w:pPr>
            <w:pStyle w:val="Contents2"/>
            <w:tabs>
              <w:tab w:val="clear" w:pos="8743"/>
              <w:tab w:val="right" w:pos="9026" w:leader="dot"/>
            </w:tabs>
            <w:rPr/>
          </w:pPr>
          <w:hyperlink w:anchor="__RefHeading___Toc7971620_2870459653">
            <w:r>
              <w:rPr>
                <w:webHidden/>
                <w:rStyle w:val="IndexLink"/>
                <w:rtl w:val="true"/>
              </w:rPr>
              <w:t xml:space="preserve">في صحّة الاعارة مطلقا و مدّة معيّنة </w:t>
            </w:r>
            <w:r>
              <w:rPr>
                <w:rStyle w:val="IndexLink"/>
                <w:rtl w:val="true"/>
              </w:rPr>
              <w:t xml:space="preserve">... </w:t>
            </w:r>
            <w:r>
              <w:rPr>
                <w:rStyle w:val="IndexLink"/>
              </w:rPr>
              <w:t>241</w:t>
            </w:r>
            <w:r>
              <w:rPr>
                <w:rStyle w:val="IndexLink"/>
                <w:rtl w:val="true"/>
              </w:rPr>
              <w:tab/>
            </w:r>
            <w:r>
              <w:rPr>
                <w:rStyle w:val="IndexLink"/>
              </w:rPr>
              <w:t>250</w:t>
            </w:r>
          </w:hyperlink>
        </w:p>
        <w:p>
          <w:pPr>
            <w:pStyle w:val="Contents2"/>
            <w:tabs>
              <w:tab w:val="clear" w:pos="8743"/>
              <w:tab w:val="right" w:pos="9026" w:leader="dot"/>
            </w:tabs>
            <w:rPr/>
          </w:pPr>
          <w:hyperlink w:anchor="__RefHeading___Toc7971622_2870459653">
            <w:r>
              <w:rPr>
                <w:webHidden/>
                <w:rStyle w:val="IndexLink"/>
                <w:rtl w:val="true"/>
              </w:rPr>
              <w:t xml:space="preserve">فيما لو أعاره أرضا للدفن </w:t>
            </w:r>
            <w:r>
              <w:rPr>
                <w:rStyle w:val="IndexLink"/>
                <w:rtl w:val="true"/>
              </w:rPr>
              <w:t xml:space="preserve">... </w:t>
            </w:r>
            <w:r>
              <w:rPr>
                <w:rStyle w:val="IndexLink"/>
              </w:rPr>
              <w:t>242</w:t>
            </w:r>
            <w:r>
              <w:rPr>
                <w:rStyle w:val="IndexLink"/>
                <w:rtl w:val="true"/>
              </w:rPr>
              <w:tab/>
            </w:r>
            <w:r>
              <w:rPr>
                <w:rStyle w:val="IndexLink"/>
              </w:rPr>
              <w:t>251</w:t>
            </w:r>
          </w:hyperlink>
        </w:p>
        <w:p>
          <w:pPr>
            <w:pStyle w:val="Contents2"/>
            <w:tabs>
              <w:tab w:val="clear" w:pos="8743"/>
              <w:tab w:val="right" w:pos="9026" w:leader="dot"/>
            </w:tabs>
            <w:rPr/>
          </w:pPr>
          <w:hyperlink w:anchor="__RefHeading___Toc7971624_2870459653">
            <w:r>
              <w:rPr>
                <w:webHidden/>
                <w:rStyle w:val="IndexLink"/>
                <w:rtl w:val="true"/>
              </w:rPr>
              <w:t xml:space="preserve">فيما لو أعاره حائطا لطرح خشبة فطالبه بازالتها </w:t>
            </w:r>
            <w:r>
              <w:rPr>
                <w:rStyle w:val="IndexLink"/>
                <w:rtl w:val="true"/>
              </w:rPr>
              <w:t xml:space="preserve">... </w:t>
            </w:r>
            <w:r>
              <w:rPr>
                <w:rStyle w:val="IndexLink"/>
              </w:rPr>
              <w:t>243</w:t>
            </w:r>
            <w:r>
              <w:rPr>
                <w:rStyle w:val="IndexLink"/>
                <w:rtl w:val="true"/>
              </w:rPr>
              <w:tab/>
            </w:r>
            <w:r>
              <w:rPr>
                <w:rStyle w:val="IndexLink"/>
              </w:rPr>
              <w:t>252</w:t>
            </w:r>
          </w:hyperlink>
        </w:p>
        <w:p>
          <w:pPr>
            <w:pStyle w:val="Contents2"/>
            <w:tabs>
              <w:tab w:val="clear" w:pos="8743"/>
              <w:tab w:val="right" w:pos="9026" w:leader="dot"/>
            </w:tabs>
            <w:rPr/>
          </w:pPr>
          <w:hyperlink w:anchor="__RefHeading___Toc7971626_2870459653">
            <w:r>
              <w:rPr>
                <w:webHidden/>
                <w:rStyle w:val="IndexLink"/>
                <w:rtl w:val="true"/>
              </w:rPr>
              <w:t xml:space="preserve">فيما لو أذن له في غرس شجرة فانقلعت </w:t>
            </w:r>
            <w:r>
              <w:rPr>
                <w:rStyle w:val="IndexLink"/>
                <w:rtl w:val="true"/>
              </w:rPr>
              <w:t xml:space="preserve">... </w:t>
            </w:r>
            <w:r>
              <w:rPr>
                <w:rStyle w:val="IndexLink"/>
              </w:rPr>
              <w:t>244</w:t>
            </w:r>
            <w:r>
              <w:rPr>
                <w:rStyle w:val="IndexLink"/>
                <w:rtl w:val="true"/>
              </w:rPr>
              <w:tab/>
            </w:r>
            <w:r>
              <w:rPr>
                <w:rStyle w:val="IndexLink"/>
              </w:rPr>
              <w:t>253</w:t>
            </w:r>
          </w:hyperlink>
        </w:p>
        <w:p>
          <w:pPr>
            <w:pStyle w:val="Contents2"/>
            <w:tabs>
              <w:tab w:val="clear" w:pos="8743"/>
              <w:tab w:val="right" w:pos="9026" w:leader="dot"/>
            </w:tabs>
            <w:rPr/>
          </w:pPr>
          <w:hyperlink w:anchor="__RefHeading___Toc7971628_2870459653">
            <w:r>
              <w:rPr>
                <w:webHidden/>
                <w:rStyle w:val="IndexLink"/>
                <w:rtl w:val="true"/>
              </w:rPr>
              <w:t xml:space="preserve">في اعارة العين المستعارة </w:t>
            </w:r>
            <w:r>
              <w:rPr>
                <w:rStyle w:val="IndexLink"/>
                <w:rtl w:val="true"/>
              </w:rPr>
              <w:t xml:space="preserve">... </w:t>
            </w:r>
            <w:r>
              <w:rPr>
                <w:rStyle w:val="IndexLink"/>
              </w:rPr>
              <w:t>245</w:t>
            </w:r>
            <w:r>
              <w:rPr>
                <w:rStyle w:val="IndexLink"/>
                <w:rtl w:val="true"/>
              </w:rPr>
              <w:tab/>
            </w:r>
            <w:r>
              <w:rPr>
                <w:rStyle w:val="IndexLink"/>
              </w:rPr>
              <w:t>254</w:t>
            </w:r>
          </w:hyperlink>
        </w:p>
        <w:p>
          <w:pPr>
            <w:pStyle w:val="Contents2"/>
            <w:tabs>
              <w:tab w:val="clear" w:pos="8743"/>
              <w:tab w:val="right" w:pos="9026" w:leader="dot"/>
            </w:tabs>
            <w:rPr/>
          </w:pPr>
          <w:hyperlink w:anchor="__RefHeading___Toc7971630_2870459653">
            <w:r>
              <w:rPr>
                <w:webHidden/>
                <w:rStyle w:val="IndexLink"/>
                <w:rtl w:val="true"/>
              </w:rPr>
              <w:t xml:space="preserve">الفصل الرابع </w:t>
            </w:r>
            <w:r>
              <w:rPr>
                <w:rStyle w:val="IndexLink"/>
                <w:rtl w:val="true"/>
              </w:rPr>
              <w:t xml:space="preserve">: </w:t>
            </w:r>
            <w:r>
              <w:rPr>
                <w:rStyle w:val="IndexLink"/>
                <w:rtl w:val="true"/>
              </w:rPr>
              <w:t>في الأحكام المتعلّقة بها</w:t>
            </w:r>
            <w:r>
              <w:rPr>
                <w:rStyle w:val="IndexLink"/>
                <w:rtl w:val="true"/>
              </w:rPr>
              <w:tab/>
            </w:r>
            <w:r>
              <w:rPr>
                <w:rStyle w:val="IndexLink"/>
              </w:rPr>
              <w:t>256</w:t>
            </w:r>
          </w:hyperlink>
        </w:p>
        <w:p>
          <w:pPr>
            <w:pStyle w:val="Contents2"/>
            <w:tabs>
              <w:tab w:val="clear" w:pos="8743"/>
              <w:tab w:val="right" w:pos="9026" w:leader="dot"/>
            </w:tabs>
            <w:rPr/>
          </w:pPr>
          <w:hyperlink w:anchor="__RefHeading___Toc7971632_2870459653">
            <w:r>
              <w:rPr>
                <w:webHidden/>
                <w:rStyle w:val="IndexLink"/>
                <w:rtl w:val="true"/>
              </w:rPr>
              <w:t xml:space="preserve">في أنّ العارية أمانة </w:t>
            </w:r>
            <w:r>
              <w:rPr>
                <w:rStyle w:val="IndexLink"/>
                <w:rtl w:val="true"/>
              </w:rPr>
              <w:t xml:space="preserve">... </w:t>
            </w:r>
            <w:r>
              <w:rPr>
                <w:rStyle w:val="IndexLink"/>
              </w:rPr>
              <w:t>247</w:t>
            </w:r>
            <w:r>
              <w:rPr>
                <w:rStyle w:val="IndexLink"/>
                <w:rtl w:val="true"/>
              </w:rPr>
              <w:tab/>
            </w:r>
            <w:r>
              <w:rPr>
                <w:rStyle w:val="IndexLink"/>
              </w:rPr>
              <w:t>256</w:t>
            </w:r>
          </w:hyperlink>
        </w:p>
        <w:p>
          <w:pPr>
            <w:pStyle w:val="Contents2"/>
            <w:tabs>
              <w:tab w:val="clear" w:pos="8743"/>
              <w:tab w:val="right" w:pos="9026" w:leader="dot"/>
            </w:tabs>
            <w:rPr/>
          </w:pPr>
          <w:hyperlink w:anchor="__RefHeading___Toc7971634_2870459653">
            <w:r>
              <w:rPr>
                <w:webHidden/>
                <w:rStyle w:val="IndexLink"/>
                <w:rtl w:val="true"/>
              </w:rPr>
              <w:t xml:space="preserve">في براءة الذمّة بردّ العارية الى المالك أو وكيله </w:t>
            </w:r>
            <w:r>
              <w:rPr>
                <w:rStyle w:val="IndexLink"/>
                <w:rtl w:val="true"/>
              </w:rPr>
              <w:t xml:space="preserve">... </w:t>
            </w:r>
            <w:r>
              <w:rPr>
                <w:rStyle w:val="IndexLink"/>
              </w:rPr>
              <w:t>248</w:t>
            </w:r>
            <w:r>
              <w:rPr>
                <w:rStyle w:val="IndexLink"/>
                <w:rtl w:val="true"/>
              </w:rPr>
              <w:tab/>
            </w:r>
            <w:r>
              <w:rPr>
                <w:rStyle w:val="IndexLink"/>
              </w:rPr>
              <w:t>257</w:t>
            </w:r>
          </w:hyperlink>
        </w:p>
        <w:p>
          <w:pPr>
            <w:pStyle w:val="Contents2"/>
            <w:tabs>
              <w:tab w:val="clear" w:pos="8743"/>
              <w:tab w:val="right" w:pos="9026" w:leader="dot"/>
            </w:tabs>
            <w:rPr/>
          </w:pPr>
          <w:hyperlink w:anchor="__RefHeading___Toc7971636_2870459653">
            <w:r>
              <w:rPr>
                <w:webHidden/>
                <w:rStyle w:val="IndexLink"/>
                <w:rtl w:val="true"/>
              </w:rPr>
              <w:t xml:space="preserve">في جواز بيع المستعير غروسه و أبنيته </w:t>
            </w:r>
            <w:r>
              <w:rPr>
                <w:rStyle w:val="IndexLink"/>
                <w:rtl w:val="true"/>
              </w:rPr>
              <w:t xml:space="preserve">... </w:t>
            </w:r>
            <w:r>
              <w:rPr>
                <w:rStyle w:val="IndexLink"/>
              </w:rPr>
              <w:t>249</w:t>
            </w:r>
            <w:r>
              <w:rPr>
                <w:rStyle w:val="IndexLink"/>
                <w:rtl w:val="true"/>
              </w:rPr>
              <w:tab/>
            </w:r>
            <w:r>
              <w:rPr>
                <w:rStyle w:val="IndexLink"/>
              </w:rPr>
              <w:t>258</w:t>
            </w:r>
          </w:hyperlink>
        </w:p>
        <w:p>
          <w:pPr>
            <w:pStyle w:val="Contents2"/>
            <w:tabs>
              <w:tab w:val="clear" w:pos="8743"/>
              <w:tab w:val="right" w:pos="9026" w:leader="dot"/>
            </w:tabs>
            <w:rPr/>
          </w:pPr>
          <w:hyperlink w:anchor="__RefHeading___Toc7971638_2870459653">
            <w:r>
              <w:rPr>
                <w:webHidden/>
                <w:rStyle w:val="IndexLink"/>
                <w:rtl w:val="true"/>
              </w:rPr>
              <w:t xml:space="preserve">فيما اذا حملت الأهوية أو السيول حبّا الى ملك انسان فنبت </w:t>
            </w:r>
            <w:r>
              <w:rPr>
                <w:rStyle w:val="IndexLink"/>
                <w:rtl w:val="true"/>
              </w:rPr>
              <w:t xml:space="preserve">... </w:t>
            </w:r>
            <w:r>
              <w:rPr>
                <w:rStyle w:val="IndexLink"/>
              </w:rPr>
              <w:t>249</w:t>
            </w:r>
            <w:r>
              <w:rPr>
                <w:rStyle w:val="IndexLink"/>
                <w:rtl w:val="true"/>
              </w:rPr>
              <w:tab/>
            </w:r>
            <w:r>
              <w:rPr>
                <w:rStyle w:val="IndexLink"/>
              </w:rPr>
              <w:t>259</w:t>
            </w:r>
          </w:hyperlink>
        </w:p>
        <w:p>
          <w:pPr>
            <w:pStyle w:val="Contents2"/>
            <w:tabs>
              <w:tab w:val="clear" w:pos="8743"/>
              <w:tab w:val="right" w:pos="9026" w:leader="dot"/>
            </w:tabs>
            <w:rPr/>
          </w:pPr>
          <w:hyperlink w:anchor="__RefHeading___Toc7971640_2870459653">
            <w:r>
              <w:rPr>
                <w:webHidden/>
                <w:rStyle w:val="IndexLink"/>
                <w:rtl w:val="true"/>
              </w:rPr>
              <w:t xml:space="preserve">فيما لو نقصت بالاستعمال ثمّ تلفت </w:t>
            </w:r>
            <w:r>
              <w:rPr>
                <w:rStyle w:val="IndexLink"/>
                <w:rtl w:val="true"/>
              </w:rPr>
              <w:t xml:space="preserve">... </w:t>
            </w:r>
            <w:r>
              <w:rPr>
                <w:rStyle w:val="IndexLink"/>
              </w:rPr>
              <w:t>252</w:t>
            </w:r>
            <w:r>
              <w:rPr>
                <w:rStyle w:val="IndexLink"/>
                <w:rtl w:val="true"/>
              </w:rPr>
              <w:tab/>
            </w:r>
            <w:r>
              <w:rPr>
                <w:rStyle w:val="IndexLink"/>
              </w:rPr>
              <w:t>261</w:t>
            </w:r>
          </w:hyperlink>
        </w:p>
        <w:p>
          <w:pPr>
            <w:pStyle w:val="Contents2"/>
            <w:tabs>
              <w:tab w:val="clear" w:pos="8743"/>
              <w:tab w:val="right" w:pos="9026" w:leader="dot"/>
            </w:tabs>
            <w:rPr/>
          </w:pPr>
          <w:hyperlink w:anchor="__RefHeading___Toc7971642_2870459653">
            <w:r>
              <w:rPr>
                <w:webHidden/>
                <w:rStyle w:val="IndexLink"/>
                <w:rtl w:val="true"/>
              </w:rPr>
              <w:t>فيما اذا قال الراكب</w:t>
            </w:r>
            <w:r>
              <w:rPr>
                <w:rStyle w:val="IndexLink"/>
                <w:rtl w:val="true"/>
              </w:rPr>
              <w:t>: «</w:t>
            </w:r>
            <w:r>
              <w:rPr>
                <w:rStyle w:val="IndexLink"/>
                <w:rtl w:val="true"/>
              </w:rPr>
              <w:t>أعرتنيها</w:t>
            </w:r>
            <w:r>
              <w:rPr>
                <w:rStyle w:val="IndexLink"/>
                <w:rtl w:val="true"/>
              </w:rPr>
              <w:t xml:space="preserve">»: </w:t>
            </w:r>
            <w:r>
              <w:rPr>
                <w:rStyle w:val="IndexLink"/>
                <w:rtl w:val="true"/>
              </w:rPr>
              <w:t>و قال المالك</w:t>
            </w:r>
            <w:r>
              <w:rPr>
                <w:rStyle w:val="IndexLink"/>
                <w:rtl w:val="true"/>
              </w:rPr>
              <w:t>: «</w:t>
            </w:r>
            <w:r>
              <w:rPr>
                <w:rStyle w:val="IndexLink"/>
                <w:rtl w:val="true"/>
              </w:rPr>
              <w:t>آجرتكها</w:t>
            </w:r>
            <w:r>
              <w:rPr>
                <w:rStyle w:val="IndexLink"/>
                <w:rtl w:val="true"/>
              </w:rPr>
              <w:t xml:space="preserve">» ... </w:t>
            </w:r>
            <w:r>
              <w:rPr>
                <w:rStyle w:val="IndexLink"/>
              </w:rPr>
              <w:t>253</w:t>
            </w:r>
            <w:r>
              <w:rPr>
                <w:rStyle w:val="IndexLink"/>
                <w:rtl w:val="true"/>
              </w:rPr>
              <w:tab/>
            </w:r>
            <w:r>
              <w:rPr>
                <w:rStyle w:val="IndexLink"/>
              </w:rPr>
              <w:t>262</w:t>
            </w:r>
          </w:hyperlink>
        </w:p>
        <w:p>
          <w:pPr>
            <w:pStyle w:val="Contents2"/>
            <w:tabs>
              <w:tab w:val="clear" w:pos="8743"/>
              <w:tab w:val="right" w:pos="9026" w:leader="dot"/>
            </w:tabs>
            <w:rPr/>
          </w:pPr>
          <w:hyperlink w:anchor="__RefHeading___Toc7971644_2870459653">
            <w:r>
              <w:rPr>
                <w:webHidden/>
                <w:rStyle w:val="IndexLink"/>
                <w:rtl w:val="true"/>
              </w:rPr>
              <w:t xml:space="preserve">فيما اذا استعار شيئا لينتفع به في شيء فانتفع به في غيره </w:t>
            </w:r>
            <w:r>
              <w:rPr>
                <w:rStyle w:val="IndexLink"/>
                <w:rtl w:val="true"/>
              </w:rPr>
              <w:t xml:space="preserve">... </w:t>
            </w:r>
            <w:r>
              <w:rPr>
                <w:rStyle w:val="IndexLink"/>
              </w:rPr>
              <w:t>254</w:t>
            </w:r>
            <w:r>
              <w:rPr>
                <w:rStyle w:val="IndexLink"/>
                <w:rtl w:val="true"/>
              </w:rPr>
              <w:tab/>
            </w:r>
            <w:r>
              <w:rPr>
                <w:rStyle w:val="IndexLink"/>
              </w:rPr>
              <w:t>263</w:t>
            </w:r>
          </w:hyperlink>
        </w:p>
        <w:p>
          <w:pPr>
            <w:pStyle w:val="Contents2"/>
            <w:tabs>
              <w:tab w:val="clear" w:pos="8743"/>
              <w:tab w:val="right" w:pos="9026" w:leader="dot"/>
            </w:tabs>
            <w:rPr/>
          </w:pPr>
          <w:hyperlink w:anchor="__RefHeading___Toc7971646_2870459653">
            <w:r>
              <w:rPr>
                <w:webHidden/>
                <w:rStyle w:val="IndexLink"/>
                <w:rtl w:val="true"/>
              </w:rPr>
              <w:t xml:space="preserve">فيما اذا جحد العارية </w:t>
            </w:r>
            <w:r>
              <w:rPr>
                <w:rStyle w:val="IndexLink"/>
                <w:rtl w:val="true"/>
              </w:rPr>
              <w:t xml:space="preserve">... </w:t>
            </w:r>
            <w:r>
              <w:rPr>
                <w:rStyle w:val="IndexLink"/>
              </w:rPr>
              <w:t>254</w:t>
            </w:r>
            <w:r>
              <w:rPr>
                <w:rStyle w:val="IndexLink"/>
                <w:rtl w:val="true"/>
              </w:rPr>
              <w:tab/>
            </w:r>
            <w:r>
              <w:rPr>
                <w:rStyle w:val="IndexLink"/>
              </w:rPr>
              <w:t>263</w:t>
            </w:r>
          </w:hyperlink>
        </w:p>
        <w:p>
          <w:pPr>
            <w:pStyle w:val="Contents2"/>
            <w:tabs>
              <w:tab w:val="clear" w:pos="8743"/>
              <w:tab w:val="right" w:pos="9026" w:leader="dot"/>
            </w:tabs>
            <w:rPr/>
          </w:pPr>
          <w:hyperlink w:anchor="__RefHeading___Toc7971648_2870459653">
            <w:r>
              <w:rPr>
                <w:webHidden/>
                <w:rStyle w:val="IndexLink"/>
                <w:rtl w:val="true"/>
              </w:rPr>
              <w:t xml:space="preserve">فيما اذا ادّعى التلف </w:t>
            </w:r>
            <w:r>
              <w:rPr>
                <w:rStyle w:val="IndexLink"/>
                <w:rtl w:val="true"/>
              </w:rPr>
              <w:t xml:space="preserve">... </w:t>
            </w:r>
            <w:r>
              <w:rPr>
                <w:rStyle w:val="IndexLink"/>
              </w:rPr>
              <w:t>255</w:t>
            </w:r>
            <w:r>
              <w:rPr>
                <w:rStyle w:val="IndexLink"/>
                <w:rtl w:val="true"/>
              </w:rPr>
              <w:tab/>
            </w:r>
            <w:r>
              <w:rPr>
                <w:rStyle w:val="IndexLink"/>
              </w:rPr>
              <w:t>264</w:t>
            </w:r>
          </w:hyperlink>
        </w:p>
        <w:p>
          <w:pPr>
            <w:pStyle w:val="Contents2"/>
            <w:tabs>
              <w:tab w:val="clear" w:pos="8743"/>
              <w:tab w:val="right" w:pos="9026" w:leader="dot"/>
            </w:tabs>
            <w:rPr/>
          </w:pPr>
          <w:hyperlink w:anchor="__RefHeading___Toc7971650_2870459653">
            <w:r>
              <w:rPr>
                <w:webHidden/>
                <w:rStyle w:val="IndexLink"/>
                <w:rtl w:val="true"/>
              </w:rPr>
              <w:t xml:space="preserve">فيما لو فرّط في العارية </w:t>
            </w:r>
            <w:r>
              <w:rPr>
                <w:rStyle w:val="IndexLink"/>
                <w:rtl w:val="true"/>
              </w:rPr>
              <w:t xml:space="preserve">... </w:t>
            </w:r>
            <w:r>
              <w:rPr>
                <w:rStyle w:val="IndexLink"/>
              </w:rPr>
              <w:t>255</w:t>
            </w:r>
            <w:r>
              <w:rPr>
                <w:rStyle w:val="IndexLink"/>
                <w:rtl w:val="true"/>
              </w:rPr>
              <w:tab/>
            </w:r>
            <w:r>
              <w:rPr>
                <w:rStyle w:val="IndexLink"/>
              </w:rPr>
              <w:t>264</w:t>
            </w:r>
          </w:hyperlink>
        </w:p>
        <w:p>
          <w:pPr>
            <w:pStyle w:val="Contents2"/>
            <w:tabs>
              <w:tab w:val="clear" w:pos="8743"/>
              <w:tab w:val="right" w:pos="9026" w:leader="dot"/>
            </w:tabs>
            <w:rPr/>
          </w:pPr>
          <w:hyperlink w:anchor="__RefHeading___Toc7971652_2870459653">
            <w:r>
              <w:rPr>
                <w:webHidden/>
                <w:rStyle w:val="IndexLink"/>
                <w:rtl w:val="true"/>
              </w:rPr>
              <w:t>كتاب الوكالة</w:t>
            </w:r>
            <w:r>
              <w:rPr>
                <w:rStyle w:val="IndexLink"/>
                <w:rtl w:val="true"/>
              </w:rPr>
              <w:tab/>
            </w:r>
            <w:r>
              <w:rPr>
                <w:rStyle w:val="IndexLink"/>
              </w:rPr>
              <w:t>266</w:t>
            </w:r>
          </w:hyperlink>
        </w:p>
        <w:p>
          <w:pPr>
            <w:pStyle w:val="Contents2"/>
            <w:tabs>
              <w:tab w:val="clear" w:pos="8743"/>
              <w:tab w:val="right" w:pos="9026" w:leader="dot"/>
            </w:tabs>
            <w:rPr/>
          </w:pPr>
          <w:hyperlink w:anchor="__RefHeading___Toc7971654_2870459653">
            <w:r>
              <w:rPr>
                <w:webHidden/>
                <w:rStyle w:val="IndexLink"/>
                <w:rtl w:val="true"/>
              </w:rPr>
              <w:t xml:space="preserve">الفصل الأوّل </w:t>
            </w:r>
            <w:r>
              <w:rPr>
                <w:rStyle w:val="IndexLink"/>
                <w:rtl w:val="true"/>
              </w:rPr>
              <w:t xml:space="preserve">: </w:t>
            </w:r>
            <w:r>
              <w:rPr>
                <w:rStyle w:val="IndexLink"/>
                <w:rtl w:val="true"/>
              </w:rPr>
              <w:t>في العقد</w:t>
            </w:r>
            <w:r>
              <w:rPr>
                <w:rStyle w:val="IndexLink"/>
                <w:rtl w:val="true"/>
              </w:rPr>
              <w:tab/>
            </w:r>
            <w:r>
              <w:rPr>
                <w:rStyle w:val="IndexLink"/>
              </w:rPr>
              <w:t>268</w:t>
            </w:r>
          </w:hyperlink>
        </w:p>
        <w:p>
          <w:pPr>
            <w:pStyle w:val="Contents2"/>
            <w:tabs>
              <w:tab w:val="clear" w:pos="8743"/>
              <w:tab w:val="right" w:pos="9026" w:leader="dot"/>
            </w:tabs>
            <w:rPr/>
          </w:pPr>
          <w:hyperlink w:anchor="__RefHeading___Toc7971656_2870459653">
            <w:r>
              <w:rPr>
                <w:webHidden/>
                <w:rStyle w:val="IndexLink"/>
                <w:rtl w:val="true"/>
              </w:rPr>
              <w:t xml:space="preserve">فرع </w:t>
            </w:r>
            <w:r>
              <w:rPr>
                <w:rStyle w:val="IndexLink"/>
                <w:rtl w:val="true"/>
              </w:rPr>
              <w:t xml:space="preserve">: </w:t>
            </w:r>
            <w:r>
              <w:rPr>
                <w:rStyle w:val="IndexLink"/>
                <w:rtl w:val="true"/>
              </w:rPr>
              <w:t>في اشتراط تنجيز عقد الوكالة</w:t>
            </w:r>
            <w:r>
              <w:rPr>
                <w:rStyle w:val="IndexLink"/>
                <w:rtl w:val="true"/>
              </w:rPr>
              <w:tab/>
            </w:r>
            <w:r>
              <w:rPr>
                <w:rStyle w:val="IndexLink"/>
              </w:rPr>
              <w:t>270</w:t>
            </w:r>
          </w:hyperlink>
        </w:p>
        <w:p>
          <w:pPr>
            <w:pStyle w:val="Contents2"/>
            <w:tabs>
              <w:tab w:val="clear" w:pos="8743"/>
              <w:tab w:val="right" w:pos="9026" w:leader="dot"/>
            </w:tabs>
            <w:rPr/>
          </w:pPr>
          <w:hyperlink w:anchor="__RefHeading___Toc7971658_2870459653">
            <w:r>
              <w:rPr>
                <w:webHidden/>
                <w:rStyle w:val="IndexLink"/>
                <w:rtl w:val="true"/>
              </w:rPr>
              <w:t xml:space="preserve">في أنّها من العقود الجائزة </w:t>
            </w:r>
            <w:r>
              <w:rPr>
                <w:rStyle w:val="IndexLink"/>
                <w:rtl w:val="true"/>
              </w:rPr>
              <w:t xml:space="preserve">... </w:t>
            </w:r>
            <w:r>
              <w:rPr>
                <w:rStyle w:val="IndexLink"/>
              </w:rPr>
              <w:t>262</w:t>
            </w:r>
            <w:r>
              <w:rPr>
                <w:rStyle w:val="IndexLink"/>
                <w:rtl w:val="true"/>
              </w:rPr>
              <w:tab/>
            </w:r>
            <w:r>
              <w:rPr>
                <w:rStyle w:val="IndexLink"/>
              </w:rPr>
              <w:t>271</w:t>
            </w:r>
          </w:hyperlink>
        </w:p>
        <w:p>
          <w:pPr>
            <w:pStyle w:val="Contents2"/>
            <w:tabs>
              <w:tab w:val="clear" w:pos="8743"/>
              <w:tab w:val="right" w:pos="9026" w:leader="dot"/>
            </w:tabs>
            <w:rPr/>
          </w:pPr>
          <w:hyperlink w:anchor="__RefHeading___Toc7971660_2870459653">
            <w:r>
              <w:rPr>
                <w:webHidden/>
                <w:rStyle w:val="IndexLink"/>
                <w:rtl w:val="true"/>
              </w:rPr>
              <w:t xml:space="preserve">في بطلان الوكالة بالموت و الجنون و الاغماء </w:t>
            </w:r>
            <w:r>
              <w:rPr>
                <w:rStyle w:val="IndexLink"/>
                <w:rtl w:val="true"/>
              </w:rPr>
              <w:t xml:space="preserve">... </w:t>
            </w:r>
            <w:r>
              <w:rPr>
                <w:rStyle w:val="IndexLink"/>
              </w:rPr>
              <w:t>264</w:t>
            </w:r>
            <w:r>
              <w:rPr>
                <w:rStyle w:val="IndexLink"/>
                <w:rtl w:val="true"/>
              </w:rPr>
              <w:tab/>
            </w:r>
            <w:r>
              <w:rPr>
                <w:rStyle w:val="IndexLink"/>
              </w:rPr>
              <w:t>274</w:t>
            </w:r>
          </w:hyperlink>
        </w:p>
        <w:p>
          <w:pPr>
            <w:pStyle w:val="Contents2"/>
            <w:tabs>
              <w:tab w:val="clear" w:pos="8743"/>
              <w:tab w:val="right" w:pos="9026" w:leader="dot"/>
            </w:tabs>
            <w:rPr/>
          </w:pPr>
          <w:hyperlink w:anchor="__RefHeading___Toc7971662_2870459653">
            <w:r>
              <w:rPr>
                <w:webHidden/>
                <w:rStyle w:val="IndexLink"/>
                <w:rtl w:val="true"/>
              </w:rPr>
              <w:t xml:space="preserve">في ذكر بعض مسائل الوكالة </w:t>
            </w:r>
            <w:r>
              <w:rPr>
                <w:rStyle w:val="IndexLink"/>
                <w:rtl w:val="true"/>
              </w:rPr>
              <w:t xml:space="preserve">... </w:t>
            </w:r>
            <w:r>
              <w:rPr>
                <w:rStyle w:val="IndexLink"/>
              </w:rPr>
              <w:t>266</w:t>
            </w:r>
            <w:r>
              <w:rPr>
                <w:rStyle w:val="IndexLink"/>
                <w:rtl w:val="true"/>
              </w:rPr>
              <w:tab/>
            </w:r>
            <w:r>
              <w:rPr>
                <w:rStyle w:val="IndexLink"/>
              </w:rPr>
              <w:t>276</w:t>
            </w:r>
          </w:hyperlink>
        </w:p>
        <w:p>
          <w:pPr>
            <w:pStyle w:val="Contents2"/>
            <w:tabs>
              <w:tab w:val="clear" w:pos="8743"/>
              <w:tab w:val="right" w:pos="9026" w:leader="dot"/>
            </w:tabs>
            <w:rPr/>
          </w:pPr>
          <w:hyperlink w:anchor="__RefHeading___Toc7971664_2870459653">
            <w:r>
              <w:rPr>
                <w:webHidden/>
                <w:rStyle w:val="IndexLink"/>
                <w:rtl w:val="true"/>
              </w:rPr>
              <w:t xml:space="preserve">الفرع الأوّل </w:t>
            </w:r>
            <w:r>
              <w:rPr>
                <w:rStyle w:val="IndexLink"/>
                <w:rtl w:val="true"/>
              </w:rPr>
              <w:t xml:space="preserve">: </w:t>
            </w:r>
            <w:r>
              <w:rPr>
                <w:rStyle w:val="IndexLink"/>
                <w:rtl w:val="true"/>
              </w:rPr>
              <w:t>فيما يقتضيه اطلاق الوكالة</w:t>
            </w:r>
            <w:r>
              <w:rPr>
                <w:rStyle w:val="IndexLink"/>
                <w:rtl w:val="true"/>
              </w:rPr>
              <w:tab/>
            </w:r>
            <w:r>
              <w:rPr>
                <w:rStyle w:val="IndexLink"/>
              </w:rPr>
              <w:t>276</w:t>
            </w:r>
          </w:hyperlink>
        </w:p>
        <w:p>
          <w:pPr>
            <w:pStyle w:val="Contents2"/>
            <w:tabs>
              <w:tab w:val="clear" w:pos="8743"/>
              <w:tab w:val="right" w:pos="9026" w:leader="dot"/>
            </w:tabs>
            <w:rPr/>
          </w:pPr>
          <w:hyperlink w:anchor="__RefHeading___Toc7971666_2870459653">
            <w:r>
              <w:rPr>
                <w:webHidden/>
                <w:rStyle w:val="IndexLink"/>
                <w:rtl w:val="true"/>
              </w:rPr>
              <w:t xml:space="preserve">الفرع الثاني </w:t>
            </w:r>
            <w:r>
              <w:rPr>
                <w:rStyle w:val="IndexLink"/>
                <w:rtl w:val="true"/>
              </w:rPr>
              <w:t xml:space="preserve">: </w:t>
            </w:r>
            <w:r>
              <w:rPr>
                <w:rStyle w:val="IndexLink"/>
                <w:rtl w:val="true"/>
              </w:rPr>
              <w:t>في اختلاف الوكيل و المالك في الثمن</w:t>
            </w:r>
            <w:r>
              <w:rPr>
                <w:rStyle w:val="IndexLink"/>
                <w:rtl w:val="true"/>
              </w:rPr>
              <w:tab/>
            </w:r>
            <w:r>
              <w:rPr>
                <w:rStyle w:val="IndexLink"/>
              </w:rPr>
              <w:t>277</w:t>
            </w:r>
          </w:hyperlink>
        </w:p>
        <w:p>
          <w:pPr>
            <w:pStyle w:val="Contents2"/>
            <w:tabs>
              <w:tab w:val="clear" w:pos="8743"/>
              <w:tab w:val="right" w:pos="9026" w:leader="dot"/>
            </w:tabs>
            <w:rPr/>
          </w:pPr>
          <w:hyperlink w:anchor="__RefHeading___Toc7971668_2870459653">
            <w:r>
              <w:rPr>
                <w:webHidden/>
                <w:rStyle w:val="IndexLink"/>
                <w:rtl w:val="true"/>
              </w:rPr>
              <w:t xml:space="preserve">الفرع الثالث </w:t>
            </w:r>
            <w:r>
              <w:rPr>
                <w:rStyle w:val="IndexLink"/>
                <w:rtl w:val="true"/>
              </w:rPr>
              <w:t xml:space="preserve">: </w:t>
            </w:r>
            <w:r>
              <w:rPr>
                <w:rStyle w:val="IndexLink"/>
                <w:rtl w:val="true"/>
              </w:rPr>
              <w:t>فيما لو تصادق الوكيل و المشتري على الثمن فتلفت العين</w:t>
            </w:r>
            <w:r>
              <w:rPr>
                <w:rStyle w:val="IndexLink"/>
                <w:rtl w:val="true"/>
              </w:rPr>
              <w:tab/>
            </w:r>
            <w:r>
              <w:rPr>
                <w:rStyle w:val="IndexLink"/>
              </w:rPr>
              <w:t>278</w:t>
            </w:r>
          </w:hyperlink>
        </w:p>
        <w:p>
          <w:pPr>
            <w:pStyle w:val="Contents2"/>
            <w:tabs>
              <w:tab w:val="clear" w:pos="8743"/>
              <w:tab w:val="right" w:pos="9026" w:leader="dot"/>
            </w:tabs>
            <w:rPr/>
          </w:pPr>
          <w:hyperlink w:anchor="__RefHeading___Toc7971670_2870459653">
            <w:r>
              <w:rPr>
                <w:webHidden/>
                <w:rStyle w:val="IndexLink"/>
                <w:rtl w:val="true"/>
              </w:rPr>
              <w:t xml:space="preserve">في أنّ اطلاق الوكالة في البيع يقتضي تسليم المبيع </w:t>
            </w:r>
            <w:r>
              <w:rPr>
                <w:rStyle w:val="IndexLink"/>
                <w:rtl w:val="true"/>
              </w:rPr>
              <w:t xml:space="preserve">... </w:t>
            </w:r>
            <w:r>
              <w:rPr>
                <w:rStyle w:val="IndexLink"/>
              </w:rPr>
              <w:t>269</w:t>
            </w:r>
            <w:r>
              <w:rPr>
                <w:rStyle w:val="IndexLink"/>
                <w:rtl w:val="true"/>
              </w:rPr>
              <w:tab/>
            </w:r>
            <w:r>
              <w:rPr>
                <w:rStyle w:val="IndexLink"/>
              </w:rPr>
              <w:t>278</w:t>
            </w:r>
          </w:hyperlink>
        </w:p>
        <w:p>
          <w:pPr>
            <w:pStyle w:val="Contents2"/>
            <w:tabs>
              <w:tab w:val="clear" w:pos="8743"/>
              <w:tab w:val="right" w:pos="9026" w:leader="dot"/>
            </w:tabs>
            <w:rPr/>
          </w:pPr>
          <w:hyperlink w:anchor="__RefHeading___Toc7971672_2870459653">
            <w:r>
              <w:rPr>
                <w:webHidden/>
                <w:rStyle w:val="IndexLink"/>
                <w:rtl w:val="true"/>
              </w:rPr>
              <w:t>فرع</w:t>
            </w:r>
            <w:r>
              <w:rPr>
                <w:rStyle w:val="IndexLink"/>
                <w:rtl w:val="true"/>
              </w:rPr>
              <w:t xml:space="preserve">: </w:t>
            </w:r>
            <w:r>
              <w:rPr>
                <w:rStyle w:val="IndexLink"/>
                <w:rtl w:val="true"/>
              </w:rPr>
              <w:t>في أنّ للوكيل أن‌يردّ بالعيب</w:t>
            </w:r>
            <w:r>
              <w:rPr>
                <w:rStyle w:val="IndexLink"/>
                <w:rtl w:val="true"/>
              </w:rPr>
              <w:tab/>
            </w:r>
            <w:r>
              <w:rPr>
                <w:rStyle w:val="IndexLink"/>
              </w:rPr>
              <w:t>280</w:t>
            </w:r>
          </w:hyperlink>
        </w:p>
        <w:p>
          <w:pPr>
            <w:pStyle w:val="Contents2"/>
            <w:tabs>
              <w:tab w:val="clear" w:pos="8743"/>
              <w:tab w:val="right" w:pos="9026" w:leader="dot"/>
            </w:tabs>
            <w:rPr/>
          </w:pPr>
          <w:hyperlink w:anchor="__RefHeading___Toc7971674_2870459653">
            <w:r>
              <w:rPr>
                <w:webHidden/>
                <w:rStyle w:val="IndexLink"/>
                <w:rtl w:val="true"/>
              </w:rPr>
              <w:t xml:space="preserve">الفصل الثاني </w:t>
            </w:r>
            <w:r>
              <w:rPr>
                <w:rStyle w:val="IndexLink"/>
                <w:rtl w:val="true"/>
              </w:rPr>
              <w:t xml:space="preserve">: </w:t>
            </w:r>
            <w:r>
              <w:rPr>
                <w:rStyle w:val="IndexLink"/>
                <w:rtl w:val="true"/>
              </w:rPr>
              <w:t>في ما لاتصحّ فيه النيابة و ما تصحّ فيه</w:t>
            </w:r>
            <w:r>
              <w:rPr>
                <w:rStyle w:val="IndexLink"/>
                <w:rtl w:val="true"/>
              </w:rPr>
              <w:tab/>
            </w:r>
            <w:r>
              <w:rPr>
                <w:rStyle w:val="IndexLink"/>
              </w:rPr>
              <w:t>282</w:t>
            </w:r>
          </w:hyperlink>
        </w:p>
        <w:p>
          <w:pPr>
            <w:pStyle w:val="Contents2"/>
            <w:tabs>
              <w:tab w:val="clear" w:pos="8743"/>
              <w:tab w:val="right" w:pos="9026" w:leader="dot"/>
            </w:tabs>
            <w:rPr/>
          </w:pPr>
          <w:hyperlink w:anchor="__RefHeading___Toc7971676_2870459653">
            <w:r>
              <w:rPr>
                <w:webHidden/>
                <w:rStyle w:val="IndexLink"/>
                <w:rtl w:val="true"/>
              </w:rPr>
              <w:t xml:space="preserve">فيما لو وكّل على كلّ قليل و كثير </w:t>
            </w:r>
            <w:r>
              <w:rPr>
                <w:rStyle w:val="IndexLink"/>
                <w:rtl w:val="true"/>
              </w:rPr>
              <w:t xml:space="preserve">... </w:t>
            </w:r>
            <w:r>
              <w:rPr>
                <w:rStyle w:val="IndexLink"/>
              </w:rPr>
              <w:t>276</w:t>
            </w:r>
            <w:r>
              <w:rPr>
                <w:rStyle w:val="IndexLink"/>
                <w:rtl w:val="true"/>
              </w:rPr>
              <w:tab/>
            </w:r>
            <w:r>
              <w:rPr>
                <w:rStyle w:val="IndexLink"/>
              </w:rPr>
              <w:t>285</w:t>
            </w:r>
          </w:hyperlink>
        </w:p>
        <w:p>
          <w:pPr>
            <w:pStyle w:val="Contents2"/>
            <w:tabs>
              <w:tab w:val="clear" w:pos="8743"/>
              <w:tab w:val="right" w:pos="9026" w:leader="dot"/>
            </w:tabs>
            <w:rPr/>
          </w:pPr>
          <w:hyperlink w:anchor="__RefHeading___Toc7971678_2870459653">
            <w:r>
              <w:rPr>
                <w:webHidden/>
                <w:rStyle w:val="IndexLink"/>
                <w:rtl w:val="true"/>
              </w:rPr>
              <w:t xml:space="preserve">الفصل الثالث </w:t>
            </w:r>
            <w:r>
              <w:rPr>
                <w:rStyle w:val="IndexLink"/>
                <w:rtl w:val="true"/>
              </w:rPr>
              <w:t xml:space="preserve">: </w:t>
            </w:r>
            <w:r>
              <w:rPr>
                <w:rStyle w:val="IndexLink"/>
                <w:rtl w:val="true"/>
              </w:rPr>
              <w:t>في الموكّل</w:t>
            </w:r>
            <w:r>
              <w:rPr>
                <w:rStyle w:val="IndexLink"/>
                <w:rtl w:val="true"/>
              </w:rPr>
              <w:tab/>
            </w:r>
            <w:r>
              <w:rPr>
                <w:rStyle w:val="IndexLink"/>
              </w:rPr>
              <w:t>288</w:t>
            </w:r>
          </w:hyperlink>
        </w:p>
        <w:p>
          <w:pPr>
            <w:pStyle w:val="Contents2"/>
            <w:tabs>
              <w:tab w:val="clear" w:pos="8743"/>
              <w:tab w:val="right" w:pos="9026" w:leader="dot"/>
            </w:tabs>
            <w:rPr/>
          </w:pPr>
          <w:hyperlink w:anchor="__RefHeading___Toc7971680_2870459653">
            <w:r>
              <w:rPr>
                <w:webHidden/>
                <w:rStyle w:val="IndexLink"/>
                <w:rtl w:val="true"/>
              </w:rPr>
              <w:t xml:space="preserve">الفرع الأوّل </w:t>
            </w:r>
            <w:r>
              <w:rPr>
                <w:rStyle w:val="IndexLink"/>
                <w:rtl w:val="true"/>
              </w:rPr>
              <w:t xml:space="preserve">: </w:t>
            </w:r>
            <w:r>
              <w:rPr>
                <w:rStyle w:val="IndexLink"/>
                <w:rtl w:val="true"/>
              </w:rPr>
              <w:t>فيما يشترط في الوكيل و الموكّل</w:t>
            </w:r>
            <w:r>
              <w:rPr>
                <w:rStyle w:val="IndexLink"/>
                <w:rtl w:val="true"/>
              </w:rPr>
              <w:tab/>
            </w:r>
            <w:r>
              <w:rPr>
                <w:rStyle w:val="IndexLink"/>
              </w:rPr>
              <w:t>289</w:t>
            </w:r>
          </w:hyperlink>
        </w:p>
        <w:p>
          <w:pPr>
            <w:pStyle w:val="Contents2"/>
            <w:tabs>
              <w:tab w:val="clear" w:pos="8743"/>
              <w:tab w:val="right" w:pos="9026" w:leader="dot"/>
            </w:tabs>
            <w:rPr/>
          </w:pPr>
          <w:hyperlink w:anchor="__RefHeading___Toc7971682_2870459653">
            <w:r>
              <w:rPr>
                <w:webHidden/>
                <w:rStyle w:val="IndexLink"/>
                <w:rtl w:val="true"/>
              </w:rPr>
              <w:t xml:space="preserve">الفرع الثاني </w:t>
            </w:r>
            <w:r>
              <w:rPr>
                <w:rStyle w:val="IndexLink"/>
                <w:rtl w:val="true"/>
              </w:rPr>
              <w:t xml:space="preserve">: </w:t>
            </w:r>
            <w:r>
              <w:rPr>
                <w:rStyle w:val="IndexLink"/>
                <w:rtl w:val="true"/>
              </w:rPr>
              <w:t>في التوكيل في الطلاق</w:t>
            </w:r>
            <w:r>
              <w:rPr>
                <w:rStyle w:val="IndexLink"/>
                <w:rtl w:val="true"/>
              </w:rPr>
              <w:tab/>
            </w:r>
            <w:r>
              <w:rPr>
                <w:rStyle w:val="IndexLink"/>
              </w:rPr>
              <w:t>291</w:t>
            </w:r>
          </w:hyperlink>
        </w:p>
        <w:p>
          <w:pPr>
            <w:pStyle w:val="Contents2"/>
            <w:tabs>
              <w:tab w:val="clear" w:pos="8743"/>
              <w:tab w:val="right" w:pos="9026" w:leader="dot"/>
            </w:tabs>
            <w:rPr/>
          </w:pPr>
          <w:hyperlink w:anchor="__RefHeading___Toc7971684_2870459653">
            <w:r>
              <w:rPr>
                <w:webHidden/>
                <w:rStyle w:val="IndexLink"/>
                <w:rtl w:val="true"/>
              </w:rPr>
              <w:t xml:space="preserve">الفرع الثالث </w:t>
            </w:r>
            <w:r>
              <w:rPr>
                <w:rStyle w:val="IndexLink"/>
                <w:rtl w:val="true"/>
              </w:rPr>
              <w:t xml:space="preserve">: </w:t>
            </w:r>
            <w:r>
              <w:rPr>
                <w:rStyle w:val="IndexLink"/>
                <w:rtl w:val="true"/>
              </w:rPr>
              <w:t>فيما لو قال الموكّل</w:t>
            </w:r>
            <w:r>
              <w:rPr>
                <w:rStyle w:val="IndexLink"/>
                <w:rtl w:val="true"/>
              </w:rPr>
              <w:t>: «</w:t>
            </w:r>
            <w:r>
              <w:rPr>
                <w:rStyle w:val="IndexLink"/>
                <w:rtl w:val="true"/>
              </w:rPr>
              <w:t>اصنع ما شئت</w:t>
            </w:r>
            <w:r>
              <w:rPr>
                <w:rStyle w:val="IndexLink"/>
                <w:rtl w:val="true"/>
              </w:rPr>
              <w:t>»</w:t>
              <w:tab/>
            </w:r>
            <w:r>
              <w:rPr>
                <w:rStyle w:val="IndexLink"/>
              </w:rPr>
              <w:t>292</w:t>
            </w:r>
          </w:hyperlink>
        </w:p>
        <w:p>
          <w:pPr>
            <w:pStyle w:val="Contents2"/>
            <w:tabs>
              <w:tab w:val="clear" w:pos="8743"/>
              <w:tab w:val="right" w:pos="9026" w:leader="dot"/>
            </w:tabs>
            <w:rPr/>
          </w:pPr>
          <w:hyperlink w:anchor="__RefHeading___Toc7971686_2870459653">
            <w:r>
              <w:rPr>
                <w:webHidden/>
                <w:rStyle w:val="IndexLink"/>
                <w:rtl w:val="true"/>
              </w:rPr>
              <w:t xml:space="preserve">الفرع الرابع </w:t>
            </w:r>
            <w:r>
              <w:rPr>
                <w:rStyle w:val="IndexLink"/>
                <w:rtl w:val="true"/>
              </w:rPr>
              <w:t xml:space="preserve">: </w:t>
            </w:r>
            <w:r>
              <w:rPr>
                <w:rStyle w:val="IndexLink"/>
                <w:rtl w:val="true"/>
              </w:rPr>
              <w:t>فيما يستحبّ و يكره في الوكالة</w:t>
            </w:r>
            <w:r>
              <w:rPr>
                <w:rStyle w:val="IndexLink"/>
                <w:rtl w:val="true"/>
              </w:rPr>
              <w:tab/>
            </w:r>
            <w:r>
              <w:rPr>
                <w:rStyle w:val="IndexLink"/>
              </w:rPr>
              <w:t>293</w:t>
            </w:r>
          </w:hyperlink>
        </w:p>
        <w:p>
          <w:pPr>
            <w:pStyle w:val="Contents2"/>
            <w:tabs>
              <w:tab w:val="clear" w:pos="8743"/>
              <w:tab w:val="right" w:pos="9026" w:leader="dot"/>
            </w:tabs>
            <w:rPr/>
          </w:pPr>
          <w:hyperlink w:anchor="__RefHeading___Toc7971688_2870459653">
            <w:r>
              <w:rPr>
                <w:webHidden/>
                <w:rStyle w:val="IndexLink"/>
                <w:rtl w:val="true"/>
              </w:rPr>
              <w:t xml:space="preserve">الفصل الرابع </w:t>
            </w:r>
            <w:r>
              <w:rPr>
                <w:rStyle w:val="IndexLink"/>
                <w:rtl w:val="true"/>
              </w:rPr>
              <w:t xml:space="preserve">: </w:t>
            </w:r>
            <w:r>
              <w:rPr>
                <w:rStyle w:val="IndexLink"/>
                <w:rtl w:val="true"/>
              </w:rPr>
              <w:t>في الوكيل</w:t>
            </w:r>
            <w:r>
              <w:rPr>
                <w:rStyle w:val="IndexLink"/>
                <w:rtl w:val="true"/>
              </w:rPr>
              <w:tab/>
            </w:r>
            <w:r>
              <w:rPr>
                <w:rStyle w:val="IndexLink"/>
              </w:rPr>
              <w:t>294</w:t>
            </w:r>
          </w:hyperlink>
        </w:p>
        <w:p>
          <w:pPr>
            <w:pStyle w:val="Contents2"/>
            <w:tabs>
              <w:tab w:val="clear" w:pos="8743"/>
              <w:tab w:val="right" w:pos="9026" w:leader="dot"/>
            </w:tabs>
            <w:rPr/>
          </w:pPr>
          <w:hyperlink w:anchor="__RefHeading___Toc7971690_2870459653">
            <w:r>
              <w:rPr>
                <w:webHidden/>
                <w:rStyle w:val="IndexLink"/>
                <w:rtl w:val="true"/>
              </w:rPr>
              <w:t xml:space="preserve">في صور وكالة الذمّي عن المسلم و بالعكس </w:t>
            </w:r>
            <w:r>
              <w:rPr>
                <w:rStyle w:val="IndexLink"/>
                <w:rtl w:val="true"/>
              </w:rPr>
              <w:t xml:space="preserve">... </w:t>
            </w:r>
            <w:r>
              <w:rPr>
                <w:rStyle w:val="IndexLink"/>
              </w:rPr>
              <w:t>287</w:t>
            </w:r>
            <w:r>
              <w:rPr>
                <w:rStyle w:val="IndexLink"/>
                <w:rtl w:val="true"/>
              </w:rPr>
              <w:tab/>
            </w:r>
            <w:r>
              <w:rPr>
                <w:rStyle w:val="IndexLink"/>
              </w:rPr>
              <w:t>296</w:t>
            </w:r>
          </w:hyperlink>
        </w:p>
        <w:p>
          <w:pPr>
            <w:pStyle w:val="Contents2"/>
            <w:tabs>
              <w:tab w:val="clear" w:pos="8743"/>
              <w:tab w:val="right" w:pos="9026" w:leader="dot"/>
            </w:tabs>
            <w:rPr/>
          </w:pPr>
          <w:hyperlink w:anchor="__RefHeading___Toc7971692_2870459653">
            <w:r>
              <w:rPr>
                <w:webHidden/>
                <w:rStyle w:val="IndexLink"/>
                <w:rtl w:val="true"/>
              </w:rPr>
              <w:t xml:space="preserve">في اقتصار الوكيل على ما أذن له فيه </w:t>
            </w:r>
            <w:r>
              <w:rPr>
                <w:rStyle w:val="IndexLink"/>
                <w:rtl w:val="true"/>
              </w:rPr>
              <w:t xml:space="preserve">... </w:t>
            </w:r>
            <w:r>
              <w:rPr>
                <w:rStyle w:val="IndexLink"/>
              </w:rPr>
              <w:t>288</w:t>
            </w:r>
            <w:r>
              <w:rPr>
                <w:rStyle w:val="IndexLink"/>
                <w:rtl w:val="true"/>
              </w:rPr>
              <w:tab/>
            </w:r>
            <w:r>
              <w:rPr>
                <w:rStyle w:val="IndexLink"/>
              </w:rPr>
              <w:t>297</w:t>
            </w:r>
          </w:hyperlink>
        </w:p>
        <w:p>
          <w:pPr>
            <w:pStyle w:val="Contents2"/>
            <w:tabs>
              <w:tab w:val="clear" w:pos="8743"/>
              <w:tab w:val="right" w:pos="9026" w:leader="dot"/>
            </w:tabs>
            <w:rPr/>
          </w:pPr>
          <w:hyperlink w:anchor="__RefHeading___Toc7971694_2870459653">
            <w:r>
              <w:rPr>
                <w:webHidden/>
                <w:rStyle w:val="IndexLink"/>
                <w:rtl w:val="true"/>
              </w:rPr>
              <w:t xml:space="preserve">في وقوع الشراء عن الموكّل اذا ابتاع الوكيل </w:t>
            </w:r>
            <w:r>
              <w:rPr>
                <w:rStyle w:val="IndexLink"/>
                <w:rtl w:val="true"/>
              </w:rPr>
              <w:t xml:space="preserve">... </w:t>
            </w:r>
            <w:r>
              <w:rPr>
                <w:rStyle w:val="IndexLink"/>
              </w:rPr>
              <w:t>290</w:t>
            </w:r>
            <w:r>
              <w:rPr>
                <w:rStyle w:val="IndexLink"/>
                <w:rtl w:val="true"/>
              </w:rPr>
              <w:tab/>
            </w:r>
            <w:r>
              <w:rPr>
                <w:rStyle w:val="IndexLink"/>
              </w:rPr>
              <w:t>299</w:t>
            </w:r>
          </w:hyperlink>
        </w:p>
        <w:p>
          <w:pPr>
            <w:pStyle w:val="Contents2"/>
            <w:tabs>
              <w:tab w:val="clear" w:pos="8743"/>
              <w:tab w:val="right" w:pos="9026" w:leader="dot"/>
            </w:tabs>
            <w:rPr/>
          </w:pPr>
          <w:hyperlink w:anchor="__RefHeading___Toc7971696_2870459653">
            <w:r>
              <w:rPr>
                <w:webHidden/>
                <w:rStyle w:val="IndexLink"/>
                <w:rtl w:val="true"/>
              </w:rPr>
              <w:t xml:space="preserve">في حكم كلّ موضع يبطل الشراء للموكّل </w:t>
            </w:r>
            <w:r>
              <w:rPr>
                <w:rStyle w:val="IndexLink"/>
                <w:rtl w:val="true"/>
              </w:rPr>
              <w:t xml:space="preserve">... </w:t>
            </w:r>
            <w:r>
              <w:rPr>
                <w:rStyle w:val="IndexLink"/>
              </w:rPr>
              <w:t>291</w:t>
            </w:r>
            <w:r>
              <w:rPr>
                <w:rStyle w:val="IndexLink"/>
                <w:rtl w:val="true"/>
              </w:rPr>
              <w:tab/>
            </w:r>
            <w:r>
              <w:rPr>
                <w:rStyle w:val="IndexLink"/>
              </w:rPr>
              <w:t>300</w:t>
            </w:r>
          </w:hyperlink>
        </w:p>
        <w:p>
          <w:pPr>
            <w:pStyle w:val="Contents2"/>
            <w:tabs>
              <w:tab w:val="clear" w:pos="8743"/>
              <w:tab w:val="right" w:pos="9026" w:leader="dot"/>
            </w:tabs>
            <w:rPr/>
          </w:pPr>
          <w:hyperlink w:anchor="__RefHeading___Toc7971698_2870459653">
            <w:r>
              <w:rPr>
                <w:webHidden/>
                <w:rStyle w:val="IndexLink"/>
                <w:rtl w:val="true"/>
              </w:rPr>
              <w:t xml:space="preserve">فيما لو وكّل اثنين </w:t>
            </w:r>
            <w:r>
              <w:rPr>
                <w:rStyle w:val="IndexLink"/>
                <w:rtl w:val="true"/>
              </w:rPr>
              <w:t xml:space="preserve">... </w:t>
            </w:r>
            <w:r>
              <w:rPr>
                <w:rStyle w:val="IndexLink"/>
              </w:rPr>
              <w:t>294</w:t>
            </w:r>
            <w:r>
              <w:rPr>
                <w:rStyle w:val="IndexLink"/>
                <w:rtl w:val="true"/>
              </w:rPr>
              <w:tab/>
            </w:r>
            <w:r>
              <w:rPr>
                <w:rStyle w:val="IndexLink"/>
              </w:rPr>
              <w:t>303</w:t>
            </w:r>
          </w:hyperlink>
        </w:p>
        <w:p>
          <w:pPr>
            <w:pStyle w:val="Contents2"/>
            <w:tabs>
              <w:tab w:val="clear" w:pos="8743"/>
              <w:tab w:val="right" w:pos="9026" w:leader="dot"/>
            </w:tabs>
            <w:rPr/>
          </w:pPr>
          <w:hyperlink w:anchor="__RefHeading___Toc7971700_2870459653">
            <w:r>
              <w:rPr>
                <w:webHidden/>
                <w:rStyle w:val="IndexLink"/>
                <w:rtl w:val="true"/>
              </w:rPr>
              <w:t xml:space="preserve">فيما لو وكّل زوجته ثمّ طلّقها </w:t>
            </w:r>
            <w:r>
              <w:rPr>
                <w:rStyle w:val="IndexLink"/>
                <w:rtl w:val="true"/>
              </w:rPr>
              <w:t xml:space="preserve">... </w:t>
            </w:r>
            <w:r>
              <w:rPr>
                <w:rStyle w:val="IndexLink"/>
              </w:rPr>
              <w:t>294</w:t>
            </w:r>
            <w:r>
              <w:rPr>
                <w:rStyle w:val="IndexLink"/>
                <w:rtl w:val="true"/>
              </w:rPr>
              <w:tab/>
            </w:r>
            <w:r>
              <w:rPr>
                <w:rStyle w:val="IndexLink"/>
              </w:rPr>
              <w:t>303</w:t>
            </w:r>
          </w:hyperlink>
        </w:p>
        <w:p>
          <w:pPr>
            <w:pStyle w:val="Contents2"/>
            <w:tabs>
              <w:tab w:val="clear" w:pos="8743"/>
              <w:tab w:val="right" w:pos="9026" w:leader="dot"/>
            </w:tabs>
            <w:rPr/>
          </w:pPr>
          <w:hyperlink w:anchor="__RefHeading___Toc7971702_2870459653">
            <w:r>
              <w:rPr>
                <w:webHidden/>
                <w:rStyle w:val="IndexLink"/>
                <w:rtl w:val="true"/>
              </w:rPr>
              <w:t xml:space="preserve">فيما اذا وكّل انسانا في الحكومة </w:t>
            </w:r>
            <w:r>
              <w:rPr>
                <w:rStyle w:val="IndexLink"/>
                <w:rtl w:val="true"/>
              </w:rPr>
              <w:t xml:space="preserve">... </w:t>
            </w:r>
            <w:r>
              <w:rPr>
                <w:rStyle w:val="IndexLink"/>
              </w:rPr>
              <w:t>295</w:t>
            </w:r>
            <w:r>
              <w:rPr>
                <w:rStyle w:val="IndexLink"/>
                <w:rtl w:val="true"/>
              </w:rPr>
              <w:tab/>
            </w:r>
            <w:r>
              <w:rPr>
                <w:rStyle w:val="IndexLink"/>
              </w:rPr>
              <w:t>304</w:t>
            </w:r>
          </w:hyperlink>
        </w:p>
        <w:p>
          <w:pPr>
            <w:pStyle w:val="Contents2"/>
            <w:tabs>
              <w:tab w:val="clear" w:pos="8743"/>
              <w:tab w:val="right" w:pos="9026" w:leader="dot"/>
            </w:tabs>
            <w:rPr/>
          </w:pPr>
          <w:hyperlink w:anchor="__RefHeading___Toc7971704_2870459653">
            <w:r>
              <w:rPr>
                <w:webHidden/>
                <w:rStyle w:val="IndexLink"/>
                <w:rtl w:val="true"/>
              </w:rPr>
              <w:t>فيما لو قال</w:t>
            </w:r>
            <w:r>
              <w:rPr>
                <w:rStyle w:val="IndexLink"/>
                <w:rtl w:val="true"/>
              </w:rPr>
              <w:t>: «</w:t>
            </w:r>
            <w:r>
              <w:rPr>
                <w:rStyle w:val="IndexLink"/>
                <w:rtl w:val="true"/>
              </w:rPr>
              <w:t>وكّلتك في قبض حقّي من فلان</w:t>
            </w:r>
            <w:r>
              <w:rPr>
                <w:rStyle w:val="IndexLink"/>
                <w:rtl w:val="true"/>
              </w:rPr>
              <w:t xml:space="preserve">» </w:t>
            </w:r>
            <w:r>
              <w:rPr>
                <w:rStyle w:val="IndexLink"/>
                <w:rtl w:val="true"/>
              </w:rPr>
              <w:t xml:space="preserve">فمات </w:t>
            </w:r>
            <w:r>
              <w:rPr>
                <w:rStyle w:val="IndexLink"/>
                <w:rtl w:val="true"/>
              </w:rPr>
              <w:t xml:space="preserve">... </w:t>
            </w:r>
            <w:r>
              <w:rPr>
                <w:rStyle w:val="IndexLink"/>
              </w:rPr>
              <w:t>296</w:t>
            </w:r>
            <w:r>
              <w:rPr>
                <w:rStyle w:val="IndexLink"/>
                <w:rtl w:val="true"/>
              </w:rPr>
              <w:tab/>
            </w:r>
            <w:r>
              <w:rPr>
                <w:rStyle w:val="IndexLink"/>
              </w:rPr>
              <w:t>305</w:t>
            </w:r>
          </w:hyperlink>
        </w:p>
        <w:p>
          <w:pPr>
            <w:pStyle w:val="Contents2"/>
            <w:tabs>
              <w:tab w:val="clear" w:pos="8743"/>
              <w:tab w:val="right" w:pos="9026" w:leader="dot"/>
            </w:tabs>
            <w:rPr/>
          </w:pPr>
          <w:hyperlink w:anchor="__RefHeading___Toc7971706_2870459653">
            <w:r>
              <w:rPr>
                <w:webHidden/>
                <w:rStyle w:val="IndexLink"/>
                <w:rtl w:val="true"/>
              </w:rPr>
              <w:t xml:space="preserve">الفصل الخامس </w:t>
            </w:r>
            <w:r>
              <w:rPr>
                <w:rStyle w:val="IndexLink"/>
                <w:rtl w:val="true"/>
              </w:rPr>
              <w:t xml:space="preserve">: </w:t>
            </w:r>
            <w:r>
              <w:rPr>
                <w:rStyle w:val="IndexLink"/>
                <w:rtl w:val="true"/>
              </w:rPr>
              <w:t>في ما به تثبت الوكالة</w:t>
            </w:r>
            <w:r>
              <w:rPr>
                <w:rStyle w:val="IndexLink"/>
                <w:rtl w:val="true"/>
              </w:rPr>
              <w:tab/>
            </w:r>
            <w:r>
              <w:rPr>
                <w:rStyle w:val="IndexLink"/>
              </w:rPr>
              <w:t>308</w:t>
            </w:r>
          </w:hyperlink>
        </w:p>
        <w:p>
          <w:pPr>
            <w:pStyle w:val="Contents2"/>
            <w:tabs>
              <w:tab w:val="clear" w:pos="8743"/>
              <w:tab w:val="right" w:pos="9026" w:leader="dot"/>
            </w:tabs>
            <w:rPr/>
          </w:pPr>
          <w:hyperlink w:anchor="__RefHeading___Toc7971708_2870459653">
            <w:r>
              <w:rPr>
                <w:webHidden/>
                <w:rStyle w:val="IndexLink"/>
                <w:rtl w:val="true"/>
              </w:rPr>
              <w:t xml:space="preserve">الفرع الأوّل </w:t>
            </w:r>
            <w:r>
              <w:rPr>
                <w:rStyle w:val="IndexLink"/>
                <w:rtl w:val="true"/>
              </w:rPr>
              <w:t xml:space="preserve">: </w:t>
            </w:r>
            <w:r>
              <w:rPr>
                <w:rStyle w:val="IndexLink"/>
                <w:rtl w:val="true"/>
              </w:rPr>
              <w:t>فيما تثبت به الوكالة</w:t>
            </w:r>
            <w:r>
              <w:rPr>
                <w:rStyle w:val="IndexLink"/>
                <w:rtl w:val="true"/>
              </w:rPr>
              <w:tab/>
            </w:r>
            <w:r>
              <w:rPr>
                <w:rStyle w:val="IndexLink"/>
              </w:rPr>
              <w:t>309</w:t>
            </w:r>
          </w:hyperlink>
        </w:p>
        <w:p>
          <w:pPr>
            <w:pStyle w:val="Contents2"/>
            <w:tabs>
              <w:tab w:val="clear" w:pos="8743"/>
              <w:tab w:val="right" w:pos="9026" w:leader="dot"/>
            </w:tabs>
            <w:rPr/>
          </w:pPr>
          <w:hyperlink w:anchor="__RefHeading___Toc7971710_2870459653">
            <w:r>
              <w:rPr>
                <w:webHidden/>
                <w:rStyle w:val="IndexLink"/>
                <w:rtl w:val="true"/>
              </w:rPr>
              <w:t xml:space="preserve">الفرع الثاني </w:t>
            </w:r>
            <w:r>
              <w:rPr>
                <w:rStyle w:val="IndexLink"/>
                <w:rtl w:val="true"/>
              </w:rPr>
              <w:t xml:space="preserve">: </w:t>
            </w:r>
            <w:r>
              <w:rPr>
                <w:rStyle w:val="IndexLink"/>
                <w:rtl w:val="true"/>
              </w:rPr>
              <w:t>فيما لو اختلف الشاهدان على الوكالة</w:t>
            </w:r>
            <w:r>
              <w:rPr>
                <w:rStyle w:val="IndexLink"/>
                <w:rtl w:val="true"/>
              </w:rPr>
              <w:tab/>
            </w:r>
            <w:r>
              <w:rPr>
                <w:rStyle w:val="IndexLink"/>
              </w:rPr>
              <w:t>310</w:t>
            </w:r>
          </w:hyperlink>
        </w:p>
        <w:p>
          <w:pPr>
            <w:pStyle w:val="Contents2"/>
            <w:tabs>
              <w:tab w:val="clear" w:pos="8743"/>
              <w:tab w:val="right" w:pos="9026" w:leader="dot"/>
            </w:tabs>
            <w:rPr/>
          </w:pPr>
          <w:hyperlink w:anchor="__RefHeading___Toc7971712_2870459653">
            <w:r>
              <w:rPr>
                <w:webHidden/>
                <w:rStyle w:val="IndexLink"/>
                <w:rtl w:val="true"/>
              </w:rPr>
              <w:t xml:space="preserve">الفرع الثالث </w:t>
            </w:r>
            <w:r>
              <w:rPr>
                <w:rStyle w:val="IndexLink"/>
                <w:rtl w:val="true"/>
              </w:rPr>
              <w:t xml:space="preserve">: </w:t>
            </w:r>
            <w:r>
              <w:rPr>
                <w:rStyle w:val="IndexLink"/>
                <w:rtl w:val="true"/>
              </w:rPr>
              <w:t>فيما لو اختلفا في لفظ العقد</w:t>
            </w:r>
            <w:r>
              <w:rPr>
                <w:rStyle w:val="IndexLink"/>
                <w:rtl w:val="true"/>
              </w:rPr>
              <w:tab/>
            </w:r>
            <w:r>
              <w:rPr>
                <w:rStyle w:val="IndexLink"/>
              </w:rPr>
              <w:t>311</w:t>
            </w:r>
          </w:hyperlink>
        </w:p>
        <w:p>
          <w:pPr>
            <w:pStyle w:val="Contents2"/>
            <w:tabs>
              <w:tab w:val="clear" w:pos="8743"/>
              <w:tab w:val="right" w:pos="9026" w:leader="dot"/>
            </w:tabs>
            <w:rPr/>
          </w:pPr>
          <w:hyperlink w:anchor="__RefHeading___Toc7971714_2870459653">
            <w:r>
              <w:rPr>
                <w:webHidden/>
                <w:rStyle w:val="IndexLink"/>
                <w:rtl w:val="true"/>
              </w:rPr>
              <w:t xml:space="preserve">فيما لو ادّعى الوكالة عن غائب في قبض ماله </w:t>
            </w:r>
            <w:r>
              <w:rPr>
                <w:rStyle w:val="IndexLink"/>
                <w:rtl w:val="true"/>
              </w:rPr>
              <w:t xml:space="preserve">... </w:t>
            </w:r>
            <w:r>
              <w:rPr>
                <w:rStyle w:val="IndexLink"/>
              </w:rPr>
              <w:t>302</w:t>
            </w:r>
            <w:r>
              <w:rPr>
                <w:rStyle w:val="IndexLink"/>
                <w:rtl w:val="true"/>
              </w:rPr>
              <w:tab/>
            </w:r>
            <w:r>
              <w:rPr>
                <w:rStyle w:val="IndexLink"/>
              </w:rPr>
              <w:t>311</w:t>
            </w:r>
          </w:hyperlink>
        </w:p>
        <w:p>
          <w:pPr>
            <w:pStyle w:val="Contents2"/>
            <w:tabs>
              <w:tab w:val="clear" w:pos="8743"/>
              <w:tab w:val="right" w:pos="9026" w:leader="dot"/>
            </w:tabs>
            <w:rPr/>
          </w:pPr>
          <w:hyperlink w:anchor="__RefHeading___Toc7971716_2870459653">
            <w:r>
              <w:rPr>
                <w:webHidden/>
                <w:rStyle w:val="IndexLink"/>
                <w:rtl w:val="true"/>
              </w:rPr>
              <w:t xml:space="preserve">الفرع الأوّل </w:t>
            </w:r>
            <w:r>
              <w:rPr>
                <w:rStyle w:val="IndexLink"/>
                <w:rtl w:val="true"/>
              </w:rPr>
              <w:t xml:space="preserve">: </w:t>
            </w:r>
            <w:r>
              <w:rPr>
                <w:rStyle w:val="IndexLink"/>
                <w:rtl w:val="true"/>
              </w:rPr>
              <w:t>فيما لو ادّعى الوكالة عن غائب في قبض ماله و كان عينا</w:t>
            </w:r>
            <w:r>
              <w:rPr>
                <w:rStyle w:val="IndexLink"/>
                <w:rtl w:val="true"/>
              </w:rPr>
              <w:tab/>
            </w:r>
            <w:r>
              <w:rPr>
                <w:rStyle w:val="IndexLink"/>
              </w:rPr>
              <w:t>312</w:t>
            </w:r>
          </w:hyperlink>
        </w:p>
        <w:p>
          <w:pPr>
            <w:pStyle w:val="Contents2"/>
            <w:tabs>
              <w:tab w:val="clear" w:pos="8743"/>
              <w:tab w:val="right" w:pos="9026" w:leader="dot"/>
            </w:tabs>
            <w:rPr/>
          </w:pPr>
          <w:hyperlink w:anchor="__RefHeading___Toc7971718_2870459653">
            <w:r>
              <w:rPr>
                <w:webHidden/>
                <w:rStyle w:val="IndexLink"/>
                <w:rtl w:val="true"/>
              </w:rPr>
              <w:t xml:space="preserve">الفرع الثاني </w:t>
            </w:r>
            <w:r>
              <w:rPr>
                <w:rStyle w:val="IndexLink"/>
                <w:rtl w:val="true"/>
              </w:rPr>
              <w:t xml:space="preserve">: </w:t>
            </w:r>
            <w:r>
              <w:rPr>
                <w:rStyle w:val="IndexLink"/>
                <w:rtl w:val="true"/>
              </w:rPr>
              <w:t>فيما لو ادّعى الوكالة عن غائب في قبض ماله و كان دينا</w:t>
            </w:r>
            <w:r>
              <w:rPr>
                <w:rStyle w:val="IndexLink"/>
                <w:rtl w:val="true"/>
              </w:rPr>
              <w:tab/>
            </w:r>
            <w:r>
              <w:rPr>
                <w:rStyle w:val="IndexLink"/>
              </w:rPr>
              <w:t>313</w:t>
            </w:r>
          </w:hyperlink>
        </w:p>
        <w:p>
          <w:pPr>
            <w:pStyle w:val="Contents2"/>
            <w:tabs>
              <w:tab w:val="clear" w:pos="8743"/>
              <w:tab w:val="right" w:pos="9026" w:leader="dot"/>
            </w:tabs>
            <w:rPr/>
          </w:pPr>
          <w:hyperlink w:anchor="__RefHeading___Toc7971720_2870459653">
            <w:r>
              <w:rPr>
                <w:webHidden/>
                <w:rStyle w:val="IndexLink"/>
                <w:rtl w:val="true"/>
              </w:rPr>
              <w:t xml:space="preserve">الفصل السادس </w:t>
            </w:r>
            <w:r>
              <w:rPr>
                <w:rStyle w:val="IndexLink"/>
                <w:rtl w:val="true"/>
              </w:rPr>
              <w:t xml:space="preserve">: </w:t>
            </w:r>
            <w:r>
              <w:rPr>
                <w:rStyle w:val="IndexLink"/>
                <w:rtl w:val="true"/>
              </w:rPr>
              <w:t>في اللواحق</w:t>
            </w:r>
            <w:r>
              <w:rPr>
                <w:rStyle w:val="IndexLink"/>
                <w:rtl w:val="true"/>
              </w:rPr>
              <w:tab/>
            </w:r>
            <w:r>
              <w:rPr>
                <w:rStyle w:val="IndexLink"/>
              </w:rPr>
              <w:t>316</w:t>
            </w:r>
          </w:hyperlink>
        </w:p>
        <w:p>
          <w:pPr>
            <w:pStyle w:val="Contents2"/>
            <w:tabs>
              <w:tab w:val="clear" w:pos="8743"/>
              <w:tab w:val="right" w:pos="9026" w:leader="dot"/>
            </w:tabs>
            <w:rPr/>
          </w:pPr>
          <w:hyperlink w:anchor="__RefHeading___Toc7971722_2870459653">
            <w:r>
              <w:rPr>
                <w:webHidden/>
                <w:rStyle w:val="IndexLink"/>
                <w:rtl w:val="true"/>
              </w:rPr>
              <w:t xml:space="preserve">في أنّ الوكيل أمين </w:t>
            </w:r>
            <w:r>
              <w:rPr>
                <w:rStyle w:val="IndexLink"/>
                <w:rtl w:val="true"/>
              </w:rPr>
              <w:t xml:space="preserve">... </w:t>
            </w:r>
            <w:r>
              <w:rPr>
                <w:rStyle w:val="IndexLink"/>
              </w:rPr>
              <w:t>307</w:t>
            </w:r>
            <w:r>
              <w:rPr>
                <w:rStyle w:val="IndexLink"/>
                <w:rtl w:val="true"/>
              </w:rPr>
              <w:tab/>
            </w:r>
            <w:r>
              <w:rPr>
                <w:rStyle w:val="IndexLink"/>
              </w:rPr>
              <w:t>316</w:t>
            </w:r>
          </w:hyperlink>
        </w:p>
        <w:p>
          <w:pPr>
            <w:pStyle w:val="Contents2"/>
            <w:tabs>
              <w:tab w:val="clear" w:pos="8743"/>
              <w:tab w:val="right" w:pos="9026" w:leader="dot"/>
            </w:tabs>
            <w:rPr/>
          </w:pPr>
          <w:hyperlink w:anchor="__RefHeading___Toc7971724_2870459653">
            <w:r>
              <w:rPr>
                <w:webHidden/>
                <w:rStyle w:val="IndexLink"/>
                <w:rtl w:val="true"/>
              </w:rPr>
              <w:t xml:space="preserve">فيما لو أذن لوكيله أن‌يوكّل </w:t>
            </w:r>
            <w:r>
              <w:rPr>
                <w:rStyle w:val="IndexLink"/>
                <w:rtl w:val="true"/>
              </w:rPr>
              <w:t xml:space="preserve">... </w:t>
            </w:r>
            <w:r>
              <w:rPr>
                <w:rStyle w:val="IndexLink"/>
              </w:rPr>
              <w:t>308</w:t>
            </w:r>
            <w:r>
              <w:rPr>
                <w:rStyle w:val="IndexLink"/>
                <w:rtl w:val="true"/>
              </w:rPr>
              <w:tab/>
            </w:r>
            <w:r>
              <w:rPr>
                <w:rStyle w:val="IndexLink"/>
              </w:rPr>
              <w:t>317</w:t>
            </w:r>
          </w:hyperlink>
        </w:p>
        <w:p>
          <w:pPr>
            <w:pStyle w:val="Contents2"/>
            <w:tabs>
              <w:tab w:val="clear" w:pos="8743"/>
              <w:tab w:val="right" w:pos="9026" w:leader="dot"/>
            </w:tabs>
            <w:rPr/>
          </w:pPr>
          <w:hyperlink w:anchor="__RefHeading___Toc7971726_2870459653">
            <w:r>
              <w:rPr>
                <w:webHidden/>
                <w:rStyle w:val="IndexLink"/>
                <w:rtl w:val="true"/>
              </w:rPr>
              <w:t xml:space="preserve">في أنّ على الوكيل تسليم ما في يده الى الموكّل مع المطالبة </w:t>
            </w:r>
            <w:r>
              <w:rPr>
                <w:rStyle w:val="IndexLink"/>
                <w:rtl w:val="true"/>
              </w:rPr>
              <w:t xml:space="preserve">... </w:t>
            </w:r>
            <w:r>
              <w:rPr>
                <w:rStyle w:val="IndexLink"/>
              </w:rPr>
              <w:t>308</w:t>
            </w:r>
            <w:r>
              <w:rPr>
                <w:rStyle w:val="IndexLink"/>
                <w:rtl w:val="true"/>
              </w:rPr>
              <w:tab/>
            </w:r>
            <w:r>
              <w:rPr>
                <w:rStyle w:val="IndexLink"/>
              </w:rPr>
              <w:t>317</w:t>
            </w:r>
          </w:hyperlink>
        </w:p>
        <w:p>
          <w:pPr>
            <w:pStyle w:val="Contents2"/>
            <w:tabs>
              <w:tab w:val="clear" w:pos="8743"/>
              <w:tab w:val="right" w:pos="9026" w:leader="dot"/>
            </w:tabs>
            <w:rPr/>
          </w:pPr>
          <w:hyperlink w:anchor="__RefHeading___Toc7971728_2870459653">
            <w:r>
              <w:rPr>
                <w:webHidden/>
                <w:rStyle w:val="IndexLink"/>
                <w:rtl w:val="true"/>
              </w:rPr>
              <w:t xml:space="preserve">في جواز الامتناع عن التسليم حتّى يشهد صاحب الحقّ </w:t>
            </w:r>
            <w:r>
              <w:rPr>
                <w:rStyle w:val="IndexLink"/>
                <w:rtl w:val="true"/>
              </w:rPr>
              <w:t xml:space="preserve">... </w:t>
            </w:r>
            <w:r>
              <w:rPr>
                <w:rStyle w:val="IndexLink"/>
              </w:rPr>
              <w:t>309</w:t>
            </w:r>
            <w:r>
              <w:rPr>
                <w:rStyle w:val="IndexLink"/>
                <w:rtl w:val="true"/>
              </w:rPr>
              <w:tab/>
            </w:r>
            <w:r>
              <w:rPr>
                <w:rStyle w:val="IndexLink"/>
              </w:rPr>
              <w:t>318</w:t>
            </w:r>
          </w:hyperlink>
        </w:p>
        <w:p>
          <w:pPr>
            <w:pStyle w:val="Contents2"/>
            <w:tabs>
              <w:tab w:val="clear" w:pos="8743"/>
              <w:tab w:val="right" w:pos="9026" w:leader="dot"/>
            </w:tabs>
            <w:rPr/>
          </w:pPr>
          <w:hyperlink w:anchor="__RefHeading___Toc7971730_2870459653">
            <w:r>
              <w:rPr>
                <w:webHidden/>
                <w:rStyle w:val="IndexLink"/>
                <w:rtl w:val="true"/>
              </w:rPr>
              <w:t xml:space="preserve">فيما اذا لم‌يشهد الوكيل في الايداع على الودعي </w:t>
            </w:r>
            <w:r>
              <w:rPr>
                <w:rStyle w:val="IndexLink"/>
                <w:rtl w:val="true"/>
              </w:rPr>
              <w:t xml:space="preserve">... </w:t>
            </w:r>
            <w:r>
              <w:rPr>
                <w:rStyle w:val="IndexLink"/>
              </w:rPr>
              <w:t>310</w:t>
            </w:r>
            <w:r>
              <w:rPr>
                <w:rStyle w:val="IndexLink"/>
                <w:rtl w:val="true"/>
              </w:rPr>
              <w:tab/>
            </w:r>
            <w:r>
              <w:rPr>
                <w:rStyle w:val="IndexLink"/>
              </w:rPr>
              <w:t>319</w:t>
            </w:r>
          </w:hyperlink>
        </w:p>
        <w:p>
          <w:pPr>
            <w:pStyle w:val="Contents2"/>
            <w:tabs>
              <w:tab w:val="clear" w:pos="8743"/>
              <w:tab w:val="right" w:pos="9026" w:leader="dot"/>
            </w:tabs>
            <w:rPr/>
          </w:pPr>
          <w:hyperlink w:anchor="__RefHeading___Toc7971732_2870459653">
            <w:r>
              <w:rPr>
                <w:webHidden/>
                <w:rStyle w:val="IndexLink"/>
                <w:rtl w:val="true"/>
              </w:rPr>
              <w:t xml:space="preserve">فيما اذا تعدّى الوكيل في مال الموكّل </w:t>
            </w:r>
            <w:r>
              <w:rPr>
                <w:rStyle w:val="IndexLink"/>
                <w:rtl w:val="true"/>
              </w:rPr>
              <w:t xml:space="preserve">... </w:t>
            </w:r>
            <w:r>
              <w:rPr>
                <w:rStyle w:val="IndexLink"/>
              </w:rPr>
              <w:t>312</w:t>
            </w:r>
            <w:r>
              <w:rPr>
                <w:rStyle w:val="IndexLink"/>
                <w:rtl w:val="true"/>
              </w:rPr>
              <w:tab/>
            </w:r>
            <w:r>
              <w:rPr>
                <w:rStyle w:val="IndexLink"/>
              </w:rPr>
              <w:t>321</w:t>
            </w:r>
          </w:hyperlink>
        </w:p>
        <w:p>
          <w:pPr>
            <w:pStyle w:val="Contents2"/>
            <w:tabs>
              <w:tab w:val="clear" w:pos="8743"/>
              <w:tab w:val="right" w:pos="9026" w:leader="dot"/>
            </w:tabs>
            <w:rPr/>
          </w:pPr>
          <w:hyperlink w:anchor="__RefHeading___Toc7971734_2870459653">
            <w:r>
              <w:rPr>
                <w:webHidden/>
                <w:rStyle w:val="IndexLink"/>
                <w:rtl w:val="true"/>
              </w:rPr>
              <w:t xml:space="preserve">فيما اذا أذن الموكّل لوكيله في بيع ماله من نفسه </w:t>
            </w:r>
            <w:r>
              <w:rPr>
                <w:rStyle w:val="IndexLink"/>
                <w:rtl w:val="true"/>
              </w:rPr>
              <w:t xml:space="preserve">... </w:t>
            </w:r>
            <w:r>
              <w:rPr>
                <w:rStyle w:val="IndexLink"/>
              </w:rPr>
              <w:t>313</w:t>
            </w:r>
            <w:r>
              <w:rPr>
                <w:rStyle w:val="IndexLink"/>
                <w:rtl w:val="true"/>
              </w:rPr>
              <w:tab/>
            </w:r>
            <w:r>
              <w:rPr>
                <w:rStyle w:val="IndexLink"/>
              </w:rPr>
              <w:t>322</w:t>
            </w:r>
          </w:hyperlink>
        </w:p>
        <w:p>
          <w:pPr>
            <w:pStyle w:val="Contents2"/>
            <w:tabs>
              <w:tab w:val="clear" w:pos="8743"/>
              <w:tab w:val="right" w:pos="9026" w:leader="dot"/>
            </w:tabs>
            <w:rPr/>
          </w:pPr>
          <w:hyperlink w:anchor="__RefHeading___Toc7971736_2870459653">
            <w:r>
              <w:rPr>
                <w:webHidden/>
                <w:rStyle w:val="IndexLink"/>
                <w:rtl w:val="true"/>
              </w:rPr>
              <w:t xml:space="preserve">الفصل السابع </w:t>
            </w:r>
            <w:r>
              <w:rPr>
                <w:rStyle w:val="IndexLink"/>
                <w:rtl w:val="true"/>
              </w:rPr>
              <w:t xml:space="preserve">: </w:t>
            </w:r>
            <w:r>
              <w:rPr>
                <w:rStyle w:val="IndexLink"/>
                <w:rtl w:val="true"/>
              </w:rPr>
              <w:t>في التنازع</w:t>
            </w:r>
            <w:r>
              <w:rPr>
                <w:rStyle w:val="IndexLink"/>
                <w:rtl w:val="true"/>
              </w:rPr>
              <w:tab/>
            </w:r>
            <w:r>
              <w:rPr>
                <w:rStyle w:val="IndexLink"/>
              </w:rPr>
              <w:t>326</w:t>
            </w:r>
          </w:hyperlink>
        </w:p>
        <w:p>
          <w:pPr>
            <w:pStyle w:val="Contents2"/>
            <w:tabs>
              <w:tab w:val="clear" w:pos="8743"/>
              <w:tab w:val="right" w:pos="9026" w:leader="dot"/>
            </w:tabs>
            <w:rPr/>
          </w:pPr>
          <w:hyperlink w:anchor="__RefHeading___Toc7971738_2870459653">
            <w:r>
              <w:rPr>
                <w:webHidden/>
                <w:rStyle w:val="IndexLink"/>
                <w:rtl w:val="true"/>
              </w:rPr>
              <w:t xml:space="preserve">فيما اذا اختلفا في الوكالة </w:t>
            </w:r>
            <w:r>
              <w:rPr>
                <w:rStyle w:val="IndexLink"/>
                <w:rtl w:val="true"/>
              </w:rPr>
              <w:t xml:space="preserve">... </w:t>
            </w:r>
            <w:r>
              <w:rPr>
                <w:rStyle w:val="IndexLink"/>
              </w:rPr>
              <w:t>317</w:t>
            </w:r>
            <w:r>
              <w:rPr>
                <w:rStyle w:val="IndexLink"/>
                <w:rtl w:val="true"/>
              </w:rPr>
              <w:tab/>
            </w:r>
            <w:r>
              <w:rPr>
                <w:rStyle w:val="IndexLink"/>
              </w:rPr>
              <w:t>326</w:t>
            </w:r>
          </w:hyperlink>
        </w:p>
        <w:p>
          <w:pPr>
            <w:pStyle w:val="Contents2"/>
            <w:tabs>
              <w:tab w:val="clear" w:pos="8743"/>
              <w:tab w:val="right" w:pos="9026" w:leader="dot"/>
            </w:tabs>
            <w:rPr/>
          </w:pPr>
          <w:hyperlink w:anchor="__RefHeading___Toc7971740_2870459653">
            <w:r>
              <w:rPr>
                <w:webHidden/>
                <w:rStyle w:val="IndexLink"/>
                <w:rtl w:val="true"/>
              </w:rPr>
              <w:t xml:space="preserve">فيما اذا اختلفا في دفع المال </w:t>
            </w:r>
            <w:r>
              <w:rPr>
                <w:rStyle w:val="IndexLink"/>
                <w:rtl w:val="true"/>
              </w:rPr>
              <w:t xml:space="preserve">... </w:t>
            </w:r>
            <w:r>
              <w:rPr>
                <w:rStyle w:val="IndexLink"/>
              </w:rPr>
              <w:t>318</w:t>
            </w:r>
            <w:r>
              <w:rPr>
                <w:rStyle w:val="IndexLink"/>
                <w:rtl w:val="true"/>
              </w:rPr>
              <w:tab/>
            </w:r>
            <w:r>
              <w:rPr>
                <w:rStyle w:val="IndexLink"/>
              </w:rPr>
              <w:t>327</w:t>
            </w:r>
          </w:hyperlink>
        </w:p>
        <w:p>
          <w:pPr>
            <w:pStyle w:val="Contents2"/>
            <w:tabs>
              <w:tab w:val="clear" w:pos="8743"/>
              <w:tab w:val="right" w:pos="9026" w:leader="dot"/>
            </w:tabs>
            <w:rPr/>
          </w:pPr>
          <w:hyperlink w:anchor="__RefHeading___Toc7971742_2870459653">
            <w:r>
              <w:rPr>
                <w:webHidden/>
                <w:rStyle w:val="IndexLink"/>
                <w:rtl w:val="true"/>
              </w:rPr>
              <w:t xml:space="preserve">الفرع الأوّل </w:t>
            </w:r>
            <w:r>
              <w:rPr>
                <w:rStyle w:val="IndexLink"/>
                <w:rtl w:val="true"/>
              </w:rPr>
              <w:t xml:space="preserve">: </w:t>
            </w:r>
            <w:r>
              <w:rPr>
                <w:rStyle w:val="IndexLink"/>
                <w:rtl w:val="true"/>
              </w:rPr>
              <w:t>فيما اذا اختلفا في دفع المال الى الموكّل</w:t>
            </w:r>
            <w:r>
              <w:rPr>
                <w:rStyle w:val="IndexLink"/>
                <w:rtl w:val="true"/>
              </w:rPr>
              <w:tab/>
            </w:r>
            <w:r>
              <w:rPr>
                <w:rStyle w:val="IndexLink"/>
              </w:rPr>
              <w:t>328</w:t>
            </w:r>
          </w:hyperlink>
        </w:p>
        <w:p>
          <w:pPr>
            <w:pStyle w:val="Contents2"/>
            <w:tabs>
              <w:tab w:val="clear" w:pos="8743"/>
              <w:tab w:val="right" w:pos="9026" w:leader="dot"/>
            </w:tabs>
            <w:rPr/>
          </w:pPr>
          <w:hyperlink w:anchor="__RefHeading___Toc7971744_2870459653">
            <w:r>
              <w:rPr>
                <w:webHidden/>
                <w:rStyle w:val="IndexLink"/>
                <w:rtl w:val="true"/>
              </w:rPr>
              <w:t xml:space="preserve">الفرع الثاني </w:t>
            </w:r>
            <w:r>
              <w:rPr>
                <w:rStyle w:val="IndexLink"/>
                <w:rtl w:val="true"/>
              </w:rPr>
              <w:t xml:space="preserve">: </w:t>
            </w:r>
            <w:r>
              <w:rPr>
                <w:rStyle w:val="IndexLink"/>
                <w:rtl w:val="true"/>
              </w:rPr>
              <w:t>فيما اذا اختلف الوصي و الموصى له، أو الأولياء و المولّى عليهم</w:t>
            </w:r>
            <w:r>
              <w:rPr>
                <w:rStyle w:val="IndexLink"/>
                <w:rtl w:val="true"/>
              </w:rPr>
              <w:tab/>
            </w:r>
            <w:r>
              <w:rPr>
                <w:rStyle w:val="IndexLink"/>
              </w:rPr>
              <w:t>328</w:t>
            </w:r>
          </w:hyperlink>
        </w:p>
        <w:p>
          <w:pPr>
            <w:pStyle w:val="Contents2"/>
            <w:tabs>
              <w:tab w:val="clear" w:pos="8743"/>
              <w:tab w:val="right" w:pos="9026" w:leader="dot"/>
            </w:tabs>
            <w:rPr/>
          </w:pPr>
          <w:hyperlink w:anchor="__RefHeading___Toc7971746_2870459653">
            <w:r>
              <w:rPr>
                <w:webHidden/>
                <w:rStyle w:val="IndexLink"/>
                <w:rtl w:val="true"/>
              </w:rPr>
              <w:t xml:space="preserve">فيما اذا ادّعى الوكيل التصرّف و أنكر الموكّل </w:t>
            </w:r>
            <w:r>
              <w:rPr>
                <w:rStyle w:val="IndexLink"/>
                <w:rtl w:val="true"/>
              </w:rPr>
              <w:t xml:space="preserve">... </w:t>
            </w:r>
            <w:r>
              <w:rPr>
                <w:rStyle w:val="IndexLink"/>
              </w:rPr>
              <w:t>320</w:t>
            </w:r>
            <w:r>
              <w:rPr>
                <w:rStyle w:val="IndexLink"/>
                <w:rtl w:val="true"/>
              </w:rPr>
              <w:tab/>
            </w:r>
            <w:r>
              <w:rPr>
                <w:rStyle w:val="IndexLink"/>
              </w:rPr>
              <w:t>329</w:t>
            </w:r>
          </w:hyperlink>
        </w:p>
        <w:p>
          <w:pPr>
            <w:pStyle w:val="Contents2"/>
            <w:tabs>
              <w:tab w:val="clear" w:pos="8743"/>
              <w:tab w:val="right" w:pos="9026" w:leader="dot"/>
            </w:tabs>
            <w:rPr/>
          </w:pPr>
          <w:hyperlink w:anchor="__RefHeading___Toc7971748_2870459653">
            <w:r>
              <w:rPr>
                <w:webHidden/>
                <w:rStyle w:val="IndexLink"/>
                <w:rtl w:val="true"/>
              </w:rPr>
              <w:t xml:space="preserve">فيما اذا اشترى انسان سلعة و ادّعى الوكالة لانسان فأنكر </w:t>
            </w:r>
            <w:r>
              <w:rPr>
                <w:rStyle w:val="IndexLink"/>
                <w:rtl w:val="true"/>
              </w:rPr>
              <w:t xml:space="preserve">... </w:t>
            </w:r>
            <w:r>
              <w:rPr>
                <w:rStyle w:val="IndexLink"/>
              </w:rPr>
              <w:t>321</w:t>
            </w:r>
            <w:r>
              <w:rPr>
                <w:rStyle w:val="IndexLink"/>
                <w:rtl w:val="true"/>
              </w:rPr>
              <w:tab/>
            </w:r>
            <w:r>
              <w:rPr>
                <w:rStyle w:val="IndexLink"/>
              </w:rPr>
              <w:t>330</w:t>
            </w:r>
          </w:hyperlink>
        </w:p>
        <w:p>
          <w:pPr>
            <w:pStyle w:val="Contents2"/>
            <w:tabs>
              <w:tab w:val="clear" w:pos="8743"/>
              <w:tab w:val="right" w:pos="9026" w:leader="dot"/>
            </w:tabs>
            <w:rPr/>
          </w:pPr>
          <w:hyperlink w:anchor="__RefHeading___Toc7971750_2870459653">
            <w:r>
              <w:rPr>
                <w:webHidden/>
                <w:rStyle w:val="IndexLink"/>
                <w:rtl w:val="true"/>
              </w:rPr>
              <w:t xml:space="preserve">فيما اذا زوّجه امرأة فأنكر الوكالة </w:t>
            </w:r>
            <w:r>
              <w:rPr>
                <w:rStyle w:val="IndexLink"/>
                <w:rtl w:val="true"/>
              </w:rPr>
              <w:t xml:space="preserve">... </w:t>
            </w:r>
            <w:r>
              <w:rPr>
                <w:rStyle w:val="IndexLink"/>
              </w:rPr>
              <w:t>322</w:t>
            </w:r>
            <w:r>
              <w:rPr>
                <w:rStyle w:val="IndexLink"/>
                <w:rtl w:val="true"/>
              </w:rPr>
              <w:tab/>
            </w:r>
            <w:r>
              <w:rPr>
                <w:rStyle w:val="IndexLink"/>
              </w:rPr>
              <w:t>331</w:t>
            </w:r>
          </w:hyperlink>
        </w:p>
        <w:p>
          <w:pPr>
            <w:pStyle w:val="Contents2"/>
            <w:tabs>
              <w:tab w:val="clear" w:pos="8743"/>
              <w:tab w:val="right" w:pos="9026" w:leader="dot"/>
            </w:tabs>
            <w:rPr/>
          </w:pPr>
          <w:hyperlink w:anchor="__RefHeading___Toc7971752_2870459653">
            <w:r>
              <w:rPr>
                <w:webHidden/>
                <w:rStyle w:val="IndexLink"/>
                <w:rtl w:val="true"/>
              </w:rPr>
              <w:t xml:space="preserve">فيما اذا وكّله في ابتياع عبد فاختلفا في الثمن </w:t>
            </w:r>
            <w:r>
              <w:rPr>
                <w:rStyle w:val="IndexLink"/>
                <w:rtl w:val="true"/>
              </w:rPr>
              <w:t xml:space="preserve">... </w:t>
            </w:r>
            <w:r>
              <w:rPr>
                <w:rStyle w:val="IndexLink"/>
              </w:rPr>
              <w:t>323</w:t>
            </w:r>
            <w:r>
              <w:rPr>
                <w:rStyle w:val="IndexLink"/>
                <w:rtl w:val="true"/>
              </w:rPr>
              <w:tab/>
            </w:r>
            <w:r>
              <w:rPr>
                <w:rStyle w:val="IndexLink"/>
              </w:rPr>
              <w:t>332</w:t>
            </w:r>
          </w:hyperlink>
        </w:p>
        <w:p>
          <w:pPr>
            <w:pStyle w:val="Contents2"/>
            <w:tabs>
              <w:tab w:val="clear" w:pos="8743"/>
              <w:tab w:val="right" w:pos="9026" w:leader="dot"/>
            </w:tabs>
            <w:rPr/>
          </w:pPr>
          <w:hyperlink w:anchor="__RefHeading___Toc7971754_2870459653">
            <w:r>
              <w:rPr>
                <w:webHidden/>
                <w:rStyle w:val="IndexLink"/>
                <w:rtl w:val="true"/>
              </w:rPr>
              <w:t xml:space="preserve">في أنّ البائع بالخيار في مطالبة الوكيل و الموكّل </w:t>
            </w:r>
            <w:r>
              <w:rPr>
                <w:rStyle w:val="IndexLink"/>
                <w:rtl w:val="true"/>
              </w:rPr>
              <w:t xml:space="preserve">... </w:t>
            </w:r>
            <w:r>
              <w:rPr>
                <w:rStyle w:val="IndexLink"/>
              </w:rPr>
              <w:t>323</w:t>
            </w:r>
            <w:r>
              <w:rPr>
                <w:rStyle w:val="IndexLink"/>
                <w:rtl w:val="true"/>
              </w:rPr>
              <w:tab/>
            </w:r>
            <w:r>
              <w:rPr>
                <w:rStyle w:val="IndexLink"/>
              </w:rPr>
              <w:t>332</w:t>
            </w:r>
          </w:hyperlink>
        </w:p>
        <w:p>
          <w:pPr>
            <w:pStyle w:val="Contents2"/>
            <w:tabs>
              <w:tab w:val="clear" w:pos="8743"/>
              <w:tab w:val="right" w:pos="9026" w:leader="dot"/>
            </w:tabs>
            <w:rPr/>
          </w:pPr>
          <w:hyperlink w:anchor="__RefHeading___Toc7971756_2870459653">
            <w:r>
              <w:rPr>
                <w:webHidden/>
                <w:rStyle w:val="IndexLink"/>
                <w:rtl w:val="true"/>
              </w:rPr>
              <w:t>فيما اذا طالب الوكيل فقال الذي عليه الحقّ</w:t>
            </w:r>
            <w:r>
              <w:rPr>
                <w:rStyle w:val="IndexLink"/>
                <w:rtl w:val="true"/>
              </w:rPr>
              <w:t>: «</w:t>
            </w:r>
            <w:r>
              <w:rPr>
                <w:rStyle w:val="IndexLink"/>
                <w:rtl w:val="true"/>
              </w:rPr>
              <w:t>لاتستحقّ المطالبة</w:t>
            </w:r>
            <w:r>
              <w:rPr>
                <w:rStyle w:val="IndexLink"/>
                <w:rtl w:val="true"/>
              </w:rPr>
              <w:t xml:space="preserve">» ... </w:t>
            </w:r>
            <w:r>
              <w:rPr>
                <w:rStyle w:val="IndexLink"/>
              </w:rPr>
              <w:t>324</w:t>
            </w:r>
            <w:r>
              <w:rPr>
                <w:rStyle w:val="IndexLink"/>
                <w:rtl w:val="true"/>
              </w:rPr>
              <w:tab/>
            </w:r>
            <w:r>
              <w:rPr>
                <w:rStyle w:val="IndexLink"/>
              </w:rPr>
              <w:t>333</w:t>
            </w:r>
          </w:hyperlink>
        </w:p>
        <w:p>
          <w:pPr>
            <w:pStyle w:val="Contents2"/>
            <w:tabs>
              <w:tab w:val="clear" w:pos="8743"/>
              <w:tab w:val="right" w:pos="9026" w:leader="dot"/>
            </w:tabs>
            <w:rPr/>
          </w:pPr>
          <w:hyperlink w:anchor="__RefHeading___Toc7971758_2870459653">
            <w:r>
              <w:rPr>
                <w:webHidden/>
                <w:rStyle w:val="IndexLink"/>
                <w:rtl w:val="true"/>
              </w:rPr>
              <w:t xml:space="preserve">في قبول شهادة الوكيل لموكّله فيما لا ولاية له فيه </w:t>
            </w:r>
            <w:r>
              <w:rPr>
                <w:rStyle w:val="IndexLink"/>
                <w:rtl w:val="true"/>
              </w:rPr>
              <w:t xml:space="preserve">... </w:t>
            </w:r>
            <w:r>
              <w:rPr>
                <w:rStyle w:val="IndexLink"/>
              </w:rPr>
              <w:t>235</w:t>
            </w:r>
            <w:r>
              <w:rPr>
                <w:rStyle w:val="IndexLink"/>
                <w:rtl w:val="true"/>
              </w:rPr>
              <w:tab/>
            </w:r>
            <w:r>
              <w:rPr>
                <w:rStyle w:val="IndexLink"/>
              </w:rPr>
              <w:t>334</w:t>
            </w:r>
          </w:hyperlink>
        </w:p>
        <w:p>
          <w:pPr>
            <w:pStyle w:val="Contents2"/>
            <w:tabs>
              <w:tab w:val="clear" w:pos="8743"/>
              <w:tab w:val="right" w:pos="9026" w:leader="dot"/>
            </w:tabs>
            <w:rPr/>
          </w:pPr>
          <w:hyperlink w:anchor="__RefHeading___Toc7971760_2870459653">
            <w:r>
              <w:rPr>
                <w:webHidden/>
                <w:rStyle w:val="IndexLink"/>
                <w:rtl w:val="true"/>
              </w:rPr>
              <w:t xml:space="preserve">فيما لو وكّله بقبض دينه من غريم و ما لو أمره ببيع سلعة </w:t>
            </w:r>
            <w:r>
              <w:rPr>
                <w:rStyle w:val="IndexLink"/>
                <w:rtl w:val="true"/>
              </w:rPr>
              <w:t xml:space="preserve">... </w:t>
            </w:r>
            <w:r>
              <w:rPr>
                <w:rStyle w:val="IndexLink"/>
              </w:rPr>
              <w:t>326</w:t>
            </w:r>
            <w:r>
              <w:rPr>
                <w:rStyle w:val="IndexLink"/>
                <w:rtl w:val="true"/>
              </w:rPr>
              <w:tab/>
            </w:r>
            <w:r>
              <w:rPr>
                <w:rStyle w:val="IndexLink"/>
              </w:rPr>
              <w:t>335</w:t>
            </w:r>
          </w:hyperlink>
        </w:p>
        <w:p>
          <w:pPr>
            <w:pStyle w:val="Contents2"/>
            <w:tabs>
              <w:tab w:val="clear" w:pos="8743"/>
              <w:tab w:val="right" w:pos="9026" w:leader="dot"/>
            </w:tabs>
            <w:rPr/>
          </w:pPr>
          <w:hyperlink w:anchor="__RefHeading___Toc7971762_2870459653">
            <w:r>
              <w:rPr>
                <w:webHidden/>
                <w:rStyle w:val="IndexLink"/>
                <w:rtl w:val="true"/>
              </w:rPr>
              <w:t xml:space="preserve">الفرع الأوّل </w:t>
            </w:r>
            <w:r>
              <w:rPr>
                <w:rStyle w:val="IndexLink"/>
                <w:rtl w:val="true"/>
              </w:rPr>
              <w:t xml:space="preserve">: </w:t>
            </w:r>
            <w:r>
              <w:rPr>
                <w:rStyle w:val="IndexLink"/>
                <w:rtl w:val="true"/>
              </w:rPr>
              <w:t>فيما لو وكّله بقبض دينه من غريم</w:t>
            </w:r>
            <w:r>
              <w:rPr>
                <w:rStyle w:val="IndexLink"/>
                <w:rtl w:val="true"/>
              </w:rPr>
              <w:tab/>
            </w:r>
            <w:r>
              <w:rPr>
                <w:rStyle w:val="IndexLink"/>
              </w:rPr>
              <w:t>335</w:t>
            </w:r>
          </w:hyperlink>
        </w:p>
        <w:p>
          <w:pPr>
            <w:pStyle w:val="Contents2"/>
            <w:tabs>
              <w:tab w:val="clear" w:pos="8743"/>
              <w:tab w:val="right" w:pos="9026" w:leader="dot"/>
            </w:tabs>
            <w:rPr/>
          </w:pPr>
          <w:hyperlink w:anchor="__RefHeading___Toc7971764_2870459653">
            <w:r>
              <w:rPr>
                <w:webHidden/>
                <w:rStyle w:val="IndexLink"/>
                <w:rtl w:val="true"/>
              </w:rPr>
              <w:t xml:space="preserve">الفرع الثاني </w:t>
            </w:r>
            <w:r>
              <w:rPr>
                <w:rStyle w:val="IndexLink"/>
                <w:rtl w:val="true"/>
              </w:rPr>
              <w:t xml:space="preserve">: </w:t>
            </w:r>
            <w:r>
              <w:rPr>
                <w:rStyle w:val="IndexLink"/>
                <w:rtl w:val="true"/>
              </w:rPr>
              <w:t>فيما لو أمره ببيع سلعة و تسليمها و قبض ثمنها</w:t>
            </w:r>
            <w:r>
              <w:rPr>
                <w:rStyle w:val="IndexLink"/>
                <w:rtl w:val="true"/>
              </w:rPr>
              <w:tab/>
            </w:r>
            <w:r>
              <w:rPr>
                <w:rStyle w:val="IndexLink"/>
              </w:rPr>
              <w:t>336</w:t>
            </w:r>
          </w:hyperlink>
        </w:p>
        <w:p>
          <w:pPr>
            <w:pStyle w:val="Contents2"/>
            <w:tabs>
              <w:tab w:val="clear" w:pos="8743"/>
              <w:tab w:val="right" w:pos="9026" w:leader="dot"/>
            </w:tabs>
            <w:rPr/>
          </w:pPr>
          <w:hyperlink w:anchor="__RefHeading___Toc7971766_2870459653">
            <w:r>
              <w:rPr>
                <w:webHidden/>
                <w:rStyle w:val="IndexLink"/>
                <w:rtl w:val="true"/>
              </w:rPr>
              <w:t>كتاب الهبات</w:t>
            </w:r>
            <w:r>
              <w:rPr>
                <w:rStyle w:val="IndexLink"/>
                <w:rtl w:val="true"/>
              </w:rPr>
              <w:tab/>
            </w:r>
            <w:r>
              <w:rPr>
                <w:rStyle w:val="IndexLink"/>
              </w:rPr>
              <w:t>338</w:t>
            </w:r>
          </w:hyperlink>
        </w:p>
        <w:p>
          <w:pPr>
            <w:pStyle w:val="Contents2"/>
            <w:tabs>
              <w:tab w:val="clear" w:pos="8743"/>
              <w:tab w:val="right" w:pos="9026" w:leader="dot"/>
            </w:tabs>
            <w:rPr/>
          </w:pPr>
          <w:hyperlink w:anchor="__RefHeading___Toc7971768_2870459653">
            <w:r>
              <w:rPr>
                <w:webHidden/>
                <w:rStyle w:val="IndexLink"/>
                <w:rtl w:val="true"/>
              </w:rPr>
              <w:t xml:space="preserve">النظر الأوّل </w:t>
            </w:r>
            <w:r>
              <w:rPr>
                <w:rStyle w:val="IndexLink"/>
                <w:rtl w:val="true"/>
              </w:rPr>
              <w:t xml:space="preserve">: </w:t>
            </w:r>
            <w:r>
              <w:rPr>
                <w:rStyle w:val="IndexLink"/>
                <w:rtl w:val="true"/>
              </w:rPr>
              <w:t>في الحقيقة</w:t>
            </w:r>
            <w:r>
              <w:rPr>
                <w:rStyle w:val="IndexLink"/>
                <w:rtl w:val="true"/>
              </w:rPr>
              <w:tab/>
            </w:r>
            <w:r>
              <w:rPr>
                <w:rStyle w:val="IndexLink"/>
              </w:rPr>
              <w:t>338</w:t>
            </w:r>
          </w:hyperlink>
        </w:p>
        <w:p>
          <w:pPr>
            <w:pStyle w:val="Contents2"/>
            <w:tabs>
              <w:tab w:val="clear" w:pos="8743"/>
              <w:tab w:val="right" w:pos="9026" w:leader="dot"/>
            </w:tabs>
            <w:rPr/>
          </w:pPr>
          <w:hyperlink w:anchor="__RefHeading___Toc7971770_2870459653">
            <w:r>
              <w:rPr>
                <w:webHidden/>
                <w:rStyle w:val="IndexLink"/>
                <w:rtl w:val="true"/>
              </w:rPr>
              <w:t xml:space="preserve">الفرع الأوّل </w:t>
            </w:r>
            <w:r>
              <w:rPr>
                <w:rStyle w:val="IndexLink"/>
                <w:rtl w:val="true"/>
              </w:rPr>
              <w:t xml:space="preserve">: </w:t>
            </w:r>
            <w:r>
              <w:rPr>
                <w:rStyle w:val="IndexLink"/>
                <w:rtl w:val="true"/>
              </w:rPr>
              <w:t>في تعريف الهبة</w:t>
            </w:r>
            <w:r>
              <w:rPr>
                <w:rStyle w:val="IndexLink"/>
                <w:rtl w:val="true"/>
              </w:rPr>
              <w:tab/>
            </w:r>
            <w:r>
              <w:rPr>
                <w:rStyle w:val="IndexLink"/>
              </w:rPr>
              <w:t>339</w:t>
            </w:r>
          </w:hyperlink>
        </w:p>
        <w:p>
          <w:pPr>
            <w:pStyle w:val="Contents2"/>
            <w:tabs>
              <w:tab w:val="clear" w:pos="8743"/>
              <w:tab w:val="right" w:pos="9026" w:leader="dot"/>
            </w:tabs>
            <w:rPr/>
          </w:pPr>
          <w:hyperlink w:anchor="__RefHeading___Toc7971772_2870459653">
            <w:r>
              <w:rPr>
                <w:webHidden/>
                <w:rStyle w:val="IndexLink"/>
                <w:rtl w:val="true"/>
              </w:rPr>
              <w:t xml:space="preserve">الفرع الثاني </w:t>
            </w:r>
            <w:r>
              <w:rPr>
                <w:rStyle w:val="IndexLink"/>
                <w:rtl w:val="true"/>
              </w:rPr>
              <w:t xml:space="preserve">: </w:t>
            </w:r>
            <w:r>
              <w:rPr>
                <w:rStyle w:val="IndexLink"/>
                <w:rtl w:val="true"/>
              </w:rPr>
              <w:t>في التعبير عن الهبة بالنحلة و العطيّة</w:t>
            </w:r>
            <w:r>
              <w:rPr>
                <w:rStyle w:val="IndexLink"/>
                <w:rtl w:val="true"/>
              </w:rPr>
              <w:tab/>
            </w:r>
            <w:r>
              <w:rPr>
                <w:rStyle w:val="IndexLink"/>
              </w:rPr>
              <w:t>339</w:t>
            </w:r>
          </w:hyperlink>
        </w:p>
        <w:p>
          <w:pPr>
            <w:pStyle w:val="Contents2"/>
            <w:tabs>
              <w:tab w:val="clear" w:pos="8743"/>
              <w:tab w:val="right" w:pos="9026" w:leader="dot"/>
            </w:tabs>
            <w:rPr/>
          </w:pPr>
          <w:hyperlink w:anchor="__RefHeading___Toc7971774_2870459653">
            <w:r>
              <w:rPr>
                <w:webHidden/>
                <w:rStyle w:val="IndexLink"/>
                <w:rtl w:val="true"/>
              </w:rPr>
              <w:t xml:space="preserve">الفرع الثالث </w:t>
            </w:r>
            <w:r>
              <w:rPr>
                <w:rStyle w:val="IndexLink"/>
                <w:rtl w:val="true"/>
              </w:rPr>
              <w:t xml:space="preserve">: </w:t>
            </w:r>
            <w:r>
              <w:rPr>
                <w:rStyle w:val="IndexLink"/>
                <w:rtl w:val="true"/>
              </w:rPr>
              <w:t>في احتياج الهبة الى الايجاب و القبول</w:t>
            </w:r>
            <w:r>
              <w:rPr>
                <w:rStyle w:val="IndexLink"/>
                <w:rtl w:val="true"/>
              </w:rPr>
              <w:tab/>
            </w:r>
            <w:r>
              <w:rPr>
                <w:rStyle w:val="IndexLink"/>
              </w:rPr>
              <w:t>340</w:t>
            </w:r>
          </w:hyperlink>
        </w:p>
        <w:p>
          <w:pPr>
            <w:pStyle w:val="Contents2"/>
            <w:tabs>
              <w:tab w:val="clear" w:pos="8743"/>
              <w:tab w:val="right" w:pos="9026" w:leader="dot"/>
            </w:tabs>
            <w:rPr/>
          </w:pPr>
          <w:hyperlink w:anchor="__RefHeading___Toc7971776_2870459653">
            <w:r>
              <w:rPr>
                <w:webHidden/>
                <w:rStyle w:val="IndexLink"/>
                <w:rtl w:val="true"/>
              </w:rPr>
              <w:t xml:space="preserve">فيما يعتبر في العاقد </w:t>
            </w:r>
            <w:r>
              <w:rPr>
                <w:rStyle w:val="IndexLink"/>
                <w:rtl w:val="true"/>
              </w:rPr>
              <w:t xml:space="preserve">... </w:t>
            </w:r>
            <w:r>
              <w:rPr>
                <w:rStyle w:val="IndexLink"/>
              </w:rPr>
              <w:t>332</w:t>
            </w:r>
            <w:r>
              <w:rPr>
                <w:rStyle w:val="IndexLink"/>
                <w:rtl w:val="true"/>
              </w:rPr>
              <w:tab/>
            </w:r>
            <w:r>
              <w:rPr>
                <w:rStyle w:val="IndexLink"/>
              </w:rPr>
              <w:t>341</w:t>
            </w:r>
          </w:hyperlink>
        </w:p>
        <w:p>
          <w:pPr>
            <w:pStyle w:val="Contents2"/>
            <w:tabs>
              <w:tab w:val="clear" w:pos="8743"/>
              <w:tab w:val="right" w:pos="9026" w:leader="dot"/>
            </w:tabs>
            <w:rPr/>
          </w:pPr>
          <w:hyperlink w:anchor="__RefHeading___Toc7971778_2870459653">
            <w:r>
              <w:rPr>
                <w:webHidden/>
                <w:rStyle w:val="IndexLink"/>
                <w:rtl w:val="true"/>
              </w:rPr>
              <w:t xml:space="preserve">فيما لو وهب ما في الذمّة </w:t>
            </w:r>
            <w:r>
              <w:rPr>
                <w:rStyle w:val="IndexLink"/>
                <w:rtl w:val="true"/>
              </w:rPr>
              <w:t xml:space="preserve">... </w:t>
            </w:r>
            <w:r>
              <w:rPr>
                <w:rStyle w:val="IndexLink"/>
              </w:rPr>
              <w:t>333</w:t>
            </w:r>
            <w:r>
              <w:rPr>
                <w:rStyle w:val="IndexLink"/>
                <w:rtl w:val="true"/>
              </w:rPr>
              <w:tab/>
            </w:r>
            <w:r>
              <w:rPr>
                <w:rStyle w:val="IndexLink"/>
              </w:rPr>
              <w:t>342</w:t>
            </w:r>
          </w:hyperlink>
        </w:p>
        <w:p>
          <w:pPr>
            <w:pStyle w:val="Contents2"/>
            <w:tabs>
              <w:tab w:val="clear" w:pos="8743"/>
              <w:tab w:val="right" w:pos="9026" w:leader="dot"/>
            </w:tabs>
            <w:rPr/>
          </w:pPr>
          <w:hyperlink w:anchor="__RefHeading___Toc7971780_2870459653">
            <w:r>
              <w:rPr>
                <w:webHidden/>
                <w:rStyle w:val="IndexLink"/>
                <w:rtl w:val="true"/>
              </w:rPr>
              <w:t xml:space="preserve">في أنّه لا حكم للهبة ما لم‌تقبض </w:t>
            </w:r>
            <w:r>
              <w:rPr>
                <w:rStyle w:val="IndexLink"/>
                <w:rtl w:val="true"/>
              </w:rPr>
              <w:t xml:space="preserve">... </w:t>
            </w:r>
            <w:r>
              <w:rPr>
                <w:rStyle w:val="IndexLink"/>
              </w:rPr>
              <w:t>334</w:t>
            </w:r>
            <w:r>
              <w:rPr>
                <w:rStyle w:val="IndexLink"/>
                <w:rtl w:val="true"/>
              </w:rPr>
              <w:tab/>
            </w:r>
            <w:r>
              <w:rPr>
                <w:rStyle w:val="IndexLink"/>
              </w:rPr>
              <w:t>343</w:t>
            </w:r>
          </w:hyperlink>
        </w:p>
        <w:p>
          <w:pPr>
            <w:pStyle w:val="Contents2"/>
            <w:tabs>
              <w:tab w:val="clear" w:pos="8743"/>
              <w:tab w:val="right" w:pos="9026" w:leader="dot"/>
            </w:tabs>
            <w:rPr/>
          </w:pPr>
          <w:hyperlink w:anchor="__RefHeading___Toc7971782_2870459653">
            <w:r>
              <w:rPr>
                <w:webHidden/>
                <w:rStyle w:val="IndexLink"/>
                <w:rtl w:val="true"/>
              </w:rPr>
              <w:t xml:space="preserve">الفرع الأوّل </w:t>
            </w:r>
            <w:r>
              <w:rPr>
                <w:rStyle w:val="IndexLink"/>
                <w:rtl w:val="true"/>
              </w:rPr>
              <w:t xml:space="preserve">: </w:t>
            </w:r>
            <w:r>
              <w:rPr>
                <w:rStyle w:val="IndexLink"/>
                <w:rtl w:val="true"/>
              </w:rPr>
              <w:t>في شرطيّة القبض في الهبة</w:t>
            </w:r>
            <w:r>
              <w:rPr>
                <w:rStyle w:val="IndexLink"/>
                <w:rtl w:val="true"/>
              </w:rPr>
              <w:tab/>
            </w:r>
            <w:r>
              <w:rPr>
                <w:rStyle w:val="IndexLink"/>
              </w:rPr>
              <w:t>344</w:t>
            </w:r>
          </w:hyperlink>
        </w:p>
        <w:p>
          <w:pPr>
            <w:pStyle w:val="Contents2"/>
            <w:tabs>
              <w:tab w:val="clear" w:pos="8743"/>
              <w:tab w:val="right" w:pos="9026" w:leader="dot"/>
            </w:tabs>
            <w:rPr/>
          </w:pPr>
          <w:hyperlink w:anchor="__RefHeading___Toc7971784_2870459653">
            <w:r>
              <w:rPr>
                <w:webHidden/>
                <w:rStyle w:val="IndexLink"/>
                <w:rtl w:val="true"/>
              </w:rPr>
              <w:t xml:space="preserve">الفرع الثاني </w:t>
            </w:r>
            <w:r>
              <w:rPr>
                <w:rStyle w:val="IndexLink"/>
                <w:rtl w:val="true"/>
              </w:rPr>
              <w:t xml:space="preserve">: </w:t>
            </w:r>
            <w:r>
              <w:rPr>
                <w:rStyle w:val="IndexLink"/>
                <w:rtl w:val="true"/>
              </w:rPr>
              <w:t>فيما لو مات الواهب أو الموهوب له</w:t>
            </w:r>
            <w:r>
              <w:rPr>
                <w:rStyle w:val="IndexLink"/>
                <w:rtl w:val="true"/>
              </w:rPr>
              <w:tab/>
            </w:r>
            <w:r>
              <w:rPr>
                <w:rStyle w:val="IndexLink"/>
              </w:rPr>
              <w:t>346</w:t>
            </w:r>
          </w:hyperlink>
        </w:p>
        <w:p>
          <w:pPr>
            <w:pStyle w:val="Contents2"/>
            <w:tabs>
              <w:tab w:val="clear" w:pos="8743"/>
              <w:tab w:val="right" w:pos="9026" w:leader="dot"/>
            </w:tabs>
            <w:rPr/>
          </w:pPr>
          <w:hyperlink w:anchor="__RefHeading___Toc7971786_2870459653">
            <w:r>
              <w:rPr>
                <w:webHidden/>
                <w:rStyle w:val="IndexLink"/>
                <w:rtl w:val="true"/>
              </w:rPr>
              <w:t xml:space="preserve">الفرع الثالث </w:t>
            </w:r>
            <w:r>
              <w:rPr>
                <w:rStyle w:val="IndexLink"/>
                <w:rtl w:val="true"/>
              </w:rPr>
              <w:t xml:space="preserve">: </w:t>
            </w:r>
            <w:r>
              <w:rPr>
                <w:rStyle w:val="IndexLink"/>
                <w:rtl w:val="true"/>
              </w:rPr>
              <w:t>فيما لو أقرّ الواهب بالهبة و الاقباض</w:t>
            </w:r>
            <w:r>
              <w:rPr>
                <w:rStyle w:val="IndexLink"/>
                <w:rtl w:val="true"/>
              </w:rPr>
              <w:tab/>
            </w:r>
            <w:r>
              <w:rPr>
                <w:rStyle w:val="IndexLink"/>
              </w:rPr>
              <w:t>347</w:t>
            </w:r>
          </w:hyperlink>
        </w:p>
        <w:p>
          <w:pPr>
            <w:pStyle w:val="Contents2"/>
            <w:tabs>
              <w:tab w:val="clear" w:pos="8743"/>
              <w:tab w:val="right" w:pos="9026" w:leader="dot"/>
            </w:tabs>
            <w:rPr/>
          </w:pPr>
          <w:hyperlink w:anchor="__RefHeading___Toc7971788_2870459653">
            <w:r>
              <w:rPr>
                <w:webHidden/>
                <w:rStyle w:val="IndexLink"/>
                <w:rtl w:val="true"/>
              </w:rPr>
              <w:t xml:space="preserve">في اشتراط اذن الواهب في صحّة القبض </w:t>
            </w:r>
            <w:r>
              <w:rPr>
                <w:rStyle w:val="IndexLink"/>
                <w:rtl w:val="true"/>
              </w:rPr>
              <w:t xml:space="preserve">... </w:t>
            </w:r>
            <w:r>
              <w:rPr>
                <w:rStyle w:val="IndexLink"/>
              </w:rPr>
              <w:t>338</w:t>
            </w:r>
            <w:r>
              <w:rPr>
                <w:rStyle w:val="IndexLink"/>
                <w:rtl w:val="true"/>
              </w:rPr>
              <w:tab/>
            </w:r>
            <w:r>
              <w:rPr>
                <w:rStyle w:val="IndexLink"/>
              </w:rPr>
              <w:t>347</w:t>
            </w:r>
          </w:hyperlink>
        </w:p>
        <w:p>
          <w:pPr>
            <w:pStyle w:val="Contents2"/>
            <w:tabs>
              <w:tab w:val="clear" w:pos="8743"/>
              <w:tab w:val="right" w:pos="9026" w:leader="dot"/>
            </w:tabs>
            <w:rPr/>
          </w:pPr>
          <w:hyperlink w:anchor="__RefHeading___Toc7971790_2870459653">
            <w:r>
              <w:rPr>
                <w:webHidden/>
                <w:rStyle w:val="IndexLink"/>
                <w:rtl w:val="true"/>
              </w:rPr>
              <w:t xml:space="preserve">في جواز هبة المشاع </w:t>
            </w:r>
            <w:r>
              <w:rPr>
                <w:rStyle w:val="IndexLink"/>
                <w:rtl w:val="true"/>
              </w:rPr>
              <w:t xml:space="preserve">... </w:t>
            </w:r>
            <w:r>
              <w:rPr>
                <w:rStyle w:val="IndexLink"/>
              </w:rPr>
              <w:t>340</w:t>
            </w:r>
            <w:r>
              <w:rPr>
                <w:rStyle w:val="IndexLink"/>
                <w:rtl w:val="true"/>
              </w:rPr>
              <w:tab/>
            </w:r>
            <w:r>
              <w:rPr>
                <w:rStyle w:val="IndexLink"/>
              </w:rPr>
              <w:t>349</w:t>
            </w:r>
          </w:hyperlink>
        </w:p>
        <w:p>
          <w:pPr>
            <w:pStyle w:val="Contents2"/>
            <w:tabs>
              <w:tab w:val="clear" w:pos="8743"/>
              <w:tab w:val="right" w:pos="9026" w:leader="dot"/>
            </w:tabs>
            <w:rPr/>
          </w:pPr>
          <w:hyperlink w:anchor="__RefHeading___Toc7971792_2870459653">
            <w:r>
              <w:rPr>
                <w:webHidden/>
                <w:rStyle w:val="IndexLink"/>
                <w:rtl w:val="true"/>
              </w:rPr>
              <w:t xml:space="preserve">فيما لو وهب لاثنين شيئا </w:t>
            </w:r>
            <w:r>
              <w:rPr>
                <w:rStyle w:val="IndexLink"/>
                <w:rtl w:val="true"/>
              </w:rPr>
              <w:t xml:space="preserve">... </w:t>
            </w:r>
            <w:r>
              <w:rPr>
                <w:rStyle w:val="IndexLink"/>
              </w:rPr>
              <w:t>342</w:t>
            </w:r>
            <w:r>
              <w:rPr>
                <w:rStyle w:val="IndexLink"/>
                <w:rtl w:val="true"/>
              </w:rPr>
              <w:tab/>
            </w:r>
            <w:r>
              <w:rPr>
                <w:rStyle w:val="IndexLink"/>
              </w:rPr>
              <w:t>351</w:t>
            </w:r>
          </w:hyperlink>
        </w:p>
        <w:p>
          <w:pPr>
            <w:pStyle w:val="Contents2"/>
            <w:tabs>
              <w:tab w:val="clear" w:pos="8743"/>
              <w:tab w:val="right" w:pos="9026" w:leader="dot"/>
            </w:tabs>
            <w:rPr/>
          </w:pPr>
          <w:hyperlink w:anchor="__RefHeading___Toc7971794_2870459653">
            <w:r>
              <w:rPr>
                <w:webHidden/>
                <w:rStyle w:val="IndexLink"/>
                <w:rtl w:val="true"/>
              </w:rPr>
              <w:t xml:space="preserve">الفرع الأوّل </w:t>
            </w:r>
            <w:r>
              <w:rPr>
                <w:rStyle w:val="IndexLink"/>
                <w:rtl w:val="true"/>
              </w:rPr>
              <w:t xml:space="preserve">: </w:t>
            </w:r>
            <w:r>
              <w:rPr>
                <w:rStyle w:val="IndexLink"/>
                <w:rtl w:val="true"/>
              </w:rPr>
              <w:t>فيما لو وهب شيئين أو شيئا واحدا لاثنين</w:t>
            </w:r>
            <w:r>
              <w:rPr>
                <w:rStyle w:val="IndexLink"/>
                <w:rtl w:val="true"/>
              </w:rPr>
              <w:tab/>
            </w:r>
            <w:r>
              <w:rPr>
                <w:rStyle w:val="IndexLink"/>
              </w:rPr>
              <w:t>351</w:t>
            </w:r>
          </w:hyperlink>
        </w:p>
        <w:p>
          <w:pPr>
            <w:pStyle w:val="Contents2"/>
            <w:tabs>
              <w:tab w:val="clear" w:pos="8743"/>
              <w:tab w:val="right" w:pos="9026" w:leader="dot"/>
            </w:tabs>
            <w:rPr/>
          </w:pPr>
          <w:hyperlink w:anchor="__RefHeading___Toc7971796_2870459653">
            <w:r>
              <w:rPr>
                <w:webHidden/>
                <w:rStyle w:val="IndexLink"/>
                <w:rtl w:val="true"/>
              </w:rPr>
              <w:t xml:space="preserve">الفرع الثاني </w:t>
            </w:r>
            <w:r>
              <w:rPr>
                <w:rStyle w:val="IndexLink"/>
                <w:rtl w:val="true"/>
              </w:rPr>
              <w:t xml:space="preserve">: </w:t>
            </w:r>
            <w:r>
              <w:rPr>
                <w:rStyle w:val="IndexLink"/>
                <w:rtl w:val="true"/>
              </w:rPr>
              <w:t>في جواز تفضيل بعض الولد على بعض</w:t>
            </w:r>
            <w:r>
              <w:rPr>
                <w:rStyle w:val="IndexLink"/>
                <w:rtl w:val="true"/>
              </w:rPr>
              <w:tab/>
            </w:r>
            <w:r>
              <w:rPr>
                <w:rStyle w:val="IndexLink"/>
              </w:rPr>
              <w:t>351</w:t>
            </w:r>
          </w:hyperlink>
        </w:p>
        <w:p>
          <w:pPr>
            <w:pStyle w:val="Contents2"/>
            <w:tabs>
              <w:tab w:val="clear" w:pos="8743"/>
              <w:tab w:val="right" w:pos="9026" w:leader="dot"/>
            </w:tabs>
            <w:rPr/>
          </w:pPr>
          <w:hyperlink w:anchor="__RefHeading___Toc7971798_2870459653">
            <w:r>
              <w:rPr>
                <w:webHidden/>
                <w:rStyle w:val="IndexLink"/>
                <w:rtl w:val="true"/>
              </w:rPr>
              <w:t xml:space="preserve">في حكم الهبة اذا كانت لذي رحم </w:t>
            </w:r>
            <w:r>
              <w:rPr>
                <w:rStyle w:val="IndexLink"/>
                <w:rtl w:val="true"/>
              </w:rPr>
              <w:t xml:space="preserve">... </w:t>
            </w:r>
            <w:r>
              <w:rPr>
                <w:rStyle w:val="IndexLink"/>
              </w:rPr>
              <w:t>344</w:t>
            </w:r>
            <w:r>
              <w:rPr>
                <w:rStyle w:val="IndexLink"/>
                <w:rtl w:val="true"/>
              </w:rPr>
              <w:tab/>
            </w:r>
            <w:r>
              <w:rPr>
                <w:rStyle w:val="IndexLink"/>
              </w:rPr>
              <w:t>353</w:t>
            </w:r>
          </w:hyperlink>
        </w:p>
        <w:p>
          <w:pPr>
            <w:pStyle w:val="Contents2"/>
            <w:tabs>
              <w:tab w:val="clear" w:pos="8743"/>
              <w:tab w:val="right" w:pos="9026" w:leader="dot"/>
            </w:tabs>
            <w:rPr/>
          </w:pPr>
          <w:hyperlink w:anchor="__RefHeading___Toc7971800_2870459653">
            <w:r>
              <w:rPr>
                <w:webHidden/>
                <w:rStyle w:val="IndexLink"/>
                <w:rtl w:val="true"/>
              </w:rPr>
              <w:t xml:space="preserve">الفرع الأوّل </w:t>
            </w:r>
            <w:r>
              <w:rPr>
                <w:rStyle w:val="IndexLink"/>
                <w:rtl w:val="true"/>
              </w:rPr>
              <w:t xml:space="preserve">: </w:t>
            </w:r>
            <w:r>
              <w:rPr>
                <w:rStyle w:val="IndexLink"/>
                <w:rtl w:val="true"/>
              </w:rPr>
              <w:t>في الرجوع في الهبة اذا كانت لذي رحم</w:t>
            </w:r>
            <w:r>
              <w:rPr>
                <w:rStyle w:val="IndexLink"/>
                <w:rtl w:val="true"/>
              </w:rPr>
              <w:tab/>
            </w:r>
            <w:r>
              <w:rPr>
                <w:rStyle w:val="IndexLink"/>
              </w:rPr>
              <w:t>353</w:t>
            </w:r>
          </w:hyperlink>
        </w:p>
        <w:p>
          <w:pPr>
            <w:pStyle w:val="Contents2"/>
            <w:tabs>
              <w:tab w:val="clear" w:pos="8743"/>
              <w:tab w:val="right" w:pos="9026" w:leader="dot"/>
            </w:tabs>
            <w:rPr/>
          </w:pPr>
          <w:hyperlink w:anchor="__RefHeading___Toc7971802_2870459653">
            <w:r>
              <w:rPr>
                <w:webHidden/>
                <w:rStyle w:val="IndexLink"/>
                <w:rtl w:val="true"/>
              </w:rPr>
              <w:t xml:space="preserve">الفرع الثاني </w:t>
            </w:r>
            <w:r>
              <w:rPr>
                <w:rStyle w:val="IndexLink"/>
                <w:rtl w:val="true"/>
              </w:rPr>
              <w:t xml:space="preserve">: </w:t>
            </w:r>
            <w:r>
              <w:rPr>
                <w:rStyle w:val="IndexLink"/>
                <w:rtl w:val="true"/>
              </w:rPr>
              <w:t>في الرجوع في الهبة اذا كانت للزوج أو الزوجة</w:t>
            </w:r>
            <w:r>
              <w:rPr>
                <w:rStyle w:val="IndexLink"/>
                <w:rtl w:val="true"/>
              </w:rPr>
              <w:tab/>
            </w:r>
            <w:r>
              <w:rPr>
                <w:rStyle w:val="IndexLink"/>
              </w:rPr>
              <w:t>355</w:t>
            </w:r>
          </w:hyperlink>
        </w:p>
        <w:p>
          <w:pPr>
            <w:pStyle w:val="Contents2"/>
            <w:tabs>
              <w:tab w:val="clear" w:pos="8743"/>
              <w:tab w:val="right" w:pos="9026" w:leader="dot"/>
            </w:tabs>
            <w:rPr/>
          </w:pPr>
          <w:hyperlink w:anchor="__RefHeading___Toc7971804_2870459653">
            <w:r>
              <w:rPr>
                <w:webHidden/>
                <w:rStyle w:val="IndexLink"/>
                <w:rtl w:val="true"/>
              </w:rPr>
              <w:t xml:space="preserve">الفرع الثالث </w:t>
            </w:r>
            <w:r>
              <w:rPr>
                <w:rStyle w:val="IndexLink"/>
                <w:rtl w:val="true"/>
              </w:rPr>
              <w:t xml:space="preserve">: </w:t>
            </w:r>
            <w:r>
              <w:rPr>
                <w:rStyle w:val="IndexLink"/>
                <w:rtl w:val="true"/>
              </w:rPr>
              <w:t>في الرجوع في الهبة اذا كان الموهوب له أجنبيّا</w:t>
            </w:r>
            <w:r>
              <w:rPr>
                <w:rStyle w:val="IndexLink"/>
                <w:rtl w:val="true"/>
              </w:rPr>
              <w:tab/>
            </w:r>
            <w:r>
              <w:rPr>
                <w:rStyle w:val="IndexLink"/>
              </w:rPr>
              <w:t>356</w:t>
            </w:r>
          </w:hyperlink>
        </w:p>
        <w:p>
          <w:pPr>
            <w:pStyle w:val="Contents2"/>
            <w:tabs>
              <w:tab w:val="clear" w:pos="8743"/>
              <w:tab w:val="right" w:pos="9026" w:leader="dot"/>
            </w:tabs>
            <w:rPr/>
          </w:pPr>
          <w:hyperlink w:anchor="__RefHeading___Toc7971806_2870459653">
            <w:r>
              <w:rPr>
                <w:webHidden/>
                <w:rStyle w:val="IndexLink"/>
                <w:rtl w:val="true"/>
              </w:rPr>
              <w:t xml:space="preserve">الفرع الرابع </w:t>
            </w:r>
            <w:r>
              <w:rPr>
                <w:rStyle w:val="IndexLink"/>
                <w:rtl w:val="true"/>
              </w:rPr>
              <w:t xml:space="preserve">: </w:t>
            </w:r>
            <w:r>
              <w:rPr>
                <w:rStyle w:val="IndexLink"/>
                <w:rtl w:val="true"/>
              </w:rPr>
              <w:t>في أنّ التصرّف الناقل أو المغيّر للعين ملحق بالتلف</w:t>
            </w:r>
            <w:r>
              <w:rPr>
                <w:rStyle w:val="IndexLink"/>
                <w:rtl w:val="true"/>
              </w:rPr>
              <w:tab/>
            </w:r>
            <w:r>
              <w:rPr>
                <w:rStyle w:val="IndexLink"/>
              </w:rPr>
              <w:t>357</w:t>
            </w:r>
          </w:hyperlink>
        </w:p>
        <w:p>
          <w:pPr>
            <w:pStyle w:val="Contents2"/>
            <w:tabs>
              <w:tab w:val="clear" w:pos="8743"/>
              <w:tab w:val="right" w:pos="9026" w:leader="dot"/>
            </w:tabs>
            <w:rPr/>
          </w:pPr>
          <w:hyperlink w:anchor="__RefHeading___Toc7971808_2870459653">
            <w:r>
              <w:rPr>
                <w:webHidden/>
                <w:rStyle w:val="IndexLink"/>
                <w:rtl w:val="true"/>
              </w:rPr>
              <w:t xml:space="preserve">في استحباب العطيّة لذوي الرحم </w:t>
            </w:r>
            <w:r>
              <w:rPr>
                <w:rStyle w:val="IndexLink"/>
                <w:rtl w:val="true"/>
              </w:rPr>
              <w:t xml:space="preserve">... </w:t>
            </w:r>
            <w:r>
              <w:rPr>
                <w:rStyle w:val="IndexLink"/>
              </w:rPr>
              <w:t>349</w:t>
            </w:r>
            <w:r>
              <w:rPr>
                <w:rStyle w:val="IndexLink"/>
                <w:rtl w:val="true"/>
              </w:rPr>
              <w:tab/>
            </w:r>
            <w:r>
              <w:rPr>
                <w:rStyle w:val="IndexLink"/>
              </w:rPr>
              <w:t>358</w:t>
            </w:r>
          </w:hyperlink>
        </w:p>
        <w:p>
          <w:pPr>
            <w:pStyle w:val="Contents2"/>
            <w:tabs>
              <w:tab w:val="clear" w:pos="8743"/>
              <w:tab w:val="right" w:pos="9026" w:leader="dot"/>
            </w:tabs>
            <w:rPr/>
          </w:pPr>
          <w:hyperlink w:anchor="__RefHeading___Toc7971810_2870459653">
            <w:r>
              <w:rPr>
                <w:webHidden/>
                <w:rStyle w:val="IndexLink"/>
                <w:rtl w:val="true"/>
              </w:rPr>
              <w:t xml:space="preserve">في استحباب العطيّة لذوي الرحم </w:t>
            </w:r>
            <w:r>
              <w:rPr>
                <w:rStyle w:val="IndexLink"/>
                <w:rtl w:val="true"/>
              </w:rPr>
              <w:t xml:space="preserve">... </w:t>
            </w:r>
            <w:r>
              <w:rPr>
                <w:rStyle w:val="IndexLink"/>
              </w:rPr>
              <w:t>349</w:t>
            </w:r>
            <w:r>
              <w:rPr>
                <w:rStyle w:val="IndexLink"/>
                <w:rtl w:val="true"/>
              </w:rPr>
              <w:tab/>
            </w:r>
            <w:r>
              <w:rPr>
                <w:rStyle w:val="IndexLink"/>
              </w:rPr>
              <w:t>359</w:t>
            </w:r>
          </w:hyperlink>
        </w:p>
        <w:p>
          <w:pPr>
            <w:pStyle w:val="Contents2"/>
            <w:tabs>
              <w:tab w:val="clear" w:pos="8743"/>
              <w:tab w:val="right" w:pos="9026" w:leader="dot"/>
            </w:tabs>
            <w:rPr/>
          </w:pPr>
          <w:hyperlink w:anchor="__RefHeading___Toc7971812_2870459653">
            <w:r>
              <w:rPr>
                <w:webHidden/>
                <w:rStyle w:val="IndexLink"/>
                <w:rtl w:val="true"/>
              </w:rPr>
              <w:t xml:space="preserve">النظر الثاني </w:t>
            </w:r>
            <w:r>
              <w:rPr>
                <w:rStyle w:val="IndexLink"/>
                <w:rtl w:val="true"/>
              </w:rPr>
              <w:t xml:space="preserve">: </w:t>
            </w:r>
            <w:r>
              <w:rPr>
                <w:rStyle w:val="IndexLink"/>
                <w:rtl w:val="true"/>
              </w:rPr>
              <w:t>في حكم الهبات</w:t>
            </w:r>
            <w:r>
              <w:rPr>
                <w:rStyle w:val="IndexLink"/>
                <w:rtl w:val="true"/>
              </w:rPr>
              <w:tab/>
            </w:r>
            <w:r>
              <w:rPr>
                <w:rStyle w:val="IndexLink"/>
              </w:rPr>
              <w:t>362</w:t>
            </w:r>
          </w:hyperlink>
        </w:p>
        <w:p>
          <w:pPr>
            <w:pStyle w:val="Contents2"/>
            <w:tabs>
              <w:tab w:val="clear" w:pos="8743"/>
              <w:tab w:val="right" w:pos="9026" w:leader="dot"/>
            </w:tabs>
            <w:rPr/>
          </w:pPr>
          <w:hyperlink w:anchor="__RefHeading___Toc7971814_2870459653">
            <w:r>
              <w:rPr>
                <w:webHidden/>
                <w:rStyle w:val="IndexLink"/>
                <w:rtl w:val="true"/>
              </w:rPr>
              <w:t xml:space="preserve">فيما اذا تراخى القبض عن العقد ثمّ أقبض </w:t>
            </w:r>
            <w:r>
              <w:rPr>
                <w:rStyle w:val="IndexLink"/>
                <w:rtl w:val="true"/>
              </w:rPr>
              <w:t xml:space="preserve">... </w:t>
            </w:r>
            <w:r>
              <w:rPr>
                <w:rStyle w:val="IndexLink"/>
              </w:rPr>
              <w:t>355</w:t>
            </w:r>
            <w:r>
              <w:rPr>
                <w:rStyle w:val="IndexLink"/>
                <w:rtl w:val="true"/>
              </w:rPr>
              <w:tab/>
            </w:r>
            <w:r>
              <w:rPr>
                <w:rStyle w:val="IndexLink"/>
              </w:rPr>
              <w:t>364</w:t>
            </w:r>
          </w:hyperlink>
        </w:p>
        <w:p>
          <w:pPr>
            <w:pStyle w:val="Contents2"/>
            <w:tabs>
              <w:tab w:val="clear" w:pos="8743"/>
              <w:tab w:val="right" w:pos="9026" w:leader="dot"/>
            </w:tabs>
            <w:rPr/>
          </w:pPr>
          <w:hyperlink w:anchor="__RefHeading___Toc7971816_2870459653">
            <w:r>
              <w:rPr>
                <w:webHidden/>
                <w:rStyle w:val="IndexLink"/>
                <w:rtl w:val="true"/>
              </w:rPr>
              <w:t>فيما لو قال</w:t>
            </w:r>
            <w:r>
              <w:rPr>
                <w:rStyle w:val="IndexLink"/>
                <w:rtl w:val="true"/>
              </w:rPr>
              <w:t>: «</w:t>
            </w:r>
            <w:r>
              <w:rPr>
                <w:rStyle w:val="IndexLink"/>
                <w:rtl w:val="true"/>
              </w:rPr>
              <w:t>وهبت و لم‌أقبضه</w:t>
            </w:r>
            <w:r>
              <w:rPr>
                <w:rStyle w:val="IndexLink"/>
                <w:rtl w:val="true"/>
              </w:rPr>
              <w:t xml:space="preserve">» ... </w:t>
            </w:r>
            <w:r>
              <w:rPr>
                <w:rStyle w:val="IndexLink"/>
              </w:rPr>
              <w:t>356</w:t>
            </w:r>
            <w:r>
              <w:rPr>
                <w:rStyle w:val="IndexLink"/>
                <w:rtl w:val="true"/>
              </w:rPr>
              <w:tab/>
            </w:r>
            <w:r>
              <w:rPr>
                <w:rStyle w:val="IndexLink"/>
              </w:rPr>
              <w:t>365</w:t>
            </w:r>
          </w:hyperlink>
        </w:p>
        <w:p>
          <w:pPr>
            <w:pStyle w:val="Contents2"/>
            <w:tabs>
              <w:tab w:val="clear" w:pos="8743"/>
              <w:tab w:val="right" w:pos="9026" w:leader="dot"/>
            </w:tabs>
            <w:rPr/>
          </w:pPr>
          <w:hyperlink w:anchor="__RefHeading___Toc7971818_2870459653">
            <w:r>
              <w:rPr>
                <w:webHidden/>
                <w:rStyle w:val="IndexLink"/>
                <w:rtl w:val="true"/>
              </w:rPr>
              <w:t xml:space="preserve">فيما اذا رجع في الهبة و قد عابت </w:t>
            </w:r>
            <w:r>
              <w:rPr>
                <w:rStyle w:val="IndexLink"/>
                <w:rtl w:val="true"/>
              </w:rPr>
              <w:t xml:space="preserve">... </w:t>
            </w:r>
            <w:r>
              <w:rPr>
                <w:rStyle w:val="IndexLink"/>
              </w:rPr>
              <w:t>357</w:t>
            </w:r>
            <w:r>
              <w:rPr>
                <w:rStyle w:val="IndexLink"/>
                <w:rtl w:val="true"/>
              </w:rPr>
              <w:tab/>
            </w:r>
            <w:r>
              <w:rPr>
                <w:rStyle w:val="IndexLink"/>
              </w:rPr>
              <w:t>366</w:t>
            </w:r>
          </w:hyperlink>
        </w:p>
        <w:p>
          <w:pPr>
            <w:pStyle w:val="Contents2"/>
            <w:tabs>
              <w:tab w:val="clear" w:pos="8743"/>
              <w:tab w:val="right" w:pos="9026" w:leader="dot"/>
            </w:tabs>
            <w:rPr/>
          </w:pPr>
          <w:hyperlink w:anchor="__RefHeading___Toc7971820_2870459653">
            <w:r>
              <w:rPr>
                <w:webHidden/>
                <w:rStyle w:val="IndexLink"/>
                <w:rtl w:val="true"/>
              </w:rPr>
              <w:t xml:space="preserve">فيما اذا وهب و أطلق </w:t>
            </w:r>
            <w:r>
              <w:rPr>
                <w:rStyle w:val="IndexLink"/>
                <w:rtl w:val="true"/>
              </w:rPr>
              <w:t xml:space="preserve">... </w:t>
            </w:r>
            <w:r>
              <w:rPr>
                <w:rStyle w:val="IndexLink"/>
              </w:rPr>
              <w:t>357</w:t>
            </w:r>
            <w:r>
              <w:rPr>
                <w:rStyle w:val="IndexLink"/>
                <w:rtl w:val="true"/>
              </w:rPr>
              <w:tab/>
            </w:r>
            <w:r>
              <w:rPr>
                <w:rStyle w:val="IndexLink"/>
              </w:rPr>
              <w:t>366</w:t>
            </w:r>
          </w:hyperlink>
        </w:p>
        <w:p>
          <w:pPr>
            <w:pStyle w:val="Contents2"/>
            <w:tabs>
              <w:tab w:val="clear" w:pos="8743"/>
              <w:tab w:val="right" w:pos="9026" w:leader="dot"/>
            </w:tabs>
            <w:rPr/>
          </w:pPr>
          <w:hyperlink w:anchor="__RefHeading___Toc7971822_2870459653">
            <w:r>
              <w:rPr>
                <w:webHidden/>
                <w:rStyle w:val="IndexLink"/>
                <w:rtl w:val="true"/>
              </w:rPr>
              <w:t xml:space="preserve">فيما اذا صبغ الموهوب له الثوب </w:t>
            </w:r>
            <w:r>
              <w:rPr>
                <w:rStyle w:val="IndexLink"/>
                <w:rtl w:val="true"/>
              </w:rPr>
              <w:t xml:space="preserve">... </w:t>
            </w:r>
            <w:r>
              <w:rPr>
                <w:rStyle w:val="IndexLink"/>
              </w:rPr>
              <w:t>360</w:t>
            </w:r>
            <w:r>
              <w:rPr>
                <w:rStyle w:val="IndexLink"/>
                <w:rtl w:val="true"/>
              </w:rPr>
              <w:tab/>
            </w:r>
            <w:r>
              <w:rPr>
                <w:rStyle w:val="IndexLink"/>
              </w:rPr>
              <w:t>369</w:t>
            </w:r>
          </w:hyperlink>
        </w:p>
        <w:p>
          <w:pPr>
            <w:pStyle w:val="Contents2"/>
            <w:tabs>
              <w:tab w:val="clear" w:pos="8743"/>
              <w:tab w:val="right" w:pos="9026" w:leader="dot"/>
            </w:tabs>
            <w:rPr/>
          </w:pPr>
          <w:hyperlink w:anchor="__RefHeading___Toc7971824_2870459653">
            <w:r>
              <w:rPr>
                <w:webHidden/>
                <w:rStyle w:val="IndexLink"/>
                <w:rtl w:val="true"/>
              </w:rPr>
              <w:t xml:space="preserve">فيما اذا وهب في مرضه المخوف و برأ </w:t>
            </w:r>
            <w:r>
              <w:rPr>
                <w:rStyle w:val="IndexLink"/>
                <w:rtl w:val="true"/>
              </w:rPr>
              <w:t xml:space="preserve">... </w:t>
            </w:r>
            <w:r>
              <w:rPr>
                <w:rStyle w:val="IndexLink"/>
              </w:rPr>
              <w:t>361</w:t>
            </w:r>
            <w:r>
              <w:rPr>
                <w:rStyle w:val="IndexLink"/>
                <w:rtl w:val="true"/>
              </w:rPr>
              <w:tab/>
            </w:r>
            <w:r>
              <w:rPr>
                <w:rStyle w:val="IndexLink"/>
              </w:rPr>
              <w:t>370</w:t>
            </w:r>
          </w:hyperlink>
        </w:p>
        <w:p>
          <w:pPr>
            <w:pStyle w:val="Contents2"/>
            <w:tabs>
              <w:tab w:val="clear" w:pos="8743"/>
              <w:tab w:val="right" w:pos="9026" w:leader="dot"/>
            </w:tabs>
            <w:rPr/>
          </w:pPr>
          <w:hyperlink w:anchor="__RefHeading___Toc7971826_2870459653">
            <w:r>
              <w:rPr>
                <w:webHidden/>
                <w:rStyle w:val="IndexLink"/>
                <w:rtl w:val="true"/>
              </w:rPr>
              <w:t xml:space="preserve">كتاب السبق و الرماية </w:t>
            </w:r>
            <w:r>
              <w:rPr>
                <w:rStyle w:val="IndexLink"/>
                <w:rtl w:val="true"/>
              </w:rPr>
              <w:t xml:space="preserve">/ </w:t>
            </w:r>
            <w:r>
              <w:rPr>
                <w:rStyle w:val="IndexLink"/>
              </w:rPr>
              <w:t>363</w:t>
            </w:r>
            <w:r>
              <w:rPr>
                <w:rStyle w:val="IndexLink"/>
                <w:rtl w:val="true"/>
              </w:rPr>
              <w:tab/>
            </w:r>
            <w:r>
              <w:rPr>
                <w:rStyle w:val="IndexLink"/>
              </w:rPr>
              <w:t>372</w:t>
            </w:r>
          </w:hyperlink>
        </w:p>
        <w:p>
          <w:pPr>
            <w:pStyle w:val="Contents2"/>
            <w:tabs>
              <w:tab w:val="clear" w:pos="8743"/>
              <w:tab w:val="right" w:pos="9026" w:leader="dot"/>
            </w:tabs>
            <w:rPr/>
          </w:pPr>
          <w:hyperlink w:anchor="__RefHeading___Toc7971828_2870459653">
            <w:r>
              <w:rPr>
                <w:webHidden/>
                <w:rStyle w:val="IndexLink"/>
                <w:rtl w:val="true"/>
              </w:rPr>
              <w:t xml:space="preserve">الفصل الأوّل </w:t>
            </w:r>
            <w:r>
              <w:rPr>
                <w:rStyle w:val="IndexLink"/>
                <w:rtl w:val="true"/>
              </w:rPr>
              <w:t xml:space="preserve">: </w:t>
            </w:r>
            <w:r>
              <w:rPr>
                <w:rStyle w:val="IndexLink"/>
                <w:rtl w:val="true"/>
              </w:rPr>
              <w:t>في الألفاظ المستعملة فيه</w:t>
            </w:r>
            <w:r>
              <w:rPr>
                <w:rStyle w:val="IndexLink"/>
                <w:rtl w:val="true"/>
              </w:rPr>
              <w:tab/>
            </w:r>
            <w:r>
              <w:rPr>
                <w:rStyle w:val="IndexLink"/>
              </w:rPr>
              <w:t>376</w:t>
            </w:r>
          </w:hyperlink>
        </w:p>
        <w:p>
          <w:pPr>
            <w:pStyle w:val="Contents2"/>
            <w:tabs>
              <w:tab w:val="clear" w:pos="8743"/>
              <w:tab w:val="right" w:pos="9026" w:leader="dot"/>
            </w:tabs>
            <w:rPr/>
          </w:pPr>
          <w:hyperlink w:anchor="__RefHeading___Toc7971830_2870459653">
            <w:r>
              <w:rPr>
                <w:webHidden/>
                <w:rStyle w:val="IndexLink"/>
                <w:rtl w:val="true"/>
              </w:rPr>
              <w:t xml:space="preserve">في أنواع السهم </w:t>
            </w:r>
            <w:r>
              <w:rPr>
                <w:rStyle w:val="IndexLink"/>
                <w:rtl w:val="true"/>
              </w:rPr>
              <w:t xml:space="preserve">... </w:t>
            </w:r>
            <w:r>
              <w:rPr>
                <w:rStyle w:val="IndexLink"/>
              </w:rPr>
              <w:t>369</w:t>
            </w:r>
            <w:r>
              <w:rPr>
                <w:rStyle w:val="IndexLink"/>
                <w:rtl w:val="true"/>
              </w:rPr>
              <w:tab/>
            </w:r>
            <w:r>
              <w:rPr>
                <w:rStyle w:val="IndexLink"/>
              </w:rPr>
              <w:t>379</w:t>
            </w:r>
          </w:hyperlink>
        </w:p>
        <w:p>
          <w:pPr>
            <w:pStyle w:val="Contents2"/>
            <w:tabs>
              <w:tab w:val="clear" w:pos="8743"/>
              <w:tab w:val="right" w:pos="9026" w:leader="dot"/>
            </w:tabs>
            <w:rPr/>
          </w:pPr>
          <w:hyperlink w:anchor="__RefHeading___Toc7971832_2870459653">
            <w:r>
              <w:rPr>
                <w:webHidden/>
                <w:rStyle w:val="IndexLink"/>
                <w:rtl w:val="true"/>
              </w:rPr>
              <w:t xml:space="preserve">الفصل الثاني </w:t>
            </w:r>
            <w:r>
              <w:rPr>
                <w:rStyle w:val="IndexLink"/>
                <w:rtl w:val="true"/>
              </w:rPr>
              <w:t xml:space="preserve">: </w:t>
            </w:r>
            <w:r>
              <w:rPr>
                <w:rStyle w:val="IndexLink"/>
                <w:rtl w:val="true"/>
              </w:rPr>
              <w:t>فيما يسابق به</w:t>
            </w:r>
            <w:r>
              <w:rPr>
                <w:rStyle w:val="IndexLink"/>
                <w:rtl w:val="true"/>
              </w:rPr>
              <w:tab/>
            </w:r>
            <w:r>
              <w:rPr>
                <w:rStyle w:val="IndexLink"/>
              </w:rPr>
              <w:t>380</w:t>
            </w:r>
          </w:hyperlink>
        </w:p>
        <w:p>
          <w:pPr>
            <w:pStyle w:val="Contents2"/>
            <w:tabs>
              <w:tab w:val="clear" w:pos="8743"/>
              <w:tab w:val="right" w:pos="9026" w:leader="dot"/>
            </w:tabs>
            <w:rPr/>
          </w:pPr>
          <w:hyperlink w:anchor="__RefHeading___Toc7971834_2870459653">
            <w:r>
              <w:rPr>
                <w:webHidden/>
                <w:rStyle w:val="IndexLink"/>
                <w:rtl w:val="true"/>
              </w:rPr>
              <w:t xml:space="preserve">الفصل الثالث </w:t>
            </w:r>
            <w:r>
              <w:rPr>
                <w:rStyle w:val="IndexLink"/>
                <w:rtl w:val="true"/>
              </w:rPr>
              <w:t xml:space="preserve">: </w:t>
            </w:r>
            <w:r>
              <w:rPr>
                <w:rStyle w:val="IndexLink"/>
                <w:rtl w:val="true"/>
              </w:rPr>
              <w:t>في عقد المسابقة و الرماية</w:t>
            </w:r>
            <w:r>
              <w:rPr>
                <w:rStyle w:val="IndexLink"/>
                <w:rtl w:val="true"/>
              </w:rPr>
              <w:tab/>
            </w:r>
            <w:r>
              <w:rPr>
                <w:rStyle w:val="IndexLink"/>
              </w:rPr>
              <w:t>382</w:t>
            </w:r>
          </w:hyperlink>
        </w:p>
        <w:p>
          <w:pPr>
            <w:pStyle w:val="Contents2"/>
            <w:tabs>
              <w:tab w:val="clear" w:pos="8743"/>
              <w:tab w:val="right" w:pos="9026" w:leader="dot"/>
            </w:tabs>
            <w:rPr/>
          </w:pPr>
          <w:hyperlink w:anchor="__RefHeading___Toc7971836_2870459653">
            <w:r>
              <w:rPr>
                <w:webHidden/>
                <w:rStyle w:val="IndexLink"/>
                <w:rtl w:val="true"/>
              </w:rPr>
              <w:t xml:space="preserve">الفرع الأوّل </w:t>
            </w:r>
            <w:r>
              <w:rPr>
                <w:rStyle w:val="IndexLink"/>
                <w:rtl w:val="true"/>
              </w:rPr>
              <w:t xml:space="preserve">: </w:t>
            </w:r>
            <w:r>
              <w:rPr>
                <w:rStyle w:val="IndexLink"/>
                <w:rtl w:val="true"/>
              </w:rPr>
              <w:t>في أنّ السبق عقد برأسه</w:t>
            </w:r>
            <w:r>
              <w:rPr>
                <w:rStyle w:val="IndexLink"/>
                <w:rtl w:val="true"/>
              </w:rPr>
              <w:tab/>
            </w:r>
            <w:r>
              <w:rPr>
                <w:rStyle w:val="IndexLink"/>
              </w:rPr>
              <w:t>382</w:t>
            </w:r>
          </w:hyperlink>
        </w:p>
        <w:p>
          <w:pPr>
            <w:pStyle w:val="Contents2"/>
            <w:tabs>
              <w:tab w:val="clear" w:pos="8743"/>
              <w:tab w:val="right" w:pos="9026" w:leader="dot"/>
            </w:tabs>
            <w:rPr/>
          </w:pPr>
          <w:hyperlink w:anchor="__RefHeading___Toc7971838_2870459653">
            <w:r>
              <w:rPr>
                <w:webHidden/>
                <w:rStyle w:val="IndexLink"/>
                <w:rtl w:val="true"/>
              </w:rPr>
              <w:t xml:space="preserve">الفرع الثاني </w:t>
            </w:r>
            <w:r>
              <w:rPr>
                <w:rStyle w:val="IndexLink"/>
                <w:rtl w:val="true"/>
              </w:rPr>
              <w:t xml:space="preserve">: </w:t>
            </w:r>
            <w:r>
              <w:rPr>
                <w:rStyle w:val="IndexLink"/>
                <w:rtl w:val="true"/>
              </w:rPr>
              <w:t>في جواز كون العوض عينا أو ديناً</w:t>
            </w:r>
            <w:r>
              <w:rPr>
                <w:rStyle w:val="IndexLink"/>
                <w:rtl w:val="true"/>
              </w:rPr>
              <w:tab/>
            </w:r>
            <w:r>
              <w:rPr>
                <w:rStyle w:val="IndexLink"/>
              </w:rPr>
              <w:t>384</w:t>
            </w:r>
          </w:hyperlink>
        </w:p>
        <w:p>
          <w:pPr>
            <w:pStyle w:val="Contents2"/>
            <w:tabs>
              <w:tab w:val="clear" w:pos="8743"/>
              <w:tab w:val="right" w:pos="9026" w:leader="dot"/>
            </w:tabs>
            <w:rPr/>
          </w:pPr>
          <w:hyperlink w:anchor="__RefHeading___Toc7971840_2870459653">
            <w:r>
              <w:rPr>
                <w:webHidden/>
                <w:rStyle w:val="IndexLink"/>
                <w:rtl w:val="true"/>
              </w:rPr>
              <w:t xml:space="preserve">الفرع الثالث </w:t>
            </w:r>
            <w:r>
              <w:rPr>
                <w:rStyle w:val="IndexLink"/>
                <w:rtl w:val="true"/>
              </w:rPr>
              <w:t xml:space="preserve">: </w:t>
            </w:r>
            <w:r>
              <w:rPr>
                <w:rStyle w:val="IndexLink"/>
                <w:rtl w:val="true"/>
              </w:rPr>
              <w:t>في جواز بذل السبق من غير المتسابقين</w:t>
            </w:r>
            <w:r>
              <w:rPr>
                <w:rStyle w:val="IndexLink"/>
                <w:rtl w:val="true"/>
              </w:rPr>
              <w:tab/>
            </w:r>
            <w:r>
              <w:rPr>
                <w:rStyle w:val="IndexLink"/>
              </w:rPr>
              <w:t>385</w:t>
            </w:r>
          </w:hyperlink>
        </w:p>
        <w:p>
          <w:pPr>
            <w:pStyle w:val="Contents2"/>
            <w:tabs>
              <w:tab w:val="clear" w:pos="8743"/>
              <w:tab w:val="right" w:pos="9026" w:leader="dot"/>
            </w:tabs>
            <w:rPr/>
          </w:pPr>
          <w:hyperlink w:anchor="__RefHeading___Toc7971842_2870459653">
            <w:r>
              <w:rPr>
                <w:webHidden/>
                <w:rStyle w:val="IndexLink"/>
                <w:rtl w:val="true"/>
              </w:rPr>
              <w:t xml:space="preserve">في شروط المسابقة </w:t>
            </w:r>
            <w:r>
              <w:rPr>
                <w:rStyle w:val="IndexLink"/>
                <w:rtl w:val="true"/>
              </w:rPr>
              <w:t xml:space="preserve">... </w:t>
            </w:r>
            <w:r>
              <w:rPr>
                <w:rStyle w:val="IndexLink"/>
              </w:rPr>
              <w:t>377</w:t>
            </w:r>
            <w:r>
              <w:rPr>
                <w:rStyle w:val="IndexLink"/>
                <w:rtl w:val="true"/>
              </w:rPr>
              <w:tab/>
            </w:r>
            <w:r>
              <w:rPr>
                <w:rStyle w:val="IndexLink"/>
              </w:rPr>
              <w:t>387</w:t>
            </w:r>
          </w:hyperlink>
        </w:p>
        <w:p>
          <w:pPr>
            <w:pStyle w:val="Contents2"/>
            <w:tabs>
              <w:tab w:val="clear" w:pos="8743"/>
              <w:tab w:val="right" w:pos="9026" w:leader="dot"/>
            </w:tabs>
            <w:rPr/>
          </w:pPr>
          <w:hyperlink w:anchor="__RefHeading___Toc7971844_2870459653">
            <w:r>
              <w:rPr>
                <w:webHidden/>
                <w:rStyle w:val="IndexLink"/>
                <w:rtl w:val="true"/>
              </w:rPr>
              <w:t xml:space="preserve">الفصل الرابع </w:t>
            </w:r>
            <w:r>
              <w:rPr>
                <w:rStyle w:val="IndexLink"/>
                <w:rtl w:val="true"/>
              </w:rPr>
              <w:t xml:space="preserve">: </w:t>
            </w:r>
            <w:r>
              <w:rPr>
                <w:rStyle w:val="IndexLink"/>
                <w:rtl w:val="true"/>
              </w:rPr>
              <w:t>في أحكام النضال</w:t>
            </w:r>
            <w:r>
              <w:rPr>
                <w:rStyle w:val="IndexLink"/>
                <w:rtl w:val="true"/>
              </w:rPr>
              <w:tab/>
            </w:r>
            <w:r>
              <w:rPr>
                <w:rStyle w:val="IndexLink"/>
              </w:rPr>
              <w:t>388</w:t>
            </w:r>
          </w:hyperlink>
        </w:p>
        <w:p>
          <w:pPr>
            <w:pStyle w:val="Contents2"/>
            <w:tabs>
              <w:tab w:val="clear" w:pos="8743"/>
              <w:tab w:val="right" w:pos="9026" w:leader="dot"/>
            </w:tabs>
            <w:rPr/>
          </w:pPr>
          <w:hyperlink w:anchor="__RefHeading___Toc7971846_2870459653">
            <w:r>
              <w:rPr>
                <w:webHidden/>
                <w:rStyle w:val="IndexLink"/>
                <w:rtl w:val="true"/>
              </w:rPr>
              <w:t>فيما لو قال أجنبي لخمسة</w:t>
            </w:r>
            <w:r>
              <w:rPr>
                <w:rStyle w:val="IndexLink"/>
                <w:rtl w:val="true"/>
              </w:rPr>
              <w:t>: «</w:t>
            </w:r>
            <w:r>
              <w:rPr>
                <w:rStyle w:val="IndexLink"/>
                <w:rtl w:val="true"/>
              </w:rPr>
              <w:t>من سبق فله خمسة</w:t>
            </w:r>
            <w:r>
              <w:rPr>
                <w:rStyle w:val="IndexLink"/>
                <w:rtl w:val="true"/>
              </w:rPr>
              <w:t xml:space="preserve">» </w:t>
            </w:r>
            <w:r>
              <w:rPr>
                <w:rStyle w:val="IndexLink"/>
                <w:rtl w:val="true"/>
              </w:rPr>
              <w:t xml:space="preserve">فتساووا </w:t>
            </w:r>
            <w:r>
              <w:rPr>
                <w:rStyle w:val="IndexLink"/>
                <w:rtl w:val="true"/>
              </w:rPr>
              <w:t xml:space="preserve">... </w:t>
            </w:r>
            <w:r>
              <w:rPr>
                <w:rStyle w:val="IndexLink"/>
              </w:rPr>
              <w:t>379</w:t>
            </w:r>
            <w:r>
              <w:rPr>
                <w:rStyle w:val="IndexLink"/>
                <w:rtl w:val="true"/>
              </w:rPr>
              <w:tab/>
            </w:r>
            <w:r>
              <w:rPr>
                <w:rStyle w:val="IndexLink"/>
              </w:rPr>
              <w:t>388</w:t>
            </w:r>
          </w:hyperlink>
        </w:p>
        <w:p>
          <w:pPr>
            <w:pStyle w:val="Contents2"/>
            <w:tabs>
              <w:tab w:val="clear" w:pos="8743"/>
              <w:tab w:val="right" w:pos="9026" w:leader="dot"/>
            </w:tabs>
            <w:rPr/>
          </w:pPr>
          <w:hyperlink w:anchor="__RefHeading___Toc7971848_2870459653">
            <w:r>
              <w:rPr>
                <w:webHidden/>
                <w:rStyle w:val="IndexLink"/>
                <w:rtl w:val="true"/>
              </w:rPr>
              <w:t xml:space="preserve">فيما لو كانا اثنين و أخرج كلّ واحد منهما سبقا و أدخلا محلّلاً </w:t>
            </w:r>
            <w:r>
              <w:rPr>
                <w:rStyle w:val="IndexLink"/>
                <w:rtl w:val="true"/>
              </w:rPr>
              <w:t xml:space="preserve">... </w:t>
            </w:r>
            <w:r>
              <w:rPr>
                <w:rStyle w:val="IndexLink"/>
              </w:rPr>
              <w:t>380</w:t>
            </w:r>
            <w:r>
              <w:rPr>
                <w:rStyle w:val="IndexLink"/>
                <w:rtl w:val="true"/>
              </w:rPr>
              <w:tab/>
            </w:r>
            <w:r>
              <w:rPr>
                <w:rStyle w:val="IndexLink"/>
              </w:rPr>
              <w:t>389</w:t>
            </w:r>
          </w:hyperlink>
        </w:p>
        <w:p>
          <w:pPr>
            <w:pStyle w:val="Contents2"/>
            <w:tabs>
              <w:tab w:val="clear" w:pos="8743"/>
              <w:tab w:val="right" w:pos="9026" w:leader="dot"/>
            </w:tabs>
            <w:rPr/>
          </w:pPr>
          <w:hyperlink w:anchor="__RefHeading___Toc7971850_2870459653">
            <w:r>
              <w:rPr>
                <w:webHidden/>
                <w:rStyle w:val="IndexLink"/>
                <w:rtl w:val="true"/>
              </w:rPr>
              <w:t xml:space="preserve">فيما اذا شرطا المبادرة و الرشق عشرين و الاصابة خمسة </w:t>
            </w:r>
            <w:r>
              <w:rPr>
                <w:rStyle w:val="IndexLink"/>
                <w:rtl w:val="true"/>
              </w:rPr>
              <w:t xml:space="preserve">... </w:t>
            </w:r>
            <w:r>
              <w:rPr>
                <w:rStyle w:val="IndexLink"/>
              </w:rPr>
              <w:t>381</w:t>
            </w:r>
            <w:r>
              <w:rPr>
                <w:rStyle w:val="IndexLink"/>
                <w:rtl w:val="true"/>
              </w:rPr>
              <w:tab/>
            </w:r>
            <w:r>
              <w:rPr>
                <w:rStyle w:val="IndexLink"/>
              </w:rPr>
              <w:t>390</w:t>
            </w:r>
          </w:hyperlink>
        </w:p>
        <w:p>
          <w:pPr>
            <w:pStyle w:val="Contents2"/>
            <w:tabs>
              <w:tab w:val="clear" w:pos="8743"/>
              <w:tab w:val="right" w:pos="9026" w:leader="dot"/>
            </w:tabs>
            <w:rPr/>
          </w:pPr>
          <w:hyperlink w:anchor="__RefHeading___Toc7971852_2870459653">
            <w:r>
              <w:rPr>
                <w:webHidden/>
                <w:rStyle w:val="IndexLink"/>
                <w:rtl w:val="true"/>
              </w:rPr>
              <w:t xml:space="preserve">في ملك الناضل العوض اذا تمّ النضال </w:t>
            </w:r>
            <w:r>
              <w:rPr>
                <w:rStyle w:val="IndexLink"/>
                <w:rtl w:val="true"/>
              </w:rPr>
              <w:t xml:space="preserve">... </w:t>
            </w:r>
            <w:r>
              <w:rPr>
                <w:rStyle w:val="IndexLink"/>
              </w:rPr>
              <w:t>384</w:t>
            </w:r>
            <w:r>
              <w:rPr>
                <w:rStyle w:val="IndexLink"/>
                <w:rtl w:val="true"/>
              </w:rPr>
              <w:tab/>
            </w:r>
            <w:r>
              <w:rPr>
                <w:rStyle w:val="IndexLink"/>
              </w:rPr>
              <w:t>393</w:t>
            </w:r>
          </w:hyperlink>
        </w:p>
        <w:p>
          <w:pPr>
            <w:pStyle w:val="Contents2"/>
            <w:tabs>
              <w:tab w:val="clear" w:pos="8743"/>
              <w:tab w:val="right" w:pos="9026" w:leader="dot"/>
            </w:tabs>
            <w:rPr/>
          </w:pPr>
          <w:hyperlink w:anchor="__RefHeading___Toc7971854_2870459653">
            <w:r>
              <w:rPr>
                <w:webHidden/>
                <w:rStyle w:val="IndexLink"/>
                <w:rtl w:val="true"/>
              </w:rPr>
              <w:t xml:space="preserve">فيما اذا فسد عقد السبق </w:t>
            </w:r>
            <w:r>
              <w:rPr>
                <w:rStyle w:val="IndexLink"/>
                <w:rtl w:val="true"/>
              </w:rPr>
              <w:t xml:space="preserve">... </w:t>
            </w:r>
            <w:r>
              <w:rPr>
                <w:rStyle w:val="IndexLink"/>
              </w:rPr>
              <w:t>384</w:t>
            </w:r>
            <w:r>
              <w:rPr>
                <w:rStyle w:val="IndexLink"/>
                <w:rtl w:val="true"/>
              </w:rPr>
              <w:tab/>
            </w:r>
            <w:r>
              <w:rPr>
                <w:rStyle w:val="IndexLink"/>
              </w:rPr>
              <w:t>393</w:t>
            </w:r>
          </w:hyperlink>
        </w:p>
        <w:p>
          <w:pPr>
            <w:pStyle w:val="Contents2"/>
            <w:tabs>
              <w:tab w:val="clear" w:pos="8743"/>
              <w:tab w:val="right" w:pos="9026" w:leader="dot"/>
            </w:tabs>
            <w:rPr/>
          </w:pPr>
          <w:hyperlink w:anchor="__RefHeading___Toc7971856_2870459653">
            <w:r>
              <w:rPr>
                <w:webHidden/>
                <w:rStyle w:val="IndexLink"/>
                <w:rtl w:val="true"/>
              </w:rPr>
              <w:t>كتاب الاقرار</w:t>
            </w:r>
            <w:r>
              <w:rPr>
                <w:rStyle w:val="IndexLink"/>
                <w:rtl w:val="true"/>
              </w:rPr>
              <w:tab/>
            </w:r>
            <w:r>
              <w:rPr>
                <w:rStyle w:val="IndexLink"/>
              </w:rPr>
              <w:t>396</w:t>
            </w:r>
          </w:hyperlink>
        </w:p>
        <w:p>
          <w:pPr>
            <w:pStyle w:val="Contents2"/>
            <w:tabs>
              <w:tab w:val="clear" w:pos="8743"/>
              <w:tab w:val="right" w:pos="9026" w:leader="dot"/>
            </w:tabs>
            <w:rPr/>
          </w:pPr>
          <w:hyperlink w:anchor="__RefHeading___Toc7971858_2870459653">
            <w:r>
              <w:rPr>
                <w:webHidden/>
                <w:rStyle w:val="IndexLink"/>
                <w:rtl w:val="true"/>
              </w:rPr>
              <w:t xml:space="preserve">الركن الأوّل </w:t>
            </w:r>
            <w:r>
              <w:rPr>
                <w:rStyle w:val="IndexLink"/>
                <w:rtl w:val="true"/>
              </w:rPr>
              <w:t xml:space="preserve">: </w:t>
            </w:r>
            <w:r>
              <w:rPr>
                <w:rStyle w:val="IndexLink"/>
                <w:rtl w:val="true"/>
              </w:rPr>
              <w:t>في الصيغة</w:t>
            </w:r>
            <w:r>
              <w:rPr>
                <w:rStyle w:val="IndexLink"/>
                <w:rtl w:val="true"/>
              </w:rPr>
              <w:tab/>
            </w:r>
            <w:r>
              <w:rPr>
                <w:rStyle w:val="IndexLink"/>
              </w:rPr>
              <w:t>396</w:t>
            </w:r>
          </w:hyperlink>
        </w:p>
        <w:p>
          <w:pPr>
            <w:pStyle w:val="Contents2"/>
            <w:tabs>
              <w:tab w:val="clear" w:pos="8743"/>
              <w:tab w:val="right" w:pos="9026" w:leader="dot"/>
            </w:tabs>
            <w:rPr/>
          </w:pPr>
          <w:hyperlink w:anchor="__RefHeading___Toc7971860_2870459653">
            <w:r>
              <w:rPr>
                <w:webHidden/>
                <w:rStyle w:val="IndexLink"/>
                <w:rtl w:val="true"/>
              </w:rPr>
              <w:t xml:space="preserve">المقصد الأوّل </w:t>
            </w:r>
            <w:r>
              <w:rPr>
                <w:rStyle w:val="IndexLink"/>
                <w:rtl w:val="true"/>
              </w:rPr>
              <w:t xml:space="preserve">: </w:t>
            </w:r>
            <w:r>
              <w:rPr>
                <w:rStyle w:val="IndexLink"/>
                <w:rtl w:val="true"/>
              </w:rPr>
              <w:t>في الصيغة الصريحة</w:t>
            </w:r>
            <w:r>
              <w:rPr>
                <w:rStyle w:val="IndexLink"/>
                <w:rtl w:val="true"/>
              </w:rPr>
              <w:tab/>
            </w:r>
            <w:r>
              <w:rPr>
                <w:rStyle w:val="IndexLink"/>
              </w:rPr>
              <w:t>396</w:t>
            </w:r>
          </w:hyperlink>
        </w:p>
        <w:p>
          <w:pPr>
            <w:pStyle w:val="Contents2"/>
            <w:tabs>
              <w:tab w:val="clear" w:pos="8743"/>
              <w:tab w:val="right" w:pos="9026" w:leader="dot"/>
            </w:tabs>
            <w:rPr/>
          </w:pPr>
          <w:hyperlink w:anchor="__RefHeading___Toc7971862_2870459653">
            <w:r>
              <w:rPr>
                <w:webHidden/>
                <w:rStyle w:val="IndexLink"/>
                <w:rtl w:val="true"/>
              </w:rPr>
              <w:t xml:space="preserve">الفرع الأوّل </w:t>
            </w:r>
            <w:r>
              <w:rPr>
                <w:rStyle w:val="IndexLink"/>
                <w:rtl w:val="true"/>
              </w:rPr>
              <w:t xml:space="preserve">: </w:t>
            </w:r>
            <w:r>
              <w:rPr>
                <w:rStyle w:val="IndexLink"/>
                <w:rtl w:val="true"/>
              </w:rPr>
              <w:t>في تعريف الاقرار</w:t>
            </w:r>
            <w:r>
              <w:rPr>
                <w:rStyle w:val="IndexLink"/>
                <w:rtl w:val="true"/>
              </w:rPr>
              <w:tab/>
            </w:r>
            <w:r>
              <w:rPr>
                <w:rStyle w:val="IndexLink"/>
              </w:rPr>
              <w:t>397</w:t>
            </w:r>
          </w:hyperlink>
        </w:p>
        <w:p>
          <w:pPr>
            <w:pStyle w:val="Contents2"/>
            <w:tabs>
              <w:tab w:val="clear" w:pos="8743"/>
              <w:tab w:val="right" w:pos="9026" w:leader="dot"/>
            </w:tabs>
            <w:rPr/>
          </w:pPr>
          <w:hyperlink w:anchor="__RefHeading___Toc7971864_2870459653">
            <w:r>
              <w:rPr>
                <w:webHidden/>
                <w:rStyle w:val="IndexLink"/>
                <w:rtl w:val="true"/>
              </w:rPr>
              <w:t xml:space="preserve">الفرع الثاني </w:t>
            </w:r>
            <w:r>
              <w:rPr>
                <w:rStyle w:val="IndexLink"/>
                <w:rtl w:val="true"/>
              </w:rPr>
              <w:t xml:space="preserve">: </w:t>
            </w:r>
            <w:r>
              <w:rPr>
                <w:rStyle w:val="IndexLink"/>
                <w:rtl w:val="true"/>
              </w:rPr>
              <w:t>في دليل شرعيّة الاقرار</w:t>
            </w:r>
            <w:r>
              <w:rPr>
                <w:rStyle w:val="IndexLink"/>
                <w:rtl w:val="true"/>
              </w:rPr>
              <w:tab/>
            </w:r>
            <w:r>
              <w:rPr>
                <w:rStyle w:val="IndexLink"/>
              </w:rPr>
              <w:t>398</w:t>
            </w:r>
          </w:hyperlink>
        </w:p>
        <w:p>
          <w:pPr>
            <w:pStyle w:val="Contents2"/>
            <w:tabs>
              <w:tab w:val="clear" w:pos="8743"/>
              <w:tab w:val="right" w:pos="9026" w:leader="dot"/>
            </w:tabs>
            <w:rPr/>
          </w:pPr>
          <w:hyperlink w:anchor="__RefHeading___Toc7971866_2870459653">
            <w:r>
              <w:rPr>
                <w:webHidden/>
                <w:rStyle w:val="IndexLink"/>
                <w:rtl w:val="true"/>
              </w:rPr>
              <w:t xml:space="preserve">الفرع الثالث </w:t>
            </w:r>
            <w:r>
              <w:rPr>
                <w:rStyle w:val="IndexLink"/>
                <w:rtl w:val="true"/>
              </w:rPr>
              <w:t xml:space="preserve">: </w:t>
            </w:r>
            <w:r>
              <w:rPr>
                <w:rStyle w:val="IndexLink"/>
                <w:rtl w:val="true"/>
              </w:rPr>
              <w:t>في صيغة الاقرار</w:t>
            </w:r>
            <w:r>
              <w:rPr>
                <w:rStyle w:val="IndexLink"/>
                <w:rtl w:val="true"/>
              </w:rPr>
              <w:tab/>
            </w:r>
            <w:r>
              <w:rPr>
                <w:rStyle w:val="IndexLink"/>
              </w:rPr>
              <w:t>399</w:t>
            </w:r>
          </w:hyperlink>
        </w:p>
        <w:p>
          <w:pPr>
            <w:pStyle w:val="Contents2"/>
            <w:tabs>
              <w:tab w:val="clear" w:pos="8743"/>
              <w:tab w:val="right" w:pos="9026" w:leader="dot"/>
            </w:tabs>
            <w:rPr/>
          </w:pPr>
          <w:hyperlink w:anchor="__RefHeading___Toc7971868_2870459653">
            <w:r>
              <w:rPr>
                <w:webHidden/>
                <w:rStyle w:val="IndexLink"/>
                <w:rtl w:val="true"/>
              </w:rPr>
              <w:t xml:space="preserve">الفرع الرابع </w:t>
            </w:r>
            <w:r>
              <w:rPr>
                <w:rStyle w:val="IndexLink"/>
                <w:rtl w:val="true"/>
              </w:rPr>
              <w:t xml:space="preserve">: </w:t>
            </w:r>
            <w:r>
              <w:rPr>
                <w:rStyle w:val="IndexLink"/>
                <w:rtl w:val="true"/>
              </w:rPr>
              <w:t>فيما لو قال</w:t>
            </w:r>
            <w:r>
              <w:rPr>
                <w:rStyle w:val="IndexLink"/>
                <w:rtl w:val="true"/>
              </w:rPr>
              <w:t>: «</w:t>
            </w:r>
            <w:r>
              <w:rPr>
                <w:rStyle w:val="IndexLink"/>
                <w:rtl w:val="true"/>
              </w:rPr>
              <w:t>ان شهد لك فلان فهو صادق</w:t>
            </w:r>
            <w:r>
              <w:rPr>
                <w:rStyle w:val="IndexLink"/>
                <w:rtl w:val="true"/>
              </w:rPr>
              <w:t>»</w:t>
              <w:tab/>
            </w:r>
            <w:r>
              <w:rPr>
                <w:rStyle w:val="IndexLink"/>
              </w:rPr>
              <w:t>400</w:t>
            </w:r>
          </w:hyperlink>
        </w:p>
        <w:p>
          <w:pPr>
            <w:pStyle w:val="Contents2"/>
            <w:tabs>
              <w:tab w:val="clear" w:pos="8743"/>
              <w:tab w:val="right" w:pos="9026" w:leader="dot"/>
            </w:tabs>
            <w:rPr/>
          </w:pPr>
          <w:hyperlink w:anchor="__RefHeading___Toc7971870_2870459653">
            <w:r>
              <w:rPr>
                <w:webHidden/>
                <w:rStyle w:val="IndexLink"/>
                <w:rtl w:val="true"/>
              </w:rPr>
              <w:t xml:space="preserve">في انصراف اطلاق الاقرار بالموزون الى ميزان البلد </w:t>
            </w:r>
            <w:r>
              <w:rPr>
                <w:rStyle w:val="IndexLink"/>
                <w:rtl w:val="true"/>
              </w:rPr>
              <w:t xml:space="preserve">... </w:t>
            </w:r>
            <w:r>
              <w:rPr>
                <w:rStyle w:val="IndexLink"/>
              </w:rPr>
              <w:t>392</w:t>
            </w:r>
            <w:r>
              <w:rPr>
                <w:rStyle w:val="IndexLink"/>
                <w:rtl w:val="true"/>
              </w:rPr>
              <w:tab/>
            </w:r>
            <w:r>
              <w:rPr>
                <w:rStyle w:val="IndexLink"/>
              </w:rPr>
              <w:t>401</w:t>
            </w:r>
          </w:hyperlink>
        </w:p>
        <w:p>
          <w:pPr>
            <w:pStyle w:val="Contents2"/>
            <w:tabs>
              <w:tab w:val="clear" w:pos="8743"/>
              <w:tab w:val="right" w:pos="9026" w:leader="dot"/>
            </w:tabs>
            <w:rPr/>
          </w:pPr>
          <w:hyperlink w:anchor="__RefHeading___Toc7971872_2870459653">
            <w:r>
              <w:rPr>
                <w:webHidden/>
                <w:rStyle w:val="IndexLink"/>
                <w:rtl w:val="true"/>
              </w:rPr>
              <w:t xml:space="preserve">فيما لو أقرّ لميّت بمال </w:t>
            </w:r>
            <w:r>
              <w:rPr>
                <w:rStyle w:val="IndexLink"/>
                <w:rtl w:val="true"/>
              </w:rPr>
              <w:t xml:space="preserve">... </w:t>
            </w:r>
            <w:r>
              <w:rPr>
                <w:rStyle w:val="IndexLink"/>
              </w:rPr>
              <w:t>396</w:t>
            </w:r>
            <w:r>
              <w:rPr>
                <w:rStyle w:val="IndexLink"/>
                <w:rtl w:val="true"/>
              </w:rPr>
              <w:tab/>
            </w:r>
            <w:r>
              <w:rPr>
                <w:rStyle w:val="IndexLink"/>
              </w:rPr>
              <w:t>405</w:t>
            </w:r>
          </w:hyperlink>
        </w:p>
        <w:p>
          <w:pPr>
            <w:pStyle w:val="Contents2"/>
            <w:tabs>
              <w:tab w:val="clear" w:pos="8743"/>
              <w:tab w:val="right" w:pos="9026" w:leader="dot"/>
            </w:tabs>
            <w:rPr/>
          </w:pPr>
          <w:hyperlink w:anchor="__RefHeading___Toc7971874_2870459653">
            <w:r>
              <w:rPr>
                <w:webHidden/>
                <w:rStyle w:val="IndexLink"/>
                <w:rtl w:val="true"/>
              </w:rPr>
              <w:t xml:space="preserve">في ذكر بعض الفروع ممّا يختلف فيه </w:t>
            </w:r>
            <w:r>
              <w:rPr>
                <w:rStyle w:val="IndexLink"/>
                <w:rtl w:val="true"/>
              </w:rPr>
              <w:t xml:space="preserve">... </w:t>
            </w:r>
            <w:r>
              <w:rPr>
                <w:rStyle w:val="IndexLink"/>
              </w:rPr>
              <w:t>396</w:t>
            </w:r>
            <w:r>
              <w:rPr>
                <w:rStyle w:val="IndexLink"/>
                <w:rtl w:val="true"/>
              </w:rPr>
              <w:tab/>
            </w:r>
            <w:r>
              <w:rPr>
                <w:rStyle w:val="IndexLink"/>
              </w:rPr>
              <w:t>406</w:t>
            </w:r>
          </w:hyperlink>
        </w:p>
        <w:p>
          <w:pPr>
            <w:pStyle w:val="Contents2"/>
            <w:tabs>
              <w:tab w:val="clear" w:pos="8743"/>
              <w:tab w:val="right" w:pos="9026" w:leader="dot"/>
            </w:tabs>
            <w:rPr/>
          </w:pPr>
          <w:hyperlink w:anchor="__RefHeading___Toc7971876_2870459653">
            <w:r>
              <w:rPr>
                <w:webHidden/>
                <w:rStyle w:val="IndexLink"/>
                <w:rtl w:val="true"/>
              </w:rPr>
              <w:t xml:space="preserve">الفرع الأوّل </w:t>
            </w:r>
            <w:r>
              <w:rPr>
                <w:rStyle w:val="IndexLink"/>
                <w:rtl w:val="true"/>
              </w:rPr>
              <w:t xml:space="preserve">: </w:t>
            </w:r>
            <w:r>
              <w:rPr>
                <w:rStyle w:val="IndexLink"/>
                <w:rtl w:val="true"/>
              </w:rPr>
              <w:t>فيما لو قال</w:t>
            </w:r>
            <w:r>
              <w:rPr>
                <w:rStyle w:val="IndexLink"/>
                <w:rtl w:val="true"/>
              </w:rPr>
              <w:t xml:space="preserve">: </w:t>
            </w:r>
            <w:r>
              <w:rPr>
                <w:rStyle w:val="IndexLink"/>
                <w:rtl w:val="true"/>
              </w:rPr>
              <w:t>له عليّ ألف اذا جاء رأس الشهر</w:t>
            </w:r>
            <w:r>
              <w:rPr>
                <w:rStyle w:val="IndexLink"/>
                <w:rtl w:val="true"/>
              </w:rPr>
              <w:tab/>
            </w:r>
            <w:r>
              <w:rPr>
                <w:rStyle w:val="IndexLink"/>
              </w:rPr>
              <w:t>406</w:t>
            </w:r>
          </w:hyperlink>
        </w:p>
        <w:p>
          <w:pPr>
            <w:pStyle w:val="Contents2"/>
            <w:tabs>
              <w:tab w:val="clear" w:pos="8743"/>
              <w:tab w:val="right" w:pos="9026" w:leader="dot"/>
            </w:tabs>
            <w:rPr/>
          </w:pPr>
          <w:hyperlink w:anchor="__RefHeading___Toc7971878_2870459653">
            <w:r>
              <w:rPr>
                <w:webHidden/>
                <w:rStyle w:val="IndexLink"/>
                <w:rtl w:val="true"/>
              </w:rPr>
              <w:t xml:space="preserve">الفرع الثاني </w:t>
            </w:r>
            <w:r>
              <w:rPr>
                <w:rStyle w:val="IndexLink"/>
                <w:rtl w:val="true"/>
              </w:rPr>
              <w:t xml:space="preserve">: </w:t>
            </w:r>
            <w:r>
              <w:rPr>
                <w:rStyle w:val="IndexLink"/>
                <w:rtl w:val="true"/>
              </w:rPr>
              <w:t>فيما لو قال المالك</w:t>
            </w:r>
            <w:r>
              <w:rPr>
                <w:rStyle w:val="IndexLink"/>
                <w:rtl w:val="true"/>
              </w:rPr>
              <w:t xml:space="preserve">: </w:t>
            </w:r>
            <w:r>
              <w:rPr>
                <w:rStyle w:val="IndexLink"/>
                <w:rtl w:val="true"/>
              </w:rPr>
              <w:t>بعتك أباك</w:t>
            </w:r>
            <w:r>
              <w:rPr>
                <w:rStyle w:val="IndexLink"/>
                <w:rtl w:val="true"/>
              </w:rPr>
              <w:tab/>
            </w:r>
            <w:r>
              <w:rPr>
                <w:rStyle w:val="IndexLink"/>
              </w:rPr>
              <w:t>406</w:t>
            </w:r>
          </w:hyperlink>
        </w:p>
        <w:p>
          <w:pPr>
            <w:pStyle w:val="Contents2"/>
            <w:tabs>
              <w:tab w:val="clear" w:pos="8743"/>
              <w:tab w:val="right" w:pos="9026" w:leader="dot"/>
            </w:tabs>
            <w:rPr/>
          </w:pPr>
          <w:hyperlink w:anchor="__RefHeading___Toc7971880_2870459653">
            <w:r>
              <w:rPr>
                <w:webHidden/>
                <w:rStyle w:val="IndexLink"/>
                <w:rtl w:val="true"/>
              </w:rPr>
              <w:t xml:space="preserve">الفرع الثالث </w:t>
            </w:r>
            <w:r>
              <w:rPr>
                <w:rStyle w:val="IndexLink"/>
                <w:rtl w:val="true"/>
              </w:rPr>
              <w:t xml:space="preserve">: </w:t>
            </w:r>
            <w:r>
              <w:rPr>
                <w:rStyle w:val="IndexLink"/>
                <w:rtl w:val="true"/>
              </w:rPr>
              <w:t>فيما لو قال</w:t>
            </w:r>
            <w:r>
              <w:rPr>
                <w:rStyle w:val="IndexLink"/>
                <w:rtl w:val="true"/>
              </w:rPr>
              <w:t xml:space="preserve">: </w:t>
            </w:r>
            <w:r>
              <w:rPr>
                <w:rStyle w:val="IndexLink"/>
                <w:rtl w:val="true"/>
              </w:rPr>
              <w:t>ملكت هذه الدار من فلان</w:t>
            </w:r>
            <w:r>
              <w:rPr>
                <w:rStyle w:val="IndexLink"/>
                <w:rtl w:val="true"/>
              </w:rPr>
              <w:tab/>
            </w:r>
            <w:r>
              <w:rPr>
                <w:rStyle w:val="IndexLink"/>
              </w:rPr>
              <w:t>407</w:t>
            </w:r>
          </w:hyperlink>
        </w:p>
        <w:p>
          <w:pPr>
            <w:pStyle w:val="Contents2"/>
            <w:tabs>
              <w:tab w:val="clear" w:pos="8743"/>
              <w:tab w:val="right" w:pos="9026" w:leader="dot"/>
            </w:tabs>
            <w:rPr/>
          </w:pPr>
          <w:hyperlink w:anchor="__RefHeading___Toc7971882_2870459653">
            <w:r>
              <w:rPr>
                <w:webHidden/>
                <w:rStyle w:val="IndexLink"/>
                <w:rtl w:val="true"/>
              </w:rPr>
              <w:t xml:space="preserve">الفرع الرابع </w:t>
            </w:r>
            <w:r>
              <w:rPr>
                <w:rStyle w:val="IndexLink"/>
                <w:rtl w:val="true"/>
              </w:rPr>
              <w:t xml:space="preserve">: </w:t>
            </w:r>
            <w:r>
              <w:rPr>
                <w:rStyle w:val="IndexLink"/>
                <w:rtl w:val="true"/>
              </w:rPr>
              <w:t>فيما لو قال</w:t>
            </w:r>
            <w:r>
              <w:rPr>
                <w:rStyle w:val="IndexLink"/>
                <w:rtl w:val="true"/>
              </w:rPr>
              <w:t xml:space="preserve">: </w:t>
            </w:r>
            <w:r>
              <w:rPr>
                <w:rStyle w:val="IndexLink"/>
                <w:rtl w:val="true"/>
              </w:rPr>
              <w:t>كان لفلان عليّ ألف</w:t>
            </w:r>
            <w:r>
              <w:rPr>
                <w:rStyle w:val="IndexLink"/>
                <w:rtl w:val="true"/>
              </w:rPr>
              <w:tab/>
            </w:r>
            <w:r>
              <w:rPr>
                <w:rStyle w:val="IndexLink"/>
              </w:rPr>
              <w:t>407</w:t>
            </w:r>
          </w:hyperlink>
        </w:p>
        <w:p>
          <w:pPr>
            <w:pStyle w:val="Contents2"/>
            <w:tabs>
              <w:tab w:val="clear" w:pos="8743"/>
              <w:tab w:val="right" w:pos="9026" w:leader="dot"/>
            </w:tabs>
            <w:rPr/>
          </w:pPr>
          <w:hyperlink w:anchor="__RefHeading___Toc7971884_2870459653">
            <w:r>
              <w:rPr>
                <w:webHidden/>
                <w:rStyle w:val="IndexLink"/>
                <w:rtl w:val="true"/>
              </w:rPr>
              <w:t xml:space="preserve">المقصد الثاني </w:t>
            </w:r>
            <w:r>
              <w:rPr>
                <w:rStyle w:val="IndexLink"/>
                <w:rtl w:val="true"/>
              </w:rPr>
              <w:t xml:space="preserve">: </w:t>
            </w:r>
            <w:r>
              <w:rPr>
                <w:rStyle w:val="IndexLink"/>
                <w:rtl w:val="true"/>
              </w:rPr>
              <w:t>في المبهمة</w:t>
            </w:r>
            <w:r>
              <w:rPr>
                <w:rStyle w:val="IndexLink"/>
                <w:rtl w:val="true"/>
              </w:rPr>
              <w:tab/>
            </w:r>
            <w:r>
              <w:rPr>
                <w:rStyle w:val="IndexLink"/>
              </w:rPr>
              <w:t>408</w:t>
            </w:r>
          </w:hyperlink>
        </w:p>
        <w:p>
          <w:pPr>
            <w:pStyle w:val="Contents2"/>
            <w:tabs>
              <w:tab w:val="clear" w:pos="8743"/>
              <w:tab w:val="right" w:pos="9026" w:leader="dot"/>
            </w:tabs>
            <w:rPr/>
          </w:pPr>
          <w:hyperlink w:anchor="__RefHeading___Toc7971886_2870459653">
            <w:r>
              <w:rPr>
                <w:webHidden/>
                <w:rStyle w:val="IndexLink"/>
                <w:rtl w:val="true"/>
              </w:rPr>
              <w:t xml:space="preserve">المقصد الرابع </w:t>
            </w:r>
            <w:r>
              <w:rPr>
                <w:rStyle w:val="IndexLink"/>
                <w:rtl w:val="true"/>
              </w:rPr>
              <w:t xml:space="preserve">: </w:t>
            </w:r>
            <w:r>
              <w:rPr>
                <w:rStyle w:val="IndexLink"/>
                <w:rtl w:val="true"/>
              </w:rPr>
              <w:t>في صيغ الاستثناء</w:t>
            </w:r>
            <w:r>
              <w:rPr>
                <w:rStyle w:val="IndexLink"/>
                <w:rtl w:val="true"/>
              </w:rPr>
              <w:tab/>
            </w:r>
            <w:r>
              <w:rPr>
                <w:rStyle w:val="IndexLink"/>
              </w:rPr>
              <w:t>421</w:t>
            </w:r>
          </w:hyperlink>
        </w:p>
        <w:p>
          <w:pPr>
            <w:pStyle w:val="Contents2"/>
            <w:tabs>
              <w:tab w:val="clear" w:pos="8743"/>
              <w:tab w:val="right" w:pos="9026" w:leader="dot"/>
            </w:tabs>
            <w:rPr/>
          </w:pPr>
          <w:hyperlink w:anchor="__RefHeading___Toc7971888_2870459653">
            <w:r>
              <w:rPr>
                <w:webHidden/>
                <w:rStyle w:val="IndexLink"/>
                <w:rtl w:val="true"/>
              </w:rPr>
              <w:t xml:space="preserve">النظر الثاني </w:t>
            </w:r>
            <w:r>
              <w:rPr>
                <w:rStyle w:val="IndexLink"/>
                <w:rtl w:val="true"/>
              </w:rPr>
              <w:t xml:space="preserve">: </w:t>
            </w:r>
            <w:r>
              <w:rPr>
                <w:rStyle w:val="IndexLink"/>
                <w:rtl w:val="true"/>
              </w:rPr>
              <w:t>في المقرّ</w:t>
            </w:r>
            <w:r>
              <w:rPr>
                <w:rStyle w:val="IndexLink"/>
                <w:rtl w:val="true"/>
              </w:rPr>
              <w:tab/>
            </w:r>
            <w:r>
              <w:rPr>
                <w:rStyle w:val="IndexLink"/>
              </w:rPr>
              <w:t>426</w:t>
            </w:r>
          </w:hyperlink>
        </w:p>
        <w:p>
          <w:pPr>
            <w:pStyle w:val="Contents2"/>
            <w:tabs>
              <w:tab w:val="clear" w:pos="8743"/>
              <w:tab w:val="right" w:pos="9026" w:leader="dot"/>
            </w:tabs>
            <w:rPr/>
          </w:pPr>
          <w:hyperlink w:anchor="__RefHeading___Toc7971890_2870459653">
            <w:r>
              <w:rPr>
                <w:webHidden/>
                <w:rStyle w:val="IndexLink"/>
                <w:rtl w:val="true"/>
              </w:rPr>
              <w:t xml:space="preserve">النظر الثالث </w:t>
            </w:r>
            <w:r>
              <w:rPr>
                <w:rStyle w:val="IndexLink"/>
                <w:rtl w:val="true"/>
              </w:rPr>
              <w:t xml:space="preserve">: </w:t>
            </w:r>
            <w:r>
              <w:rPr>
                <w:rStyle w:val="IndexLink"/>
                <w:rtl w:val="true"/>
              </w:rPr>
              <w:t>في المقرّ له</w:t>
            </w:r>
            <w:r>
              <w:rPr>
                <w:rStyle w:val="IndexLink"/>
                <w:rtl w:val="true"/>
              </w:rPr>
              <w:tab/>
            </w:r>
            <w:r>
              <w:rPr>
                <w:rStyle w:val="IndexLink"/>
              </w:rPr>
              <w:t>430</w:t>
            </w:r>
          </w:hyperlink>
        </w:p>
        <w:p>
          <w:pPr>
            <w:pStyle w:val="Contents2"/>
            <w:tabs>
              <w:tab w:val="clear" w:pos="8743"/>
              <w:tab w:val="right" w:pos="9026" w:leader="dot"/>
            </w:tabs>
            <w:rPr/>
          </w:pPr>
          <w:hyperlink w:anchor="__RefHeading___Toc7971892_2870459653">
            <w:r>
              <w:rPr>
                <w:webHidden/>
                <w:rStyle w:val="IndexLink"/>
                <w:rtl w:val="true"/>
              </w:rPr>
              <w:t xml:space="preserve">النظر الرابع </w:t>
            </w:r>
            <w:r>
              <w:rPr>
                <w:rStyle w:val="IndexLink"/>
                <w:rtl w:val="true"/>
              </w:rPr>
              <w:t xml:space="preserve">: </w:t>
            </w:r>
            <w:r>
              <w:rPr>
                <w:rStyle w:val="IndexLink"/>
                <w:rtl w:val="true"/>
              </w:rPr>
              <w:t>في اللواحق</w:t>
            </w:r>
            <w:r>
              <w:rPr>
                <w:rStyle w:val="IndexLink"/>
                <w:rtl w:val="true"/>
              </w:rPr>
              <w:tab/>
            </w:r>
            <w:r>
              <w:rPr>
                <w:rStyle w:val="IndexLink"/>
              </w:rPr>
              <w:t>434</w:t>
            </w:r>
          </w:hyperlink>
        </w:p>
        <w:p>
          <w:pPr>
            <w:pStyle w:val="Contents2"/>
            <w:tabs>
              <w:tab w:val="clear" w:pos="8743"/>
              <w:tab w:val="right" w:pos="9026" w:leader="dot"/>
            </w:tabs>
            <w:rPr/>
          </w:pPr>
          <w:hyperlink w:anchor="__RefHeading___Toc7971894_2870459653">
            <w:r>
              <w:rPr>
                <w:webHidden/>
                <w:rStyle w:val="IndexLink"/>
                <w:rtl w:val="true"/>
              </w:rPr>
              <w:t xml:space="preserve">المقصد الأوّل </w:t>
            </w:r>
            <w:r>
              <w:rPr>
                <w:rStyle w:val="IndexLink"/>
                <w:rtl w:val="true"/>
              </w:rPr>
              <w:t xml:space="preserve">: </w:t>
            </w:r>
            <w:r>
              <w:rPr>
                <w:rStyle w:val="IndexLink"/>
                <w:rtl w:val="true"/>
              </w:rPr>
              <w:t>في تعقيب الاقرار بالاقرار</w:t>
            </w:r>
            <w:r>
              <w:rPr>
                <w:rStyle w:val="IndexLink"/>
                <w:rtl w:val="true"/>
              </w:rPr>
              <w:tab/>
            </w:r>
            <w:r>
              <w:rPr>
                <w:rStyle w:val="IndexLink"/>
              </w:rPr>
              <w:t>434</w:t>
            </w:r>
          </w:hyperlink>
        </w:p>
        <w:p>
          <w:pPr>
            <w:pStyle w:val="Contents2"/>
            <w:tabs>
              <w:tab w:val="clear" w:pos="8743"/>
              <w:tab w:val="right" w:pos="9026" w:leader="dot"/>
            </w:tabs>
            <w:rPr/>
          </w:pPr>
          <w:hyperlink w:anchor="__RefHeading___Toc7971896_2870459653">
            <w:r>
              <w:rPr>
                <w:webHidden/>
                <w:rStyle w:val="IndexLink"/>
                <w:rtl w:val="true"/>
              </w:rPr>
              <w:t xml:space="preserve">المقصد الثاني </w:t>
            </w:r>
            <w:r>
              <w:rPr>
                <w:rStyle w:val="IndexLink"/>
                <w:rtl w:val="true"/>
              </w:rPr>
              <w:t xml:space="preserve">: </w:t>
            </w:r>
            <w:r>
              <w:rPr>
                <w:rStyle w:val="IndexLink"/>
                <w:rtl w:val="true"/>
              </w:rPr>
              <w:t>في تعقيب الاقرار بما يقتضي ظاهره الابطال</w:t>
            </w:r>
            <w:r>
              <w:rPr>
                <w:rStyle w:val="IndexLink"/>
                <w:rtl w:val="true"/>
              </w:rPr>
              <w:tab/>
            </w:r>
            <w:r>
              <w:rPr>
                <w:rStyle w:val="IndexLink"/>
              </w:rPr>
              <w:t>438</w:t>
            </w:r>
          </w:hyperlink>
        </w:p>
        <w:p>
          <w:pPr>
            <w:pStyle w:val="Contents2"/>
            <w:tabs>
              <w:tab w:val="clear" w:pos="8743"/>
              <w:tab w:val="right" w:pos="9026" w:leader="dot"/>
            </w:tabs>
            <w:rPr/>
          </w:pPr>
          <w:hyperlink w:anchor="__RefHeading___Toc7971898_2870459653">
            <w:r>
              <w:rPr>
                <w:webHidden/>
                <w:rStyle w:val="IndexLink"/>
                <w:rtl w:val="true"/>
              </w:rPr>
              <w:t xml:space="preserve">المقصد الثالث </w:t>
            </w:r>
            <w:r>
              <w:rPr>
                <w:rStyle w:val="IndexLink"/>
                <w:rtl w:val="true"/>
              </w:rPr>
              <w:t xml:space="preserve">: </w:t>
            </w:r>
            <w:r>
              <w:rPr>
                <w:rStyle w:val="IndexLink"/>
                <w:rtl w:val="true"/>
              </w:rPr>
              <w:t>في الاقرار بالنسب</w:t>
            </w:r>
            <w:r>
              <w:rPr>
                <w:rStyle w:val="IndexLink"/>
                <w:rtl w:val="true"/>
              </w:rPr>
              <w:tab/>
            </w:r>
            <w:r>
              <w:rPr>
                <w:rStyle w:val="IndexLink"/>
              </w:rPr>
              <w:t>442</w:t>
            </w:r>
          </w:hyperlink>
        </w:p>
        <w:p>
          <w:pPr>
            <w:pStyle w:val="Contents2"/>
            <w:tabs>
              <w:tab w:val="clear" w:pos="8743"/>
              <w:tab w:val="right" w:pos="9026" w:leader="dot"/>
            </w:tabs>
            <w:rPr/>
          </w:pPr>
          <w:hyperlink w:anchor="__RefHeading___Toc7971900_2870459653">
            <w:r>
              <w:rPr>
                <w:webHidden/>
                <w:rStyle w:val="IndexLink"/>
                <w:rtl w:val="true"/>
              </w:rPr>
              <w:t xml:space="preserve">فيما اذا أقرّ بولد صغير </w:t>
            </w:r>
            <w:r>
              <w:rPr>
                <w:rStyle w:val="IndexLink"/>
                <w:rtl w:val="true"/>
              </w:rPr>
              <w:t xml:space="preserve">... </w:t>
            </w:r>
            <w:r>
              <w:rPr>
                <w:rStyle w:val="IndexLink"/>
              </w:rPr>
              <w:t>435</w:t>
            </w:r>
            <w:r>
              <w:rPr>
                <w:rStyle w:val="IndexLink"/>
                <w:rtl w:val="true"/>
              </w:rPr>
              <w:tab/>
            </w:r>
            <w:r>
              <w:rPr>
                <w:rStyle w:val="IndexLink"/>
              </w:rPr>
              <w:t>444</w:t>
            </w:r>
          </w:hyperlink>
        </w:p>
        <w:p>
          <w:pPr>
            <w:pStyle w:val="Contents2"/>
            <w:tabs>
              <w:tab w:val="clear" w:pos="8743"/>
              <w:tab w:val="right" w:pos="9026" w:leader="dot"/>
            </w:tabs>
            <w:rPr/>
          </w:pPr>
          <w:hyperlink w:anchor="__RefHeading___Toc7971902_2870459653">
            <w:r>
              <w:rPr>
                <w:webHidden/>
                <w:rStyle w:val="IndexLink"/>
                <w:rtl w:val="true"/>
              </w:rPr>
              <w:t xml:space="preserve">فيما اذا أقرّ ولد الميّت بولد له آخر </w:t>
            </w:r>
            <w:r>
              <w:rPr>
                <w:rStyle w:val="IndexLink"/>
                <w:rtl w:val="true"/>
              </w:rPr>
              <w:t xml:space="preserve">... </w:t>
            </w:r>
            <w:r>
              <w:rPr>
                <w:rStyle w:val="IndexLink"/>
              </w:rPr>
              <w:t>436</w:t>
            </w:r>
            <w:r>
              <w:rPr>
                <w:rStyle w:val="IndexLink"/>
                <w:rtl w:val="true"/>
              </w:rPr>
              <w:tab/>
            </w:r>
            <w:r>
              <w:rPr>
                <w:rStyle w:val="IndexLink"/>
              </w:rPr>
              <w:t>445</w:t>
            </w:r>
          </w:hyperlink>
        </w:p>
        <w:p>
          <w:pPr>
            <w:pStyle w:val="Contents2"/>
            <w:tabs>
              <w:tab w:val="clear" w:pos="8743"/>
              <w:tab w:val="right" w:pos="9026" w:leader="dot"/>
            </w:tabs>
            <w:rPr/>
          </w:pPr>
          <w:hyperlink w:anchor="__RefHeading___Toc7971904_2870459653">
            <w:r>
              <w:rPr>
                <w:webHidden/>
                <w:rStyle w:val="IndexLink"/>
                <w:rtl w:val="true"/>
              </w:rPr>
              <w:t xml:space="preserve">فيما لو كان للميّت اخوة و زوجة فأقرّت له بولد </w:t>
            </w:r>
            <w:r>
              <w:rPr>
                <w:rStyle w:val="IndexLink"/>
                <w:rtl w:val="true"/>
              </w:rPr>
              <w:t xml:space="preserve">... </w:t>
            </w:r>
            <w:r>
              <w:rPr>
                <w:rStyle w:val="IndexLink"/>
              </w:rPr>
              <w:t>437</w:t>
            </w:r>
            <w:r>
              <w:rPr>
                <w:rStyle w:val="IndexLink"/>
                <w:rtl w:val="true"/>
              </w:rPr>
              <w:tab/>
            </w:r>
            <w:r>
              <w:rPr>
                <w:rStyle w:val="IndexLink"/>
              </w:rPr>
              <w:t>446</w:t>
            </w:r>
          </w:hyperlink>
        </w:p>
        <w:p>
          <w:pPr>
            <w:pStyle w:val="Contents2"/>
            <w:tabs>
              <w:tab w:val="clear" w:pos="8743"/>
              <w:tab w:val="right" w:pos="9026" w:leader="dot"/>
            </w:tabs>
            <w:rPr/>
          </w:pPr>
          <w:hyperlink w:anchor="__RefHeading___Toc7971906_2870459653">
            <w:r>
              <w:rPr>
                <w:webHidden/>
                <w:rStyle w:val="IndexLink"/>
                <w:rtl w:val="true"/>
              </w:rPr>
              <w:t xml:space="preserve">فيما اذا مات صبي مجهول النسب فأقرّ انسان ببنوّته </w:t>
            </w:r>
            <w:r>
              <w:rPr>
                <w:rStyle w:val="IndexLink"/>
                <w:rtl w:val="true"/>
              </w:rPr>
              <w:t xml:space="preserve">... </w:t>
            </w:r>
            <w:r>
              <w:rPr>
                <w:rStyle w:val="IndexLink"/>
              </w:rPr>
              <w:t>437</w:t>
            </w:r>
            <w:r>
              <w:rPr>
                <w:rStyle w:val="IndexLink"/>
                <w:rtl w:val="true"/>
              </w:rPr>
              <w:tab/>
            </w:r>
            <w:r>
              <w:rPr>
                <w:rStyle w:val="IndexLink"/>
              </w:rPr>
              <w:t>447</w:t>
            </w:r>
          </w:hyperlink>
        </w:p>
        <w:p>
          <w:pPr>
            <w:pStyle w:val="Contents2"/>
            <w:tabs>
              <w:tab w:val="clear" w:pos="8743"/>
              <w:tab w:val="right" w:pos="9026" w:leader="dot"/>
            </w:tabs>
            <w:rPr/>
          </w:pPr>
          <w:hyperlink w:anchor="__RefHeading___Toc7971908_2870459653">
            <w:r>
              <w:rPr>
                <w:webHidden/>
                <w:rStyle w:val="IndexLink"/>
                <w:rtl w:val="true"/>
              </w:rPr>
              <w:t xml:space="preserve">في عدم ثبوت النسب الاّ بشهادة رجلين عدلين </w:t>
            </w:r>
            <w:r>
              <w:rPr>
                <w:rStyle w:val="IndexLink"/>
                <w:rtl w:val="true"/>
              </w:rPr>
              <w:t xml:space="preserve">... </w:t>
            </w:r>
            <w:r>
              <w:rPr>
                <w:rStyle w:val="IndexLink"/>
              </w:rPr>
              <w:t>441</w:t>
            </w:r>
            <w:r>
              <w:rPr>
                <w:rStyle w:val="IndexLink"/>
                <w:rtl w:val="true"/>
              </w:rPr>
              <w:tab/>
            </w:r>
            <w:r>
              <w:rPr>
                <w:rStyle w:val="IndexLink"/>
              </w:rPr>
              <w:t>450</w:t>
            </w:r>
          </w:hyperlink>
        </w:p>
        <w:p>
          <w:pPr>
            <w:pStyle w:val="Contents2"/>
            <w:tabs>
              <w:tab w:val="clear" w:pos="8743"/>
              <w:tab w:val="right" w:pos="9026" w:leader="dot"/>
            </w:tabs>
            <w:rPr/>
          </w:pPr>
          <w:hyperlink w:anchor="__RefHeading___Toc7971910_2870459653">
            <w:r>
              <w:rPr>
                <w:webHidden/>
                <w:rStyle w:val="IndexLink"/>
                <w:rtl w:val="true"/>
              </w:rPr>
              <w:t xml:space="preserve">فيما لو أقرّ بوارثين أولى منه </w:t>
            </w:r>
            <w:r>
              <w:rPr>
                <w:rStyle w:val="IndexLink"/>
                <w:rtl w:val="true"/>
              </w:rPr>
              <w:t xml:space="preserve">... </w:t>
            </w:r>
            <w:r>
              <w:rPr>
                <w:rStyle w:val="IndexLink"/>
              </w:rPr>
              <w:t>442</w:t>
            </w:r>
            <w:r>
              <w:rPr>
                <w:rStyle w:val="IndexLink"/>
                <w:rtl w:val="true"/>
              </w:rPr>
              <w:tab/>
            </w:r>
            <w:r>
              <w:rPr>
                <w:rStyle w:val="IndexLink"/>
              </w:rPr>
              <w:t>451</w:t>
            </w:r>
          </w:hyperlink>
        </w:p>
        <w:p>
          <w:pPr>
            <w:pStyle w:val="Contents2"/>
            <w:tabs>
              <w:tab w:val="clear" w:pos="8743"/>
              <w:tab w:val="right" w:pos="9026" w:leader="dot"/>
            </w:tabs>
            <w:rPr/>
          </w:pPr>
          <w:hyperlink w:anchor="__RefHeading___Toc7971912_2870459653">
            <w:r>
              <w:rPr>
                <w:webHidden/>
                <w:rStyle w:val="IndexLink"/>
                <w:rtl w:val="true"/>
              </w:rPr>
              <w:t xml:space="preserve">فيما لو أقرّ بزوج للميّتة </w:t>
            </w:r>
            <w:r>
              <w:rPr>
                <w:rStyle w:val="IndexLink"/>
                <w:rtl w:val="true"/>
              </w:rPr>
              <w:t xml:space="preserve">... </w:t>
            </w:r>
            <w:r>
              <w:rPr>
                <w:rStyle w:val="IndexLink"/>
              </w:rPr>
              <w:t>443</w:t>
            </w:r>
            <w:r>
              <w:rPr>
                <w:rStyle w:val="IndexLink"/>
                <w:rtl w:val="true"/>
              </w:rPr>
              <w:tab/>
            </w:r>
            <w:r>
              <w:rPr>
                <w:rStyle w:val="IndexLink"/>
              </w:rPr>
              <w:t>452</w:t>
            </w:r>
          </w:hyperlink>
        </w:p>
        <w:p>
          <w:pPr>
            <w:pStyle w:val="Contents2"/>
            <w:tabs>
              <w:tab w:val="clear" w:pos="8743"/>
              <w:tab w:val="right" w:pos="9026" w:leader="dot"/>
            </w:tabs>
            <w:rPr/>
          </w:pPr>
          <w:hyperlink w:anchor="__RefHeading___Toc7971914_2870459653">
            <w:r>
              <w:rPr>
                <w:webHidden/>
                <w:rStyle w:val="IndexLink"/>
                <w:rtl w:val="true"/>
              </w:rPr>
              <w:t>كتاب الجعالة</w:t>
            </w:r>
            <w:r>
              <w:rPr>
                <w:rStyle w:val="IndexLink"/>
                <w:rtl w:val="true"/>
              </w:rPr>
              <w:tab/>
            </w:r>
            <w:r>
              <w:rPr>
                <w:rStyle w:val="IndexLink"/>
              </w:rPr>
              <w:t>454</w:t>
            </w:r>
          </w:hyperlink>
        </w:p>
        <w:p>
          <w:pPr>
            <w:pStyle w:val="Contents2"/>
            <w:tabs>
              <w:tab w:val="clear" w:pos="8743"/>
              <w:tab w:val="right" w:pos="9026" w:leader="dot"/>
            </w:tabs>
            <w:rPr/>
          </w:pPr>
          <w:hyperlink w:anchor="__RefHeading___Toc7971916_2870459653">
            <w:r>
              <w:rPr>
                <w:webHidden/>
                <w:rStyle w:val="IndexLink"/>
                <w:rtl w:val="true"/>
              </w:rPr>
              <w:t xml:space="preserve">النظر الأوّل </w:t>
            </w:r>
            <w:r>
              <w:rPr>
                <w:rStyle w:val="IndexLink"/>
                <w:rtl w:val="true"/>
              </w:rPr>
              <w:t xml:space="preserve">: </w:t>
            </w:r>
            <w:r>
              <w:rPr>
                <w:rStyle w:val="IndexLink"/>
                <w:rtl w:val="true"/>
              </w:rPr>
              <w:t>في الايجاب</w:t>
            </w:r>
            <w:r>
              <w:rPr>
                <w:rStyle w:val="IndexLink"/>
                <w:rtl w:val="true"/>
              </w:rPr>
              <w:tab/>
            </w:r>
            <w:r>
              <w:rPr>
                <w:rStyle w:val="IndexLink"/>
              </w:rPr>
              <w:t>458</w:t>
            </w:r>
          </w:hyperlink>
        </w:p>
        <w:p>
          <w:pPr>
            <w:pStyle w:val="Contents2"/>
            <w:tabs>
              <w:tab w:val="clear" w:pos="8743"/>
              <w:tab w:val="right" w:pos="9026" w:leader="dot"/>
            </w:tabs>
            <w:rPr/>
          </w:pPr>
          <w:hyperlink w:anchor="__RefHeading___Toc7971918_2870459653">
            <w:r>
              <w:rPr>
                <w:webHidden/>
                <w:rStyle w:val="IndexLink"/>
                <w:rtl w:val="true"/>
              </w:rPr>
              <w:t xml:space="preserve">فيما يعتبر في الجاعل </w:t>
            </w:r>
            <w:r>
              <w:rPr>
                <w:rStyle w:val="IndexLink"/>
                <w:rtl w:val="true"/>
              </w:rPr>
              <w:t xml:space="preserve">... </w:t>
            </w:r>
            <w:r>
              <w:rPr>
                <w:rStyle w:val="IndexLink"/>
              </w:rPr>
              <w:t>451</w:t>
            </w:r>
            <w:r>
              <w:rPr>
                <w:rStyle w:val="IndexLink"/>
                <w:rtl w:val="true"/>
              </w:rPr>
              <w:tab/>
            </w:r>
            <w:r>
              <w:rPr>
                <w:rStyle w:val="IndexLink"/>
              </w:rPr>
              <w:t>461</w:t>
            </w:r>
          </w:hyperlink>
        </w:p>
        <w:p>
          <w:pPr>
            <w:pStyle w:val="Contents2"/>
            <w:tabs>
              <w:tab w:val="clear" w:pos="8743"/>
              <w:tab w:val="right" w:pos="9026" w:leader="dot"/>
            </w:tabs>
            <w:rPr/>
          </w:pPr>
          <w:hyperlink w:anchor="__RefHeading___Toc7971920_2870459653">
            <w:r>
              <w:rPr>
                <w:webHidden/>
                <w:rStyle w:val="IndexLink"/>
                <w:rtl w:val="true"/>
              </w:rPr>
              <w:t xml:space="preserve">في أنّ الجعالة لازمة أو جائزة؟ </w:t>
            </w:r>
            <w:r>
              <w:rPr>
                <w:rStyle w:val="IndexLink"/>
                <w:rtl w:val="true"/>
              </w:rPr>
              <w:t xml:space="preserve">... </w:t>
            </w:r>
            <w:r>
              <w:rPr>
                <w:rStyle w:val="IndexLink"/>
              </w:rPr>
              <w:t>453</w:t>
            </w:r>
            <w:r>
              <w:rPr>
                <w:rStyle w:val="IndexLink"/>
                <w:rtl w:val="true"/>
              </w:rPr>
              <w:tab/>
            </w:r>
            <w:r>
              <w:rPr>
                <w:rStyle w:val="IndexLink"/>
              </w:rPr>
              <w:t>462</w:t>
            </w:r>
          </w:hyperlink>
        </w:p>
        <w:p>
          <w:pPr>
            <w:pStyle w:val="Contents2"/>
            <w:tabs>
              <w:tab w:val="clear" w:pos="8743"/>
              <w:tab w:val="right" w:pos="9026" w:leader="dot"/>
            </w:tabs>
            <w:rPr/>
          </w:pPr>
          <w:hyperlink w:anchor="__RefHeading___Toc7971922_2870459653">
            <w:r>
              <w:rPr>
                <w:webHidden/>
                <w:rStyle w:val="IndexLink"/>
                <w:rtl w:val="true"/>
              </w:rPr>
              <w:t xml:space="preserve">النظر الثاني </w:t>
            </w:r>
            <w:r>
              <w:rPr>
                <w:rStyle w:val="IndexLink"/>
                <w:rtl w:val="true"/>
              </w:rPr>
              <w:t xml:space="preserve">: </w:t>
            </w:r>
            <w:r>
              <w:rPr>
                <w:rStyle w:val="IndexLink"/>
                <w:rtl w:val="true"/>
              </w:rPr>
              <w:t>في الأحكام</w:t>
            </w:r>
            <w:r>
              <w:rPr>
                <w:rStyle w:val="IndexLink"/>
                <w:rtl w:val="true"/>
              </w:rPr>
              <w:tab/>
            </w:r>
            <w:r>
              <w:rPr>
                <w:rStyle w:val="IndexLink"/>
              </w:rPr>
              <w:t>464</w:t>
            </w:r>
          </w:hyperlink>
        </w:p>
        <w:p>
          <w:pPr>
            <w:pStyle w:val="Contents2"/>
            <w:tabs>
              <w:tab w:val="clear" w:pos="8743"/>
              <w:tab w:val="right" w:pos="9026" w:leader="dot"/>
            </w:tabs>
            <w:rPr/>
          </w:pPr>
          <w:hyperlink w:anchor="__RefHeading___Toc7971924_2870459653">
            <w:r>
              <w:rPr>
                <w:webHidden/>
                <w:rStyle w:val="IndexLink"/>
                <w:rtl w:val="true"/>
              </w:rPr>
              <w:t xml:space="preserve">في عدم استحقاق الأجرة قبل بذل الجاعل </w:t>
            </w:r>
            <w:r>
              <w:rPr>
                <w:rStyle w:val="IndexLink"/>
                <w:rtl w:val="true"/>
              </w:rPr>
              <w:t xml:space="preserve">... </w:t>
            </w:r>
            <w:r>
              <w:rPr>
                <w:rStyle w:val="IndexLink"/>
              </w:rPr>
              <w:t>455</w:t>
            </w:r>
            <w:r>
              <w:rPr>
                <w:rStyle w:val="IndexLink"/>
                <w:rtl w:val="true"/>
              </w:rPr>
              <w:tab/>
            </w:r>
            <w:r>
              <w:rPr>
                <w:rStyle w:val="IndexLink"/>
              </w:rPr>
              <w:t>464</w:t>
            </w:r>
          </w:hyperlink>
        </w:p>
        <w:p>
          <w:pPr>
            <w:pStyle w:val="Contents2"/>
            <w:tabs>
              <w:tab w:val="clear" w:pos="8743"/>
              <w:tab w:val="right" w:pos="9026" w:leader="dot"/>
            </w:tabs>
            <w:rPr/>
          </w:pPr>
          <w:hyperlink w:anchor="__RefHeading___Toc7971926_2870459653">
            <w:r>
              <w:rPr>
                <w:webHidden/>
                <w:rStyle w:val="IndexLink"/>
                <w:rtl w:val="true"/>
              </w:rPr>
              <w:t xml:space="preserve">في حكم الجعل مع التعيين و عدمه </w:t>
            </w:r>
            <w:r>
              <w:rPr>
                <w:rStyle w:val="IndexLink"/>
                <w:rtl w:val="true"/>
              </w:rPr>
              <w:t xml:space="preserve">... </w:t>
            </w:r>
            <w:r>
              <w:rPr>
                <w:rStyle w:val="IndexLink"/>
              </w:rPr>
              <w:t>456</w:t>
            </w:r>
            <w:r>
              <w:rPr>
                <w:rStyle w:val="IndexLink"/>
                <w:rtl w:val="true"/>
              </w:rPr>
              <w:tab/>
            </w:r>
            <w:r>
              <w:rPr>
                <w:rStyle w:val="IndexLink"/>
              </w:rPr>
              <w:t>465</w:t>
            </w:r>
          </w:hyperlink>
        </w:p>
        <w:p>
          <w:pPr>
            <w:pStyle w:val="Contents2"/>
            <w:tabs>
              <w:tab w:val="clear" w:pos="8743"/>
              <w:tab w:val="right" w:pos="9026" w:leader="dot"/>
            </w:tabs>
            <w:rPr/>
          </w:pPr>
          <w:hyperlink w:anchor="__RefHeading___Toc7971928_2870459653">
            <w:r>
              <w:rPr>
                <w:webHidden/>
                <w:rStyle w:val="IndexLink"/>
                <w:rtl w:val="true"/>
              </w:rPr>
              <w:t>فيما اذا قال</w:t>
            </w:r>
            <w:r>
              <w:rPr>
                <w:rStyle w:val="IndexLink"/>
                <w:rtl w:val="true"/>
              </w:rPr>
              <w:t>: «</w:t>
            </w:r>
            <w:r>
              <w:rPr>
                <w:rStyle w:val="IndexLink"/>
                <w:rtl w:val="true"/>
              </w:rPr>
              <w:t>من ردّ عبدي فله دينار</w:t>
            </w:r>
            <w:r>
              <w:rPr>
                <w:rStyle w:val="IndexLink"/>
                <w:rtl w:val="true"/>
              </w:rPr>
              <w:t xml:space="preserve">» ... </w:t>
            </w:r>
            <w:r>
              <w:rPr>
                <w:rStyle w:val="IndexLink"/>
              </w:rPr>
              <w:t>457</w:t>
            </w:r>
            <w:r>
              <w:rPr>
                <w:rStyle w:val="IndexLink"/>
                <w:rtl w:val="true"/>
              </w:rPr>
              <w:tab/>
            </w:r>
            <w:r>
              <w:rPr>
                <w:rStyle w:val="IndexLink"/>
              </w:rPr>
              <w:t>467</w:t>
            </w:r>
          </w:hyperlink>
        </w:p>
        <w:p>
          <w:pPr>
            <w:pStyle w:val="Contents2"/>
            <w:tabs>
              <w:tab w:val="clear" w:pos="8743"/>
              <w:tab w:val="right" w:pos="9026" w:leader="dot"/>
            </w:tabs>
            <w:rPr/>
          </w:pPr>
          <w:hyperlink w:anchor="__RefHeading___Toc7971930_2870459653">
            <w:r>
              <w:rPr>
                <w:webHidden/>
                <w:rStyle w:val="IndexLink"/>
                <w:rtl w:val="true"/>
              </w:rPr>
              <w:t xml:space="preserve">فيما لو جعل لكلّ واحد جعلاً </w:t>
            </w:r>
            <w:r>
              <w:rPr>
                <w:rStyle w:val="IndexLink"/>
                <w:rtl w:val="true"/>
              </w:rPr>
              <w:t xml:space="preserve">... </w:t>
            </w:r>
            <w:r>
              <w:rPr>
                <w:rStyle w:val="IndexLink"/>
              </w:rPr>
              <w:t>457</w:t>
            </w:r>
            <w:r>
              <w:rPr>
                <w:rStyle w:val="IndexLink"/>
                <w:rtl w:val="true"/>
              </w:rPr>
              <w:tab/>
            </w:r>
            <w:r>
              <w:rPr>
                <w:rStyle w:val="IndexLink"/>
              </w:rPr>
              <w:t>467</w:t>
            </w:r>
          </w:hyperlink>
        </w:p>
        <w:p>
          <w:pPr>
            <w:pStyle w:val="Contents2"/>
            <w:tabs>
              <w:tab w:val="clear" w:pos="8743"/>
              <w:tab w:val="right" w:pos="9026" w:leader="dot"/>
            </w:tabs>
            <w:rPr/>
          </w:pPr>
          <w:hyperlink w:anchor="__RefHeading___Toc7971932_2870459653">
            <w:r>
              <w:rPr>
                <w:webHidden/>
                <w:rStyle w:val="IndexLink"/>
                <w:rtl w:val="true"/>
              </w:rPr>
              <w:t xml:space="preserve">فيما لو جعل لواحد جعل على الردّ فشاركه آخر </w:t>
            </w:r>
            <w:r>
              <w:rPr>
                <w:rStyle w:val="IndexLink"/>
                <w:rtl w:val="true"/>
              </w:rPr>
              <w:t xml:space="preserve">... </w:t>
            </w:r>
            <w:r>
              <w:rPr>
                <w:rStyle w:val="IndexLink"/>
              </w:rPr>
              <w:t>459</w:t>
            </w:r>
            <w:r>
              <w:rPr>
                <w:rStyle w:val="IndexLink"/>
                <w:rtl w:val="true"/>
              </w:rPr>
              <w:tab/>
            </w:r>
            <w:r>
              <w:rPr>
                <w:rStyle w:val="IndexLink"/>
              </w:rPr>
              <w:t>468</w:t>
            </w:r>
          </w:hyperlink>
        </w:p>
        <w:p>
          <w:pPr>
            <w:pStyle w:val="Contents2"/>
            <w:tabs>
              <w:tab w:val="clear" w:pos="8743"/>
              <w:tab w:val="right" w:pos="9026" w:leader="dot"/>
            </w:tabs>
            <w:rPr/>
          </w:pPr>
          <w:hyperlink w:anchor="__RefHeading___Toc7971934_2870459653">
            <w:r>
              <w:rPr>
                <w:webHidden/>
                <w:rStyle w:val="IndexLink"/>
                <w:rtl w:val="true"/>
              </w:rPr>
              <w:t xml:space="preserve">فيمالو جعل معيّنا على ردّه من مسافة معيّنة فردّه من بعضها </w:t>
            </w:r>
            <w:r>
              <w:rPr>
                <w:rStyle w:val="IndexLink"/>
                <w:rtl w:val="true"/>
              </w:rPr>
              <w:t xml:space="preserve">... </w:t>
            </w:r>
            <w:r>
              <w:rPr>
                <w:rStyle w:val="IndexLink"/>
              </w:rPr>
              <w:t>459</w:t>
            </w:r>
            <w:r>
              <w:rPr>
                <w:rStyle w:val="IndexLink"/>
                <w:rtl w:val="true"/>
              </w:rPr>
              <w:tab/>
            </w:r>
            <w:r>
              <w:rPr>
                <w:rStyle w:val="IndexLink"/>
              </w:rPr>
              <w:t>468</w:t>
            </w:r>
          </w:hyperlink>
        </w:p>
        <w:p>
          <w:pPr>
            <w:pStyle w:val="Contents2"/>
            <w:tabs>
              <w:tab w:val="clear" w:pos="8743"/>
              <w:tab w:val="right" w:pos="9026" w:leader="dot"/>
            </w:tabs>
            <w:rPr/>
          </w:pPr>
          <w:hyperlink w:anchor="__RefHeading___Toc7971936_2870459653">
            <w:r>
              <w:rPr>
                <w:webHidden/>
                <w:rStyle w:val="IndexLink"/>
                <w:rtl w:val="true"/>
              </w:rPr>
              <w:t xml:space="preserve">النظر الثالث </w:t>
            </w:r>
            <w:r>
              <w:rPr>
                <w:rStyle w:val="IndexLink"/>
                <w:rtl w:val="true"/>
              </w:rPr>
              <w:t xml:space="preserve">: </w:t>
            </w:r>
            <w:r>
              <w:rPr>
                <w:rStyle w:val="IndexLink"/>
                <w:rtl w:val="true"/>
              </w:rPr>
              <w:t>في اللواحق</w:t>
            </w:r>
            <w:r>
              <w:rPr>
                <w:rStyle w:val="IndexLink"/>
                <w:rtl w:val="true"/>
              </w:rPr>
              <w:tab/>
            </w:r>
            <w:r>
              <w:rPr>
                <w:rStyle w:val="IndexLink"/>
              </w:rPr>
              <w:t>470</w:t>
            </w:r>
          </w:hyperlink>
        </w:p>
        <w:p>
          <w:pPr>
            <w:pStyle w:val="Contents2"/>
            <w:tabs>
              <w:tab w:val="clear" w:pos="8743"/>
              <w:tab w:val="right" w:pos="9026" w:leader="dot"/>
            </w:tabs>
            <w:rPr/>
          </w:pPr>
          <w:hyperlink w:anchor="__RefHeading___Toc7971938_2870459653">
            <w:r>
              <w:rPr>
                <w:webHidden/>
                <w:rStyle w:val="IndexLink"/>
                <w:rtl w:val="true"/>
              </w:rPr>
              <w:t xml:space="preserve">في مسائل التنازع </w:t>
            </w:r>
            <w:r>
              <w:rPr>
                <w:rStyle w:val="IndexLink"/>
                <w:rtl w:val="true"/>
              </w:rPr>
              <w:t xml:space="preserve">... </w:t>
            </w:r>
            <w:r>
              <w:rPr>
                <w:rStyle w:val="IndexLink"/>
              </w:rPr>
              <w:t>461</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74_84090"/>
      <w:bookmarkStart w:id="1" w:name="pg9674_84090"/>
      <w:bookmarkEnd w:id="1"/>
    </w:p>
    <w:p>
      <w:pPr>
        <w:pStyle w:val="Heading2"/>
        <w:numPr>
          <w:ilvl w:val="1"/>
          <w:numId w:val="1"/>
        </w:numPr>
        <w:rPr/>
      </w:pPr>
      <w:bookmarkStart w:id="2" w:name="pg9674_84090"/>
      <w:bookmarkStart w:id="3" w:name="__RefHeading___Toc7971278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دستغیب حسینی شیرازی، سیدعلی‌محمد،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الی احکام‌الرهن و ما یلیه فی‌الشرایع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المفلس والحجر والصلح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شرایع‌الاسلام للمحقق‌الحلی رحمه‌الله المجلدالثانی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سیدعلی‌محمد دستغیب‌الحسینی‌الشیرازی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الفلاح للنشر،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بر جلد بيست و دوم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شرائع‌الاسلام فی‌المسائل‌الحلال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محقق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شرایع‌الاسلام للمحقق‌الحلی رحمه‌الله المجلدالثانی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Mortgages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402336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4816502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7128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الى أحكام الرهن و ما يليه في الشرائع</w:t>
      </w:r>
    </w:p>
    <w:p>
      <w:pPr>
        <w:pStyle w:val="BookText"/>
        <w:rPr/>
      </w:pPr>
      <w:r>
        <w:rPr>
          <w:rFonts w:ascii="Amiri" w:hAnsi="Amiri" w:eastAsia="Amiri" w:cs="Amiri"/>
          <w:color w:val="111111"/>
          <w:sz w:val="28"/>
          <w:sz w:val="28"/>
          <w:szCs w:val="28"/>
          <w:rtl w:val="true"/>
          <w:lang w:bidi="ar-SA"/>
        </w:rPr>
        <w:t>المفلّس و الحجر و الصلح و الوديعة و العارية و الوكالة و الهبات</w:t>
      </w:r>
    </w:p>
    <w:p>
      <w:pPr>
        <w:pStyle w:val="BookText"/>
        <w:rPr/>
      </w:pPr>
      <w:r>
        <w:rPr>
          <w:rFonts w:ascii="Amiri" w:hAnsi="Amiri" w:eastAsia="Amiri" w:cs="Amiri"/>
          <w:color w:val="111111"/>
          <w:sz w:val="28"/>
          <w:sz w:val="28"/>
          <w:szCs w:val="28"/>
          <w:rtl w:val="true"/>
          <w:lang w:bidi="ar-SA"/>
        </w:rPr>
        <w:t>و السبق و الرماية و الاقرار و الجعالة</w:t>
      </w:r>
    </w:p>
    <w:p>
      <w:pPr>
        <w:pStyle w:val="BookText"/>
        <w:rPr/>
      </w:pPr>
      <w:r>
        <w:rPr>
          <w:rFonts w:ascii="Amiri" w:hAnsi="Amiri" w:eastAsia="Amiri" w:cs="Amiri"/>
          <w:color w:val="111111"/>
          <w:sz w:val="28"/>
          <w:sz w:val="28"/>
          <w:szCs w:val="28"/>
          <w:rtl w:val="true"/>
          <w:lang w:bidi="ar-SA"/>
        </w:rPr>
        <w:t>في شرح شرائع الاسلام للمحقّق الحلّي قدس‌سره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الثاني و العشرون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74_84094"/>
      <w:bookmarkStart w:id="8" w:name="pg9674_84094"/>
      <w:bookmarkEnd w:id="8"/>
    </w:p>
    <w:p>
      <w:pPr>
        <w:pStyle w:val="Heading2"/>
        <w:numPr>
          <w:ilvl w:val="1"/>
          <w:numId w:val="1"/>
        </w:numPr>
        <w:rPr/>
      </w:pPr>
      <w:bookmarkStart w:id="9" w:name="pg9674_84094"/>
      <w:bookmarkStart w:id="10" w:name="__RefHeading___Toc7971282_2870459653"/>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كتاب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الفصل الأوّل في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اشتراط الايجاب و القبول و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الفصل الثاني في شرائط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الفصل الثالث في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فرع في عدم جواز الرهن على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الفصل الرابع في الراهن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الفصل الخامس في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فيما اذا شرط المرتهن الوكالة في العقد لنفسه أو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أنّ الرهن أمانة في يد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أنّ الرهن أمانة في يد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تصرّف المرتهن فى المال المرهونة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الفرع الثالث في استيفاء الدين من الرهن اذا مات الراهن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فيما اذا وضعا الرهن على يد 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الفرع الأوّل فيما اذا وضعاه على يد 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الفرع الثاني فيما لو باع المرتهن أو العدل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الفرع الثالث فيما اذا مات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الفصل السادس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المقصد الأوّل في أحكام متعلّقة بالراهن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الفرع الأوّل في التصرّف في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الفرع الثاني فيما لو وطئ الراهن أمته المرهونة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الفرع الثالث فيما اذا أذن الراهن للمرتهن في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المقصد الثاني في أحكام متعلّقة بالرهن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الفرع الأوّل في لزوم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الفرع الثاني في أنّه لو انفسخ الرهن يبقى في يد المرتهن 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فيما لو شرط ان لم‌يؤدّ أن‌يكون الرهن مبيعا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الفرع الأوّل في اشتراط كون الرهن مبيعا ان لم‌يؤدّ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الفرع الثاني فيما لو غصب المال ثمّ رهن المالك من الغاصب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ملكيّة ما يحصل من الرهن من فائدة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فيما لو كان في يده رهنان بدينين متغايرين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فيما اذا رهن مال غيره باذنه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رهن النخل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جنى المرهون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فيما لو أتلف الرهن متلف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فيما لو رهن عصيرا فصار خمرا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فيما لو رهنه بيضة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المقصد الثالث في النزاع الواقع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فيما اذا رهن مشاعا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فيما اذا مات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فيما اذا فرّط في الرهن و 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فيما لو اختلفا فيما على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فيما لو اختلفا في كونه وديعة أو رهنا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فيما اذا أذن المرتهن للراهن في البيع و رجع ثمّ اختلفا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فيما اذا اختلفا فيما يباع به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فيما اذا ادّعى رهانة شيء فأنكر الراهن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فيما لو كان له دينان أحدهما برهن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كتاب المفلّس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تعريف المفلس و شروط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الفرع الأوّل في تعريف المفلس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الفرع الثاني في شروط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القول في منع التصرّف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تصرّفاته بعد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الاقرار بعد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الفرع الثالث فيما لو اشترى بخيار و فلّس و الخيار باق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الفرع الرابع فيما لو أقرضه انسان مالاً بعد الحجر أو باعه بثمن فيذمّته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الفرع الخامس فيما لو أقرّ بمال و جهل السبب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الفرع السادس في أنّه لاتحلّ الديون المؤجّلة بالحجر و تحلّ بالموت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القول في اختصاص الغريم بعين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الفرع الأوّل فيما لو وجد الغريم متاعه بعينه و المفلّس 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الفرع الثاني فيما اذا مات المديون و وجد الغريم متاعه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الفرع الثالث فيما لو وجد بعض المبيع 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فيما لو حصل منه نماء منفصل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الفرع الأوّل فيما لو حصل للمبيع نماء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الفرع الثاني فيما لو اشترى حبّا فزرعه أو بيضا فأحضنه و نحو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الفرع الثالث فيما لو باع شقصا و فلّس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فيمالو فلّس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الفرع الأوّل فيما لو فلّس المستأجر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الفرع الثاني فيما لو اشترى أرضا فغرس فيها أو بنى ثمّ 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الفرع الثالث فيما لو اشترى زيتا فخلطه بمثله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فيما لو عمل عملاً في المبيع و في أحكام السلم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الفرع الأوّل فيما اذا عمل المفلّس في المتاع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الفرع الثاني فيما لو أسلم في متاع ثمّ أفلس المسلم 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بعض الأحكام المتعلّقة بالمفلس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فيما لو جني على المفلّس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فيما اذا شهد شاهد للمفلّس بمال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الفرع الثالث فيما لو مات المفلّس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الفرع الرابع في انظار المعسر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القول في قسمة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الفرع الأوّل في بعض ما يستحبّ عند بيع مال المفلّس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الفرع الثاني في عدم اجبار المفلّس على بيع داره و ما يحتاج 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الفرع الثالث فيما لو باع الحاكم أو أمينه مال المفلّس ثمّ طلب بزيادة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فيما اذا قسّم الحاكم مال المفلس ثمّ ظهر غريم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فيما اذا كان عليه ديون حالّة و مؤجّلة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فيما اذا جنى عبد المفلس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حبس المفلس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الفرع الأوّل في عدم جواز حبس المديون المعسر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الفرع الثاني فيما اذا شهدت البيّنة بتلف أمواله أو بالاعسار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الفرع الثالث فيما اذا لم‌يعلم له أصل مال و ادّعى الاعسار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كتاب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الفصل الأوّل في موجباته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حجر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اعتبار الرشد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حجر السفيه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فرع فيما اذا وكّله أجنبي في معاملة أو أذن له الولي في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تصرّفات المملوك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في أحكام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عدم ثبوت حجر المفلس و السفيه الاّ بحكم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فيما اذا حجر عليه فبايعه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فيما لو فكّ حجره ثمّ عاد مبذّرا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فيمن له الولاية على مال الطفل و المجنون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فيما اذا أحرم المحجور بحجّة 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انعقاد يمينه اذا حلف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جواز عفوه عن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اختبار الصبي قبل بلوغه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الفرع الأوّل في أنّ عقد الصلح ليس فرعا على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الفرع الثاني في الصلح مع الاقرار و الانكار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الفرع الثالث في الصلح اذا أحلّ حراما أو حرّم حلالاً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الفرع الرابع في الصلح مع علمهما بما وقعت المنازعة فيه و جهلهما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الفرع الخامس في الايجاب و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فيما اذا اصطلح الشريكان على أن‌يكون الربح و الخسران على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بعض فروع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الفرع الأوّل فيما لو كان معهما درهمان فادّعاهما أحدهما و الآخر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الفرع الثاني في اشتباه الثوبين مع اختلاف قيمتهما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الفرع الثالث فيما اذا بان أحد العوضين مستحقّا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صحّة الصلح على عين بعين أو منفعة، و على منفعة بعين أو 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بعض الفروع المتعلّقة بالدعوى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الفرع الأوّل فيما لو ادّعى دارا فأنكر الآخر فصالحه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الفرع الثاني فيما لو ادّعى اثنان دارا في يد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الفرع الثالث فيما لو صالح المدّعى عليه على سقي زرع المدّعي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الفرع الرابع فيما لو قال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صالحني أو بعني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أحكام النزاع في الأملاك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اخراج الرواشن و الأجنحة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التمس وضع جذوعه على حائط 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تداعيا جدارا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للشريك في الحائط التصرّف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تنازع صاحب السفل و العلوّ في جدران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أغصان شجرة الى ملك الجار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لانسان بيوت الخان السفلى و لآخر بيوته العليا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فيما اذا تنازع راكب الدابّة و قابض لجامها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كتاب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النظر الأوّل في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فرع فيما لو طرح مالاً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فيما يجب على المستودع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الفرع الأوّل في وجوب حفظ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فيما لو تلفت من غير تعدٍّ أو تفريط أو أخذت منه قهرا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الثالث فيما لو كان هو الساعي في أخذها منه قهرا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الفرع الرابع فيما لو تمكّن من الدفع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الفرع الخامس فيما لو توقّف دفع الظالم عن الوديعة الى انكارها كاذبا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 أنّ الوديعة من العقود الجائزة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في كيفيّة حفظ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الفرع الأوّل في وجوب حفظ الوديعة بما جرت العادة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الفرع الثاني في حفظ الدابّة المودعة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الفرع الثالث فيما لو نهى مالك الدابّة عن سقيها و علفها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فيما لو عيّن له موضع الاحتفاظ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في وديعة الطفل و المجنون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فيما اذا ظهر للمودع أمارة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وجوب اعادة الوديعة على المودع مع المطالبة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الفرع الأوّل في وجوب ردّ الوديعة عند المطالبة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الفرع الثاني فيما اذا كان المودع غاصبا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الفرع الثالث فيما لو كان الغاصب مزجها بماله ثمّ أودع الجميع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النظر الثاني في موجبات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القسم الأوّل في التفريط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القسم الثاني في التعدّي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النظرالثالث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 السفر بالوديعة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لايبرأ المودع الاّ بردّها الى المالك أو وكيله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قدر على الحاكم فدفعها الى الثقة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فيما اذا أراد السفر فدفنها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فيما اذا أعاد الوديعة بعد التفريط الى الحرز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انكار الوديعة أو دعوى تلفها أو 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فرع فيما لو أمر المودع المستودع بدفع الوديعة الى غير المالك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فيما اذا ادّعى التلف بعد ما أقام المالك البيّنة على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فيما اذا عيّن له حرزا بعيدا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فيما اذا اعترف بالوديعة ثمّ مات و جهلت عينها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فيما اذا كان في يده وديعة فادّعاها اثنان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فيما اذا فرّط و اختلفا في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فيما اذا مات المودع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ذكر بعض المسائل المتعلّقة بالوديعة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كتاب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الفصل الأوّل في المعير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الفصل الثاني في المستعير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الفرع الأوّل في أنّ المستعير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الفرع الثاني في كيفيّة انتفاع المستعير من المعار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استعارة المحرم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فيما لو استعاره من الغاصب و هو لايعلم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الفصل الثالث في العين المعارة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صحّة الاعارة مطلقا و مدّة معيّنة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أعاره أرضا للدفن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 دخول الأرض للمعير و المستعير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فيما لو أعاره حائطا لطرح خشبة فطالبه بازالتها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فيما لو أذن له في غرس شجرة فانقلعت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اعارة العين المستعارة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الفصل الرابع في الأحكام المتعلّقة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في أنّ العارية 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في براءة الذمّة بردّ العارية الى المالك أو وكيله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جواز بيع المستعير غروسه و أبنيته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فيما اذا حملت الأهوية أو السيول حبّا الى ملك انسان فنبت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فيما لو نقصت بالاستعمال ثمّ تلفت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فيما اذا قال الراكب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فيما اذا استعار شيئا لينتفع به في شيء فانتفع به في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فيما اذا جحد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فيما اذا ادّعى 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فيما لو فرّط في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الفصل الأوّل في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فرع في اشتراط تنجيز عقد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أنّها من العقود الجائزة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بطلان الوكالة بالموت و الجنون و الاغماء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ذكر بعض مسائل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الفرع الأوّل فيما يقتضيه اطلاق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الفرع الثاني في اختلاف الوكيل و المالك في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الفرع الثالث فيما لو تصادق الوكيل و المشتري على الثمن فتلفتالعين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 أنّ اطلاق الوكالة في البيع يقتضي تسليم المبيع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فرع في أنّ للوكيل أن‌يردّ بالعيب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الفصل الثاني في ما لاتصحّ فيه النيابة و ما تصحّ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فيما لو وكّل على كلّ قليل و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الفصل الثالث في الموكّل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الفرع الأوّل فيما يشترط في الوكيل و الموكّل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الفرع الثاني في التوكيل في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الفرع الثالث فيما لو قال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ما شئت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الفرع الرابع فيما يستحبّ و يكره في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الفصل الرابع في 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صور وكالة الذمّي عن المسلم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 اقتصار الوكيل على ما أذن له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وقوع الشراء عن الموكّل اذا ابتاع 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حكم كلّ موضع يبطل الشراء للموكّل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فيما لو وكّل 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وكّل زوجته ثمّ طلّقها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وكّل انسانا في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قبض حقّي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الفصل الخامس في ما به تثبت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الفرع الأوّل فيما تثبت به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الفرع الثاني فيما لو اختلف الشاهدان على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الفرع الثالث فيما لو اختلفا في لفظ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فيما لو ادّعى الوكالة عن غائب في قبض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الفرع الأوّل فيما لو ادّعى الوكالة عن غائب في قبض ماله و كان عينا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الفرع الثاني فيما لو ادّعى الوكالة عن غائب في قبض ماله و كان 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الفصل السادس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 أنّ الوكيل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فيما لو أذن لوكيله أن‌يوكّل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أنّ على الوكيل تسليم ما في يده الى الموكّل مع المطالبة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جواز الامتناع عن التسليم حتّى يشهد صاحب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فيما اذا لم‌يشهد الوكيل في الايداع على الودعي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فيما اذا تعدّى الوكيل في مال الموكّل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فيما اذا أذن الموكّل لوكيله في بيع ماله من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الفصل السابع في التنازع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فيما اذا اختلفا في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فيما اذا اختلفا في دفع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فيما اذا اختلفا في دفع المال الى الموكّل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فيما اذا اختلف الوصي و الموصى له، أو الأولياء و المولّىعليهم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فيما اذا ادّعى الوكيل التصرّف و أنكر الموكّل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فيما اذا اشترى انسان سلعة و ادّعى الوكالة لانسان فأنكر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فيما اذا زوّجه امرأة فأنكر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فيما اذا وكّله في ابتياع عبد فاختلفا في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أنّ البائع بالخيار في مطالبة الوكيل و الموكّل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فيما اذا طالب الوكيل فقال الذي عليه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لاتستحقّ المطالبة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 قبول شهادة الوكيل لموكّله فيما لا ولاية له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فيما لو وكّله بقبض دينه من غريم و ما لو أمره ببيع سلعة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الفرع الأوّل فيما لو وكّله بقبض دينه من غريم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الفرع الثاني فيما لو أمره ببيع سلعة و تسليمها و قبض ثمنها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كتاب الهبات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النظر الأوّل في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الفرع الأوّل في تعريف 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الفرع الثاني في التعبير عن الهبة بالنحلة و العطيّة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الفرع الثالث في احتياج الهبة الى الايجاب و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فيما يعتبر في العاقد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فيما لو وهب ما في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أنّه لا حكم للهبة ما لم‌تقبض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شرطيّة القبض في 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فيما لو مات الواهب أو الموهوب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الفرع الثالث فيما لو أقرّ الواهب بالهبة و الاقباض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اشتراط اذن الواهب في صحّة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جواز هبة المشاع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فيما لو وهب لاثنين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الفرع الأوّل فيما لو وهب شيئين أو شيئا واحدا 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الفرع الثاني في جواز تفضيل بعض الولد على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في حكم الهبة اذا كانت لذي 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الفرع الأوّل في الرجوع في الهبة اذا كانت لذي 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الفرع الثاني في الرجوع في الهبة اذا كانت للزوج أوالزوجة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الفرع الثالث في الرجوع في الهبة اذا كان الموهوب له أجنبيّا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الفرع الرابع في أنّ التصرّف الناقل أو المغيّر للعين ملحق بالتلف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استحباب العطيّة لذوي الرحم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النظر الثاني في حكم الهبات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فيما اذا تراخى القبض عن العقد ثمّ أقبض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 و لم‌أقبضه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فيما اذا رجع في الهبة و قد عابت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فيما اذا وهب و أطلق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فيما اذا صبغ الموهوب له الثوب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وهب في مرضه المخوف و برأ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السبق و الرماية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الفصل الأوّل في الألفاظ المستعملة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 أنواع السهم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الفصل الثاني فيما يسابق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الفصل الثالث في عقد المسابقة و الرماية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الفرع الأوّل في أنّ السبق عقد برأسه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الفرع الثاني في جواز كون العوض عينا أو 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الفرع الثالث في جواز بذل السبق من غير المتسابقين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شروط المسابقة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الفصل الرابع في أحكام النضال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فيما لو قال أجنبي 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فله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فتساووا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فيما لو كانا اثنين و أخرج كلّ واحد منهما سبقا و أدخلا محلّلاً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فيما اذا شرطا المبادرة و الرشق عشرين و الاصابة 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ملك الناضل العوض اذا تمّ النضال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فيما اذا فسد عقد السبق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فيما اذا فضل أحدهما الآخر في الاصابة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كتاب الاقرار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النظر الأوّل في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المقصد الأوّل في الصيغة الصريحة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تعريف الاقرار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دليل شرعيّة الاقرار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الفرع الثالث في صيغة الاقرار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الفرع الرابع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شهد لك شاهدان فهما صادقان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في انصراف اطلاق الاقرار بالموزون الى ميزان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فيما لو أقرّ لميّت بمال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 ذكر بعض الفروع ممّا يختلف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الفرع الأوّل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اذا جاء رأس الشهر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الفرع الثاني فيما 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أباك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الفرع الثالث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هذه الدار من فلان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الفرع الرابع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لفلان عليّ 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المقصد الثاني في المبهمة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المقصد الثالث في الاقرار المستفاد من 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المقصد الرابع في صيغ الاستثناء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النظر الثاني في المقرّ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النظر الثالث في المقرّ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النظر الرابع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المقصد الأوّل في تعقيب الاقرار بالاقرار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المقصد الثاني في تعقيب الاقرار بما يقتضي ظاهره الابطال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المقصد الثالث في الاقرار بالنسب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فيما اذا أقرّ بولد 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أقرّ ولد الميّت بولد له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كان للميّت اخوة و زوجة فأقرّت له بولد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فيما اذا مات صبي مجهول النسب فأقرّ انسان ببنوّته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في عدم ثبوت النسب الاّ بشهادة رجلين عدلين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فيما لو أقرّ بوارثين أولى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فيما لو أقرّ بزوج للميّتة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كتاب الجعالة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النظر الأوّل في الايجاب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فيما يعتبر في الجاعل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 أنّ الجعالة لازمة أو جائزة؟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النظر الثاني في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في عدم استحقاق الأجرة قبل بذل الجاعل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في حكم الجعل مع التعيين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فيما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دينار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فيما لو جعل لكلّ واحد جعلاً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فيما لو جعل لواحد جعل على الردّ فشاركه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فيمالو جعل معيّنا على ردّه من مسافة معيّنة فردّه من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النظر الثالث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مسائل التنازع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w:t>
      </w:r>
    </w:p>
    <w:p>
      <w:pPr>
        <w:pStyle w:val="BookText"/>
        <w:rPr/>
      </w:pPr>
      <w:r>
        <w:rPr>
          <w:rFonts w:ascii="Amiri" w:hAnsi="Amiri" w:eastAsia="Amiri" w:cs="Amiri"/>
          <w:color w:val="111111"/>
          <w:sz w:val="28"/>
          <w:sz w:val="28"/>
          <w:szCs w:val="28"/>
          <w:rtl w:val="true"/>
          <w:lang w:bidi="ar-SA"/>
        </w:rPr>
        <w:t>أمّا بعد، فاعلم أنّ علم الفقه بعد علم التوحيد و علم الأخلاق من أشرف العلوم و أفضلها و تعلّمه و تعليمه من الواجب الكفائي؛ لئلاّتندرس آثار دين خاتم الأنبياء صلى‌الله‌عليه‌و‌آله و أوصيائه عليهم‌السلام الذين هم مفسّروا الشريعة و مبيّنوها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اذا تأمّلت في الروايات الواردة عنهم عليهم‌السلام في بيان تكليف الأمّة زمن الغيبة تجد ارجاعهم ايّانا الى رواة أحاديثهم في الحوادث الواقعة، و أنّهم حجّة المعصوم و المعصوم حجّة اللّه؛ الاّ أنّه يجب أن‌تكون للفقيه ملكة العدالة و التقوى بحيث يقال له فقيه صائن لنفسه، حافظ لدينه، مخالف على هواه، مطيع لأمر مولاه؛ و هذا أقوى دليل على رفعة الفقه و محبوبيّته، و بهذا أيضا يظهر ما للفقهاء و المجتهدين من الفضل و الكرامة عند اللّه تعالى مضافا الى أنّهم أمناء الرسل و أولياء أيتام آل محمّد صلى‌الله‌عليه‌و‌آله و هم مراجع الخلق كما هو المشاهد من المجتهد المجدّد آيه‌اللّه العظمى الامام الخميني قدس‌سره المحيي للاسلام في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فحريّ </w:t>
      </w:r>
    </w:p>
    <w:p>
      <w:pPr>
        <w:pStyle w:val="BookText"/>
        <w:rPr/>
      </w:pPr>
      <w:r>
        <w:rPr>
          <w:rFonts w:ascii="Amiri" w:hAnsi="Amiri" w:eastAsia="Amiri" w:cs="Amiri"/>
          <w:color w:val="111111"/>
          <w:sz w:val="28"/>
          <w:sz w:val="28"/>
          <w:szCs w:val="28"/>
          <w:rtl w:val="true"/>
          <w:lang w:bidi="ar-SA"/>
        </w:rPr>
        <w:t>للمؤمنين المحبّين لآل محمّد عليهم‌السلام أن‌يصرفوا أعمارهم أو أغلب أوقاتهم في طلب الفقه و التفحّص في الأخبار الواردة عنهم حول الأحكام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بتوفيق الملك العلاّم و تأييد أجدادي الطاهرين و اشارة بعض الاخوان اشتغلت قبل حوالي خمس و عشرين سنة بمذاكرة الفقه مع أصدقائي الطلاّب من ابتداء كتاب الصلاة من العروة الوثقى و لمّا لم‌يشتمل كتاب العروة على جميع أبواب الفقه واصلنا دراستنا في بيان الأبواب التي لاتوجد في العروة بشرحها من سائر الكتب لعلمائنا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بين يديك هو الهادي الى أحكام الرهن و ما يليه في شرائع الاسلام للمحقّق الحلّي قدس‌سرهو يشتمل على شرح كتاب الرهن و المفلّس و الحجر و الصلح و الوديعة و العارية و الوكالة و الهبات و السبق و الرماية و الاقرار 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الاخلاص و القبول فانّه كريم منّان؛ و بزعمي القاصر ليست هذه الأبحاث تكرارا للمكرّرات و لا مملّة للخواطر بل ببركة زملائي الطالبين لمحبّة اللّه تعالى و معرفته تكون منوّرة للقلوب و الأفكار و لاأجد من نفسي سوى بضاعة مزجاة و أنّها محلّ للخطأ و الزلاّت فأسأل اللّه المغفرة و الرضوان و أسأله الدرجات المتعالية لشيخنا الأستاذ الفاضل المقداد العارف النحرير و المجتهد البصير العلاّمة آيه‌اللّه العظمى الشيخ حسن‌علي نجابت قدّس سرّه الشريف بحقّ محمّد و آله الأخيار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عليمحمّد دستغيب الحسيني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bookmarkStart w:id="12" w:name="pg9674_84114"/>
    </w:p>
    <w:p>
      <w:pPr>
        <w:pStyle w:val="Heading2"/>
        <w:numPr>
          <w:ilvl w:val="1"/>
          <w:numId w:val="1"/>
        </w:numPr>
        <w:rPr/>
      </w:pPr>
      <w:bookmarkStart w:id="13" w:name="__RefHeading___Toc7971284_2870459653"/>
      <w:bookmarkStart w:id="14" w:name="_Toc4"/>
      <w:bookmarkEnd w:id="12"/>
      <w:bookmarkEnd w:id="13"/>
      <w:r>
        <w:rPr>
          <w:rtl w:val="true"/>
        </w:rPr>
        <w:t>كتاب الرهن</w:t>
      </w:r>
      <w:bookmarkEnd w:id="14"/>
    </w:p>
    <w:p>
      <w:pPr>
        <w:pStyle w:val="BookText"/>
        <w:rPr/>
      </w:pPr>
      <w:r>
        <w:rPr>
          <w:rFonts w:ascii="Amiri" w:hAnsi="Amiri" w:eastAsia="Amiri" w:cs="Amiri"/>
          <w:color w:val="111111"/>
          <w:sz w:val="28"/>
          <w:sz w:val="28"/>
          <w:szCs w:val="28"/>
          <w:rtl w:val="true"/>
          <w:lang w:bidi="ar-SA"/>
        </w:rPr>
        <w:t>و النظر فيه يستدعي فصولاً</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7971286_2870459653"/>
      <w:bookmarkStart w:id="16" w:name="_Toc5"/>
      <w:bookmarkEnd w:id="15"/>
      <w:r>
        <w:rPr>
          <w:rtl w:val="true"/>
        </w:rPr>
        <w:t xml:space="preserve">الفصل الأوّل </w:t>
      </w:r>
      <w:r>
        <w:rPr>
          <w:rtl w:val="true"/>
        </w:rPr>
        <w:t xml:space="preserve">: </w:t>
      </w:r>
      <w:r>
        <w:rPr>
          <w:rtl w:val="true"/>
        </w:rPr>
        <w:t>في الرهن</w:t>
      </w:r>
      <w:bookmarkEnd w:id="16"/>
    </w:p>
    <w:p>
      <w:pPr>
        <w:pStyle w:val="BookText"/>
        <w:rPr/>
      </w:pPr>
      <w:r>
        <w:rPr>
          <w:rFonts w:ascii="Amiri" w:hAnsi="Amiri" w:eastAsia="Amiri" w:cs="Amiri"/>
          <w:color w:val="111111"/>
          <w:sz w:val="28"/>
          <w:sz w:val="28"/>
          <w:szCs w:val="28"/>
          <w:rtl w:val="true"/>
          <w:lang w:bidi="ar-SA"/>
        </w:rPr>
        <w:t>و هو وثيقة لدين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و الدوام،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ثبت و دام، و منه نعمة 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على الحبس بأيّ سبب كان،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أي محبوسة بما كسبته من 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الرهن الشرعي من هذا المعنى أنسب، ان افتقر الى المناسبة؛ من حيث انّ الرهن يقتضي حبس العين عن مالكها ليستوفي الدين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عرّفه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وثيقة لدين المرتهن، و الوثيقة فعيلة قد يكونبمعنى الفاعل و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الأنسب هنا الثاني؛ لأنّ الرهن 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أي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كونها للتعدية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التعريف نظر من وجوه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كلام المسالك و الاشارة الى مناقشاته في تعريف المصنّف و الجواب عنها بالاختصار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فلاينبغي الالتفات الى هذه المناقشات بعد أن‌كان الرهن باقيا على معناه اللغوي، و انّما اعتبر الشارع فيه شرائط للصحيح منه، فهو حينئذ هنا حبس العين باللفظ المخصوص، أو الانحباس، أو اللفظ الدالّ على ذلك على حسب ما سمعته في البيع، لا نفس الوثيقة التي هي معنى اسمي له، خارج عمّا نحن فيه من البحث عن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ثبوت الرهن في الجملة، بل الاجماع بقسميه عليه، بل لعلّه من ضروريّات المذهب أو الدين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هي جمع رهن كسهم و سهام، و هي في اللغة الثبات و الدوام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راهنة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عرف الفقهاء وثيقة لدين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رهنت الشيء عنده رهنا و رهنته الشيء و أرهنته الشيء بمعنى، و أنكر الأصمعي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أي محبوس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أنفسكم مرهونة بأعمالكم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فالرهن كما عرفت في الجواهر هو بمعناه اللغوي و انّما اعتبر الشارع فيهشرائط للرهن الشرعي</w:t>
      </w:r>
      <w:r>
        <w:rPr>
          <w:rFonts w:eastAsia="Amiri" w:cs="Amiri" w:ascii="Amiri" w:hAnsi="Amiri"/>
          <w:color w:val="111111"/>
          <w:sz w:val="28"/>
          <w:szCs w:val="28"/>
          <w:rtl w:val="true"/>
          <w:lang w:bidi="ar-SA"/>
        </w:rPr>
        <w:t xml:space="preserve">. </w:t>
      </w:r>
      <w:bookmarkStart w:id="17" w:name="pg9674_84116"/>
    </w:p>
    <w:p>
      <w:pPr>
        <w:pStyle w:val="Heading2"/>
        <w:numPr>
          <w:ilvl w:val="1"/>
          <w:numId w:val="1"/>
        </w:numPr>
        <w:rPr/>
      </w:pPr>
      <w:bookmarkStart w:id="18" w:name="__RefHeading___Toc7971288_2870459653"/>
      <w:bookmarkStart w:id="19" w:name="_Toc6"/>
      <w:bookmarkEnd w:id="17"/>
      <w:bookmarkEnd w:id="18"/>
      <w:r>
        <w:rPr>
          <w:rtl w:val="true"/>
        </w:rPr>
        <w:t xml:space="preserve">في اشتراط الايجاب و القبول و القبض </w:t>
      </w:r>
      <w:r>
        <w:rPr>
          <w:rtl w:val="true"/>
        </w:rPr>
        <w:t xml:space="preserve">... </w:t>
      </w:r>
      <w:r>
        <w:rPr/>
        <w:t>27</w:t>
      </w:r>
      <w:bookmarkEnd w:id="19"/>
    </w:p>
    <w:p>
      <w:pPr>
        <w:pStyle w:val="BookText"/>
        <w:rPr/>
      </w:pPr>
      <w:r>
        <w:rPr>
          <w:rFonts w:ascii="Amiri" w:hAnsi="Amiri" w:eastAsia="Amiri" w:cs="Amiri"/>
          <w:color w:val="111111"/>
          <w:sz w:val="28"/>
          <w:sz w:val="28"/>
          <w:szCs w:val="28"/>
          <w:rtl w:val="true"/>
          <w:lang w:bidi="ar-SA"/>
        </w:rPr>
        <w:t>و يفتقر الى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الايجاب كلّ لفظ دلّ على الارتهان،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وثيقة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أدّى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عن النطق كفت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كتب بيده و الحال هذه و عرف ذلك من قصده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هو الرضا بذلك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الارتهان سفرا و 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يفتقر الرهن كسائر العقود الى الايجاب و القبول و الايجاب كلّ لفظ دلّ على الارتهان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لايلزم أن‌يكون باللغة العربيّة، بل يصحّ بكلّ لغة ممّا يؤدّي الارتهان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عن النطق كفت الاشارة و يجوز أن‌يكتب بيده بعنوان الاشارة اذا عرف من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هو الرضا بذلك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المعاطاة جارية في هذا العقد كما تجري في مثل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الارتهان سفرا و 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دعوى السيرة بجريان المعاطاة هنا أيضا كالبيع</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 ان كان قد أشكل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الرهن لازم من قبل الراهن؛ لأنّه يتعلّق بحقّ غيره فيجوز أن‌يعتبر في حقّه ما لايعتبر في حقّ المرتهن من حيث انّه من قبله جائز؛ لأنّه يتعلّق بحقّه فيكفي فيه ما يكفي في العقود الجائزة المحضة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القبض شرط فيه؟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قبضه من غير اذن الراهن لم‌ينعقد، و كذا لو أذن في قبضه ثمّ رجع قبل قبضه، و كذالو نطق بالعقد ثمّ جنّ أو أغمي عليه أو مات قبل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استدامة القبض شرطا فلو عاد الى الراهن أو تصرّف فيه لم‌يخرج عن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رهن ما هو في يد المرتهن لزم و لو كان غصبا؛ لتحقّق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رهن ما هو غائب لم‌يصر رهنا حتّى يحضر المرتهن أو القائم مقامه عند الرهن و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الراهن بالاقباض قضي عليه اذا لم‌يعلم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لم‌يقبل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تسمع دعواه لو ادّعى المواطاة على الاشهاد و يتوجّه اليمين على المرتهن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تسليم المشاع الاّ برضا شريكه سواء كان ممّا ينقل أو لاينقل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القبض في الرهن؛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 موثّقة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رهن الاّ مقبوضا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مرسلة محمّد بن عيسى عن أبي جعفر عليه‌السلام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رهن الاّ مقبوض</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مدخليّة القبض في الصحّة و اللزوم، و هو خيرة الخلاف و السرائر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الصحّة عليه و هو ظاهر المقنعة و النهاية و الوسيلة و غيرهم، بل هو صريح المحكي عن الطبرسي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اللزوم عليه دون الصحّة، و هو خيرة المقنعة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ذهب المحقّق الهمداني في كتاب مصباح الفقيه الى أنّ القبض شرط في صحّة الرهن و استشهد بموثّقة محمّد بن قيس المتقدّمة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ظهورها في اعتبار القبض في ماهيّة الرهن غير قابل للانكار، و بعد تعذّر ارادة معناه الحقيقي ان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القبض ليس شرطا في تحقّق المفهوم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فليحمل على نفي الصحّة و عدم ترتّب الأثر؛ لكونه أقرب المجازات من غيره، كنفي الكمال و نفي اللزوم مثلاً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أشكل على دلالة الآية أوّلاً بأنّها ارشاد الى ما هو واقع في الخارج لا أن‌تكون في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في سياق الشهادة فهي قرينة على أنّه من المندوبات لا من الوضعيّات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المنساق من الآيات الواردة في بيان الأحكام أن‌تكون تشريعيّة لا ارشاديّة الاّ مع قرينة معتبرة عليه، و على فرض أن‌تكون ارشاديّا فهي ارشاد الى الصحيح عند الناس في رهونهم و وثائقهم، و مقتضى مرتكزاتهم اعتبار القبض و تسلّط المرتهن عليها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لو قبضه من غير اذن الراهن لم‌ينعقد الرهن و لم‌يصحّ؛ لكونه قبضا غير مأذون فيه أو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أذن في قبضه ثمّ رجع باذنه قبل قبضه؛ اذ هو كغير المأذون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لايصحّ الرهن لو نطق بالعقد ثمّ جنّ أو أغمي عليه أو مات قبل القبض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في يده شيء وديعة أو عارية أو غصبا فأوقعا عقد الرهن عليه كفى و لايحتاج الى قبض جديد؛ لأنّ كلّ ذلك قبض عرفا فيشمله اطلاق أدلّة اعتبار القبض؛ 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الحكم بالنسبة الى الغصب </w:t>
      </w:r>
    </w:p>
    <w:p>
      <w:pPr>
        <w:pStyle w:val="BookText"/>
        <w:rPr/>
      </w:pPr>
      <w:r>
        <w:rPr>
          <w:rFonts w:ascii="Amiri" w:hAnsi="Amiri" w:eastAsia="Amiri" w:cs="Amiri"/>
          <w:color w:val="111111"/>
          <w:sz w:val="28"/>
          <w:sz w:val="28"/>
          <w:szCs w:val="28"/>
          <w:rtl w:val="true"/>
          <w:lang w:bidi="ar-SA"/>
        </w:rPr>
        <w:t>فيصدق القبض بعد العقد فيه أيضا؛ لتبديل اتّصافه بالغصبيّة الى الاتّصافبالرهنيّة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يعتبر القبض في الابتداء و لايعتبر استدامته بناءً على استفادة كفاية صرف وجود القبض من العمومات و الاطلاقات، و الظاهر عدم الخلاف فيه و عليه فلو قبضه المرتهن ثمّ صار في يد الراهن و غيره باذن الراهن أو بدونه لم‌يضرّ و لم‌يطرأه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للمرتهن استحقاق ادامة القبض و كونه تحت يده؛ لأنّه وثيقة للدين و لا معنى له الاّ هذا الذي ذكر، فلايجوز انتزاعه منه الاّ اذا شرط في العقد كونه بيد الراهن أو يد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 ما هو غائب لم‌يصر رهنا حتّى يحضر المرتهن أو القائم مقامه عند الرهن و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حضور المرتهن عنده أو من يقوم مقامه ظاهر ان كان الرهن منقولاً؛ لأنّ المعتبر في قبضه نقله أو اعتباره بالكيل أو الوزن ان كان ممّا يدخله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غير منقول فانّه يكفي فيه التخلية، ثمّ ان لم‌يطلق عليه اسم القبض بها فلا بدّ من وصول المرتهن أو وكيله الى موضع الرهن ليتصوّر قبضه عادة؛ لأنّ المعتبر كونه تحت يده و مع البعد عادة قد يمتنع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الراهن بالاقباض قضي عليه اذا لم‌يعلم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ما هو محال عادة لايلتفت اليه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رجع الراهن عن اقراره بالاقباض حيث يمكن لم‌يقبل رجوعه و يحكم عليه به و لاتسمع دعواه بحيث يتوجّه له على المرتهن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الغلط في اقراره و أظهر تأويلاً ممكنا في حقّه سمعت دعواه بمعنى توجّه اليمين على المرتهن بأنّ القبض حقيقي، أو على نفي ما يدّعيه الراهن؛ لأنّ الأصل صحّة الاقرار و 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لايخفى أنّ سماع دعواه انّما يتمّ لو شهد الشاهدان على </w:t>
      </w:r>
    </w:p>
    <w:p>
      <w:pPr>
        <w:pStyle w:val="BookText"/>
        <w:rPr/>
      </w:pPr>
      <w:r>
        <w:rPr>
          <w:rFonts w:ascii="Amiri" w:hAnsi="Amiri" w:eastAsia="Amiri" w:cs="Amiri"/>
          <w:color w:val="111111"/>
          <w:sz w:val="28"/>
          <w:sz w:val="28"/>
          <w:szCs w:val="28"/>
          <w:rtl w:val="true"/>
          <w:lang w:bidi="ar-SA"/>
        </w:rPr>
        <w:t>اقراره، أمّا لو شهدا على نفس الاقباض و فعله لم‌تسمع دعواه و لم‌يثبت على المرتهن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شهدا على اقراره به فأنكر الاقرار لم‌يلتفت اليه؛ لأنّهتكذيب للشهود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لايجوز تسليم المشاع الاّ برضا شريكه و هذا بالنسبة الى المنقول لا خلاف فيه؛ لاستلزامه التصرّف في مال الغير فلايصحّ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لاينقل</w:t>
      </w:r>
    </w:p>
    <w:p>
      <w:pPr>
        <w:pStyle w:val="BookText"/>
        <w:rPr/>
      </w:pPr>
      <w:r>
        <w:rPr>
          <w:rFonts w:ascii="Amiri" w:hAnsi="Amiri" w:eastAsia="Amiri" w:cs="Amiri"/>
          <w:color w:val="111111"/>
          <w:sz w:val="28"/>
          <w:sz w:val="28"/>
          <w:szCs w:val="28"/>
          <w:rtl w:val="true"/>
          <w:lang w:bidi="ar-SA"/>
        </w:rPr>
        <w:t>فالظاهر أيضا كذلك و ان كان فيه خلاف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عدم الجواز في الصورتين لو قبضه بدون اذن الشريك و فعل محرّما فالأصحّ أنّه لايتمّ القبض؛ للنهي عنه كما لو قبضه المرتهن بدون اذن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الشهيد الثاني</w:t>
      </w:r>
      <w:r>
        <w:rPr>
          <w:rStyle w:val="FootnoteAnchor"/>
          <w:rtl w:val="true"/>
        </w:rPr>
        <w:footnoteReference w:id="14"/>
      </w:r>
      <w:r>
        <w:rPr>
          <w:rFonts w:ascii="Amiri" w:hAnsi="Amiri" w:eastAsia="Amiri" w:cs="Amiri"/>
          <w:color w:val="111111"/>
          <w:sz w:val="28"/>
          <w:sz w:val="28"/>
          <w:szCs w:val="28"/>
          <w:rtl w:val="true"/>
          <w:lang w:bidi="ar-SA"/>
        </w:rPr>
        <w:t>بأنّ النهي انّما هو لحقّ الشريك فقط؛ للاذن في قبض حقّ الراهن</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674_84122"/>
      <w:bookmarkStart w:id="21" w:name="pg9674_84122"/>
      <w:bookmarkEnd w:id="21"/>
    </w:p>
    <w:p>
      <w:pPr>
        <w:pStyle w:val="Heading2"/>
        <w:numPr>
          <w:ilvl w:val="1"/>
          <w:numId w:val="1"/>
        </w:numPr>
        <w:rPr/>
      </w:pPr>
      <w:bookmarkStart w:id="22" w:name="pg9674_84122"/>
      <w:bookmarkStart w:id="23" w:name="__RefHeading___Toc7971290_2870459653"/>
      <w:bookmarkStart w:id="24" w:name="_Toc7"/>
      <w:bookmarkEnd w:id="22"/>
      <w:bookmarkEnd w:id="23"/>
      <w:r>
        <w:rPr>
          <w:rtl w:val="true"/>
        </w:rPr>
        <w:t xml:space="preserve">الفصل الثاني </w:t>
      </w:r>
      <w:r>
        <w:rPr>
          <w:rtl w:val="true"/>
        </w:rPr>
        <w:t xml:space="preserve">: </w:t>
      </w:r>
      <w:r>
        <w:rPr>
          <w:rtl w:val="true"/>
        </w:rPr>
        <w:t>في شرائط الرهن</w:t>
      </w:r>
      <w:bookmarkEnd w:id="24"/>
    </w:p>
    <w:p>
      <w:pPr>
        <w:pStyle w:val="BookText"/>
        <w:rPr/>
      </w:pPr>
      <w:r>
        <w:rPr>
          <w:rFonts w:ascii="Amiri" w:hAnsi="Amiri" w:eastAsia="Amiri" w:cs="Amiri"/>
          <w:color w:val="111111"/>
          <w:sz w:val="28"/>
          <w:sz w:val="28"/>
          <w:szCs w:val="28"/>
          <w:rtl w:val="true"/>
          <w:lang w:bidi="ar-SA"/>
        </w:rPr>
        <w:t>و من شرائطه أن‌يكون عينا مملوكا يمكن قبضه و يصحّ بيعه، سواء كان مشاعا أو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رهن دينا لم‌ينعقد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رهن منفعة كسكنى الدار و خدمة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رهن المدبّر تردّد و الوجه أنّ رهن رقبته ابطال لتدبيره، أمّا لو صرّح برهن خدمته مع بقاء التدبير،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التفاتا الى الرواية المتضمّنة جواز بيع خدمته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لتعذّر بيع المنفعة منفردة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رهن ما لايملك لم‌يمض و وقف على 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رهن ما يملك و ما لايملك مضى في ملكه و وقف في حصّة شريكه على 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رهن المسلم خمرا لم‌يصحّ و لو كان عند ذمّي، و لو رهنها الذمّي عند مسلم لم‌يصحّ أيضا و لو وضعها على يد ذمّي على الأشبه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رهن أرض الخراج لم‌يصحّ؛ لأنّها لم‌تتعيّن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رهن ما بها من أبنية و آلات و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رهن ما لايصحّ اقباضه كالطير في الهواء و السمك في الماء لم‌يصحّ رهنه، و كذا لو كان ممّا يصحّ اقباضه و لم‌يسلّمه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رهن عند الكافر عبدا مسلما أو مصحفا،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يصحّ و يوضع </w:t>
      </w:r>
    </w:p>
    <w:p>
      <w:pPr>
        <w:pStyle w:val="BookText"/>
        <w:rPr/>
      </w:pPr>
      <w:r>
        <w:rPr>
          <w:rFonts w:ascii="Amiri" w:hAnsi="Amiri" w:eastAsia="Amiri" w:cs="Amiri"/>
          <w:color w:val="111111"/>
          <w:sz w:val="28"/>
          <w:sz w:val="28"/>
          <w:szCs w:val="28"/>
          <w:rtl w:val="true"/>
          <w:lang w:bidi="ar-SA"/>
        </w:rPr>
        <w:t>على يد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أولى، و لو رهن وقفا لم‌يصحّ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الرهن في زمان الخيار سواء كان للبائع أو للمشتري أو لهما؛ لانتقال المبيع بنفس العقد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رهن العبد المرتدّ و لو كان عن فطرة و الجاني خطأ، و في العمد تردّد و الأشبه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 ما يسرع اليه الفساد قبل الأجل فان شرط بيعه جاز و الاّ بطل،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و يجبر مالكه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الرهن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عينا مملوكا؛ لأنّ الرهن كما تقدّم يكون وثيقة للدين ليكون مفيدا للدائن ان امتنع المديون عن الأداء، فلو رهن دينا لم‌ينعقد؛ لعدم استفادته للدائن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لايصحّ رهن منفعة الدار و خدمة العبد لعدم امكان القبض في المنفعة و هو شرط، و عدم امكان المطلوب منهما؛ فانّ المطلوب من الرهن أنّه متى تعذّر استيفاء الدين استوفى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رهن المدبّر تردّد فان قلنا بأنّ رهنه ابطال لتدبيره فيصحّ الرهن كما ذهب اليه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صرّح برهن خدمته مع بقاء التدبير فالأشبه عدم الصحّة لما تقدّم من عدم صحّة رهن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أن‌يكون ملكا للراهن فلو رهن ملك الغير يتوقّف صحّته على اجازة المالك بحيث لو امتنع المديون يكون للمرتهن بيعه و أخذ دينه و يصير الراهن مديونا لقيمة الملك المذكور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رهن ما يملك و ما لايملك مضى في ملكه و وقف في حصّة الشريك على اجازته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قابليّته للملكيّة فحينئذ لو رهن المسلم خمرا أو خنزيرا أو نحوهما ممّا لايملكه المسلم لم‌يصحّ و لو كان عند ذمّي؛ لعدم ملكيّة الراهن لها و عدم سلطنته على بيعها و وفاء دينه منها بلاخلاف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رهن الخمر أو الخنزير عند المسلم لم‌يصحّ أيضا و ان وضعها على يد 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رهن أرض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الأراضي المفتوحة عنوة و التي صالح الامام أهلها على أن‌تكون ملكا للمسلمين و ضرب عليهم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لم‌يصحّ نعم، يجوز رهنها تبعا لآثار المتصرّف فيها من شجر و بناء و نحوهما لا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أن‌يمكن قبضه و يصحّ بيعه، فلو رهن ما لايصحّ اقباضه كالطير في الهواء و السمك في الماء لم‌يصحّ رهنه الاّ أن‌يكون الطير يعود عادة و السمك في ماء محصور بحيث لايتعذّر قبضه عادة فيكون رهنه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لايصحّ لو كان ممّا يصحّ اقباضه و لم‌يسلّمه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رهن عند الكافر عبدا مسلما أو مصحفا لنفي السبيل</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 يوضع تحت يد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من جهة بيع المصحف الاّ أن‌يقال بجواز بيعه من مسلم لمسلم و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استيفاء الدين منه ممكنا، فلايصحّ رهن الوقف؛ اذ لايجوز بيعه، و على تقدير جوازه على بعض الوجوه يجب أن‌يشترى بثمنه ملكا ليكون وقفا فلايتّجه الاستيفاء منه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لم‌يتمكّن من اقامة بدله حيث يجوز بيعه أو يجب يصحّ رهنه؛ لعدم المانع حينئذ، بشرط كون الوقف على الراهن فقط</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الرهن في زمان الخيار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الخيار للراهن سواء كان المشتري أو </w:t>
      </w:r>
    </w:p>
    <w:p>
      <w:pPr>
        <w:pStyle w:val="BookText"/>
        <w:rPr/>
      </w:pPr>
      <w:r>
        <w:rPr>
          <w:rFonts w:ascii="Amiri" w:hAnsi="Amiri" w:eastAsia="Amiri" w:cs="Amiri"/>
          <w:color w:val="111111"/>
          <w:sz w:val="28"/>
          <w:sz w:val="28"/>
          <w:szCs w:val="28"/>
          <w:rtl w:val="true"/>
          <w:lang w:bidi="ar-SA"/>
        </w:rPr>
        <w:t>البائع ان كان ثمن المبيع من غير النقود ففي هذه الصورة يصحّ الرهن و يكونبمعنى اسقاط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الخيار لغير الراهن فالظاهر أيضا صحّته اذا رضي المرتهن؛ لأنّه في معرض الابطال لو فسخ من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رهن العبد المرتدّ في غير الفطري؛ لقبول توبته فماليّته باقية فيه و هكذا في الأمة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الفطري فمن حيث انّه في معرض التلف لعدم قبول توبته و وجوب اتلافه فتنتفي غاية الرهن و التوثّق الاّ أنّه يمكن أن‌يقال بجواز ماليّته حالة الرهن و تعرّضه للاتلاف لايصلح للمنع كرهن العبد المريض المدنف، و فيهما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رهن العبد الجاني خطأ، و أمّا الجاني عمدا فحيث انّه في حكم التالف فلايجوز كما في العبد المرتدّ الفطري، و من حيث بقاء الماليّة بالفعل و كذا جواز العفو فيجوز، و فيه اشكال لمنافاته لاقتضاء الرهن الذي هو وثيقة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 ما يسرع اليه الفساد قبل الأجل فان شرط بيعه جاز، و لو شرط عدم البيع بطل؛ لمنافاته لغاية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الاطلاق فيمكن فيه الصحّة؛ لأنّه حين الرهن مال مملوك يمكن بيعه فلا مانع من رهنه فاذا خيف فساده باعه المالك و جعل ثمنه رهنا، فان امتنع أجبره الحاكم؛ جمعا بين الحقّين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لايخفى أنّ المراد بما يسرع اليه الفساد ما لايمكن اصلاحه بعلاج كتجفيفه مثلاً كالعنب و الرطب و الاّ صحّ رهنه قولاً واحدا، و وجب على الراهن تجفيفه و اصلاحه؛ لأنّ ذلك من مؤونة حفظه كنفقة الحيوان المرهون</w:t>
      </w:r>
      <w:r>
        <w:rPr>
          <w:rFonts w:eastAsia="Amiri" w:cs="Amiri" w:ascii="Amiri" w:hAnsi="Amiri"/>
          <w:color w:val="111111"/>
          <w:sz w:val="28"/>
          <w:szCs w:val="28"/>
          <w:rtl w:val="true"/>
          <w:lang w:bidi="ar-SA"/>
        </w:rPr>
        <w:t xml:space="preserve">. </w:t>
      </w:r>
      <w:bookmarkStart w:id="25" w:name="pg9674_84126"/>
    </w:p>
    <w:p>
      <w:pPr>
        <w:pStyle w:val="Heading2"/>
        <w:numPr>
          <w:ilvl w:val="1"/>
          <w:numId w:val="1"/>
        </w:numPr>
        <w:rPr/>
      </w:pPr>
      <w:bookmarkStart w:id="26" w:name="__RefHeading___Toc7971292_2870459653"/>
      <w:bookmarkStart w:id="27" w:name="_Toc8"/>
      <w:bookmarkEnd w:id="25"/>
      <w:bookmarkEnd w:id="26"/>
      <w:r>
        <w:rPr>
          <w:rtl w:val="true"/>
        </w:rPr>
        <w:t xml:space="preserve">الفصل الثالث </w:t>
      </w:r>
      <w:r>
        <w:rPr>
          <w:rtl w:val="true"/>
        </w:rPr>
        <w:t xml:space="preserve">: </w:t>
      </w:r>
      <w:r>
        <w:rPr>
          <w:rtl w:val="true"/>
        </w:rPr>
        <w:t>في الحقّ</w:t>
      </w:r>
      <w:bookmarkEnd w:id="27"/>
    </w:p>
    <w:p>
      <w:pPr>
        <w:pStyle w:val="BookText"/>
        <w:rPr/>
      </w:pPr>
      <w:r>
        <w:rPr>
          <w:rFonts w:ascii="Amiri" w:hAnsi="Amiri" w:eastAsia="Amiri" w:cs="Amiri"/>
          <w:color w:val="111111"/>
          <w:sz w:val="28"/>
          <w:sz w:val="28"/>
          <w:szCs w:val="28"/>
          <w:rtl w:val="true"/>
          <w:lang w:bidi="ar-SA"/>
        </w:rPr>
        <w:t>و هو كلّ دين ثابت في الذمّة كالقرض و ثمن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لايصحّ فيما لم‌يحصل سبب وجوبه كالرهن على ما يستدينه و على ثمن ما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ما حصل سبب وجوبه و لم‌يثبت كالدية قبل استقرار الجناية، و يجوز على قسط كلّ حول بعد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الجعالة قبل الردّ و يجوز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مال الكتابة، و لو قيل بالجواز فيه كان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الرهن عند فسخ الكتابة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لايصحّ على ما لايمكن استيفاؤه من الرهن كالاجارة المتعلّقة بعين المؤجر مثل خدمته، و يصحّ فيما هو ثابت في الذمّة كالعمل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رهن على مال رهنا ثمّ استدان آخر و جعل ذلك الرهن عليهما جاز</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ما يرهن عليه أن‌يكون دينا ثابتا في الذمّة لتحقّق موجبه كالقرض و ثمن المبيع و الأجرة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يتفرّع على ذلك أنّه لايصحّ الرهن على ما لم‌يحصل سبب وجوبه كالرهن على ما يستدينه و على ثمن ما يشتريه بلا خلاف بل في التذكرة و جامع المقاصد الاجماع عليه بل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IRNazanin" w:hAnsi="IRNazanin" w:eastAsia="IRNazanin"/>
          <w:color w:val="111111"/>
          <w:sz w:val="28"/>
          <w:sz w:val="28"/>
          <w:szCs w:val="28"/>
          <w:rtl w:val="true"/>
          <w:lang w:bidi="fa-IR"/>
        </w:rPr>
        <w:t>الجواهر</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ضرورة ظهور أدلّة المقام في كون الرهن وثيقة على مال المرتهن و لايتصوّر الاستيثاق قبل حصول مال له عنده فلايشمله عموم الوفاء بالعقود بعد فرض عدم صدق الرهن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لايصحّ الرهن أيضا على الدية قبل استقرارها بتحقّق الموت و ان علم أنّ الجناية تؤدّي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لايصحّ على مال الجعالة قبل تمام العمل؛ لفقد شرط الصحّة و هو الدين الثابت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مال الكتابة فالمشهور جواز الرهن عليه مطلقا كما في المسالك</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يتأمّل في أصل مال الكتابة هل هو حقّ ثابت في ذمّة العبد، فكأنّ العبد اشترى نفسه بالعوض المعيّن الذي في ذمّته، فيكون من قبيل المعاوضات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الرهن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ذمّة للعبد و لا تعهّد أصلاً، بل هو الزام من المولى، فتكون الكتابة التزاما بحرّيّته بأداء ما ألزمه به و قد أمضاه الشارع، فعلى هذا ليس في ذمّة العبد حقّ ثابت حتّى يجوز أخذ الرهن عليه، سواء كانت الكتابة مطلقة أو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المصنّف رحمه‌الله لذا أطلق المنع أوّلاً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لايصحّ على ما لايمكن استيفاؤه من الرهن كالاجارة المتعلّقة بعين المؤجر مثل خدمته، و يصحّ فيما هو ثابت في الذمّة كالعمل المطلق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الغرض من الرهن استيفاء الدين منه مع تعذّر الوفاء أو لا معه لم‌يصحّ الرهن على الحقّ المتعلّق بعين مخصوصة كما لو آجره نفسه شهرا معيّنا أو داره كذلك أو دابّته المعيّنة لحمل معيّن و نحو ذلك؛ لأنّ تلك المنفعة لايمكن استيفاؤها الاّ من العين المخصوصة حتّى لو تعذّر الاستيفاء منها </w:t>
      </w:r>
      <w:bookmarkStart w:id="28" w:name="pg9674_84128"/>
    </w:p>
    <w:p>
      <w:pPr>
        <w:pStyle w:val="BookText"/>
        <w:rPr/>
      </w:pPr>
      <w:bookmarkEnd w:id="28"/>
      <w:r>
        <w:rPr>
          <w:rFonts w:ascii="Amiri" w:hAnsi="Amiri" w:eastAsia="Amiri" w:cs="Amiri"/>
          <w:color w:val="111111"/>
          <w:sz w:val="28"/>
          <w:sz w:val="28"/>
          <w:szCs w:val="28"/>
          <w:rtl w:val="true"/>
          <w:lang w:bidi="ar-SA"/>
        </w:rPr>
        <w:t>لموت أو خراب و نحوهما بطلت الاجارة بخلاف الاجارة المتعلّقة بالذمّة كما لو استأجره على تحصيل المنفعة على أيّ وجه اتّفق و من أيّ عين كان، فيصحّ الرهن عليها لامكان استيفائها منه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لو رهن على دينه رهنا ثمّ استدان مالاً آخر من المرتهن جاز جعل ذلك الرهن رهنا على الثاني أيضا، و كان رهنا عليهما سواء كان الثاني مساويا للأوّل في الجنس و القدر أو مخالفا، و كذا له أن‌يجعله لدين ثالث و رابع الى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رهن شيئا على دين جاز أن‌يرهن شيئا آخر على ذلك الدين و كان كلاهما رهنا عليه؛ لاطلاق أدلّة الرهن الشاملة لجميع الصور المفروضة في هذه المسألة، فالمقتضي للصحّة في جميعها موجود و المانع عنها مفقود بعد رضا المرتهن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رهن شيئا عند زيد ثمّ رهنه عند آخر أيضا باتّفاق من المرتهنين كان رهنا على الحقّين، الاّ اذا قصدا بذلك فسخ الرهن الأوّل و صيرورته رهنا على خصوص الثاني فيتعيّن رهنا للثاني؛ لزوال الأوّل بالفسخ</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7971294_2870459653"/>
      <w:bookmarkStart w:id="30" w:name="_Toc9"/>
      <w:bookmarkEnd w:id="29"/>
      <w:r>
        <w:rPr>
          <w:rtl w:val="true"/>
        </w:rPr>
        <w:t xml:space="preserve">فرع </w:t>
      </w:r>
      <w:r>
        <w:rPr>
          <w:rtl w:val="true"/>
        </w:rPr>
        <w:t xml:space="preserve">: </w:t>
      </w:r>
      <w:r>
        <w:rPr>
          <w:rtl w:val="true"/>
        </w:rPr>
        <w:t>في عدم جواز الرهن على العين</w:t>
      </w:r>
      <w:bookmarkEnd w:id="30"/>
    </w:p>
    <w:p>
      <w:pPr>
        <w:pStyle w:val="BookText"/>
        <w:rPr/>
      </w:pPr>
      <w:r>
        <w:rPr>
          <w:rFonts w:ascii="Amiri" w:hAnsi="Amiri" w:eastAsia="Amiri" w:cs="Amiri"/>
          <w:color w:val="111111"/>
          <w:sz w:val="28"/>
          <w:sz w:val="28"/>
          <w:szCs w:val="28"/>
          <w:rtl w:val="true"/>
          <w:lang w:bidi="ar-SA"/>
        </w:rPr>
        <w:t>العين امّا أمانة في يد أمين فلايصحّ الرهن عليها كالوديعة و العارية غير المضمونة، فانّ عدم جواز الرهن على هذه موضع وفاق و ان احتمل طروّ الضمان بالتعدّي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مضمونة كالمغصوبة و المقبوضة بالسوم و المستعارة مع الضمان فقد </w:t>
      </w:r>
    </w:p>
    <w:p>
      <w:pPr>
        <w:pStyle w:val="BookText"/>
        <w:rPr/>
      </w:pPr>
      <w:r>
        <w:rPr>
          <w:rFonts w:ascii="Amiri" w:hAnsi="Amiri" w:eastAsia="Amiri" w:cs="Amiri"/>
          <w:color w:val="111111"/>
          <w:sz w:val="28"/>
          <w:sz w:val="28"/>
          <w:szCs w:val="28"/>
          <w:rtl w:val="true"/>
          <w:lang w:bidi="ar-SA"/>
        </w:rPr>
        <w:t>أطلق المصنّف و جماعة المنع؛ استنادا الى أنّ مقتضى الرهن استيفاء المرهون به من الرهن و في الأعيان يمتنع ذلك؛ لامتناع استيفاء العين الموجودة من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المسالك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الأمر ليس منحصرا في الاستيفاء عند وجود العين، بل يمكن التوثّق بالرهن بأخذ عوضها عند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لايرد مثله في الأعيان التي ليست مضمونة، حيث يحتمل تجدّد سبب الضمان؛ لعدم كونها عند الرهن مضمونة، فانّ الرهن انّما يصحّ عند وجود سبب الضمان، امّا بدين أو ما في حكمه كالعين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الأدلّة الدالّة على جواز الرهن على الحقوق يتناول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الآية الشريفة المنبّهة على الرهن متعلّقها الدّين، الاّ أنّها لاتمنع من غيره الاّ من باب المفهوم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قوي</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ما ذهب اليه المصنّف و جماعة من المنع و عدم صحّة الرهن على الأعيان المضمونة أقرب؛ و ذلك لأنّ العين المضمونة نفسها تردّ الى صاحبها و مادامت موجودة لا اقتضاء للرهن عليها فيكون من قبيل ضمان ما لم‌يجب</w:t>
      </w:r>
      <w:r>
        <w:rPr>
          <w:rFonts w:eastAsia="Amiri" w:cs="Amiri" w:ascii="Amiri" w:hAnsi="Amiri"/>
          <w:color w:val="111111"/>
          <w:sz w:val="28"/>
          <w:szCs w:val="28"/>
          <w:rtl w:val="true"/>
          <w:lang w:bidi="ar-SA"/>
        </w:rPr>
        <w:t xml:space="preserve">. </w:t>
      </w:r>
      <w:bookmarkStart w:id="31" w:name="pg9674_84130"/>
    </w:p>
    <w:p>
      <w:pPr>
        <w:pStyle w:val="Heading2"/>
        <w:numPr>
          <w:ilvl w:val="1"/>
          <w:numId w:val="1"/>
        </w:numPr>
        <w:rPr/>
      </w:pPr>
      <w:bookmarkStart w:id="32" w:name="__RefHeading___Toc7971296_2870459653"/>
      <w:bookmarkStart w:id="33" w:name="_Toc10"/>
      <w:bookmarkEnd w:id="31"/>
      <w:bookmarkEnd w:id="32"/>
      <w:r>
        <w:rPr>
          <w:rtl w:val="true"/>
        </w:rPr>
        <w:t xml:space="preserve">الفصل الرابع </w:t>
      </w:r>
      <w:r>
        <w:rPr>
          <w:rtl w:val="true"/>
        </w:rPr>
        <w:t xml:space="preserve">: </w:t>
      </w:r>
      <w:r>
        <w:rPr>
          <w:rtl w:val="true"/>
        </w:rPr>
        <w:t>في الراهن</w:t>
      </w:r>
      <w:bookmarkEnd w:id="33"/>
    </w:p>
    <w:p>
      <w:pPr>
        <w:pStyle w:val="BookText"/>
        <w:rPr/>
      </w:pPr>
      <w:r>
        <w:rPr>
          <w:rFonts w:ascii="Amiri" w:hAnsi="Amiri" w:eastAsia="Amiri" w:cs="Amiri"/>
          <w:color w:val="111111"/>
          <w:sz w:val="28"/>
          <w:sz w:val="28"/>
          <w:szCs w:val="28"/>
          <w:rtl w:val="true"/>
          <w:lang w:bidi="ar-SA"/>
        </w:rPr>
        <w:t>و يشترط فيه كمال العقل و جواز التصرّف و لاينعقد مع الاكراه، و يجوز لولي الطفل رهن ماله اذا افتقر الى الاستدانة مع مراعاة المصلحة كأن‌يستهدم عقاره فيروم رمّه</w:t>
      </w:r>
      <w:r>
        <w:rPr>
          <w:rStyle w:val="FootnoteAnchor"/>
          <w:rtl w:val="true"/>
        </w:rPr>
        <w:footnoteReference w:id="22"/>
      </w:r>
      <w:r>
        <w:rPr>
          <w:rFonts w:ascii="Amiri" w:hAnsi="Amiri" w:eastAsia="Amiri" w:cs="Amiri"/>
          <w:color w:val="111111"/>
          <w:sz w:val="28"/>
          <w:sz w:val="28"/>
          <w:szCs w:val="28"/>
          <w:rtl w:val="true"/>
          <w:lang w:bidi="ar-SA"/>
        </w:rPr>
        <w:t>أو يكون له أموال يحتاج الى الانفاق لحفظها من التلف أو الانتقاص فيرهن بذلك ما يراه من أمواله اذا كان استبقاؤها أعود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الراهن بالنسبة الى صحّة الرهن له و لغيره كمال العقل فلايصحّ من الصبي و لا المجنون الاّ مع الاجازة من الولي بالنسبة الى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لاينعقد مع الاكراه الذي يخرجه عن قصد اللفظ و المعنى، و أمّا اذا كان الاكراه بحدّ لم‌يخرجه عن ذلك فانّه اذا تعقّبه الرضا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يكون كعقد الفضولي أو معاطاته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فيه أيضا أن‌يكون مالكا أو بحكم المالك </w:t>
      </w:r>
    </w:p>
    <w:p>
      <w:pPr>
        <w:pStyle w:val="BookText"/>
        <w:rPr/>
      </w:pPr>
      <w:r>
        <w:rPr>
          <w:rFonts w:ascii="Amiri" w:hAnsi="Amiri" w:eastAsia="Amiri" w:cs="Amiri"/>
          <w:color w:val="111111"/>
          <w:sz w:val="28"/>
          <w:sz w:val="28"/>
          <w:szCs w:val="28"/>
          <w:rtl w:val="true"/>
          <w:lang w:bidi="ar-SA"/>
        </w:rPr>
        <w:t>كالمستعير اذا كان الرهن لنفسه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لولي الطفل رهن ماله اذا افتقر الى ذلك للاستدانة مع مراعاة المصلحة كأن‌يكون له أموال يحتاج الى الانفاق لحفظها من التلف أو الانتقاص، فيرهن بذلك ما يراه من أمواله اذا كان أنفع للطفل من بيعها</w:t>
      </w:r>
      <w:r>
        <w:rPr>
          <w:rFonts w:eastAsia="Amiri" w:cs="Amiri" w:ascii="Amiri" w:hAnsi="Amiri"/>
          <w:color w:val="111111"/>
          <w:sz w:val="28"/>
          <w:szCs w:val="28"/>
          <w:rtl w:val="true"/>
          <w:lang w:bidi="ar-SA"/>
        </w:rPr>
        <w:t xml:space="preserve">. </w:t>
      </w:r>
      <w:bookmarkStart w:id="34" w:name="pg9674_84132"/>
    </w:p>
    <w:p>
      <w:pPr>
        <w:pStyle w:val="Heading2"/>
        <w:numPr>
          <w:ilvl w:val="1"/>
          <w:numId w:val="1"/>
        </w:numPr>
        <w:rPr/>
      </w:pPr>
      <w:bookmarkStart w:id="35" w:name="__RefHeading___Toc7971298_2870459653"/>
      <w:bookmarkStart w:id="36" w:name="_Toc11"/>
      <w:bookmarkEnd w:id="34"/>
      <w:bookmarkEnd w:id="35"/>
      <w:r>
        <w:rPr>
          <w:rtl w:val="true"/>
        </w:rPr>
        <w:t xml:space="preserve">الفصل الخامس </w:t>
      </w:r>
      <w:r>
        <w:rPr>
          <w:rtl w:val="true"/>
        </w:rPr>
        <w:t xml:space="preserve">: </w:t>
      </w:r>
      <w:r>
        <w:rPr>
          <w:rtl w:val="true"/>
        </w:rPr>
        <w:t>في المرتهن</w:t>
      </w:r>
      <w:bookmarkEnd w:id="36"/>
    </w:p>
    <w:p>
      <w:pPr>
        <w:pStyle w:val="BookText"/>
        <w:rPr/>
      </w:pPr>
      <w:r>
        <w:rPr>
          <w:rFonts w:ascii="Amiri" w:hAnsi="Amiri" w:eastAsia="Amiri" w:cs="Amiri"/>
          <w:color w:val="111111"/>
          <w:sz w:val="28"/>
          <w:sz w:val="28"/>
          <w:szCs w:val="28"/>
          <w:rtl w:val="true"/>
          <w:lang w:bidi="ar-SA"/>
        </w:rPr>
        <w:t>و يشترط فيه كمال العقل و جواز التصرّف، و يجوز لولي اليتيم أخذ الرهن له و لايجوز أن‌يسلف ماله الاّ مع ظهور الغبطة له كأن‌يبيع بزيادة عن الثمن الى أجل و لايجوز له اقراض ماله؛ اذ لا 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خشي على المال من غرق أو حرق أو نهب و ما شاكله جاز اقراضه و أخذ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اقتصر على اقراضه من الثقة غالبا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المرتهن كمال العقل و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لولي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الرهن له كما يقبل الاتّهاب و الوقف له، بل قد يجب عليه ذلك فيما لو توقّف القرب 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لاتقربوا مال اليتيم الاّ بالتي هي أحسن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للتصرّف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كما لو باع مال الطفل نسيئة لغير ذيالملاءة فيأخذ عنه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لولي اليتيم أن‌يسلف ماله الاّ مع ظهور الغبطة كأن‌يبيع سلفا بزيادة عن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توقّف الغبطة على كونه من ثقة مليّ برهن أو كفيل</w:t>
      </w:r>
      <w:r>
        <w:rPr>
          <w:rFonts w:eastAsia="Amiri" w:cs="Amiri" w:ascii="Amiri" w:hAnsi="Amiri"/>
          <w:color w:val="111111"/>
          <w:sz w:val="28"/>
          <w:szCs w:val="28"/>
          <w:rtl w:val="true"/>
          <w:lang w:bidi="ar-SA"/>
        </w:rPr>
        <w:t xml:space="preserve">. </w:t>
      </w:r>
      <w:bookmarkStart w:id="37" w:name="pg9674_84133"/>
    </w:p>
    <w:p>
      <w:pPr>
        <w:pStyle w:val="BookText"/>
        <w:rPr/>
      </w:pPr>
      <w:bookmarkEnd w:id="37"/>
      <w:r>
        <w:rPr>
          <w:rFonts w:ascii="Amiri" w:hAnsi="Amiri" w:eastAsia="Amiri" w:cs="Amiri"/>
          <w:color w:val="111111"/>
          <w:sz w:val="28"/>
          <w:sz w:val="28"/>
          <w:szCs w:val="28"/>
          <w:rtl w:val="true"/>
          <w:lang w:bidi="ar-SA"/>
        </w:rPr>
        <w:t>و لايجوز له اقراض مال اليتيم؛ اذ لا غبطة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خشي على المال من غرق أو حرق أو نهب أو ما شاكله جاز اقراضه و أخذ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مسوّغاته خوف تلفه بتسويس الحنطة و شبهها فيقرضها من الثقة الملئ بالرهن مع الامكان؛ لامكان جحوده و تعذّر الايفاء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الرهن اقتصر على اقراضه من الثقة</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7971300_2870459653"/>
      <w:bookmarkStart w:id="39" w:name="_Toc12"/>
      <w:bookmarkEnd w:id="38"/>
      <w:r>
        <w:rPr>
          <w:rtl w:val="true"/>
        </w:rPr>
        <w:t xml:space="preserve">فيما اذا شرط المرتهن الوكالة في العقد لنفسه أو لغيره </w:t>
      </w:r>
      <w:r>
        <w:rPr>
          <w:rtl w:val="true"/>
        </w:rPr>
        <w:t xml:space="preserve">... </w:t>
      </w:r>
      <w:r>
        <w:rPr/>
        <w:t>44</w:t>
      </w:r>
      <w:bookmarkEnd w:id="39"/>
    </w:p>
    <w:p>
      <w:pPr>
        <w:pStyle w:val="BookText"/>
        <w:rPr/>
      </w:pPr>
      <w:r>
        <w:rPr>
          <w:rFonts w:ascii="Amiri" w:hAnsi="Amiri" w:eastAsia="Amiri" w:cs="Amiri"/>
          <w:color w:val="111111"/>
          <w:sz w:val="28"/>
          <w:sz w:val="28"/>
          <w:szCs w:val="28"/>
          <w:rtl w:val="true"/>
          <w:lang w:bidi="ar-SA"/>
        </w:rPr>
        <w:t>اذا شرط المرتهن الوكالة في العقد لنفسه أو لغيره أو وضع الرهن في يد عدل معيّن لزم و لم‌يكن للراهن فسخ الوكالة على تردّد، و تبطل مع موته دون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المرتهن لم‌تنقل الى الوارث الاّ أن‌يشترطه، و كذا لو كان الوكيل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المرتهن و لم‌يعلم الرهن كان كسبيل ماله حتّى يعلم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للمرتهن ابتياع الرهن و المرتهن أحقّ باستيفاء دينه من غيره من الغرماء سواء كان الراهن حيّا أو ميّتا على الأشهر، و لو أعوز ضرب مع الغرماء بالفاضل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ارتهن زيد مالاً من عمرو في مقابلة دينه فانّ هذا الرهن حيث يكون مطلقا من غير شرط لايقتضي أن‌يكون المرتهن وكيلاً في بيع المال المرهون لكن يجوز اشتراط كونه وكيلاً في عقد الرهن؛ لأنّه من الشروط السائغة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اشتراطها لوارثه من بعده و الوصيّة اليهما بذلك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اشتراطها لغيره و لغير وارثه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اشترط ذلك فهل للراهن فسخ الوكالة بعد عقد الرهن؟ قولان </w:t>
      </w:r>
    </w:p>
    <w:p>
      <w:pPr>
        <w:pStyle w:val="BookText"/>
        <w:rPr/>
      </w:pP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السرائر نسبة الخلاف فيه الى أهلالخلاف هو عدم جواز فسخ الوكالة من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الراهن فتبطل الوكالة دون الرهن بلا اشكال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مات المرتهن المشروط وكالته فتبطل أيضا و لاتنتقل وكالته الى الوارث الاّ أن‌يشترط انتقالها في عقد الرهن، و كذا لو كان الوكيل غير المرتهن، فمات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المرتهن و لم‌يعلم أنّ الرهن في تركته لم‌يحكم به في ذمّته؛ لأصالة البراءة ولعلّه تلف منه بغير تفريط، و لا في ماله؛ لأصالة عدمه فيه أيضا بمقتضى ظاهر يده المحكوم شرعا بأنّه لورثته بمقتضى عموم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لو كان الرهن فيها في الواقع فهو كسبيل ماله في الظاهر حتّى يعلم بعينه بقيام بيّنة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اشتبه بنظائره فيها فانّ المرجع فيه حينئذالى الصلح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للمرتهن ابتياع الرهن من نفسه لو كان وكيلاً في البيع، و يتولّى طرفي العقد؛ لأنّ الغرض و هو البيع بثمن المثل حاصل و خصوصيّة المشترى ملغاة حيث لم‌يتعرّض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قيل بالمنع؛ لأنّ ظاهر الوكالة لايتناوله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الجواز كما في كلّ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أن‌يبيع على ولده بطريق أولى</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المرتهن أحقّ باستيفاء دينه من الرهن من غيره من باقي الغرماء سواء كان الراهن حيّا و قد حجر عليه للفلس أو ميّتا على الأشهر بل المشهور بل لا خلاف </w:t>
      </w:r>
    </w:p>
    <w:p>
      <w:pPr>
        <w:pStyle w:val="BookText"/>
        <w:rPr/>
      </w:pPr>
      <w:r>
        <w:rPr>
          <w:rFonts w:ascii="Amiri" w:hAnsi="Amiri" w:eastAsia="Amiri" w:cs="Amiri"/>
          <w:color w:val="111111"/>
          <w:sz w:val="28"/>
          <w:sz w:val="28"/>
          <w:szCs w:val="28"/>
          <w:rtl w:val="true"/>
          <w:lang w:bidi="ar-SA"/>
        </w:rPr>
        <w:t>فيه كما في الجواهر و أمّا و خبر عبداللّه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عليه‌السلام عن رجل أفلس و عليه دين لقوم و عند بعضهم رهون و ليس عند بعضهم فمات ولايحيط ماله بما عليه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جميع ما خلّف من الرهون و غيرها على أرباب الدين بالحصص</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فمحمول على الرهانة بعد الفلس أو مطرح كما في الجواهر</w:t>
      </w:r>
      <w:r>
        <w:rPr>
          <w:rStyle w:val="FootnoteAnchor"/>
          <w:rtl w:val="true"/>
        </w:rPr>
        <w:footnoteReference w:id="27"/>
      </w:r>
      <w:r>
        <w:rPr>
          <w:rFonts w:ascii="Amiri" w:hAnsi="Amiri" w:eastAsia="Amiri" w:cs="Amiri"/>
          <w:color w:val="111111"/>
          <w:sz w:val="28"/>
          <w:sz w:val="28"/>
          <w:szCs w:val="28"/>
          <w:rtl w:val="true"/>
          <w:lang w:bidi="ar-SA"/>
        </w:rPr>
        <w:t>كمكاتبة سليمان بن حفص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أبي الحسن عليه‌السلام في رجل مات و عليه دين و لم‌يخلّف شيئا الاّ رهنا في يد بعضهم فلايبلغ ثمنه أكثر من مال المرتهن أيأخذ بماله أو هو و سائر الديّان فيه شركاء؟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الديّان في ذلك سواء يتوزّعونه بينهم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أمّا لو أعوز الرهن عن وفاء الدين و قصر ضرب صاحب الدين مع الغرماء بالفاضل بلا خلاف و لا اشكال؛ لأنّ دينه في الذمّة لا محصور بالرهن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الرهن أمانة في يده لايضمنه و لو تلف، و لايسقط به شيء من حقّه ما لم‌يتلف بتفريطه، و لو تصرّف فيه بركوب أو سكنى أو اجارة ضمن و لزمته الأجرة، و ان كان للرهن مؤونة كالدابّة أنفق عليها و تقاصّا،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أنفق عليها كان له ركوبها أو يرجع على الراهن بما 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للمرتهن أن‌يستوفي دينه ممّا في يده ان خاف جحود الوارث مع 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اعترف بالرهن و ادّعى دينا لم‌يحكم له و كلّف البيّنة، و له احلاف الوارث ان ادّعى عليه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وطئ المرتهن الأمة مكرها كان عليه عشر قيمتها أو نصف </w:t>
      </w:r>
      <w:bookmarkStart w:id="40" w:name="pg9674_84136"/>
    </w:p>
    <w:p>
      <w:pPr>
        <w:pStyle w:val="BookText"/>
        <w:rPr/>
      </w:pPr>
      <w:bookmarkEnd w:id="40"/>
      <w:r>
        <w:rPr>
          <w:rFonts w:ascii="Amiri" w:hAnsi="Amiri" w:eastAsia="Amiri" w:cs="Amiri"/>
          <w:color w:val="111111"/>
          <w:sz w:val="28"/>
          <w:sz w:val="28"/>
          <w:szCs w:val="28"/>
          <w:rtl w:val="true"/>
          <w:lang w:bidi="ar-SA"/>
        </w:rPr>
        <w:t>العشر،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مهر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طاوعته لم‌يكن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41" w:name="__RefHeading___Toc7971302_2870459653"/>
      <w:bookmarkStart w:id="42" w:name="_Toc13"/>
      <w:bookmarkEnd w:id="41"/>
      <w:r>
        <w:rPr>
          <w:rtl w:val="true"/>
        </w:rPr>
        <w:t xml:space="preserve">الفرع الأوّل </w:t>
      </w:r>
      <w:r>
        <w:rPr>
          <w:rtl w:val="true"/>
        </w:rPr>
        <w:t xml:space="preserve">: </w:t>
      </w:r>
      <w:r>
        <w:rPr>
          <w:rtl w:val="true"/>
        </w:rPr>
        <w:t>في أنّ الرهن أمانة في يد المرتهن</w:t>
      </w:r>
      <w:bookmarkEnd w:id="42"/>
    </w:p>
    <w:p>
      <w:pPr>
        <w:pStyle w:val="BookText"/>
        <w:rPr/>
      </w:pPr>
      <w:r>
        <w:rPr>
          <w:rFonts w:ascii="Amiri" w:hAnsi="Amiri" w:eastAsia="Amiri" w:cs="Amiri"/>
          <w:color w:val="111111"/>
          <w:sz w:val="28"/>
          <w:sz w:val="28"/>
          <w:szCs w:val="28"/>
          <w:rtl w:val="true"/>
          <w:lang w:bidi="ar-SA"/>
        </w:rPr>
        <w:t>الرهن أمانة في يد المرتهن لايضمنه لو تلف بغير تفريط و لايسقط شيء من حقّه بالتلف؛ يدلّ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رهن عند رجل رهنا فضاع الرهن،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مال الراهن و يرجع المرتهن عليه بماله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منها موثّقة اسحاق بن عمّار عن أبي ابراهيم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يرتهن العبد فيصيبه عور أو ينقص من جسده شيء، على من يكون نقصان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رهنت العبد فمرض أو انفقأت عينه فأصابه نقصان من جسده‌ينقص من مال الرجل بقدر ما ينقص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العبد قتل على من تكون جنايته؟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جنايته في عنقه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منها غيرهما</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7971304_2870459653"/>
      <w:bookmarkStart w:id="44" w:name="_Toc14"/>
      <w:bookmarkEnd w:id="43"/>
      <w:r>
        <w:rPr>
          <w:rtl w:val="true"/>
        </w:rPr>
        <w:t xml:space="preserve">في أنّ الرهن أمانة في يد المرتهن </w:t>
      </w:r>
      <w:r>
        <w:rPr>
          <w:rtl w:val="true"/>
        </w:rPr>
        <w:t xml:space="preserve">... </w:t>
      </w:r>
      <w:r>
        <w:rPr/>
        <w:t>46</w:t>
      </w:r>
      <w:bookmarkEnd w:id="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الرهن أمانة في يد المرتهن لايضمنه لو تلف عنده بغير تفريط بلا خلاف أجده فيه بيننا بل ظاهر كشف الحقّ و غيره الاجماع عليه بل عن </w:t>
      </w:r>
    </w:p>
    <w:p>
      <w:pPr>
        <w:pStyle w:val="BookText"/>
        <w:rPr/>
      </w:pPr>
      <w:r>
        <w:rPr>
          <w:rFonts w:ascii="Amiri" w:hAnsi="Amiri" w:eastAsia="Amiri" w:cs="Amiri"/>
          <w:color w:val="111111"/>
          <w:sz w:val="28"/>
          <w:sz w:val="28"/>
          <w:szCs w:val="28"/>
          <w:rtl w:val="true"/>
          <w:lang w:bidi="ar-SA"/>
        </w:rPr>
        <w:t>الخلاف و الغنية و السرائر و التذكرة و المفاتيح دعواه صريحا، فمن الغريب نسبته في الدروس الى الأشهر مشعرا بوجود الخلاف فيه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معروف بين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وسوسة بعض متأخّري المتأخّرين فى الحكم المزبور لأخبارمعلومة الطرح بين الأصحاب، و انّما خرّجت مخرج التقيّة أو محمولة على التفريط أو نحو ذلك</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مراده رحمه‌الله من تلك الروايات 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عليه‌السلام في الرهن اذا كان أكثر من مال المرتهن فهلك أن‌يؤدّي الفضل الى صاحب الرهن، و ان كان الرهن أقلّ من ماله فهلك الرهن أدّى الى صاحبه فضل ماله و ان كان الرهن يسوّي ما رهنه فليس عليه شيء</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رواية عبداللّه بن الحكم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رهن عند رجل رهنا على ألف درهم و الرهن يساوي ألفين و 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عليه بفضل ما رهنه وان كان أنقص ممّا رهنه عليه رجع على الراهن بالفضل، و ان كان الرّهن يسوّي ما رهنه عليه فالرهن بما فيه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موثّقة ابن بكير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في الرهن،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أكثر من مال المرتهن </w:t>
      </w:r>
      <w:bookmarkStart w:id="45" w:name="pg9674_84138"/>
    </w:p>
    <w:p>
      <w:pPr>
        <w:pStyle w:val="BookText"/>
        <w:rPr/>
      </w:pPr>
      <w:bookmarkEnd w:id="45"/>
      <w:r>
        <w:rPr>
          <w:rFonts w:ascii="Amiri" w:hAnsi="Amiri" w:eastAsia="Amiri" w:cs="Amiri"/>
          <w:color w:val="111111"/>
          <w:sz w:val="28"/>
          <w:sz w:val="28"/>
          <w:szCs w:val="28"/>
          <w:rtl w:val="true"/>
          <w:lang w:bidi="ar-SA"/>
        </w:rPr>
        <w:t>فهلك، أن‌يؤدّي الفضل الى صاحب الرهن، و ان كان أقلّ من ماله فهلك الرهن أدّى اليه صاحبه فضل ماله و ان كان الرهن سواءً فليس عليه شيء</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فانّها تحمل على ما اذا فرّط في حفظ الرهن فهلك أو ضاع؛ جمعا بينها و بين ما تقدّمها و لعلّه تشهد على هذا الجمع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عليه‌السلام عن الرجل يرهن الرهن بمائة درهم و هو يساوي ثلاثمائة درهم فيهلك، أ على الرجل أن‌يردّ على صاحبه مائتي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أخذ رهنا فيه فضل و 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نصف الرهن؟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فيترادّان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فانّ الظاهر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التفريط في الحفظ</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7971306_2870459653"/>
      <w:bookmarkStart w:id="47" w:name="_Toc15"/>
      <w:bookmarkEnd w:id="46"/>
      <w:r>
        <w:rPr>
          <w:rtl w:val="true"/>
        </w:rPr>
        <w:t xml:space="preserve">الفرع الثاني </w:t>
      </w:r>
      <w:r>
        <w:rPr>
          <w:rtl w:val="true"/>
        </w:rPr>
        <w:t xml:space="preserve">: </w:t>
      </w:r>
      <w:r>
        <w:rPr>
          <w:rtl w:val="true"/>
        </w:rPr>
        <w:t>في تصرّف المرتهن فى المال المرهون</w:t>
      </w:r>
      <w:bookmarkEnd w:id="4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لايجوز للمرتهن التصرّف في الرهن من دون اذن الراهن، فلو تصرّف المرتهن حينئذ في الرهن بركوب أو سكنى أو اجارة مثلاً من دون اذن الراهن أثم و ضمن العين لو تلفت و لزمه أجرة المثل في مثل ركوب الدابّة أو سكنى الدار؛ لأنّه انتفاع بمال الغير بغير اذنه؛ 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المشهور بل ربّما </w:t>
      </w:r>
    </w:p>
    <w:p>
      <w:pPr>
        <w:pStyle w:val="BookText"/>
        <w:rPr/>
      </w:pPr>
      <w:r>
        <w:rPr>
          <w:rFonts w:ascii="Amiri" w:hAnsi="Amiri" w:eastAsia="Amiri" w:cs="Amiri"/>
          <w:color w:val="111111"/>
          <w:sz w:val="28"/>
          <w:sz w:val="28"/>
          <w:szCs w:val="28"/>
          <w:rtl w:val="true"/>
          <w:lang w:bidi="ar-SA"/>
        </w:rPr>
        <w:t>يظهر من بعضهم الاجماع عليه كما في الجواهر</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عن أبي جعفر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أميرالمؤمنين عليه‌السلام قال في الأرض البور يرتهنها الرجل ليس فيهاثمرة فزرعها و أنفق عليها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يحتسب له نفقته و عمله خالصا ثمّ ينظر نصيب الأرض فيحسبه من ماله الذي ارتهن به الأرض حتّى يستوفي ماله فاذا استوفى ماله فليدفع الأرض الى صاحبها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أمّا في مثل اجارة الدار المرهونة بدون اذن الراهن فاذا مضت مدّة تقابلها أجرة عادة أو مضت مدّة الاجارة فانّ الراهن يتخيّر بين فسخ الاجارة و الرجوع الى المرتهن بأجرة المثل و بين الاجازة و الرجوع بأجرة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للرهن مؤونة كالدابّة أنفق عليها مع الاذن أو بنيّة الرجوع مع عدم امكان الاذن أو امتناعه و عدم الحاكم، ثمّ تهاتر مع الراهن فيما أنفق كما في الجواهر و هو المحكي عن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أمره الراهن بالنفقة على المال المرهونة ينفق و يرجع بما غرم، و الاّ استأذنه، فان امتنع أو غاب رفع أمره الى الحاكم فان تعذّر أنفق هو بنيّة الرجوع و أشهد عليه ليثبت استحقاقه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الشيخ في النهاية و الحلبي و ابنا حمزة و سعيد ذهبوا الى أنّه اذا أنفق عليها كان له ركوبها أو يرجع على الراهن بما أنفق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الى عدم لزوم اذن الراهن في تصرّف المرتهن في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مستندهم في ذلك صحيحة أبي ولاّد قال</w:t>
      </w:r>
      <w:r>
        <w:rPr>
          <w:rFonts w:eastAsia="Amiri" w:cs="Amiri" w:ascii="Amiri" w:hAnsi="Amiri"/>
          <w:color w:val="111111"/>
          <w:sz w:val="28"/>
          <w:szCs w:val="28"/>
          <w:rtl w:val="true"/>
          <w:lang w:bidi="ar-SA"/>
        </w:rPr>
        <w:t xml:space="preserve">: </w:t>
      </w:r>
      <w:bookmarkStart w:id="48" w:name="pg9674_84140"/>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يأخذ الدابّة و البعير رهنا بماله أ له أن‌يركبه؟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يعلفه فله أن‌يركبه و ان كان الذي رهنه عنده يعلفه فليس له أن‌يركبه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رواية السكوني عن جعفر عن أبيه عن آبائه عن علي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يركب اذا كان مرهونا و على الذي يركبه نفقته، و الدرّ يشرب اذا كان مرهونا و على الذي يشرب نفقته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ولكنّهما تحملان على مساواة الحقّين و الاذن و لو للعادة أو لأنّ رهنه مع عدم الانفاق قرينة على ذلك و لا سيّما اذا كان عدم الركوب و الحلب ممّا يفسده أو على غير ذلك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بطرحهما بعد اعراض معظم الأصحاب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للمرتهن الانتفاع بالرهن بدون اذن الراهن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السرائر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أنت خبير بأنّه مع امكان الجمع بما ذكرنا لا وجه للطرح</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7971308_2870459653"/>
      <w:bookmarkStart w:id="50" w:name="_Toc16"/>
      <w:bookmarkEnd w:id="49"/>
      <w:r>
        <w:rPr>
          <w:rtl w:val="true"/>
        </w:rPr>
        <w:t xml:space="preserve">الفرع الثالث </w:t>
      </w:r>
      <w:r>
        <w:rPr>
          <w:rtl w:val="true"/>
        </w:rPr>
        <w:t xml:space="preserve">: </w:t>
      </w:r>
      <w:r>
        <w:rPr>
          <w:rtl w:val="true"/>
        </w:rPr>
        <w:t>في استيفاء الدين من الرهن اذا مات الراهن</w:t>
      </w:r>
      <w:bookmarkEnd w:id="5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مات الراهن و خاف المرتهن جحود الوارث بالظنّ الغالب يجوز له أن‌يبيع الرهن بنفسه و يستوفي دينه منه، و كذا لو خاف جحود الراهن و لم‌يكن وكيلاً؛ </w:t>
      </w:r>
      <w:bookmarkStart w:id="51" w:name="pg9674_84141"/>
    </w:p>
    <w:p>
      <w:pPr>
        <w:pStyle w:val="BookText"/>
        <w:rPr/>
      </w:pPr>
      <w:bookmarkEnd w:id="51"/>
      <w:r>
        <w:rPr>
          <w:rFonts w:ascii="Amiri" w:hAnsi="Amiri" w:eastAsia="Amiri" w:cs="Amiri"/>
          <w:color w:val="111111"/>
          <w:sz w:val="28"/>
          <w:sz w:val="28"/>
          <w:szCs w:val="28"/>
          <w:rtl w:val="true"/>
          <w:lang w:bidi="ar-SA"/>
        </w:rPr>
        <w:t>هذا اذا لم‌يكن له بيّنة مقبولة عند الحاكم فيكفيه الاذن العامّ الوارد من المعصوم عليه‌السلام في الرواية و لايحتاج الى اذن خاصّ من الحاكم و الاّ لم‌يجز له ذلك و عليه الاستئذان من الحاكم في البيع؛ تدلّ على ذلك مكاتبة سليمان بن حفص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الى أبي الحسن عليه‌السلام في رجل مات و له ورثة فجاء رجل فادّعى عليه مالاً و أنّ عنده رهنا،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على الميّت مال و لا بيّنة له فليأخذ ماله بما في يده و ليردّ الباقي على ورثته و متى أقرّ بما عنده أخذ به و طولب بالبيّنة على دعواه و أوفى حقّه بعد اليمين و متى لم‌يقم البيّنة والورثة ينكرون فله عليهم يمين علم يحلفون باللّه مايعلمون أنّ له على ميّتهم حقّا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هذا مضافا الى دعوى الاجماع في الجواهر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اعترف بالرهن و ادّعى دينا لم‌يحكم له بمجرّد وجوده تحت يده بعد اعترافه بأنّ يده يد أمانة و كلّف البيّنة، و له احلاف الوارث ان ادّعى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وطئ المرتهن الأمة مكرها لها على ذلك من دون اذن الراهن له بنكاح أو تحليل كان عليه عشر قيمتها ان كانت بكرا أو نصف العشر ان كانت ثيّبا،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مهر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طاوعته لم‌يكن عليه شيء</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7971310_2870459653"/>
      <w:bookmarkStart w:id="53" w:name="_Toc17"/>
      <w:bookmarkEnd w:id="52"/>
      <w:r>
        <w:rPr>
          <w:rtl w:val="true"/>
        </w:rPr>
        <w:t xml:space="preserve">فيما اذا وضعا الرهن على يد عدل </w:t>
      </w:r>
      <w:r>
        <w:rPr>
          <w:rtl w:val="true"/>
        </w:rPr>
        <w:t xml:space="preserve">... </w:t>
      </w:r>
      <w:r>
        <w:rPr/>
        <w:t>52</w:t>
      </w:r>
      <w:bookmarkEnd w:id="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وضعاه على يد عدل فللعدل ردّه عليهما أو تسليمه الى من يرتضيانه، و لايجوز له تسليمه مع وجودهما الى الحاكم و لا الى أمين غيرهما من غير اذنهما، و لو سلّمه ضمن و لو استترا أقبضه الحاكم</w:t>
      </w:r>
      <w:r>
        <w:rPr>
          <w:rFonts w:eastAsia="Amiri" w:cs="Amiri" w:ascii="Amiri" w:hAnsi="Amiri"/>
          <w:color w:val="111111"/>
          <w:sz w:val="28"/>
          <w:szCs w:val="28"/>
          <w:rtl w:val="true"/>
          <w:lang w:bidi="ar-SA"/>
        </w:rPr>
        <w:t xml:space="preserve">. </w:t>
      </w:r>
      <w:bookmarkStart w:id="54" w:name="pg9674_84142"/>
    </w:p>
    <w:p>
      <w:pPr>
        <w:pStyle w:val="BookText"/>
        <w:rPr/>
      </w:pPr>
      <w:bookmarkEnd w:id="54"/>
      <w:r>
        <w:rPr>
          <w:rFonts w:ascii="Amiri" w:hAnsi="Amiri" w:eastAsia="Amiri" w:cs="Amiri"/>
          <w:color w:val="111111"/>
          <w:sz w:val="28"/>
          <w:sz w:val="28"/>
          <w:szCs w:val="28"/>
          <w:rtl w:val="true"/>
          <w:lang w:bidi="ar-SA"/>
        </w:rPr>
        <w:t>و لو كانا غائبين و أراد تسليمه الى الحاكم أو عدل آخر من غير ضرورة لم‌يجز و يضمن لو سلّم، و كذا لو كان أحدهما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هناك عذر سلّمه الى الحاكم و لو دفعه الى غيره من غير اذن الحاكم ضمن، و لو وضعه على يد عدلين لم‌ينفرد به أحدهما و لو أذن 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المرتهن أو العدل الرهن و دفع الثمن الى المرتهن ثمّ ظهر فيه عيب لم‌يكن للمشتري الرجوع على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استحقّ الرهن استعاد المشتري الثمن منه، و اذا مات المرتهن كان للراهن الامتناع من تسليمه الى الوارث فان اتّفقا على أمين و الاّ سلّمه الحاكم الى من يرتضيه، و لو خان العدل نقله الحاكم الى أمين غيره ان اختلف المرتهن و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55" w:name="__RefHeading___Toc7971312_2870459653"/>
      <w:bookmarkStart w:id="56" w:name="_Toc18"/>
      <w:bookmarkEnd w:id="55"/>
      <w:r>
        <w:rPr>
          <w:rtl w:val="true"/>
        </w:rPr>
        <w:t xml:space="preserve">الفرع الأوّل </w:t>
      </w:r>
      <w:r>
        <w:rPr>
          <w:rtl w:val="true"/>
        </w:rPr>
        <w:t xml:space="preserve">: </w:t>
      </w:r>
      <w:r>
        <w:rPr>
          <w:rtl w:val="true"/>
        </w:rPr>
        <w:t>فيما اذا وضعاه على يد عدل</w:t>
      </w:r>
      <w:bookmarkEnd w:id="56"/>
    </w:p>
    <w:p>
      <w:pPr>
        <w:pStyle w:val="BookText"/>
        <w:rPr/>
      </w:pPr>
      <w:r>
        <w:rPr>
          <w:rFonts w:ascii="Amiri" w:hAnsi="Amiri" w:eastAsia="Amiri" w:cs="Amiri"/>
          <w:color w:val="111111"/>
          <w:sz w:val="28"/>
          <w:sz w:val="28"/>
          <w:szCs w:val="28"/>
          <w:rtl w:val="true"/>
          <w:lang w:bidi="ar-SA"/>
        </w:rPr>
        <w:t>اذا وضع الراهن و المرتهن الرهن على يد عدل فقبله تطوّعا فيجوز له ردّه عليهما بعد مدّة ؛ لعدم لزوم ذلك عليه، أو تسليمه الى من يرتضيانه؛ لأنّ الحقّ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له تسليمه الى الحاكم مع وجودهما و عدم معلوميّة امتناعهما، و لا الى أمين من غير اذنهما؛ لعدم جواز الايداع للودعي من غير اذن صاحبه، فلو سلّمه الى من لايجوز تسليمه ضمن هو و من تسلّمه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استترا عن قبضه من العدل بعد أن‌طلب منهما أقبضه الحاكم الذي هو ولي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غائبين لم‌يجز تسليمه الى الحاكم أو عدل آخر من غير ضرورة، و لو سلّمه ضمن هو و من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أحدهما غائبا؛ لوجوب الصبر عليه الى الحضور من الغيبة التي لا تقصير معها</w:t>
      </w:r>
      <w:r>
        <w:rPr>
          <w:rFonts w:eastAsia="Amiri" w:cs="Amiri" w:ascii="Amiri" w:hAnsi="Amiri"/>
          <w:color w:val="111111"/>
          <w:sz w:val="28"/>
          <w:szCs w:val="28"/>
          <w:rtl w:val="true"/>
          <w:lang w:bidi="ar-SA"/>
        </w:rPr>
        <w:t xml:space="preserve">. </w:t>
      </w:r>
      <w:bookmarkStart w:id="57" w:name="pg9674_84143"/>
    </w:p>
    <w:p>
      <w:pPr>
        <w:pStyle w:val="BookText"/>
        <w:rPr/>
      </w:pPr>
      <w:bookmarkEnd w:id="57"/>
      <w:r>
        <w:rPr>
          <w:rFonts w:ascii="Amiri" w:hAnsi="Amiri" w:eastAsia="Amiri" w:cs="Amiri"/>
          <w:color w:val="111111"/>
          <w:sz w:val="28"/>
          <w:sz w:val="28"/>
          <w:szCs w:val="28"/>
          <w:rtl w:val="true"/>
          <w:lang w:bidi="ar-SA"/>
        </w:rPr>
        <w:t>نعم، لو كان هناك عذر كسفر و مرض و نحوهما سلّمه الى الحاكم أو من يأذن له؛ لثبوت ولايته حينئذ، و لو دفعه الى غيره من غير اذن الحاكم ضمن و لو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تعذّر الحاكم و افتقر الى الايداع أودع من ثقة و أشهد و لا ضمان، والظاهر جواز دفعه من أحدهما في هذا الحال اذا كان ثقة بل لعلّه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وضعه على يد عدلين جاز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لم‌ينفرد به أحد العدلين عن الآخر و لو أذن له الآخر؛ لأنّ الراهن لم‌يرض بأمانة أحدهما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سلّمه أحدهما الى صاحبه ضمن كلّ منهما في الجملة، لكن هل يضمن الجميع بناءً على أنّ كلاًّ منهما يجب عليه حفظه أجمع و قد حصل منه سبب الضمان للجميع فيتخيّر المالك في تضمين أيّهما شاء، أم يضمن النصف؛ لأنّهما بمنزلة أمين واحد و الواجب عوض واحد و هما متساويان في ثبوت سبب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بالتفريط و الآخر بالعدوان؟ أجودهما الأوّل؛ لما ذكر، و عليه الشهيد الثاني في المسالك</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نعم، اذا شرط أن‌يضمن كلّ واحد نصف الرهن و لايضمن الجميع فالظاهر نفوذ الشرط</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7971314_2870459653"/>
      <w:bookmarkStart w:id="59" w:name="_Toc19"/>
      <w:bookmarkEnd w:id="58"/>
      <w:r>
        <w:rPr>
          <w:rtl w:val="true"/>
        </w:rPr>
        <w:t xml:space="preserve">الفرع الثاني </w:t>
      </w:r>
      <w:r>
        <w:rPr>
          <w:rtl w:val="true"/>
        </w:rPr>
        <w:t xml:space="preserve">: </w:t>
      </w:r>
      <w:r>
        <w:rPr>
          <w:rtl w:val="true"/>
        </w:rPr>
        <w:t>فيما لو باع المرتهن أو العدل الرهن</w:t>
      </w:r>
      <w:bookmarkEnd w:id="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باع المرتهن الرهن حيث يجوز له ذلك أو العدل كذلك و دفع الثمن الى المرتهن وفاءً أو وثيقة اذا كان له ذلك ثمّ ظهر في المبيع عيب لم‌يكن للمشتري </w:t>
      </w:r>
      <w:bookmarkStart w:id="60" w:name="pg9674_84144"/>
    </w:p>
    <w:p>
      <w:pPr>
        <w:pStyle w:val="BookText"/>
        <w:rPr/>
      </w:pPr>
      <w:bookmarkEnd w:id="60"/>
      <w:r>
        <w:rPr>
          <w:rFonts w:ascii="Amiri" w:hAnsi="Amiri" w:eastAsia="Amiri" w:cs="Amiri"/>
          <w:color w:val="111111"/>
          <w:sz w:val="28"/>
          <w:sz w:val="28"/>
          <w:szCs w:val="28"/>
          <w:rtl w:val="true"/>
          <w:lang w:bidi="ar-SA"/>
        </w:rPr>
        <w:t>الرجوع على المرتهن الذي قبض الثمن المملوك للراهن وفاءً لدينه أو وثيقة عليه؛ اذ الفسخ بالعيب لايبطل البيع من أصله و انّما يبطل بفسخ المشتري من حين الفسخ و هو مسبوق بقبض المرتهن الثمن و تعلّق حقّ الوثيقة به، سواء كانقد أخذه وفاءً لدينه أو أبقاه وثيقة، فبمجرّد البيع نقل الثمن الى الراهن و تعلّق الوثيقة به للمرتهن فلايبطله الفسخ الطارئ من المشتري و يرجع على الراهن بعوض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ظهر استحقاق الرهن لغصب و نحوه استعاد المشتري الثمن من المرتهن؛ لأنّه يبطل البيع من أصله فلايدخل الثمن في ملك الراهن و لايصحّ قبض المرتهن له و حينئذ فيطالب به من هو في يده من العدل أو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وجده تالفا فان تلف في يد العدل و المشتري كان عالما بأنّه وكيل فيرجع على الراهن، و ان لم‌يعلم رجع على العدل؛ لأنّ المعاملة بينهما و الثمن مملوك للمشتري فيكون مضمونا على من هو في يده ظاهرا، و يرجع العدل على الراهن، ان كان جاهلاً بالغصبيّة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تلف في يد المرتهن رجع عليه بالعوض أيضا، و هل يرجع هو على الراهن؟ مقتضى قواعد الغصب رجوعه الى الراهن مع جهله؛ لغروره، و أمّا الراهن فان كان عالما بالاستحقاق فلايرجع الى غيره و الاّ فيرجع الى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الحكم لو تلف الرهن في يد المرتهن ثمّ ظهر مستحقّا</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7971316_2870459653"/>
      <w:bookmarkStart w:id="62" w:name="_Toc20"/>
      <w:bookmarkEnd w:id="61"/>
      <w:r>
        <w:rPr>
          <w:rtl w:val="true"/>
        </w:rPr>
        <w:t xml:space="preserve">الفرع الثالث </w:t>
      </w:r>
      <w:r>
        <w:rPr>
          <w:rtl w:val="true"/>
        </w:rPr>
        <w:t xml:space="preserve">: </w:t>
      </w:r>
      <w:r>
        <w:rPr>
          <w:rtl w:val="true"/>
        </w:rPr>
        <w:t>فيما اذا مات المرتهن</w:t>
      </w:r>
      <w:bookmarkEnd w:id="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مات المرتهن كان للراهن الامتناع من تسليمه الى الوارث فانّه قد يستأمن </w:t>
      </w:r>
    </w:p>
    <w:p>
      <w:pPr>
        <w:pStyle w:val="BookText"/>
        <w:rPr/>
      </w:pPr>
      <w:r>
        <w:rPr>
          <w:rFonts w:ascii="Amiri" w:hAnsi="Amiri" w:eastAsia="Amiri" w:cs="Amiri"/>
          <w:color w:val="111111"/>
          <w:sz w:val="28"/>
          <w:sz w:val="28"/>
          <w:szCs w:val="28"/>
          <w:rtl w:val="true"/>
          <w:lang w:bidi="ar-SA"/>
        </w:rPr>
        <w:t>المورّث و لايستأمن الوارث، و كذا يجوز للوارث الامتناع من تسليم الرهن له، فحينئذ ان اتّفقا على أحد ممّن يجوز توكيله جاز و ان لم‌يكن عدلاً، و الاّ تسلّمه الحاكم أو سلّمه الى العدل ليقبضه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يكون الحكم لو مات الراهن فلورثته الامتناع من ابقائه في يد المرتهن و العدل؛ لأنّهما في القبض بمنزلة الوكيل تبطل وكالته بموت الموكّل، و ان كانت مشروطة في عقد الرهن الاّ أن‌يشترط استمرار الوضع بعد موته فيكون بمنزلة الوصي في الحفظ</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خان العدل نقله الحاكم الى أمين غيره ان اختلف المرتهن و المالك</w:t>
      </w:r>
      <w:r>
        <w:rPr>
          <w:rFonts w:eastAsia="Amiri" w:cs="Amiri" w:ascii="Amiri" w:hAnsi="Amiri"/>
          <w:color w:val="111111"/>
          <w:sz w:val="28"/>
          <w:szCs w:val="28"/>
          <w:rtl w:val="true"/>
          <w:lang w:bidi="ar-SA"/>
        </w:rPr>
        <w:t xml:space="preserve">. </w:t>
      </w:r>
      <w:bookmarkStart w:id="63" w:name="pg9674_84146"/>
    </w:p>
    <w:p>
      <w:pPr>
        <w:pStyle w:val="Heading2"/>
        <w:numPr>
          <w:ilvl w:val="1"/>
          <w:numId w:val="1"/>
        </w:numPr>
        <w:rPr/>
      </w:pPr>
      <w:bookmarkStart w:id="64" w:name="__RefHeading___Toc7971318_2870459653"/>
      <w:bookmarkStart w:id="65" w:name="_Toc21"/>
      <w:bookmarkEnd w:id="63"/>
      <w:bookmarkEnd w:id="64"/>
      <w:r>
        <w:rPr>
          <w:rtl w:val="true"/>
        </w:rPr>
        <w:t xml:space="preserve">الفصل السادس </w:t>
      </w:r>
      <w:r>
        <w:rPr>
          <w:rtl w:val="true"/>
        </w:rPr>
        <w:t xml:space="preserve">: </w:t>
      </w:r>
      <w:r>
        <w:rPr>
          <w:rtl w:val="true"/>
        </w:rPr>
        <w:t>في اللواحق</w:t>
      </w:r>
      <w:bookmarkEnd w:id="65"/>
    </w:p>
    <w:p>
      <w:pPr>
        <w:pStyle w:val="BookText"/>
        <w:rPr/>
      </w:pPr>
      <w:r>
        <w:rPr>
          <w:rFonts w:ascii="Amiri" w:hAnsi="Amiri" w:eastAsia="Amiri" w:cs="Amiri"/>
          <w:color w:val="111111"/>
          <w:sz w:val="28"/>
          <w:sz w:val="28"/>
          <w:szCs w:val="28"/>
          <w:rtl w:val="true"/>
          <w:lang w:bidi="ar-SA"/>
        </w:rPr>
        <w:t>و فيه مقاصد</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7971320_2870459653"/>
      <w:bookmarkStart w:id="67" w:name="_Toc22"/>
      <w:bookmarkEnd w:id="66"/>
      <w:r>
        <w:rPr>
          <w:rtl w:val="true"/>
        </w:rPr>
        <w:t xml:space="preserve">المقصد الأوّل </w:t>
      </w:r>
      <w:r>
        <w:rPr>
          <w:rtl w:val="true"/>
        </w:rPr>
        <w:t xml:space="preserve">: </w:t>
      </w:r>
      <w:r>
        <w:rPr>
          <w:rtl w:val="true"/>
        </w:rPr>
        <w:t>في أحكام متعلّقة بالراهن</w:t>
      </w:r>
      <w:bookmarkEnd w:id="67"/>
    </w:p>
    <w:p>
      <w:pPr>
        <w:pStyle w:val="BookText"/>
        <w:rPr/>
      </w:pPr>
      <w:r>
        <w:rPr>
          <w:rFonts w:ascii="Amiri" w:hAnsi="Amiri" w:eastAsia="Amiri" w:cs="Amiri"/>
          <w:color w:val="111111"/>
          <w:sz w:val="28"/>
          <w:sz w:val="28"/>
          <w:szCs w:val="28"/>
          <w:rtl w:val="true"/>
          <w:lang w:bidi="ar-SA"/>
        </w:rPr>
        <w:t>لايجوز للراهن التصرّف في الرهن باستخدام و لا سكنى و لا اجارة، و لو باع أو وهب وقف على اجازة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صحّة العتق مع الاجازة تردّد و الوجه الجواز، و كذا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عتقه مع اجازة الراهن تردّد و الوجه المنع؛ لعدم الملك ما لم‌يسبق الاذن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وطئ الراهن فأحبلها صارت أمّ ولده و لايبطل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تباع؟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مادام الولد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 حقّ المرتهن أسبق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وطأها الراهن باذن المرتهن لم‌يخرج عن الرهن بالوط‌ء، و لو أذن له في بيعها فباع بطل الرهن و لايجب جعل الثمن رهنا، و لو أذن الراهن للمرتهن في البيع قبل الأجل لم‌يجز للمرتهن التصرّف في الثمن الاّ بعد </w:t>
      </w:r>
      <w:bookmarkStart w:id="68" w:name="pg9674_84147"/>
    </w:p>
    <w:p>
      <w:pPr>
        <w:pStyle w:val="BookText"/>
        <w:rPr/>
      </w:pPr>
      <w:bookmarkEnd w:id="68"/>
      <w:r>
        <w:rPr>
          <w:rFonts w:ascii="Amiri" w:hAnsi="Amiri" w:eastAsia="Amiri" w:cs="Amiri"/>
          <w:color w:val="111111"/>
          <w:sz w:val="28"/>
          <w:sz w:val="28"/>
          <w:szCs w:val="28"/>
          <w:rtl w:val="true"/>
          <w:lang w:bidi="ar-SA"/>
        </w:rPr>
        <w:t>حلوله و لو كان بعد حلوله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حلّ الأجل و تعذّر الأداء كان للمرتهن البيع ان كان وكيلاً، و الاّ رفع أمره الى الحاكم ليلزمه بالبيع، فان امتنع كان له حبسه و له أن‌يبيع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69" w:name="__RefHeading___Toc7971322_2870459653"/>
      <w:bookmarkStart w:id="70" w:name="_Toc23"/>
      <w:bookmarkEnd w:id="69"/>
      <w:r>
        <w:rPr>
          <w:rtl w:val="true"/>
        </w:rPr>
        <w:t xml:space="preserve">الفرع الأوّل </w:t>
      </w:r>
      <w:r>
        <w:rPr>
          <w:rtl w:val="true"/>
        </w:rPr>
        <w:t xml:space="preserve">: </w:t>
      </w:r>
      <w:r>
        <w:rPr>
          <w:rtl w:val="true"/>
        </w:rPr>
        <w:t>في التصرّف في الرهن</w:t>
      </w:r>
      <w:bookmarkEnd w:id="70"/>
    </w:p>
    <w:p>
      <w:pPr>
        <w:pStyle w:val="BookText"/>
        <w:rPr/>
      </w:pPr>
      <w:r>
        <w:rPr>
          <w:rFonts w:ascii="Amiri" w:hAnsi="Amiri" w:eastAsia="Amiri" w:cs="Amiri"/>
          <w:color w:val="111111"/>
          <w:sz w:val="28"/>
          <w:sz w:val="28"/>
          <w:szCs w:val="28"/>
          <w:rtl w:val="true"/>
          <w:lang w:bidi="ar-SA"/>
        </w:rPr>
        <w:t>لايجوز للراهن التصرّف في الرهن؛ لأنّ الرهن وثيقة منه للمرتهن ليلزمه الى الأداء، فانّه محجور من التصرّف في الرهن من هذه الجهة و الاّ يخرج عن كونه وثيقة سواء كان تصرّفه بالبيع أو الاجارة أو التزويج اذا كانت أمة أو رهنه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لايمنع من تصرّف يعود نفعه الى الرهن كمداواة المرض و رعي الحيوان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تصرّف بما لايجوز له كالبيع و الهبة و نحوهما وقف على اجازة المرتهن فان أجاز و الاّ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لايجوز للمرتهن التصرّف في الرهن بانتفاع و نحوه لحرمة التصرّف في مال الغير و لايمضي تصرّفه فيه ببيع و نحوه الاّ باذن الراهن أو اجازته؛ اذ هو فضولي فيجري فيه حكمه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صحّة عتق العبد المرهون به مع اجازة المرتهن؛ لأنّ المانع حقّ المرتهن و قد زال باجازته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صحّة عتق المرتهن مع اجازة الراهن ففيه اشكال؛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الاّ بعد ملك</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الاّ أن‌يكون وكيلاً في ذلك</w:t>
      </w:r>
      <w:r>
        <w:rPr>
          <w:rFonts w:eastAsia="Amiri" w:cs="Amiri" w:ascii="Amiri" w:hAnsi="Amiri"/>
          <w:color w:val="111111"/>
          <w:sz w:val="28"/>
          <w:szCs w:val="28"/>
          <w:rtl w:val="true"/>
          <w:lang w:bidi="ar-SA"/>
        </w:rPr>
        <w:t xml:space="preserve">. </w:t>
      </w:r>
      <w:bookmarkStart w:id="71" w:name="pg9674_84148"/>
    </w:p>
    <w:p>
      <w:pPr>
        <w:pStyle w:val="Heading2"/>
        <w:numPr>
          <w:ilvl w:val="1"/>
          <w:numId w:val="1"/>
        </w:numPr>
        <w:rPr/>
      </w:pPr>
      <w:bookmarkStart w:id="72" w:name="__RefHeading___Toc7971324_2870459653"/>
      <w:bookmarkStart w:id="73" w:name="_Toc24"/>
      <w:bookmarkEnd w:id="71"/>
      <w:bookmarkEnd w:id="72"/>
      <w:r>
        <w:rPr>
          <w:rtl w:val="true"/>
        </w:rPr>
        <w:t xml:space="preserve">الفرع الثاني </w:t>
      </w:r>
      <w:r>
        <w:rPr>
          <w:rtl w:val="true"/>
        </w:rPr>
        <w:t xml:space="preserve">: </w:t>
      </w:r>
      <w:r>
        <w:rPr>
          <w:rtl w:val="true"/>
        </w:rPr>
        <w:t>فيما لو وطئ الراهن أمته المرهونة</w:t>
      </w:r>
      <w:bookmarkEnd w:id="73"/>
    </w:p>
    <w:p>
      <w:pPr>
        <w:pStyle w:val="BookText"/>
        <w:rPr/>
      </w:pPr>
      <w:r>
        <w:rPr>
          <w:rFonts w:ascii="Amiri" w:hAnsi="Amiri" w:eastAsia="Amiri" w:cs="Amiri"/>
          <w:color w:val="111111"/>
          <w:sz w:val="28"/>
          <w:sz w:val="28"/>
          <w:szCs w:val="28"/>
          <w:rtl w:val="true"/>
          <w:lang w:bidi="ar-SA"/>
        </w:rPr>
        <w:t>اذا وطئ الراهن أمته المرهونة فأحبلها صارت أمّ ولد سواء وطئ باذن المرتهن أم لا، و ان لزمه الاثم و التعزير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لايبطل الرهن؛</w:t>
      </w:r>
    </w:p>
    <w:p>
      <w:pPr>
        <w:pStyle w:val="BookText"/>
        <w:rPr/>
      </w:pPr>
      <w:r>
        <w:rPr>
          <w:rFonts w:ascii="Amiri" w:hAnsi="Amiri" w:eastAsia="Amiri" w:cs="Amiri"/>
          <w:color w:val="111111"/>
          <w:sz w:val="28"/>
          <w:sz w:val="28"/>
          <w:szCs w:val="28"/>
          <w:rtl w:val="true"/>
          <w:lang w:bidi="ar-SA"/>
        </w:rPr>
        <w:t>لعدم المنافاة بينه و بين الاستيلاد؛ لجواز موت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بيعها مع حياة الولد لأجل الدين؟ اختار المصنّف رحمه‌الله عدم الجواز؛ للنهي عن بيع أمّ الولد و لتشبّثها بالحرّيّة و بناء العتق على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مادام ولدها حيّا زمن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الشهيد في المسالك</w:t>
      </w:r>
      <w:r>
        <w:rPr>
          <w:rStyle w:val="FootnoteAnchor"/>
          <w:rtl w:val="true"/>
        </w:rPr>
        <w:footnoteReference w:id="47"/>
      </w:r>
      <w:r>
        <w:rPr>
          <w:rFonts w:ascii="Amiri" w:hAnsi="Amiri" w:eastAsia="Amiri" w:cs="Amiri"/>
          <w:color w:val="111111"/>
          <w:sz w:val="28"/>
          <w:sz w:val="28"/>
          <w:szCs w:val="28"/>
          <w:rtl w:val="true"/>
          <w:lang w:bidi="ar-SA"/>
        </w:rPr>
        <w:t>اختار الجواز لاطلاق الأوامر ببيع الرهن في الدين و سبق حقّ المرتهن على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ببقاء الرهن و اذا حلّ الأجل يلزم أداؤه من غير بيع الرهن كان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وطئها الراهن باذن المرتهن لم‌يخرج عن الرهن بالوط‌ء؛ اذ لا منافاة بينهما</w:t>
      </w:r>
    </w:p>
    <w:p>
      <w:pPr>
        <w:pStyle w:val="BookText"/>
        <w:rPr/>
      </w:pPr>
      <w:r>
        <w:rPr>
          <w:rFonts w:ascii="Amiri" w:hAnsi="Amiri" w:eastAsia="Amiri" w:cs="Amiri"/>
          <w:color w:val="111111"/>
          <w:sz w:val="28"/>
          <w:sz w:val="28"/>
          <w:szCs w:val="28"/>
          <w:rtl w:val="true"/>
          <w:lang w:bidi="ar-SA"/>
        </w:rPr>
        <w:t>بل لاتخرج بالحبل أيضا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أذن له في بيعها فباع بطل الرهن و لايجب جعل الثمن رهنا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جعل الثمن رهنا عند الاذن في البيع لزم لقوله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الدين حالاًّ أو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أذن المرتهن للراهن في بيعها بشرط أن‌يعجّل حقّه من ثمنه يلزم الشرط؛ لأنّه شرط سائغ تدعو الحاجة اليه</w:t>
      </w:r>
      <w:r>
        <w:rPr>
          <w:rFonts w:eastAsia="Amiri" w:cs="Amiri" w:ascii="Amiri" w:hAnsi="Amiri"/>
          <w:color w:val="111111"/>
          <w:sz w:val="28"/>
          <w:szCs w:val="28"/>
          <w:rtl w:val="true"/>
          <w:lang w:bidi="ar-SA"/>
        </w:rPr>
        <w:t xml:space="preserve">. </w:t>
      </w:r>
      <w:bookmarkStart w:id="74" w:name="pg9674_84149"/>
    </w:p>
    <w:p>
      <w:pPr>
        <w:pStyle w:val="Heading2"/>
        <w:numPr>
          <w:ilvl w:val="1"/>
          <w:numId w:val="1"/>
        </w:numPr>
        <w:rPr/>
      </w:pPr>
      <w:bookmarkStart w:id="75" w:name="__RefHeading___Toc7971326_2870459653"/>
      <w:bookmarkStart w:id="76" w:name="_Toc25"/>
      <w:bookmarkEnd w:id="74"/>
      <w:bookmarkEnd w:id="75"/>
      <w:r>
        <w:rPr>
          <w:rtl w:val="true"/>
        </w:rPr>
        <w:t xml:space="preserve">الفرع الثالث </w:t>
      </w:r>
      <w:r>
        <w:rPr>
          <w:rtl w:val="true"/>
        </w:rPr>
        <w:t xml:space="preserve">: </w:t>
      </w:r>
      <w:r>
        <w:rPr>
          <w:rtl w:val="true"/>
        </w:rPr>
        <w:t>فيما اذا أذن الراهن للمرتهن في البيع</w:t>
      </w:r>
      <w:bookmarkEnd w:id="76"/>
    </w:p>
    <w:p>
      <w:pPr>
        <w:pStyle w:val="BookText"/>
        <w:rPr/>
      </w:pPr>
      <w:r>
        <w:rPr>
          <w:rFonts w:ascii="Amiri" w:hAnsi="Amiri" w:eastAsia="Amiri" w:cs="Amiri"/>
          <w:color w:val="111111"/>
          <w:sz w:val="28"/>
          <w:sz w:val="28"/>
          <w:szCs w:val="28"/>
          <w:rtl w:val="true"/>
          <w:lang w:bidi="ar-SA"/>
        </w:rPr>
        <w:t>لو أذن الراهن للمرتهن في البيع قبل الأجل لم‌يجز للمرتهن التصرّف في الثمن قبل حلوله؛ لعدم استحقاقه، و الاذن في البيع لايقتضي الاذن في تعجيل الاستيفاء، و لو حلّ الأجل فان كان حقّ المرتهن موافقا للثمن جنسا و وصفا صحّ تصرّفه و أخذ حقّه باذن الراهن؛ لأنّ الثمن رهن أيضا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حلّ الأجل و أراد المرتهن استيفاء حقّه، طالب الراهن بالوفاء و لو ببيع الرهن منه أو التوكيل في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الأداء لامتناع الراهن مثلاً كان للمرتهن البيع و الاستيفاء ان كان وكيلاً مع اطلاق 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لم‌يكن وكيلاً و لم‌يتمكّن من اجباره رفع أمره الى الحاكم اذا كانت له بيّنة يثبت بها حقّه ليلزمه للاستيفاء و لو بالبيع و ليس للمرتهن البيع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امتنع من أمر الحاكم يبيعه عليه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لم‌يتمكّن المرتهن من اثبات حقّه عند الحاكم أو تعذّر وصوله الى الحاكم لعدمه أو لبعده فيجوز حينئذ استقلاله بالبيع بنفسه و استيفاء حقّه كما لو ظفر بغير جنس حقّه من مال المديون و هو جاحد و لا بيّنة</w:t>
      </w:r>
      <w:r>
        <w:rPr>
          <w:rFonts w:eastAsia="Amiri" w:cs="Amiri" w:ascii="Amiri" w:hAnsi="Amiri"/>
          <w:color w:val="111111"/>
          <w:sz w:val="28"/>
          <w:szCs w:val="28"/>
          <w:rtl w:val="true"/>
          <w:lang w:bidi="ar-SA"/>
        </w:rPr>
        <w:t xml:space="preserve">. </w:t>
      </w:r>
      <w:bookmarkStart w:id="77" w:name="pg9674_84150"/>
    </w:p>
    <w:p>
      <w:pPr>
        <w:pStyle w:val="Heading2"/>
        <w:numPr>
          <w:ilvl w:val="1"/>
          <w:numId w:val="1"/>
        </w:numPr>
        <w:rPr/>
      </w:pPr>
      <w:bookmarkStart w:id="78" w:name="__RefHeading___Toc7971328_2870459653"/>
      <w:bookmarkStart w:id="79" w:name="_Toc26"/>
      <w:bookmarkEnd w:id="77"/>
      <w:bookmarkEnd w:id="78"/>
      <w:r>
        <w:rPr>
          <w:rtl w:val="true"/>
        </w:rPr>
        <w:t xml:space="preserve">المقصد الثاني </w:t>
      </w:r>
      <w:r>
        <w:rPr>
          <w:rtl w:val="true"/>
        </w:rPr>
        <w:t xml:space="preserve">: </w:t>
      </w:r>
      <w:r>
        <w:rPr>
          <w:rtl w:val="true"/>
        </w:rPr>
        <w:t>في أحكام متعلّقة بالرهن</w:t>
      </w:r>
      <w:bookmarkEnd w:id="79"/>
    </w:p>
    <w:p>
      <w:pPr>
        <w:pStyle w:val="BookText"/>
        <w:rPr/>
      </w:pPr>
      <w:r>
        <w:rPr>
          <w:rFonts w:ascii="Amiri" w:hAnsi="Amiri" w:eastAsia="Amiri" w:cs="Amiri"/>
          <w:color w:val="111111"/>
          <w:sz w:val="28"/>
          <w:sz w:val="28"/>
          <w:szCs w:val="28"/>
          <w:rtl w:val="true"/>
          <w:lang w:bidi="ar-SA"/>
        </w:rPr>
        <w:t>الرهن لازم من جهة الراهن ليس له انتزاعه الاّ مع اقباض الدين أو الابراء منه أو تصريح المرتهن باسقاط حقّه من الارتهان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يبقى الرهن أمانة في يد المرتهن لايجب تسليمه الاّ مع المطالبة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80" w:name="__RefHeading___Toc7971330_2870459653"/>
      <w:bookmarkStart w:id="81" w:name="_Toc27"/>
      <w:bookmarkEnd w:id="80"/>
      <w:r>
        <w:rPr>
          <w:rtl w:val="true"/>
        </w:rPr>
        <w:t xml:space="preserve">الفرع الأوّل </w:t>
      </w:r>
      <w:r>
        <w:rPr>
          <w:rtl w:val="true"/>
        </w:rPr>
        <w:t xml:space="preserve">: </w:t>
      </w:r>
      <w:r>
        <w:rPr>
          <w:rtl w:val="true"/>
        </w:rPr>
        <w:t>في لزوم الرهن</w:t>
      </w:r>
      <w:bookmarkEnd w:id="81"/>
    </w:p>
    <w:p>
      <w:pPr>
        <w:pStyle w:val="BookText"/>
        <w:rPr/>
      </w:pPr>
      <w:r>
        <w:rPr>
          <w:rFonts w:ascii="Amiri" w:hAnsi="Amiri" w:eastAsia="Amiri" w:cs="Amiri"/>
          <w:color w:val="111111"/>
          <w:sz w:val="28"/>
          <w:sz w:val="28"/>
          <w:szCs w:val="28"/>
          <w:rtl w:val="true"/>
          <w:lang w:bidi="ar-SA"/>
        </w:rPr>
        <w:t xml:space="preserve">الرهن لازم من جهة الراهن و جائز من جهة المرتهن بلا خلاف بل ادّعي عليه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صحّة اشتراط الخيار للراهن؛ لمنافاته للاستيثاق و الحبس الذي هو مقتضى عقد الرهن، فليس له انتزاعه من المرتهن بدون رضاه الاّ مع سقوط الارتهان ببراءة ذمّته من الدين الذي قد رهن به أو بتصريح المرتهن باسقاط حقّه من الارتهان أو ما هو كالتصريح بلا خلاف في شيء من ذلك و لا اشكال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برئت ذمّته من بعض الحقّ فالظاهر بقاء الجميع رهنا على ما يبقى من الدين و ان قلّ اذا لم‌يكن قد اشترط التوزيع أو كونه رهنا على المجموع المنتفي صدقه بذهاب البعض</w:t>
      </w:r>
      <w:r>
        <w:rPr>
          <w:rFonts w:eastAsia="Amiri" w:cs="Amiri" w:ascii="Amiri" w:hAnsi="Amiri"/>
          <w:color w:val="111111"/>
          <w:sz w:val="28"/>
          <w:szCs w:val="28"/>
          <w:rtl w:val="true"/>
          <w:lang w:bidi="ar-SA"/>
        </w:rPr>
        <w:t xml:space="preserve">. </w:t>
      </w:r>
      <w:bookmarkStart w:id="82" w:name="pg9674_84151"/>
    </w:p>
    <w:p>
      <w:pPr>
        <w:pStyle w:val="Heading2"/>
        <w:numPr>
          <w:ilvl w:val="1"/>
          <w:numId w:val="1"/>
        </w:numPr>
        <w:rPr/>
      </w:pPr>
      <w:bookmarkStart w:id="83" w:name="__RefHeading___Toc7971332_2870459653"/>
      <w:bookmarkStart w:id="84" w:name="_Toc28"/>
      <w:bookmarkEnd w:id="82"/>
      <w:bookmarkEnd w:id="83"/>
      <w:r>
        <w:rPr>
          <w:rtl w:val="true"/>
        </w:rPr>
        <w:t xml:space="preserve">الفرع الثاني </w:t>
      </w:r>
      <w:r>
        <w:rPr>
          <w:rtl w:val="true"/>
        </w:rPr>
        <w:t xml:space="preserve">: </w:t>
      </w:r>
      <w:r>
        <w:rPr>
          <w:rtl w:val="true"/>
        </w:rPr>
        <w:t>في أنّه لو انفسخ الرهن يبقى في يد المرتهن أمانة</w:t>
      </w:r>
      <w:bookmarkEnd w:id="84"/>
    </w:p>
    <w:p>
      <w:pPr>
        <w:pStyle w:val="BookText"/>
        <w:rPr/>
      </w:pPr>
      <w:r>
        <w:rPr>
          <w:rFonts w:ascii="Amiri" w:hAnsi="Amiri" w:eastAsia="Amiri" w:cs="Amiri"/>
          <w:color w:val="111111"/>
          <w:sz w:val="28"/>
          <w:sz w:val="28"/>
          <w:szCs w:val="28"/>
          <w:rtl w:val="true"/>
          <w:lang w:bidi="ar-SA"/>
        </w:rPr>
        <w:t>لو انفسخ الرهن يبقى في يد المرتهن أمانة مالكيّة لا شرعيّة، و من لوازمها عدم وجوب تسليمها الى مالكها الاّ بمطالبته بخلاف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كذلك لأنّه مقبوض باذن المالك و قد كان وثيقة و أمانة فاذا سقطت الوثيقة بقيت الأمانة فتصير بمنزلة الوديعة لا بمنزلة ما لو أطار الريح ثوبا الى دار انسان حيث يلزمه ردّه على مالكه ابتداءً أو اعلامه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نحوه هو المعبّر عنه بالأمانة الشرعيّة؛ حيث انّ الشارع جعله أمينا عليه دون المالك، فتجب المبادرة الى أحد الأمرين؛ لأنّ المالك لم‌يرض بكونه في يده</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7971334_2870459653"/>
      <w:bookmarkStart w:id="86" w:name="_Toc29"/>
      <w:bookmarkEnd w:id="85"/>
      <w:r>
        <w:rPr>
          <w:rtl w:val="true"/>
        </w:rPr>
        <w:t xml:space="preserve">فيما لو شرط ان لم‌يؤدّ أن‌يكون الرهن مبيعا </w:t>
      </w:r>
      <w:r>
        <w:rPr>
          <w:rtl w:val="true"/>
        </w:rPr>
        <w:t xml:space="preserve">... </w:t>
      </w:r>
      <w:r>
        <w:rPr/>
        <w:t>62</w:t>
      </w:r>
      <w:bookmarkEnd w:id="86"/>
    </w:p>
    <w:p>
      <w:pPr>
        <w:pStyle w:val="BookText"/>
        <w:rPr/>
      </w:pPr>
      <w:r>
        <w:rPr>
          <w:rFonts w:ascii="Amiri" w:hAnsi="Amiri" w:eastAsia="Amiri" w:cs="Amiri"/>
          <w:color w:val="111111"/>
          <w:sz w:val="28"/>
          <w:sz w:val="28"/>
          <w:szCs w:val="28"/>
          <w:rtl w:val="true"/>
          <w:lang w:bidi="ar-SA"/>
        </w:rPr>
        <w:t>و لو شرط ان لم‌يؤدّ أن‌يكون الرهن مبيعا لم‌يصحّ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غصبه ثمّ رهنه صحّ و لم‌يزل الضمان، و كذا لو كان في يده ببيع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أسقط عنه الضمان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87" w:name="__RefHeading___Toc7971336_2870459653"/>
      <w:bookmarkStart w:id="88" w:name="_Toc30"/>
      <w:bookmarkEnd w:id="87"/>
      <w:r>
        <w:rPr>
          <w:rtl w:val="true"/>
        </w:rPr>
        <w:t xml:space="preserve">الفرع الأوّل </w:t>
      </w:r>
      <w:r>
        <w:rPr>
          <w:rtl w:val="true"/>
        </w:rPr>
        <w:t xml:space="preserve">: </w:t>
      </w:r>
      <w:r>
        <w:rPr>
          <w:rtl w:val="true"/>
        </w:rPr>
        <w:t>في اشتراط كون الرهن مبيعا ان لم‌يؤدّ الدين</w:t>
      </w:r>
      <w:bookmarkEnd w:id="88"/>
    </w:p>
    <w:p>
      <w:pPr>
        <w:pStyle w:val="Heading2"/>
        <w:numPr>
          <w:ilvl w:val="1"/>
          <w:numId w:val="1"/>
        </w:numPr>
        <w:rPr/>
      </w:pPr>
      <w:bookmarkStart w:id="89" w:name="__RefHeading___Toc7971338_2870459653"/>
      <w:bookmarkStart w:id="90" w:name="_Toc31"/>
      <w:bookmarkEnd w:id="89"/>
      <w:r>
        <w:rPr>
          <w:rtl w:val="true"/>
        </w:rPr>
        <w:t xml:space="preserve">فيما لو شرط ان لم‌يؤدّ أن‌يكون الرهن مبيعا </w:t>
      </w:r>
      <w:r>
        <w:rPr>
          <w:rtl w:val="true"/>
        </w:rPr>
        <w:t xml:space="preserve">... </w:t>
      </w:r>
      <w:r>
        <w:rPr/>
        <w:t>62</w:t>
      </w:r>
      <w:bookmarkEnd w:id="9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الرهن على دين مؤجّل و شرط أن‌يكون الرهن مبيعا للمرتهن بالدين أو بالقدر المخصوص ان لم‌يؤدّ الدين في ذلك الأجل فانّه لايصحّ الرهن ولا البيع؛ أمّا الرهن فلأنّه لايؤقّت الاّ بالوفاء و أمّا البيع فلأنّه لايعلّق بلا خلاف فيه </w:t>
      </w:r>
      <w:bookmarkStart w:id="91" w:name="pg9674_84152"/>
    </w:p>
    <w:p>
      <w:pPr>
        <w:pStyle w:val="BookText"/>
        <w:rPr/>
      </w:pPr>
      <w:bookmarkEnd w:id="91"/>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خالف في ذلك بعض العامّة فصحّح الرهن و أفسد البيع؛ لأنّ الراهن اذا رضي بالرهن مع هذا الشرط كان أولى أن‌يرضى به مع بطلانه، و فساده ظاهر؛ لأنّ مجرّد الرضا غير كافٍ مع اختلال شرائط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قبضه المرتهن على هذا الوجه ضمنه بعد الأجل لا قبله؛ لأنّه في مدّة الأجل رهن فاسد و بعده مبيع فاسد و فاسد كلّ عقد يتبع صحيحه في الضمان و عدمه فحيث كان صحيح الرهن غير مضمون كان فاسده كذلك و حيث كان صحيح البيع مضمونا على المشتري ففاسده كذلك</w:t>
      </w:r>
      <w:r>
        <w:rPr>
          <w:rFonts w:eastAsia="Amiri" w:cs="Amiri" w:ascii="Amiri" w:hAnsi="Amiri"/>
          <w:color w:val="111111"/>
          <w:sz w:val="28"/>
          <w:szCs w:val="28"/>
          <w:rtl w:val="true"/>
          <w:lang w:bidi="ar-SA"/>
        </w:rPr>
        <w:t>».</w:t>
      </w:r>
      <w:r>
        <w:rPr>
          <w:rStyle w:val="FootnoteAnchor"/>
          <w:rtl w:val="true"/>
        </w:rPr>
        <w:footnoteReference w:id="50"/>
      </w:r>
    </w:p>
    <w:p>
      <w:pPr>
        <w:pStyle w:val="Heading2"/>
        <w:numPr>
          <w:ilvl w:val="1"/>
          <w:numId w:val="1"/>
        </w:numPr>
        <w:rPr/>
      </w:pPr>
      <w:bookmarkStart w:id="92" w:name="__RefHeading___Toc7971340_2870459653"/>
      <w:bookmarkStart w:id="93" w:name="_Toc32"/>
      <w:bookmarkEnd w:id="92"/>
      <w:r>
        <w:rPr>
          <w:rtl w:val="true"/>
        </w:rPr>
        <w:t xml:space="preserve">الفرع الثاني </w:t>
      </w:r>
      <w:r>
        <w:rPr>
          <w:rtl w:val="true"/>
        </w:rPr>
        <w:t xml:space="preserve">: </w:t>
      </w:r>
      <w:r>
        <w:rPr>
          <w:rtl w:val="true"/>
        </w:rPr>
        <w:t>فيما لو غصب المال ثمّ رهن المالك من الغاصب</w:t>
      </w:r>
      <w:bookmarkEnd w:id="93"/>
    </w:p>
    <w:p>
      <w:pPr>
        <w:pStyle w:val="BookText"/>
        <w:rPr/>
      </w:pPr>
      <w:r>
        <w:rPr>
          <w:rFonts w:ascii="Amiri" w:hAnsi="Amiri" w:eastAsia="Amiri" w:cs="Amiri"/>
          <w:color w:val="111111"/>
          <w:sz w:val="28"/>
          <w:sz w:val="28"/>
          <w:szCs w:val="28"/>
          <w:rtl w:val="true"/>
          <w:lang w:bidi="ar-SA"/>
        </w:rPr>
        <w:t>لو غصب زيد مال عمرو و كان عمرو مديونا لزيد فرهن عمرو ذلك المال من زيد صحّ الارتهان، ثمّ هل يزول الضمان أم لا؟ ذهب المصنّف رحمه‌الله الى أنّه لم‌يزل الضمان؛ للاستصحاب، و كذا لو كان في يده بسوم أو ببيع فاسد أو استعارة مضمونة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في أوّل بحث الرهن أنّه يجوز رهن العين المغصوبة عند الغاصب و الخلاف في أنّ قبضه هل يتحقّق بمجرّد العقد أو لا بدّ فيه من اذن جديد؟ و أنّ المصنّف اختار تحقّقه بمجرّد العقد؛ اكتفاءً بالقبضالسابق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الكلام هنا في أنّ الضمان الذي كان قد حصل بالغصب هل يزول </w:t>
      </w:r>
    </w:p>
    <w:p>
      <w:pPr>
        <w:pStyle w:val="BookText"/>
        <w:rPr/>
      </w:pPr>
      <w:r>
        <w:rPr>
          <w:rFonts w:ascii="Amiri" w:hAnsi="Amiri" w:eastAsia="Amiri" w:cs="Amiri"/>
          <w:color w:val="111111"/>
          <w:sz w:val="28"/>
          <w:sz w:val="28"/>
          <w:szCs w:val="28"/>
          <w:rtl w:val="true"/>
          <w:lang w:bidi="ar-SA"/>
        </w:rPr>
        <w:t xml:space="preserve">بالرهن أم لا؟ و المصنّف رحمه‌الله جزم ببقاء الضمان؛ لأنّه كان حاصلاً من قبل و لم‌يحصل ما يزيله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استقرب العلاّمة في القواعد زوال الضمان بمجرّد العقد؛ لزوال السبب المقتضي للضمان؛ لأنّه لم‌يبق غاصبا، و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الوجهان آتيان فيما لو لم‌يكتف بالقبض السابق و جدّد له المالك الاذن في القبض بتقريب الدليل الاّ أنّ زوال الضمان هنا أقوى؛ لأنّ اذن المالك له في قبضه بمنزلة قبضه ايّاه ثمّ دفعه اليه؛ لأنّه حينئذ كوكيله بخلاف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البحث آتٍ في كلّ قبض مضمون كالمقبوض بالبيع الفاسد و السوم على القول به و المستعير المفرّط و المشروط عليه الضمان؛ لاشتراك الجميع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قبضه منه ثمّ أقبضه بعد عقد الرهن فحينئذ يزول الضمان بلا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أخرى أذن له في استمرار القبض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الضمان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أسقط عنه الضمان و هو أيضا موجب لسقوط الضمان، و لايقال بأنّه اسقاط لما لم‌يجب؛ فانّه يقال بأنّ الاسقاط يكون للحقّ الذي تحقّق فعلاً و هو تهيّؤ ذمّته للضمان بالتلف فليس حينئذ اسقاط لما لم‌يجب بل هو اسقاط لما وجب و تحقّق كما في الجواهر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لم‌يكن أحد من هذه بل رهنه فقط، فان كان هناك قرينة على كون رهنه أحدا من هذه الثلاثة فيزول الضمان أيضا بل يمكن أن‌يقال بأنّ الرهن يخرج القبض عن كونه غصبا فيتغيّر الموضوع و لا مجال حينئذ للاستصحاب</w:t>
      </w:r>
      <w:r>
        <w:rPr>
          <w:rFonts w:eastAsia="Amiri" w:cs="Amiri" w:ascii="Amiri" w:hAnsi="Amiri"/>
          <w:color w:val="111111"/>
          <w:sz w:val="28"/>
          <w:szCs w:val="28"/>
          <w:rtl w:val="true"/>
          <w:lang w:bidi="ar-SA"/>
        </w:rPr>
        <w:t xml:space="preserve">. </w:t>
      </w:r>
      <w:bookmarkStart w:id="94" w:name="pg9674_84154"/>
    </w:p>
    <w:p>
      <w:pPr>
        <w:pStyle w:val="Heading2"/>
        <w:numPr>
          <w:ilvl w:val="1"/>
          <w:numId w:val="1"/>
        </w:numPr>
        <w:rPr/>
      </w:pPr>
      <w:bookmarkStart w:id="95" w:name="__RefHeading___Toc7971342_2870459653"/>
      <w:bookmarkStart w:id="96" w:name="_Toc33"/>
      <w:bookmarkEnd w:id="94"/>
      <w:bookmarkEnd w:id="95"/>
      <w:r>
        <w:rPr>
          <w:rtl w:val="true"/>
        </w:rPr>
        <w:t xml:space="preserve">في ملكيّة ما يحصل من الرهن من فائدة </w:t>
      </w:r>
      <w:r>
        <w:rPr>
          <w:rtl w:val="true"/>
        </w:rPr>
        <w:t xml:space="preserve">... </w:t>
      </w:r>
      <w:r>
        <w:rPr/>
        <w:t>65</w:t>
      </w:r>
      <w:bookmarkEnd w:id="96"/>
    </w:p>
    <w:p>
      <w:pPr>
        <w:pStyle w:val="BookText"/>
        <w:rPr/>
      </w:pPr>
      <w:r>
        <w:rPr>
          <w:rFonts w:ascii="Amiri" w:hAnsi="Amiri" w:eastAsia="Amiri" w:cs="Amiri"/>
          <w:color w:val="111111"/>
          <w:sz w:val="28"/>
          <w:sz w:val="28"/>
          <w:szCs w:val="28"/>
          <w:rtl w:val="true"/>
          <w:lang w:bidi="ar-SA"/>
        </w:rPr>
        <w:t>و ما يحصل من الرهن من فائدة فهي للراهن، و لو حملت الشجرة أو الدابّة أو المملوكة بعد الارتهان كان الحمل رهنا كالأصل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يحصل من الرهن من فائدة متّصلة كانت أم منفصلة متولّدة كالثمرة أم لا ككسب العبد فانّ جميعها للراهن تبعا للأصل، فانّ حبسه لحقّ المرتهن لايخرجه عن حقيقة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أنّه هل يدخل معه في الرهن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فوائد الرهن و زوائده المتجدّدة بعد الارتهان ان كانت متّصلة اتّصالاً لايقبل الانفصال كالسمن و الطول دخلت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منفصلة كالثمرة و الولد أو يقبل الانفصال كالشعر و الثمرة قبل الجذاذ ففي دخولها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و منهم المصنّف دخولها فيه، و وجهه أنّ النماء من شأنه تبعيّة الأصل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عدم الدخول، ذهب اليه الشيخ و تبعه العلاّمة و ولده و المحقّق الكركي؛ لأصالة عدمه و لأنّ الأصل في الملك أن‌يتصرّف فيه مالكه كيف شاء، خرج منه الأصل بوقوع الرهن عليه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قول الثاني أقوى، و ما استدلّ به المشهور من أنّ النماء من شأنه تبعيّته في الملك فهو مسلّم الاّ أنّ الكلام في الحكم و لانسلّم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المرتهن دخولها أو شرط الراهن خروجها ارتفع الاشكال و لزم الشرط</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قول صاحب الجواهر، و هو الوجه</w:t>
      </w:r>
      <w:r>
        <w:rPr>
          <w:rFonts w:eastAsia="Amiri" w:cs="Amiri" w:ascii="Amiri" w:hAnsi="Amiri"/>
          <w:color w:val="111111"/>
          <w:sz w:val="28"/>
          <w:szCs w:val="28"/>
          <w:rtl w:val="true"/>
          <w:lang w:bidi="ar-SA"/>
        </w:rPr>
        <w:t xml:space="preserve">. </w:t>
      </w:r>
      <w:bookmarkStart w:id="97" w:name="pg9674_84155"/>
    </w:p>
    <w:p>
      <w:pPr>
        <w:pStyle w:val="Heading2"/>
        <w:numPr>
          <w:ilvl w:val="1"/>
          <w:numId w:val="1"/>
        </w:numPr>
        <w:rPr/>
      </w:pPr>
      <w:bookmarkStart w:id="98" w:name="__RefHeading___Toc7971344_2870459653"/>
      <w:bookmarkStart w:id="99" w:name="_Toc34"/>
      <w:bookmarkEnd w:id="97"/>
      <w:bookmarkEnd w:id="98"/>
      <w:r>
        <w:rPr>
          <w:rtl w:val="true"/>
        </w:rPr>
        <w:t xml:space="preserve">فيما اذا رهن مال غيره باذنه </w:t>
      </w:r>
      <w:r>
        <w:rPr>
          <w:rtl w:val="true"/>
        </w:rPr>
        <w:t xml:space="preserve">... </w:t>
      </w:r>
      <w:r>
        <w:rPr/>
        <w:t>66</w:t>
      </w:r>
      <w:bookmarkEnd w:id="99"/>
    </w:p>
    <w:p>
      <w:pPr>
        <w:pStyle w:val="Heading2"/>
        <w:numPr>
          <w:ilvl w:val="1"/>
          <w:numId w:val="1"/>
        </w:numPr>
        <w:rPr/>
      </w:pPr>
      <w:bookmarkStart w:id="100" w:name="__RefHeading___Toc7971346_2870459653"/>
      <w:bookmarkStart w:id="101" w:name="_Toc35"/>
      <w:bookmarkEnd w:id="100"/>
      <w:r>
        <w:rPr>
          <w:rtl w:val="true"/>
        </w:rPr>
        <w:t xml:space="preserve">فيما لو كان في يده رهنان بدينين متغايرين </w:t>
      </w:r>
      <w:r>
        <w:rPr>
          <w:rtl w:val="true"/>
        </w:rPr>
        <w:t xml:space="preserve">... </w:t>
      </w:r>
      <w:r>
        <w:rPr/>
        <w:t>66</w:t>
      </w:r>
      <w:bookmarkEnd w:id="101"/>
    </w:p>
    <w:p>
      <w:pPr>
        <w:pStyle w:val="BookText"/>
        <w:rPr/>
      </w:pPr>
      <w:r>
        <w:rPr>
          <w:rFonts w:ascii="Amiri" w:hAnsi="Amiri" w:eastAsia="Amiri" w:cs="Amiri"/>
          <w:color w:val="111111"/>
          <w:sz w:val="28"/>
          <w:sz w:val="28"/>
          <w:szCs w:val="28"/>
          <w:rtl w:val="true"/>
          <w:lang w:bidi="ar-SA"/>
        </w:rPr>
        <w:t>و لو كان في يده رهنان بدينين متغايرين ثمّ أدّى أحدهما لم‌يجز امساك الرهن الذي يخصّه بالدين الآخر، و كذا لو كان له دينان و بأحدهما رهن لم‌يجز له أن‌يجعله رهنا بهما و لا أن‌ينقله الى دين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 يده رهنان بدينين متغايرين أو متوافقين ثمّ أدّى الراهن أحدهما لايجوز للمرتهن امساك الرهن الذي يخصّه الدين المؤدّى بالدين الآخر من غير تراضٍ مع الراهن،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له دينان بأحدهما رهن لم‌يجز له أن‌يجعله رهنا بهما من غير تراض معه أيضا و لا أن‌ينقله الى دين مستأنف، أمّا مع الرضا من الراهن فيجوز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لأنّ كلّ عقد فيه دين و رهن مع تراضٍ من الطرفين، فاذا أراد أحدهما أن‌يبدّل ما تراضيا عليه فلا بدّ من عقد جديد مع تراضٍ آخر</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7971348_2870459653"/>
      <w:bookmarkStart w:id="103" w:name="_Toc36"/>
      <w:bookmarkEnd w:id="102"/>
      <w:r>
        <w:rPr>
          <w:rtl w:val="true"/>
        </w:rPr>
        <w:t xml:space="preserve">فيما اذا رهن مال غيره باذنه </w:t>
      </w:r>
      <w:r>
        <w:rPr>
          <w:rtl w:val="true"/>
        </w:rPr>
        <w:t xml:space="preserve">... </w:t>
      </w:r>
      <w:r>
        <w:rPr/>
        <w:t>66</w:t>
      </w:r>
      <w:bookmarkEnd w:id="103"/>
    </w:p>
    <w:p>
      <w:pPr>
        <w:pStyle w:val="BookText"/>
        <w:rPr/>
      </w:pPr>
      <w:r>
        <w:rPr>
          <w:rFonts w:ascii="Amiri" w:hAnsi="Amiri" w:eastAsia="Amiri" w:cs="Amiri"/>
          <w:color w:val="111111"/>
          <w:sz w:val="28"/>
          <w:sz w:val="28"/>
          <w:szCs w:val="28"/>
          <w:rtl w:val="true"/>
          <w:lang w:bidi="ar-SA"/>
        </w:rPr>
        <w:t>و اذا رهن مال غيره باذنه ضمنه بقيمته ان تلف أو تعذّر اعادته، و لو بيع بأكثر من ثمن مثله كان له المطالبة بما بيع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رهن مال غيره باذنه جاز باجماع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سمّوه استعارة للرهن و جعلوها مضمونة على الراهن و ان تلفت بغير تفريط من المرتهن، على خلاف القاعدة فانّ العارية غير مضمونة الاّ مع الشرط أو في الذهب و الفضّة، و جعل العارية هنا مضمونة خلاف القاعدة و الدليل عليه هوالاجماع ظاهرا</w:t>
      </w:r>
      <w:r>
        <w:rPr>
          <w:rFonts w:eastAsia="Amiri" w:cs="Amiri" w:ascii="Amiri" w:hAnsi="Amiri"/>
          <w:color w:val="111111"/>
          <w:sz w:val="28"/>
          <w:szCs w:val="28"/>
          <w:rtl w:val="true"/>
          <w:lang w:bidi="ar-SA"/>
        </w:rPr>
        <w:t xml:space="preserve">. </w:t>
      </w:r>
      <w:bookmarkStart w:id="104" w:name="pg9674_84156"/>
    </w:p>
    <w:p>
      <w:pPr>
        <w:pStyle w:val="BookText"/>
        <w:rPr/>
      </w:pPr>
      <w:bookmarkEnd w:id="104"/>
      <w:r>
        <w:rPr>
          <w:rFonts w:ascii="Amiri" w:hAnsi="Amiri" w:eastAsia="Amiri" w:cs="Amiri"/>
          <w:color w:val="111111"/>
          <w:sz w:val="28"/>
          <w:sz w:val="28"/>
          <w:szCs w:val="28"/>
          <w:rtl w:val="true"/>
          <w:lang w:bidi="ar-SA"/>
        </w:rPr>
        <w:t>و هي لازمة لايجوز للمعير الرجوع فيها بحيث يفسخ الرهن و ان جاز له مطالبة الراهن بالفكّ عند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تلف في يد المرتهن بغير تفريط لم‌يضمن و ضمن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التلف تعذّر ردّه بالغصب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أراد المرتهن استيفاء دينه من الرهن المستعار، بالبيع حيث يجوز بيعه فحكمه حكم غيره من جواز بيعه ان كان وكيلاً و الاّ استأذن المالك و الاّ فالحاكم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باعه على وجه يصحّ فليكن بثمن المثل فصاعدا، فان باع بأكثر فالأكثر للمالك؛ لأنّه ثمن ملكه</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7971350_2870459653"/>
      <w:bookmarkStart w:id="106" w:name="_Toc37"/>
      <w:bookmarkEnd w:id="105"/>
      <w:r>
        <w:rPr>
          <w:rtl w:val="true"/>
        </w:rPr>
        <w:t xml:space="preserve">فيما اذا رهن النخل </w:t>
      </w:r>
      <w:r>
        <w:rPr>
          <w:rtl w:val="true"/>
        </w:rPr>
        <w:t xml:space="preserve">... </w:t>
      </w:r>
      <w:r>
        <w:rPr/>
        <w:t>67</w:t>
      </w:r>
      <w:bookmarkEnd w:id="106"/>
    </w:p>
    <w:p>
      <w:pPr>
        <w:pStyle w:val="BookText"/>
        <w:rPr/>
      </w:pPr>
      <w:r>
        <w:rPr>
          <w:rFonts w:ascii="Amiri" w:hAnsi="Amiri" w:eastAsia="Amiri" w:cs="Amiri"/>
          <w:color w:val="111111"/>
          <w:sz w:val="28"/>
          <w:sz w:val="28"/>
          <w:szCs w:val="28"/>
          <w:rtl w:val="true"/>
          <w:lang w:bidi="ar-SA"/>
        </w:rPr>
        <w:t>و اذا رهن النخل لم‌تدخل الثمرة و ان لم‌تؤبر و كذا ان رهن الأرض لم‌يدخل الزرع و لا الشجر و لا النخل، و لو قال بحقوقها دخل و فيه تردّد ما لم‌يصرّح، و كذا ما ينبت في الأرض بعد رهنها، سواء أنبته اللّه سبحانه أو الراهن أو أجنبي اذا لم‌يكن الغرس من الشجر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يجبر الراهن على ازالته؟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رهن لقطة ممّا يلقط كالخيار فان كان الحقّ يحلّ قبل تجدّد الثانية صحّ، و ان كان متأخّرا تأخّرا يلزم منه اختلاط الرهن بحيث لايتميّز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أنّه لايبطل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رهن الخرطة ممّا يخرط و الجزة مما يجز</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رهن النخل لم‌تدخل الثمرة و ان لم‌تؤبّر؛ لعدم تناول اللفظ لها، و الدخول في البيع لدليل مخصوص لايقتضي الدخول هنا بعد حرمة القياس عندنا، فلا فرق حينئذ بين ثمرة النخل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رهن الأرض لم‌يدخل الزرع و لا الشجر ولا النخل الواقع فيها لعدم تناول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لايدخل ما ينبت في الأرض بعد </w:t>
      </w:r>
      <w:bookmarkStart w:id="107" w:name="pg9674_84157"/>
    </w:p>
    <w:p>
      <w:pPr>
        <w:pStyle w:val="BookText"/>
        <w:rPr/>
      </w:pPr>
      <w:bookmarkEnd w:id="107"/>
      <w:r>
        <w:rPr>
          <w:rFonts w:ascii="Amiri" w:hAnsi="Amiri" w:eastAsia="Amiri" w:cs="Amiri"/>
          <w:color w:val="111111"/>
          <w:sz w:val="28"/>
          <w:sz w:val="28"/>
          <w:szCs w:val="28"/>
          <w:rtl w:val="true"/>
          <w:lang w:bidi="ar-SA"/>
        </w:rPr>
        <w:t>رهنها سواء أنبته اللّه سبحانه أو الراهن أو الأجنبي اذا لم‌يكن الغرس من الشجر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يجبر الراهن على ازالة ما نبت بعد الرهن؟ اختار المصنّف جواز اجبار الراهن بازالته، و 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اختار جواز الاجبار لو كان ذلك بفعل الراهن، و في اطلاقه اشكال، فانّ الأرض لم‌تكن ملكا للمرتهن و انّما كانت وثيقة لدين الراهن فالمهمّ عدم مزاحمة ما نبت لكون الأرض وثيقة، فانّ تصرّف الراهن و ان كان محرّما الاّ أنّ الأرض ملكه و لايجبر على ازالة ما نبت فيه الاّ أن‌يزاحم حقّ المرتهن من كون الأرض 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رهن لقطة ممّا يلقط كالخيار فان كان الحقّ يحلّ قبل تجدّد الثانية صحّ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متأخّرا تأخّرا يلزم منه اختلاط الرهن بحيث لايتميّز قيل كما عن المبسوط و موضع من التذكرة يبطل؛ لتعذّر الاستيفاء بسبب عدم التميّز و لعدم صحّة البيع عند الأجل للجهل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أنّه لايبطل؛ لامكان الاستيفاء مع المضايقة من الراهن بالقسمة معه و لو بالصلح قهرا كما ذهب اليه العلاّمة و ولده و الشهيدان و المحقّق الثاني و غيرهم على ما حكي عن بعضهم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البحث في رهن الخرطة ممّا يخرط و الجزّة ممّا يجزّ</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7971352_2870459653"/>
      <w:bookmarkStart w:id="109" w:name="_Toc38"/>
      <w:bookmarkEnd w:id="108"/>
      <w:r>
        <w:rPr>
          <w:rtl w:val="true"/>
        </w:rPr>
        <w:t xml:space="preserve">فيما اذا جنى المرهون </w:t>
      </w:r>
      <w:r>
        <w:rPr>
          <w:rtl w:val="true"/>
        </w:rPr>
        <w:t xml:space="preserve">... </w:t>
      </w:r>
      <w:r>
        <w:rPr/>
        <w:t>68</w:t>
      </w:r>
      <w:bookmarkEnd w:id="1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جنى المرهون عمدا تعلّقت الجناية برقبته و كان حقّ المجني عليه أولى به، و ان جنى خطأ فان افتكّه المولى بقي رهنا، و ان سلّمه كان للمجنيعليه منه بقدر أرش الجناية و الباقي رهن، و ان استوعبت الجناية قيمته كان </w:t>
      </w:r>
    </w:p>
    <w:p>
      <w:pPr>
        <w:pStyle w:val="BookText"/>
        <w:rPr/>
      </w:pPr>
      <w:r>
        <w:rPr>
          <w:rFonts w:ascii="Amiri" w:hAnsi="Amiri" w:eastAsia="Amiri" w:cs="Amiri"/>
          <w:color w:val="111111"/>
          <w:sz w:val="28"/>
          <w:sz w:val="28"/>
          <w:szCs w:val="28"/>
          <w:rtl w:val="true"/>
          <w:lang w:bidi="ar-SA"/>
        </w:rPr>
        <w:t>المجني عليه أولى به من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جنى على مولاه عمدا اقتصّ منه و لايخرج عن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الجناية نفسا جاز قتله، أمّا لو كانت خطأ لم‌يكن لمولاه عليه شيء و بقي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الجناية على من يرثه المالك ثبت للمالك ما ثبت للموروث من القصاص أو انتزاعه في الخطأ ان استوعبت الجناية قيمته أو اطلاق ما قابل الجناية ان لم‌تستوعب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جنى العبد المرهون عمدا تعلّقت الجناية برقبته و لذا كان حقّ المجني عليه أولى من حقّ المرتهن؛ و ذلك لأنّه قد ثبت في المواضع المختلفة من الفقه أنّه اذا تزاحم ما له بدل مع ما ليس له بدل، فما ليس له بدل أولى و أهمّ و له التقدّم على ما له بدل، فانّ حقّ المرتهن متعلّق بالرقبة و بذمّة الراهن فلايفوت حقّه بفوات الرهن مع أنّ حقّ المجني عليه ليس 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جناية العبد المرهون ان كانت نفسا و أوجبت قصاصا فأمره الى وارث المجني عليه فان اقتصّ بطل الرهن و كذا ان استرقّه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عفى عنه بقي رهنا؛ اذ لم‌يبطل الرهن بصرف الجناية و انّما يبطل اذا تزاحمت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رضي الوارث بالدية فان بذله المولى بقي رهنا أيضا و الاّ بيع العبد و بطل الرهن و ان عاد الى ملك الراهن كما لو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أوجبت قصاصا في الطرف اقتصّ منه و بقي رهنا، و ان رضي المجني عليه بالدية فكالسابق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جنايته على مولاه فتارة تكون في نفسه و أخرى في طرفه و عليهما فتارة تكون عمدا و أخرى تكون خطأ، فان كانت الجناية عمدا في نفس مولاه فأمره الى وارثه كما تقدّم، و ان كانت عمدا في طرف مولاه فأمره الى مولاه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كانت الجناية خطأ في نفس مولاه أو طرفه فلايكون لوارثه في الأوّل ولا لمولاه في الثاني عليه شيء؛ لأنّ العبد ماله و لايثبت له على ماله مال</w:t>
      </w:r>
      <w:r>
        <w:rPr>
          <w:rFonts w:eastAsia="Amiri" w:cs="Amiri" w:ascii="Amiri" w:hAnsi="Amiri"/>
          <w:color w:val="111111"/>
          <w:sz w:val="28"/>
          <w:szCs w:val="28"/>
          <w:rtl w:val="true"/>
          <w:lang w:bidi="ar-SA"/>
        </w:rPr>
        <w:t xml:space="preserve">. </w:t>
      </w:r>
      <w:bookmarkStart w:id="110" w:name="pg9674_84159"/>
    </w:p>
    <w:p>
      <w:pPr>
        <w:pStyle w:val="BookText"/>
        <w:rPr/>
      </w:pPr>
      <w:bookmarkEnd w:id="110"/>
      <w:r>
        <w:rPr>
          <w:rFonts w:ascii="Amiri" w:hAnsi="Amiri" w:eastAsia="Amiri" w:cs="Amiri"/>
          <w:color w:val="111111"/>
          <w:sz w:val="28"/>
          <w:sz w:val="28"/>
          <w:szCs w:val="28"/>
          <w:rtl w:val="true"/>
          <w:lang w:bidi="ar-SA"/>
        </w:rPr>
        <w:t>و أمّا اذا جنى على من يرثه المالك، فان كانت في غير النفس فأمره الى المجني عليه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نفسا و أوجبت قصاصا فله قتله أو استرقاقه و فكّه من الرهن، فانّ الحقّ هنا ابتداءً للمجني عليه و انّما ينتقل الحقّ الى المالك من مورّثه، و لذا كان للمالك فكّه من الرهن هنا و لم‌يكن له ذلك اذا جنى العبد عليه، كما هو واضح</w:t>
      </w:r>
    </w:p>
    <w:p>
      <w:pPr>
        <w:pStyle w:val="Heading2"/>
        <w:numPr>
          <w:ilvl w:val="1"/>
          <w:numId w:val="1"/>
        </w:numPr>
        <w:rPr/>
      </w:pPr>
      <w:bookmarkStart w:id="111" w:name="__RefHeading___Toc7971354_2870459653"/>
      <w:bookmarkStart w:id="112" w:name="_Toc39"/>
      <w:bookmarkEnd w:id="111"/>
      <w:r>
        <w:rPr>
          <w:rtl w:val="true"/>
        </w:rPr>
        <w:t xml:space="preserve">فيما لو أتلف الرهن متلف </w:t>
      </w:r>
      <w:r>
        <w:rPr>
          <w:rtl w:val="true"/>
        </w:rPr>
        <w:t xml:space="preserve">... </w:t>
      </w:r>
      <w:r>
        <w:rPr/>
        <w:t>70</w:t>
      </w:r>
      <w:bookmarkEnd w:id="112"/>
    </w:p>
    <w:p>
      <w:pPr>
        <w:pStyle w:val="BookText"/>
        <w:rPr/>
      </w:pPr>
      <w:r>
        <w:rPr>
          <w:rFonts w:ascii="Amiri" w:hAnsi="Amiri" w:eastAsia="Amiri" w:cs="Amiri"/>
          <w:color w:val="111111"/>
          <w:sz w:val="28"/>
          <w:sz w:val="28"/>
          <w:szCs w:val="28"/>
          <w:rtl w:val="true"/>
          <w:lang w:bidi="ar-SA"/>
        </w:rPr>
        <w:t>و لو أتلف الرهن متلف ألزم بقيمته و تكون رهنا و لو أتلفه المرتهن، لكن لو كان وكيلاً في الأصل لم‌يكن وكيلاً في القيمة؛ لأنّ العقد لم‌يتناولها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أتلف الرهن متلف كلاًّ ألزم بقيمته و لو أتلف بعضه ألزم الأرش و يكونان رهنا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 الرهانة متعلّق بالعين و قد جعل لها الشارع بالتلف بدلاً فيتعلّق به كما هو مقتضى البدليّة و ان أتلفه المرتهن؛ لعدم دلالة اتلافه على اسقاط حقّ رهانته كما أنّ عدم ضمان المالك لماله لايسقط حقّ المرتهن لو كان المتلف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كان المرتهن وكيلاً في الأصل على بيع أو غيره لم‌يكن وكيلاً في القيمة؛ لأنّ العقد لم‌يتناولها</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7971356_2870459653"/>
      <w:bookmarkStart w:id="114" w:name="_Toc40"/>
      <w:bookmarkEnd w:id="113"/>
      <w:r>
        <w:rPr>
          <w:rtl w:val="true"/>
        </w:rPr>
        <w:t xml:space="preserve">فيما لو رهن عصيرا فصار خمرا </w:t>
      </w:r>
      <w:r>
        <w:rPr>
          <w:rtl w:val="true"/>
        </w:rPr>
        <w:t xml:space="preserve">... </w:t>
      </w:r>
      <w:r>
        <w:rPr/>
        <w:t>70</w:t>
      </w:r>
      <w:bookmarkEnd w:id="114"/>
    </w:p>
    <w:p>
      <w:pPr>
        <w:pStyle w:val="BookText"/>
        <w:rPr/>
      </w:pPr>
      <w:r>
        <w:rPr>
          <w:rFonts w:ascii="Amiri" w:hAnsi="Amiri" w:eastAsia="Amiri" w:cs="Amiri"/>
          <w:color w:val="111111"/>
          <w:sz w:val="28"/>
          <w:sz w:val="28"/>
          <w:szCs w:val="28"/>
          <w:rtl w:val="true"/>
          <w:lang w:bidi="ar-SA"/>
        </w:rPr>
        <w:t>و لو رهن عصيرا فصار خمرا بطل الرهن فلو عاد خلاًّ عاد اليه ملك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رهن من مسلم خمرا لم‌يصحّ فلو انقلب في يده خلاًّ فهو له على تردّد، و كذا لو جمع خمرا مراقا، و ليس كذلك لو غصب عصيرا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رهن عصيرا جاز بلا خلاف؛ لأنّه عين مملوكة يجوز بيعها و احتمالصيرورته خمرا قبل حلول الحقّ غير قادح كرهن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فلو </w:t>
      </w:r>
      <w:bookmarkStart w:id="115" w:name="pg9674_84160"/>
    </w:p>
    <w:p>
      <w:pPr>
        <w:pStyle w:val="BookText"/>
        <w:rPr/>
      </w:pPr>
      <w:bookmarkEnd w:id="115"/>
      <w:r>
        <w:rPr>
          <w:rFonts w:ascii="Amiri" w:hAnsi="Amiri" w:eastAsia="Amiri" w:cs="Amiri"/>
          <w:color w:val="111111"/>
          <w:sz w:val="28"/>
          <w:sz w:val="28"/>
          <w:szCs w:val="28"/>
          <w:rtl w:val="true"/>
          <w:lang w:bidi="ar-SA"/>
        </w:rPr>
        <w:t>صار خمرا في يد المرتهن بطل الرهن عندنا؛ لخروجه عن الملكيّة التي هي شرط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عاد خلاًّ عاد الى ملك الراهن و عاد الرهن أيضا، فانّ الرهن أمانة في يد المرتهن كما تقدّم و لذا كان حكمه حكم ملك الراهن اذا كان في يده و تحت استيلائه، فاذا صار العصير في يده خمرا ثمّ عاد خلاًّ عاد الى ملكه، فكذا اذا كان رهنا و لايكون تحت استيلائه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رهن مسلم من مسلم خمرا لم‌يصحّ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الملكيّة التي تشترط في الرهن، و عدم جواز بيع المسلم ايّاها، فلو انقلب في يد المرتهن خلاًّ فهل هو له؛ لاستيلاء يده عليه أو كان للراهن؟ فيه اشكال، أظهره أنّه للراهن و ذلك لأنّ الاستيلاء على الرهن أوّلاً و بالذات للراهن و استيلاء المرتهن فرع استيلاء الراهن و هو الذي صيّره ذا اليد، فكان للراهن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الفرق بين هذا الفرع و بين ما اذا جمع جامع خمرا مراقا فتخلّلت في يده فانّه يكون ملكا للثاني بلا خلاف دون الأوّل؛ لاسقاط حقّ أولويّته منها بالاراقة الظاهرة في الاعراض كما في الجواهر</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فانّ حقّ الأولويّة هنا للراهن ظاهرا، لعدم صدق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غصب عصيرا فصار خمرا في يده ثمّ تخلّل كذلك فانّه لا خلاف في عدم ملكيّة الغاصب له بل هو ملك للمغصوب منه فيرجعه اليه</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7971358_2870459653"/>
      <w:bookmarkStart w:id="117" w:name="_Toc41"/>
      <w:bookmarkEnd w:id="116"/>
      <w:r>
        <w:rPr>
          <w:rtl w:val="true"/>
        </w:rPr>
        <w:t xml:space="preserve">فيما لو رهنه بيضة </w:t>
      </w:r>
      <w:r>
        <w:rPr>
          <w:rtl w:val="true"/>
        </w:rPr>
        <w:t xml:space="preserve">... </w:t>
      </w:r>
      <w:r>
        <w:rPr/>
        <w:t>71</w:t>
      </w:r>
      <w:bookmarkEnd w:id="11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رهنه بيضة فأحضنها فصارت في يده فرخا كان الملك و الرهن باقيين، و كذا لو رهنه حبّا فزرعه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رهن اثنان عبدا بينهما بدين عليهماكانت حصّة كلّ واحد منهما رهنا بدينه فاذا أدّاه صارت حصّته طلقا و ان </w:t>
      </w:r>
    </w:p>
    <w:p>
      <w:pPr>
        <w:pStyle w:val="BookText"/>
        <w:rPr/>
      </w:pPr>
      <w:r>
        <w:rPr>
          <w:rFonts w:ascii="Amiri" w:hAnsi="Amiri" w:eastAsia="Amiri" w:cs="Amiri"/>
          <w:color w:val="111111"/>
          <w:sz w:val="28"/>
          <w:sz w:val="28"/>
          <w:szCs w:val="28"/>
          <w:rtl w:val="true"/>
          <w:lang w:bidi="ar-SA"/>
        </w:rPr>
        <w:t>بقيت حصّة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رهن بيضة فأحضنها المرتهن فصارت في يده فرخا كان الملك و الرهن باقيين و كذا لو رهنه حبّا فزرعه؛ لأنّ هذه الأشياء نتيجة ماله و مادّتها له فلم‌تخرج عن ملكه بالتغيير فالرهن تابع للعين كيفما تغيّرت أو نقلت، و ليس معلّقا على اسم البيضة و الحبّ حتّى يزول بزوال الاسم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رهن اثنان عبدا بينهما بدين عليهما كانت حصّة كلّ واحد منهما رهنا بدينه مع الاطلاق، فاذا أدّاه واحد منهما صارت حصّته طلقا و بقيت حصّة الآخر رهنا</w:t>
      </w:r>
      <w:r>
        <w:rPr>
          <w:rFonts w:eastAsia="Amiri" w:cs="Amiri" w:ascii="Amiri" w:hAnsi="Amiri"/>
          <w:color w:val="111111"/>
          <w:sz w:val="28"/>
          <w:szCs w:val="28"/>
          <w:rtl w:val="true"/>
          <w:lang w:bidi="ar-SA"/>
        </w:rPr>
        <w:t xml:space="preserve">. </w:t>
      </w:r>
      <w:bookmarkStart w:id="118" w:name="pg9674_84162"/>
    </w:p>
    <w:p>
      <w:pPr>
        <w:pStyle w:val="Heading2"/>
        <w:numPr>
          <w:ilvl w:val="1"/>
          <w:numId w:val="1"/>
        </w:numPr>
        <w:rPr/>
      </w:pPr>
      <w:bookmarkStart w:id="119" w:name="__RefHeading___Toc7971360_2870459653"/>
      <w:bookmarkStart w:id="120" w:name="_Toc42"/>
      <w:bookmarkEnd w:id="118"/>
      <w:bookmarkEnd w:id="119"/>
      <w:r>
        <w:rPr>
          <w:rtl w:val="true"/>
        </w:rPr>
        <w:t xml:space="preserve">المقصد الثالث </w:t>
      </w:r>
      <w:r>
        <w:rPr>
          <w:rtl w:val="true"/>
        </w:rPr>
        <w:t xml:space="preserve">: </w:t>
      </w:r>
      <w:r>
        <w:rPr>
          <w:rtl w:val="true"/>
        </w:rPr>
        <w:t>في النزاع الواقع فيه</w:t>
      </w:r>
      <w:bookmarkEnd w:id="120"/>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7971362_2870459653"/>
      <w:bookmarkStart w:id="122" w:name="_Toc43"/>
      <w:bookmarkEnd w:id="121"/>
      <w:r>
        <w:rPr>
          <w:rtl w:val="true"/>
        </w:rPr>
        <w:t xml:space="preserve">فيما اذا رهن مشاعا </w:t>
      </w:r>
      <w:r>
        <w:rPr>
          <w:rtl w:val="true"/>
        </w:rPr>
        <w:t xml:space="preserve">... </w:t>
      </w:r>
      <w:r>
        <w:rPr/>
        <w:t>73</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رهن مشاعا و تشاحّ الشريك و المرتهن في امساكه انتزعه الحاكم و آجره ان كان له أجرة ثمّ قسّمها بينهما بموجب الشركة و الاّ استأمن عليه من شاء؛ قطعا للمنازعة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رهن مشاعا و أذن للمرتهن في قبضه و استدامة يده عليه و تشاحّ الشريك و المرتهن في امساكه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نزاعهما في الامساك لأجل القبض المشروط في الرهن أو لأجل الاستئمان الى أن‌يحلّ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الحاكم و قبضه لهما بنفسه أو نصب عدلاً يكون في يده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انتزعه منهما فان كان له أجرة و طلبوا استئجاره آجره مدّة لاتزيد عن أخذ الحقّ الاّ برضا المرتهن و اجازته ثمّ قسّمها بينهما بموجب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لم‌تكن له أجرة أو لم‌يريدوا استئجاره بقي عنده أمانة أو استأمن عليه من شاء قطعا للمنازعة المنصوب لحسمها و ما شابهها</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7971364_2870459653"/>
      <w:bookmarkStart w:id="124" w:name="_Toc44"/>
      <w:bookmarkEnd w:id="123"/>
      <w:r>
        <w:rPr>
          <w:rtl w:val="true"/>
        </w:rPr>
        <w:t xml:space="preserve">فيما اذا مات المرتهن </w:t>
      </w:r>
      <w:r>
        <w:rPr>
          <w:rtl w:val="true"/>
        </w:rPr>
        <w:t xml:space="preserve">... </w:t>
      </w:r>
      <w:r>
        <w:rPr/>
        <w:t>73</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المرتهن انتقل حقّ الرهانة الى الوارث فان امتنع الراهن من استئمانه كان له ذلك، فان اتّفقا على أمين و الاّ استأمن عليه الحاكم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الكلام في هذه المسألة عينا و قلنا بأنّه اذا مات المرتهن فانّه و ان </w:t>
      </w:r>
      <w:bookmarkStart w:id="125" w:name="pg9674_84163"/>
    </w:p>
    <w:p>
      <w:pPr>
        <w:pStyle w:val="BookText"/>
        <w:rPr/>
      </w:pPr>
      <w:bookmarkEnd w:id="125"/>
      <w:r>
        <w:rPr>
          <w:rFonts w:ascii="Amiri" w:hAnsi="Amiri" w:eastAsia="Amiri" w:cs="Amiri"/>
          <w:color w:val="111111"/>
          <w:sz w:val="28"/>
          <w:sz w:val="28"/>
          <w:szCs w:val="28"/>
          <w:rtl w:val="true"/>
          <w:lang w:bidi="ar-SA"/>
        </w:rPr>
        <w:t xml:space="preserve">انتقل حقّ الرهانة الى الوارث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للراهن الامتناع من تسليمه الى الوارث كما يجوز للوارث الامتناع من تسليم الرهن له، و قلنا بأنّهما امّا أن‌يتّفقا على أمين، أو تسلّمه الحاكم، و هكذا يكون الحكم لو مات الراهن، فراجع</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7971366_2870459653"/>
      <w:bookmarkStart w:id="127" w:name="_Toc45"/>
      <w:bookmarkEnd w:id="126"/>
      <w:r>
        <w:rPr>
          <w:rtl w:val="true"/>
        </w:rPr>
        <w:t xml:space="preserve">فيما اذا فرّط في الرهن و تلف </w:t>
      </w:r>
      <w:r>
        <w:rPr>
          <w:rtl w:val="true"/>
        </w:rPr>
        <w:t xml:space="preserve">... </w:t>
      </w:r>
      <w:r>
        <w:rPr/>
        <w:t>74</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فرّط في الرهن و تلف لزمته قيمته يوم قبضه،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اختلفا في القيمة كان القول قول الراهن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فرّط في الرهن و تلف لزمته قيمته يوم الأداء سواء كان مثليّا أو قيميّا، أمّا في المثلي فلأنّه ان وجد ضمن بمثله و الاّ فقيمة المثل عند الأداء؛ لأنّ الواجب قبله انّما كان المثل و انّما انتقل الى القيمة حين الأداء لتعذّر المثل، و أمّا في القيمي فالأقوال فيها و ان كانت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المهمّ منها خمسة قيمة يوم القبض و قيمة يوم التلف و أعلى القيم و يوم العدوان و يوم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الأقوى فيها أيضا قيمة يوم الأداء كما استدللنا عليه في المواضع المختلفة ككتاب البيع و الغصب و مباحثنا في القواعد الفقهيّة في قاعدة ضمان اليد، و الدليل عليه أنّ يوم الأداء هو وقت انقلاب العين التي في ذمّته الى القيمة لعدم امكان ردّ العين، فانّه مطابق للعرف، فانّ من غُصب ماله يقول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متاعي فأين هو؟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قيمته، فالعرف يرى أنّ انتقال الضمان من العين الى القيمة يكون يوم الأداء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بأنّ قيمة يوم الأداء كانت أزيد فيلزم الضرر،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موجودا لكانت قيمته الفعليّة هذا المقدار</w:t>
      </w:r>
      <w:r>
        <w:rPr>
          <w:rFonts w:eastAsia="Amiri" w:cs="Amiri" w:ascii="Amiri" w:hAnsi="Amiri"/>
          <w:color w:val="111111"/>
          <w:sz w:val="28"/>
          <w:szCs w:val="28"/>
          <w:rtl w:val="true"/>
          <w:lang w:bidi="ar-SA"/>
        </w:rPr>
        <w:t xml:space="preserve">. </w:t>
      </w:r>
      <w:bookmarkStart w:id="128" w:name="pg9674_84164"/>
    </w:p>
    <w:p>
      <w:pPr>
        <w:pStyle w:val="BookText"/>
        <w:rPr/>
      </w:pPr>
      <w:bookmarkEnd w:id="128"/>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بضمانه يوم هلاكه للأكثر، و منهم المصنّف في النافع؛ لأنّه وقت الحكم بضمان القيمة، لأنّ الحقّ قبله كان منحصرا في العين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ولكنّ الظاهر أنّ عليه أداء العين الى صاحبه الى حين الأداء، فانّه ضامن للعين قبله فاذا تعذّر انتقل الى القيمة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القيمة المضمونة بالتفريط فالقول قول المرتهن؛ لأنّه منكر للزائد و الأصل عدمه و براءته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 قول الراهن للأكثر؛ نظرا الى كون المرتهن صار خائنا، فلايقبل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بأنّا لم‌نقبل قوله من هذه الحيثيّة، بل لما ذكرناه</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7971368_2870459653"/>
      <w:bookmarkStart w:id="130" w:name="_Toc46"/>
      <w:bookmarkEnd w:id="129"/>
      <w:r>
        <w:rPr>
          <w:rtl w:val="true"/>
        </w:rPr>
        <w:t xml:space="preserve">فيما لو اختلفا فيما على الرهن </w:t>
      </w:r>
      <w:r>
        <w:rPr>
          <w:rtl w:val="true"/>
        </w:rPr>
        <w:t xml:space="preserve">... </w:t>
      </w:r>
      <w:r>
        <w:rPr/>
        <w:t>75</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فيما على الرهن كان القول قول الراهن،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المرتهن ما لم‌تستغرق دعواه ثمن 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اختلفا فيما على الرهن و لا بيّنة فالقول قول الراهن مع يمينه؛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المنكر للزيادة فعليه اليمين طبقا لقواعد القضاء و فصل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محمّد بن مسلم عن أبي جعفر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يرهن عند صاحبه رهنا لا بيّنة بينهما فيه فادّعى الذي عنده الرهن أنّه بألف، فقال صاحب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أنّه بألف و ان لم‌يكن له بيّنة فعلى الراهن اليمين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موثّقة ابن أبي يعفور عن أبي عبداللّه عليه‌السلام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اختلفا في الرهن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رهنته بألف،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w:t>
      </w:r>
    </w:p>
    <w:p>
      <w:pPr>
        <w:pStyle w:val="BookText"/>
        <w:rPr/>
      </w:pPr>
      <w:r>
        <w:rPr>
          <w:rFonts w:ascii="Amiri" w:hAnsi="Amiri" w:eastAsia="Amiri" w:cs="Amiri"/>
          <w:color w:val="111111"/>
          <w:sz w:val="28"/>
          <w:sz w:val="28"/>
          <w:szCs w:val="28"/>
          <w:rtl w:val="true"/>
          <w:lang w:bidi="ar-SA"/>
        </w:rPr>
        <w:t>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صاحب الألف البيّنة فان لم‌يكن بيّنة حلف صاحب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موثّقة عبيد بن زرارة عن أبي عبداللّه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رهن عند صاحبه رهنا لا بيّنة بينهما فادّعى الذي عنده الرهن أنّه بألف و قال صاحب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أنّه بألف، فان لم‌يكن له بيّنة فعلى الذي له الرهن اليمين أنّه بمائة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لاتعارضها رواية السكوني عن جعفر عن أبيه عن علي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رهن اختلف فيه الراهن و المرتهن،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 كذا،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بأكثر،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المرتهن حتّى يحيط بالثمن؛ لأنّه أمينه</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ضعيفة سندا و موافقة لأحد قولي العامّة و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الأولى للراهن أن‌يصدّق المرتهن، و يحتمل أيضا أن‌يكون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يحيط بالثمن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حتّى يتيقّن بمقدار ما هو مديون بالمرتهن و كان الرهن في مقابله</w:t>
      </w:r>
      <w:r>
        <w:rPr>
          <w:rFonts w:eastAsia="Amiri" w:cs="Amiri" w:ascii="Amiri" w:hAnsi="Amiri"/>
          <w:color w:val="111111"/>
          <w:sz w:val="28"/>
          <w:szCs w:val="28"/>
          <w:rtl w:val="true"/>
          <w:lang w:bidi="ar-SA"/>
        </w:rPr>
        <w:t xml:space="preserve">. </w:t>
      </w:r>
      <w:bookmarkStart w:id="131" w:name="pg9674_84166"/>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متاع 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الممسك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الممسك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اختلفا في متاع فقال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القابض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قول المالك الاّ أن‌يقيم القابض البيّنة على أنّه رهن؛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الأصل عدم وجود الدين فقول المالك مطابق له و هو منكر و عليه اليمين وفقا لقواعد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محمّد بن مسلم عن أبي جعفر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رهن عند صاحبه رهنا فقال الذي عنده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ارتهنته عندي بكذا و كذا،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عندك وديعة،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أنّه بكذا و كذا، فان لم‌يكن له بيّنة فعلى الذي له الرهن اليمين</w:t>
      </w:r>
      <w:r>
        <w:rPr>
          <w:rFonts w:eastAsia="Amiri" w:cs="Amiri" w:ascii="Amiri" w:hAnsi="Amiri"/>
          <w:color w:val="111111"/>
          <w:sz w:val="28"/>
          <w:szCs w:val="28"/>
          <w:rtl w:val="true"/>
          <w:lang w:bidi="ar-SA"/>
        </w:rPr>
        <w:t>».</w:t>
      </w:r>
      <w:r>
        <w:rPr>
          <w:rStyle w:val="FootnoteAnchor"/>
          <w:rtl w:val="true"/>
        </w:rPr>
        <w:footnoteReference w:id="61"/>
      </w:r>
    </w:p>
    <w:p>
      <w:pPr>
        <w:pStyle w:val="Heading2"/>
        <w:numPr>
          <w:ilvl w:val="1"/>
          <w:numId w:val="1"/>
        </w:numPr>
        <w:rPr/>
      </w:pPr>
      <w:bookmarkStart w:id="132" w:name="__RefHeading___Toc7971370_2870459653"/>
      <w:bookmarkStart w:id="133" w:name="_Toc47"/>
      <w:bookmarkEnd w:id="132"/>
      <w:r>
        <w:rPr>
          <w:rtl w:val="true"/>
        </w:rPr>
        <w:t xml:space="preserve">فيما لو اختلفا في كونه وديعة أو رهنا </w:t>
      </w:r>
      <w:r>
        <w:rPr>
          <w:rtl w:val="true"/>
        </w:rPr>
        <w:t xml:space="preserve">... </w:t>
      </w:r>
      <w:r>
        <w:rPr/>
        <w:t>77</w:t>
      </w:r>
      <w:bookmarkEnd w:id="133"/>
    </w:p>
    <w:p>
      <w:pPr>
        <w:pStyle w:val="BookText"/>
        <w:rPr/>
      </w:pPr>
      <w:r>
        <w:rPr>
          <w:rFonts w:ascii="Amiri" w:hAnsi="Amiri" w:eastAsia="Amiri" w:cs="Amiri"/>
          <w:color w:val="111111"/>
          <w:sz w:val="28"/>
          <w:sz w:val="28"/>
          <w:szCs w:val="28"/>
          <w:rtl w:val="true"/>
          <w:lang w:bidi="ar-SA"/>
        </w:rPr>
        <w:t>و لاتعارضها رواية ابن أبي يعفور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أرهنته بألف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صاحب الألف البيّنة، فان لم‌يكن له بيّنة حلف صاحب المائة، و ان كان الرهن أقلّ ممّا رهن به أو أكثر و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الوديعة البيّنة فان لم‌يكن بيّنة حلف صاحب الرهن</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عبّاد بن صهيب قال</w:t>
      </w:r>
      <w:r>
        <w:rPr>
          <w:rFonts w:eastAsia="Amiri" w:cs="Amiri" w:ascii="Amiri" w:hAnsi="Amiri"/>
          <w:color w:val="111111"/>
          <w:sz w:val="28"/>
          <w:szCs w:val="28"/>
          <w:rtl w:val="true"/>
          <w:lang w:bidi="ar-SA"/>
        </w:rPr>
        <w:t xml:space="preserve">: </w:t>
      </w:r>
      <w:bookmarkStart w:id="134" w:name="pg9674_84167"/>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متاع في يد رجلين أحدهما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استودعتكه، 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رهن الاّ أن‌يأتي الذي ادّعى أنّه أودعه بشهود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مخالفتان للمشهور بين الأصحاب شهرة عظيمة بل ربّما استظهر من نافع المصنّف الاجماع عليه، و الشيخ و الصدوق ذهبا الى القول الثاني، و الأوّل أشبه بأصول المذهب و قواعده؛ لأنّ المالك منكر باعتبار موافقة قوله لأصالة عدم وجود الدين كما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صاحب الجواهر من موافقة قول المالك لأصالة عدم الارتهان فمخدوش ظاهرا بأنّ أصالة عدم الارتهان معارضة بأصالة عدم الايداع، فتساقطا و نرجع الى أصالة عدم وجود الدين</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7971372_2870459653"/>
      <w:bookmarkStart w:id="136" w:name="_Toc48"/>
      <w:bookmarkEnd w:id="135"/>
      <w:r>
        <w:rPr>
          <w:rtl w:val="true"/>
        </w:rPr>
        <w:t xml:space="preserve">فيما اذا أذن المرتهن للراهن في البيع و رجع ثمّ اختلفا </w:t>
      </w:r>
      <w:r>
        <w:rPr>
          <w:rtl w:val="true"/>
        </w:rPr>
        <w:t xml:space="preserve">... </w:t>
      </w:r>
      <w:r>
        <w:rPr/>
        <w:t>78</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المرتهن للراهن في البيع و رجع ثمّ اختلفا فقال المرتهن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قبل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الراهن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القول قول المرتهن؛ ترجيحا لجانب الوثيقة؛ اذ الدعويان متكافئتان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الصور المتصوّرة في هذه المسألة كأمثالها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تارة لم‌يتّفقا على زمان أحدهما فالدعويان متكافئتان كما ذكره المصنّف رحمه‌اللهو ذلك لتكافؤ الأصلين فانّ الراهن يدّعي تقدّم البيع على الرجوع،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عدمه، و المرتهن يدّعي تقدّم الرجوع على البيع، و الأصل عدم تقدّمه أيضا، فيتكافأ الأصلان فيتساقطان كما أوضحناه في مباحث الأصول، و يكون </w:t>
      </w:r>
    </w:p>
    <w:p>
      <w:pPr>
        <w:pStyle w:val="BookText"/>
        <w:rPr/>
      </w:pPr>
      <w:r>
        <w:rPr>
          <w:rFonts w:ascii="Amiri" w:hAnsi="Amiri" w:eastAsia="Amiri" w:cs="Amiri"/>
          <w:color w:val="111111"/>
          <w:sz w:val="28"/>
          <w:sz w:val="28"/>
          <w:szCs w:val="28"/>
          <w:rtl w:val="true"/>
          <w:lang w:bidi="ar-SA"/>
        </w:rPr>
        <w:t>حكم الرهن على العين باقيا، و هو ترجيح جانب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اتّفقا على وقت واحد، فيتحقّق تعارض الأصول المذكورة، و الحكم فيها كما في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اتّفقا على زمان أحدهما و اختلفا في تقدّم الآخر، فانّ الأصل مع مدّعي التأخّر؛ و وجه ذلك ما أوضحناه مرارا في الموارد المختلفة من أنّ استصحاب عدم تقدّم الحادث المجهول التاريخ على الحادث المعلوم التاريخ يستلزم الحكم بتأخّر مجهول التاريخ عن المعلوم التاريخ، و هو المسمّى في الأصول بأصالة تأخّر الحادث و قد أثبتناه في الاستصحاب و قلنا به و استدللنا هناك على أنّه ليس من الأصل المثبت في شيء، خلافا لبعض الفقهاء كصاحب الجواهر حيث قال في المواضع المختلفة بأنّ أصالة عدم التقدّم لايستلزم التأخّر الاّ بناءً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اتّفقا مثلاً على وقوع البيع يوم الجمعة، و اختلفا في زمان الرجوع فقال المرتهن بأنّ الرجوع يوم الخميس و قال الراهن بأنّه يوم السبت، فالأصل يقتضي تأخّره؛ فيقدّم قول الراهن، فانّ الأصل يقتضي عدم تحقّق الرجوع الى يوم الجمعة و هو يستلزم وقوعه يوم السبت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انعكس بأن‌اتّفقا على وقوع الرجوع يوم الجمعة، و اختلفا في زمان البيع فادّعى الراهن وقوع البيع يوم الخميس و قال المرتهن بوقوع البيع يوم السبت، فالأصل يقتضي تأخّر البيع عن يوم الجمعة بتقرير الذي سمعته، فيقدّم قول المرتهن</w:t>
      </w:r>
      <w:r>
        <w:rPr>
          <w:rFonts w:eastAsia="Amiri" w:cs="Amiri" w:ascii="Amiri" w:hAnsi="Amiri"/>
          <w:color w:val="111111"/>
          <w:sz w:val="28"/>
          <w:szCs w:val="28"/>
          <w:rtl w:val="true"/>
          <w:lang w:bidi="ar-SA"/>
        </w:rPr>
        <w:t xml:space="preserve">. </w:t>
      </w:r>
      <w:bookmarkStart w:id="137" w:name="pg9674_84169"/>
    </w:p>
    <w:p>
      <w:pPr>
        <w:pStyle w:val="Heading2"/>
        <w:numPr>
          <w:ilvl w:val="1"/>
          <w:numId w:val="1"/>
        </w:numPr>
        <w:rPr/>
      </w:pPr>
      <w:bookmarkStart w:id="138" w:name="__RefHeading___Toc7971374_2870459653"/>
      <w:bookmarkStart w:id="139" w:name="_Toc49"/>
      <w:bookmarkEnd w:id="137"/>
      <w:bookmarkEnd w:id="138"/>
      <w:r>
        <w:rPr>
          <w:rtl w:val="true"/>
        </w:rPr>
        <w:t xml:space="preserve">فيما اذا اختلفا فيما يباع به الرهن </w:t>
      </w:r>
      <w:r>
        <w:rPr>
          <w:rtl w:val="true"/>
        </w:rPr>
        <w:t xml:space="preserve">... </w:t>
      </w:r>
      <w:r>
        <w:rPr/>
        <w:t>80</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اختلفا فيما يباع به الرهن بيع بالنقد الغالب في البلد و يجبرالممتنع، و لو طلب كلّ واحد منهما نقدا غير النقد الغالب و تعاسرا ردّهما الحاكم الى الغالب؛ لأنّه الذي يقتضيه الاطلاق، و لو كان للبلد نقدان غالبان بيع بأشبههما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ليس للمرتهن الزام الراهن بالوفاء بعين الرهن و ان كان مجانسا للحقّ؛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للراهن الزام المرتهن بالقبول مع المجانسة و ليس له طلب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اتّفقا على بيعه بالموافق أو المخالف كان لهما ذلك؛ لأنّ الحقّ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اتّفقا على البيع و اختلفا فيما يباع به الرهن بمعنى أنّه أراد أحدهما بيعه بالنقد الغالب و الآخر بغيره، بيع بالنقد الغالب في البلد من غير فرق في طالب الغالب بين كونه الراهن أو المرتهن؛ لأنّ لكلّ منهما حقّا في العين، و لو امتنع الآخر أجبره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طلب كلّ واحد منهما نقدا غير النقد الغالب و تعاسرا ردّهما الحاكم الى الغالب؛ لأنّه الذي يقتضيه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للبلد نقدان غالبان بيع بأشبههما بالحقّ بمعنى أنّه يباع بما يناسب الحقّ المرهون عليه و هو ما يكون من جنسه ان اتّفق موافقة أحدهما له فان بايناه عيّن الحاكم ان امتنعا من التعيين</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7971376_2870459653"/>
      <w:bookmarkStart w:id="141" w:name="_Toc50"/>
      <w:bookmarkEnd w:id="140"/>
      <w:r>
        <w:rPr>
          <w:rtl w:val="true"/>
        </w:rPr>
        <w:t xml:space="preserve">فيما اذا ادّعى رهانة شيء فأنكر الراهن </w:t>
      </w:r>
      <w:r>
        <w:rPr>
          <w:rtl w:val="true"/>
        </w:rPr>
        <w:t xml:space="preserve">... </w:t>
      </w:r>
      <w:r>
        <w:rPr/>
        <w:t>80</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رهانة شيء فأنكر الراهن و ذكر أنّ الرهن غيره و ليس هناك بيّنة بطلت رهانة ما ينكره المرتهن و حلف الراهن على الآخر و خرجا عن الرهن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ادّعى المرتهن رهانة شيء مخصوص فأنكر الراهن و ذكر أنّ الرهن غيره و </w:t>
      </w:r>
      <w:bookmarkStart w:id="142" w:name="pg9674_84170"/>
    </w:p>
    <w:p>
      <w:pPr>
        <w:pStyle w:val="BookText"/>
        <w:rPr/>
      </w:pPr>
      <w:bookmarkEnd w:id="142"/>
      <w:r>
        <w:rPr>
          <w:rFonts w:ascii="Amiri" w:hAnsi="Amiri" w:eastAsia="Amiri" w:cs="Amiri"/>
          <w:color w:val="111111"/>
          <w:sz w:val="28"/>
          <w:sz w:val="28"/>
          <w:szCs w:val="28"/>
          <w:rtl w:val="true"/>
          <w:lang w:bidi="ar-SA"/>
        </w:rPr>
        <w:t>ليس هناك بيّنة بطلت رهانة ما ينكره المرتهن؛ لكونه جائزا من قبله، فيكفي في فسخه انكاره، و تبقى اليمين على الراهن لنفي ما يدّعيه؛ لرجوع النزاع الى أنّ مايدّعيه المرتهن هل هو رهن أم لا؟ و القول قول المالك في عدمه كما تقدّم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 العبد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الجارية، فاذا حلف الراهن خرجا معا عن الرهن بلا خلاف و لا اشكال كما في الجواهر و المسالك</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7971378_2870459653"/>
      <w:bookmarkStart w:id="144" w:name="_Toc51"/>
      <w:bookmarkEnd w:id="143"/>
      <w:r>
        <w:rPr>
          <w:rtl w:val="true"/>
        </w:rPr>
        <w:t xml:space="preserve">فيما لو كان له دينان أحدهما برهن </w:t>
      </w:r>
      <w:r>
        <w:rPr>
          <w:rtl w:val="true"/>
        </w:rPr>
        <w:t xml:space="preserve">... </w:t>
      </w:r>
      <w:r>
        <w:rPr/>
        <w:t>81</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دينان أحدهما برهن فدفع اليه مالاً و اختلفا فالقول قول الدافع؛ لأنّه أبصر بنيّته، و ان اختلفا في ردّ الرهن فالقول قول الراهن مع يمينه اذا لم‌يكن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له دينان أحدهما برهن و الآخر بلا رهن فدفع الراهن اليه مالاً و اختلفا في أنّه عن ذيالرهن أو عن فاقده فالقول قول الدافع؛ لأنّه أبصر بنيّته التي لاتعلم الاّ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يلزمه مع ذلك يمين؟</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العدم؛ لأنّ دعوى المرتهن غير معقولة؛ اذ لا اطّلاع له على نفس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ثبوت اليمين؛ لامكان اطّلاعه على نيّته باقراره قبل ذلك</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اختلفا في ردّ الرهن فعلى المرتهن البيّنة على الردّ؛ لأنّه المدّعي، و ان لم‌تكن بيّنة فعلى الراهن المنكر للردّ اليمين؛ لأنّ الأصل عدم الردّ فيلزم المرتهن بالمثل أو القيمة لا بالعين؛ لأنّه يمكن أن‌لايكون في يده فيلزم تكليفه بما لايطاق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الفرق بين المرتهن و المستودع حيث يقبل قوله في الردّ أنّ المستودع قبضلمصلحة المالك فهو محسن محض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بخلاف المرتهن فانّه قبض لمصلحة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المستعير و المقارض و الوكيل بجعل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شرح كتاب الرهن</w:t>
      </w:r>
    </w:p>
    <w:p>
      <w:pPr>
        <w:pStyle w:val="BookText"/>
        <w:rPr/>
      </w:pPr>
      <w:r>
        <w:rPr>
          <w:rFonts w:ascii="IRNazanin" w:hAnsi="IRNazanin" w:eastAsia="IRNazanin"/>
          <w:color w:val="111111"/>
          <w:sz w:val="28"/>
          <w:sz w:val="28"/>
          <w:szCs w:val="28"/>
          <w:rtl w:val="true"/>
          <w:lang w:bidi="fa-IR"/>
        </w:rPr>
        <w:t>من شرائع الاسلام</w:t>
      </w:r>
    </w:p>
    <w:p>
      <w:pPr>
        <w:pStyle w:val="BookText"/>
        <w:rPr/>
      </w:pPr>
      <w:r>
        <w:rPr>
          <w:rFonts w:ascii="Amiri" w:hAnsi="Amiri" w:eastAsia="Amiri" w:cs="Amiri"/>
          <w:color w:val="111111"/>
          <w:sz w:val="28"/>
          <w:sz w:val="28"/>
          <w:szCs w:val="28"/>
          <w:rtl w:val="true"/>
          <w:lang w:bidi="ar-SA"/>
        </w:rPr>
        <w:t>و يتلوه شرح كتاب المفلّس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w:t>
      </w:r>
      <w:bookmarkStart w:id="145" w:name="pg9674_84172"/>
    </w:p>
    <w:p>
      <w:pPr>
        <w:pStyle w:val="Heading2"/>
        <w:numPr>
          <w:ilvl w:val="1"/>
          <w:numId w:val="1"/>
        </w:numPr>
        <w:rPr/>
      </w:pPr>
      <w:bookmarkStart w:id="146" w:name="__RefHeading___Toc7971380_2870459653"/>
      <w:bookmarkStart w:id="147" w:name="_Toc52"/>
      <w:bookmarkEnd w:id="145"/>
      <w:bookmarkEnd w:id="146"/>
      <w:r>
        <w:rPr>
          <w:rtl w:val="true"/>
        </w:rPr>
        <w:t>كتاب المفلّس</w:t>
      </w:r>
      <w:bookmarkEnd w:id="147"/>
    </w:p>
    <w:p>
      <w:pPr>
        <w:pStyle w:val="BookText"/>
        <w:rPr/>
      </w:pPr>
      <w:r>
        <w:rPr>
          <w:rFonts w:ascii="Amiri" w:hAnsi="Amiri" w:eastAsia="Amiri" w:cs="Amiri"/>
          <w:color w:val="111111"/>
          <w:sz w:val="28"/>
          <w:sz w:val="28"/>
          <w:szCs w:val="28"/>
          <w:rtl w:val="true"/>
          <w:lang w:bidi="ar-SA"/>
        </w:rPr>
        <w:t>انّ المحقّق صاحب الشرائع قدس‌سره قد عقد للمفلس كتابا على حده مع أنّه من جملة من حجر عليه في أمواله و جاء بسائر من حجر عليه كالسفيه و المجنون و الصبي و غيرها في كتاب سيأتي شرحه، ولكنّ الشهيد و غيره ذكروا أحكام المفلس أيضا في باب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ذكرنا الأبواب الفقهيّة مطابقا للشرائع ذكرنا أحكام المفلس هنا في كتاب تبعا للمحقّق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المفلس هو الفقير الذي ذهب خيار ماله و بقيت فلوسه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المفلّس هو الذي جعل مفلسا أي منع من التصرّف في أمواله و لايتحقّق الحجر عليه الاّ بشروط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ديونه ثابتة عند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أمواله قاصرة عن ديونه، و يحتسب من جملة أمواله معوّضات الديون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أن‌يلتمس الغرماء أو بعضهم الحجر عليه، و لو ظهرت أمارات الفلس لم‌يتبرّع الحاكم بالحجر، و كذا لو سأل هو </w:t>
      </w:r>
      <w:bookmarkStart w:id="148" w:name="pg9674_84173"/>
    </w:p>
    <w:p>
      <w:pPr>
        <w:pStyle w:val="BookText"/>
        <w:rPr/>
      </w:pPr>
      <w:bookmarkEnd w:id="148"/>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حجر عليه تعلّق به منع التصرّف لتعلّق حقّ الغرماء و اختصاص كلّ غريم بعين ماله و قسمة أمواله بين غرمائه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149" w:name="__RefHeading___Toc7971382_2870459653"/>
      <w:bookmarkStart w:id="150" w:name="_Toc53"/>
      <w:bookmarkEnd w:id="149"/>
      <w:r>
        <w:rPr>
          <w:rtl w:val="true"/>
        </w:rPr>
        <w:t xml:space="preserve">الفرع الأوّل </w:t>
      </w:r>
      <w:r>
        <w:rPr>
          <w:rtl w:val="true"/>
        </w:rPr>
        <w:t xml:space="preserve">: </w:t>
      </w:r>
      <w:r>
        <w:rPr>
          <w:rtl w:val="true"/>
        </w:rPr>
        <w:t>في تعريف المفلس</w:t>
      </w:r>
      <w:bookmarkEnd w:id="150"/>
    </w:p>
    <w:p>
      <w:pPr>
        <w:pStyle w:val="BookText"/>
        <w:rPr/>
      </w:pPr>
      <w:r>
        <w:rPr>
          <w:rFonts w:ascii="Amiri" w:hAnsi="Amiri" w:eastAsia="Amiri" w:cs="Amiri"/>
          <w:color w:val="111111"/>
          <w:sz w:val="28"/>
          <w:sz w:val="28"/>
          <w:szCs w:val="28"/>
          <w:rtl w:val="true"/>
          <w:lang w:bidi="ar-SA"/>
        </w:rPr>
        <w:t>المفلس لغة هو الذي صار ذا فلوس بعد أن‌كان ذا دراهم كما في العين و لسان العرب و مجمع البحرين و غيرها من كتب اللغة، و بتعبير المصنّف هو الذي ذهب خيار ماله و بقي فلوسه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 الرجل، اذا صار مفلسا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اذا صار ذا ذلّ،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أسهل و أحزن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صار الى السهل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الشرع فقد اختلف كلمات الفقهاء في تعريفه فانّ منهم من جعل التفليس هو حجر الحاكم و جعل الرجل مفلّسا، و هو الممنوع من التصرّف في أمواله كما صنع المصنّف، فقبل الحجر لايسمّى المديون مفلّسا و ان استغرقت ديونه أمواله و زادت عليها، بل على هذا التعريف يكون التفليس مساوقا للحجر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على وجه التعريف الحقيقي، بل على وجه الايضاح لمعناه الشرعي، و الاّ فالممنوع من التصرّف في ماله أعمّ من المفلّس، بل من الستّة التي عقد لها كتاب الحجر، كما سيأتي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 ما عليه الشهيد الثاني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الفلس سابق على الحجر و مغاير له، و هو أحد أسبابه كما ذكروه، لا عينه، و لا الحجر جزءمفهومه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يطلق التفليس على حجر الحاكم على المفلّس،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فلّسه </w:t>
      </w:r>
      <w:bookmarkStart w:id="151" w:name="pg9674_84174"/>
    </w:p>
    <w:p>
      <w:pPr>
        <w:pStyle w:val="BookText"/>
        <w:rPr/>
      </w:pPr>
      <w:bookmarkEnd w:id="151"/>
      <w:r>
        <w:rPr>
          <w:rFonts w:ascii="Amiri" w:hAnsi="Amiri" w:eastAsia="Amiri" w:cs="Amiri"/>
          <w:color w:val="111111"/>
          <w:sz w:val="28"/>
          <w:sz w:val="28"/>
          <w:szCs w:val="28"/>
          <w:rtl w:val="true"/>
          <w:lang w:bidi="ar-SA"/>
        </w:rPr>
        <w:t>القاضي، لكنّه من باب اطلاق اسم السبب على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فبين المعنى اللغوي و الشرعي عموم و خصوص من وجه، يجتمعان في من عليه الديون و لا مال له، و ينفرد اللغوي بمن ذهب ماله و ليس عليه دين، و ينفرد الشرعي بمن له مال كثير ولكن عليه دين يزيد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يظهر من تعريف المصنّف و بعضهم فهما متباينان</w:t>
      </w:r>
      <w:r>
        <w:rPr>
          <w:rFonts w:eastAsia="Amiri" w:cs="Amiri" w:ascii="Amiri" w:hAnsi="Amiri"/>
          <w:color w:val="111111"/>
          <w:sz w:val="28"/>
          <w:szCs w:val="28"/>
          <w:rtl w:val="true"/>
          <w:lang w:bidi="ar-SA"/>
        </w:rPr>
        <w:t>».</w:t>
      </w:r>
      <w:r>
        <w:rPr>
          <w:rStyle w:val="FootnoteAnchor"/>
          <w:rtl w:val="true"/>
        </w:rPr>
        <w:footnoteReference w:id="67"/>
      </w:r>
    </w:p>
    <w:p>
      <w:pPr>
        <w:pStyle w:val="Heading2"/>
        <w:numPr>
          <w:ilvl w:val="1"/>
          <w:numId w:val="1"/>
        </w:numPr>
        <w:rPr/>
      </w:pPr>
      <w:bookmarkStart w:id="152" w:name="__RefHeading___Toc7971384_2870459653"/>
      <w:bookmarkStart w:id="153" w:name="_Toc54"/>
      <w:bookmarkEnd w:id="152"/>
      <w:r>
        <w:rPr>
          <w:rtl w:val="true"/>
        </w:rPr>
        <w:t xml:space="preserve">الفرع الثاني </w:t>
      </w:r>
      <w:r>
        <w:rPr>
          <w:rtl w:val="true"/>
        </w:rPr>
        <w:t xml:space="preserve">: </w:t>
      </w:r>
      <w:r>
        <w:rPr>
          <w:rtl w:val="true"/>
        </w:rPr>
        <w:t>في شروط الحجر</w:t>
      </w:r>
      <w:bookmarkEnd w:id="153"/>
    </w:p>
    <w:p>
      <w:pPr>
        <w:pStyle w:val="BookText"/>
        <w:rPr/>
      </w:pPr>
      <w:r>
        <w:rPr>
          <w:rFonts w:ascii="Amiri" w:hAnsi="Amiri" w:eastAsia="Amiri" w:cs="Amiri"/>
          <w:color w:val="111111"/>
          <w:sz w:val="28"/>
          <w:sz w:val="28"/>
          <w:szCs w:val="28"/>
          <w:rtl w:val="true"/>
          <w:lang w:bidi="ar-SA"/>
        </w:rPr>
        <w:t>لايتحقّق الحجر على المفلّس الاّ بشروط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ديونه ثابتة عند الحاكم الذي أراد الحجر عليه؛ ضرورة بقاء سلطنته على أمواله مع عدم ثبوت الدين عليه فلو حكم بدون ذلك لم‌يكن مفلّسا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أمواله قاصرة عن ديونه، فان لم‌تكن قاصرة فلا حجر عليه بل طالبه أرباب الديون فان قضى و الاّ رفعوا أمرهم الى الحاكم حتّى يجبره على القضاء أو يبيع عليه و يقضي عنه؛ لأنّه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لايمنع في هذا الحال عن التصرّف في أمواله، فلو تصرّف فيها بحيث أخرجها عن ملكه قبل وفاء الحاكم بها نفذ تصرّفه، و انتقل حكمه الى من لم‌يكن عنده مال لديونه</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حقّ؛ لأنّه لم‌يمنع من التصرّف في أمواله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الحاكم أو </w:t>
      </w:r>
    </w:p>
    <w:p>
      <w:pPr>
        <w:pStyle w:val="BookText"/>
        <w:rPr/>
      </w:pPr>
      <w:r>
        <w:rPr>
          <w:rFonts w:ascii="Amiri" w:hAnsi="Amiri" w:eastAsia="Amiri" w:cs="Amiri"/>
          <w:color w:val="111111"/>
          <w:sz w:val="28"/>
          <w:sz w:val="28"/>
          <w:szCs w:val="28"/>
          <w:rtl w:val="true"/>
          <w:lang w:bidi="ar-SA"/>
        </w:rPr>
        <w:t>الغرماء بأنّ المفلس يريد أن‌يستعمل مكيدة ليمنع الغرماء من الوصول الى ماله كأن‌يخرج أمواله من ملكه في الظاهر بهبته لبعض أقاربه كولده أو زوجته أو غيرهما لئلاّتصل اليها يد الغرماء، فللحاكم أن‌يمنعه من التصرّف في أمواله و ان كان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تحتسب من جملة أمواله معوّضات الديون و هي الأموال التي ملكها بعوض ثابت في ذمّته كالأعيان التي اشتراها و استدانها، و انّما تحتسب من جملة أمواله لأنّها ملكه حينئذ و ان كان أربابها بالخيار بين أن‌يرجعوا فيها و بين أن‌لايرجعوا و يطالبوا بالعوض، و كما تحتسب من أمواله تحتسب أعواضها من جملة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أن‌تكون حالّة، فلو كانت مؤجّلة لم‌يحجر عليه و ان لم‌يف ماله بها لو حلّت؛ اذ ليس لهم المطالبة في الحال و ربّما يجد الوفاء عند توجّه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بعضها حالاًّ اعتبر قصور ماله عنه خاصّة، فلو وفى به لم‌يحجر عليه و ان لم‌يبق للمؤجّل شيء حتّى أعواضها و لايدام الحجر عليه لها كما لايحجر بها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أن‌يلتمس الغرماء أو بعضهم الحجر عليه؛ لأنّ الحقّ لهم فلايحجر عليه مع عدم التماس أحدهم؛ للأصل، الاّ أن‌يكون الدين لمن للحاكم عليه ولاية كالطفل اليتيم و المجنون و السفيه فحينئذ كان له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الديون للغائب ليس للحاكم الحجر عليه؛ لأنّه لايستوفي ما للغائب في الذمم بل يحفظ أعيان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يحجر عليه مع التماس البعض اذا كانت ديونهم بقدر يجوز الحجر به عليه، و هو فيما اذا كان ديون هذا البعض أكثر من أمواله ثمّ يعمّ الحجر الجميع؛لثبوت الديون كلّها و استحقاق أربابها المطالبة بها بخلاف المؤجّلة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سأل المديون الحجر على نفسه من دون التماس الغرماء لم‌يتبرّع الحاكم بذلك؛ للأصل السالم عن المعارض، 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استقرب في التذكرة جواز </w:t>
      </w:r>
    </w:p>
    <w:p>
      <w:pPr>
        <w:pStyle w:val="BookText"/>
        <w:rPr/>
      </w:pPr>
      <w:r>
        <w:rPr>
          <w:rFonts w:ascii="Amiri" w:hAnsi="Amiri" w:eastAsia="Amiri" w:cs="Amiri"/>
          <w:color w:val="111111"/>
          <w:sz w:val="28"/>
          <w:sz w:val="28"/>
          <w:szCs w:val="28"/>
          <w:rtl w:val="true"/>
          <w:lang w:bidi="ar-SA"/>
        </w:rPr>
        <w:t>اجابته محتجّا بأنّ في الحجر مصلحة للمفلّس، كما فيه مصلحة للغرماء، فكما يجاب الغرماء الى ملتمسهم حفظا لحقوقهم فكذا المفلّس ليسلم من حقّ الغرماء و من الاثم بترك وفاء الدين، و قد روي أنّ النبي صلى‌الله‌عليه‌و‌آله حجر على معاذ بالتماسه خاصّة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الخبر لم‌يثبت من طرقنا فليس حجّة، سيّما مع كون المشهور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استحسان لايصلح مدركا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حجر عليه تعلّق به منع التصرّف؛ لتعلّق حقّ الغرماء و اختصاص كلّ غريم بعين ماله و قسمة أمواله بين غرمائه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 له اظهار ذلك بحيث لايتضرّر معاملوه</w:t>
      </w:r>
      <w:r>
        <w:rPr>
          <w:rFonts w:eastAsia="Amiri" w:cs="Amiri" w:ascii="Amiri" w:hAnsi="Amiri"/>
          <w:color w:val="111111"/>
          <w:sz w:val="28"/>
          <w:szCs w:val="28"/>
          <w:rtl w:val="true"/>
          <w:lang w:bidi="ar-SA"/>
        </w:rPr>
        <w:t xml:space="preserve">». </w:t>
      </w:r>
      <w:bookmarkStart w:id="154" w:name="pg9674_84177"/>
    </w:p>
    <w:p>
      <w:pPr>
        <w:pStyle w:val="BookText"/>
        <w:rPr/>
      </w:pPr>
      <w:bookmarkEnd w:id="154"/>
      <w:r>
        <w:rPr>
          <w:rFonts w:ascii="Amiri" w:hAnsi="Amiri" w:eastAsia="Amiri" w:cs="Amiri"/>
          <w:color w:val="111111"/>
          <w:sz w:val="28"/>
          <w:sz w:val="28"/>
          <w:szCs w:val="28"/>
          <w:rtl w:val="true"/>
          <w:lang w:bidi="ar-SA"/>
        </w:rPr>
        <w:t>القول في المنع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يمنع من التصرّف احتياطا للغرماء فلو تصرّف كان باطلاً سواء كان بعوض كالبيع و الاجارة أو بغير عوض كالعتق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أقرّ بدين سابق صحّ و شارك المقرّ له الغرماء، و كذا لو أقرّ بعين دفعت الى المقرّ له، و فيه تردّد؛ لتعلّق حقّ الغرماء بأعيان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المال مضاربة 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قوله مع يمينه و يقرّ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صدّقه دفع اليه و ان كذّبه قسّم بين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بخيار و فلّس و الخيار باق كان له اجازة البيع و فسخه؛ لأنّه ليس بابتداء تصرّف، و لو كان له حقّ فقبض دونه كان للغرماء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أقرضه انسان مالاً بعد الحجر أو باعه بثمن في ذمّته لم‌يشارك الغرماء و كان ثابتا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أتلف مالاً بعد الحجر ضمن و ضرب صاحب المال مع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بمال مطلقا و جهل السبب لم‌يشارك المقرّ له الغرماء؛ لاحتماله ما لايستحقّ به المشاركة، و لاتحلّ الديون المؤجّلة بالحجر و تحلّ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155" w:name="__RefHeading___Toc7971386_2870459653"/>
      <w:bookmarkStart w:id="156" w:name="_Toc55"/>
      <w:bookmarkEnd w:id="155"/>
      <w:r>
        <w:rPr>
          <w:rtl w:val="true"/>
        </w:rPr>
        <w:t xml:space="preserve">الفرع الأوّل </w:t>
      </w:r>
      <w:r>
        <w:rPr>
          <w:rtl w:val="true"/>
        </w:rPr>
        <w:t xml:space="preserve">: </w:t>
      </w:r>
      <w:r>
        <w:rPr>
          <w:rtl w:val="true"/>
        </w:rPr>
        <w:t>في تصرّفاته بعد الحجر</w:t>
      </w:r>
      <w:bookmarkEnd w:id="15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تحقّق الشروط المذكورة آنفا يمنع من التصرّف ابتداءً في الأموال الموجودة حال الحجر سواء كان بعوض أو غيره؛ احتياطا لحفظ الأموال للغرماء و لايتمّ الاّ بذلك، و لا خلاف فيه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لايمنع ممّاليس تصرّفا فيها كالنكاح و الطلاق و القصاص و العفو عنه و الاقرار بالنسب و </w:t>
      </w:r>
    </w:p>
    <w:p>
      <w:pPr>
        <w:pStyle w:val="BookText"/>
        <w:rPr/>
      </w:pPr>
      <w:r>
        <w:rPr>
          <w:rFonts w:ascii="Amiri" w:hAnsi="Amiri" w:eastAsia="Amiri" w:cs="Amiri"/>
          <w:color w:val="111111"/>
          <w:sz w:val="28"/>
          <w:sz w:val="28"/>
          <w:szCs w:val="28"/>
          <w:rtl w:val="true"/>
          <w:lang w:bidi="ar-SA"/>
        </w:rPr>
        <w:t>نحو ذلك، كما لايمنع من التصرّف المحصّل للمال كالاحتطاب و الاصطياد، و أولى منهما قبول الوصيّة و الاتّهاب ممّا هو مصلحة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تصرّف فيما يمنع من التصرّف فيه فقد قال المصنّف رحمه‌الله ببطلان التصرّف، و هل هو من رأس؛ لمنعه منه شرعا فلاتصحّ و ان لحقته الاجازة، أو يكون معلّقا فان أجازه الغرماء أو فضل ما يسعه كما لو ارتفع قيمة ماله أو أبرأه بعض الغرماء نفذ،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 أنّه المناسب للحجر فانّ معنى قول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منعتك من التصرّفات و معناه تعذّر وقوعها منه، فيكون مسلوب العبارة كالصبي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 أنّه لايقصر عن التصرّف في مال الغير بغير اذنه، فانّ ذلك متوقّف على اذن المالك و معلّق عليه و لايكون باطلاً من رأسه و هو المسمّى بالفضولي، و هنا أولى فانّ المفلّس لايتصرّف الاّ في ماله و قد تعلّق حقّ الغرماء به و لايتصرّف في مال الغرماء فانّ الحجر لايوجب صيرورة أمواله مال الغرماء، و عليه فلايكون مسلوب العبارة فانّ من سلبت عبارته في الشريعة هو الذي لايقصد معنى اللفظ الذي تكلّم به أصلاً كالصبي غير المميّز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هو الأرجح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بين أن‌يكون تصرّفه بعوض كالبيع و الاجارة أو بغير عوض كالهبة</w:t>
      </w:r>
      <w:r>
        <w:rPr>
          <w:rFonts w:eastAsia="Amiri" w:cs="Amiri" w:ascii="Amiri" w:hAnsi="Amiri"/>
          <w:color w:val="111111"/>
          <w:sz w:val="28"/>
          <w:szCs w:val="28"/>
          <w:rtl w:val="true"/>
          <w:lang w:bidi="ar-SA"/>
        </w:rPr>
        <w:t xml:space="preserve">. </w:t>
      </w:r>
      <w:bookmarkStart w:id="157" w:name="pg9674_84179"/>
    </w:p>
    <w:p>
      <w:pPr>
        <w:pStyle w:val="Heading2"/>
        <w:numPr>
          <w:ilvl w:val="1"/>
          <w:numId w:val="1"/>
        </w:numPr>
        <w:rPr/>
      </w:pPr>
      <w:bookmarkStart w:id="158" w:name="__RefHeading___Toc7971388_2870459653"/>
      <w:bookmarkStart w:id="159" w:name="_Toc56"/>
      <w:bookmarkEnd w:id="157"/>
      <w:bookmarkEnd w:id="158"/>
      <w:r>
        <w:rPr>
          <w:rtl w:val="true"/>
        </w:rPr>
        <w:t xml:space="preserve">الفرع الثاني </w:t>
      </w:r>
      <w:r>
        <w:rPr>
          <w:rtl w:val="true"/>
        </w:rPr>
        <w:t xml:space="preserve">: </w:t>
      </w:r>
      <w:r>
        <w:rPr>
          <w:rtl w:val="true"/>
        </w:rPr>
        <w:t>في الاقرار بعد الحجر</w:t>
      </w:r>
      <w:bookmarkEnd w:id="159"/>
    </w:p>
    <w:p>
      <w:pPr>
        <w:pStyle w:val="BookText"/>
        <w:rPr/>
      </w:pPr>
      <w:r>
        <w:rPr>
          <w:rFonts w:ascii="Amiri" w:hAnsi="Amiri" w:eastAsia="Amiri" w:cs="Amiri"/>
          <w:color w:val="111111"/>
          <w:sz w:val="28"/>
          <w:sz w:val="28"/>
          <w:szCs w:val="28"/>
          <w:rtl w:val="true"/>
          <w:lang w:bidi="ar-SA"/>
        </w:rPr>
        <w:t>لو أقرّ بدين سابق لا اشكال في صحّة اقراره في الجملة؛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فانّه اخبار عن حقّ سابق لم‌يبطل بالحجر فاذا تعلّق غرض المفلّس ببراءة ذمّته بالاقرار وجب قبوله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يشارك المقرّ له الغرماء؟ فالمصنّف رحمه‌الله قطع بمشاركته؛ لأنّه عاقل فينفذ؛ للخبر المذكور اذا لم‌يكن هناك تهمة، ولكن الظاهر من الخبر قبول قوله بمعنى أنّه مديون، و أمّا مشاركته مع الغرماء ففيه اشكال؛ لأنّه اقرار في حقّ الغير و لايمكن الحكم بنفي التهمة على الاطلاق فالوجه عدم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أسند الدين الى ما بعد الحجر فلاينفذ في حقّ الغرماء أيضا و ان صحّ الاقرار في نفسه لو كان مثل اتلاف مال أو جناية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لمعاملة أوقعها بعد الحجر فتكون موقوفة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الحكم لو أقرّ بعين فان كان سببه بعد الحجر فلايعبأ به، و ان كان قبله فلايسمع بالنسبة الى حقّ الغرماء، و أمّا بالنسبة الى نفسه فهو مديون بمثلها أو قيمتها ان لم‌يكذّبه المقرّ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الحال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المال مضاربة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بين الغائب و الحاضر</w:t>
      </w:r>
      <w:r>
        <w:rPr>
          <w:rFonts w:eastAsia="Amiri" w:cs="Amiri" w:ascii="Amiri" w:hAnsi="Amiri"/>
          <w:color w:val="111111"/>
          <w:sz w:val="28"/>
          <w:szCs w:val="28"/>
          <w:rtl w:val="true"/>
          <w:lang w:bidi="ar-SA"/>
        </w:rPr>
        <w:t xml:space="preserve">. </w:t>
      </w:r>
      <w:bookmarkStart w:id="160" w:name="pg9674_84180"/>
    </w:p>
    <w:p>
      <w:pPr>
        <w:pStyle w:val="Heading2"/>
        <w:numPr>
          <w:ilvl w:val="1"/>
          <w:numId w:val="1"/>
        </w:numPr>
        <w:rPr/>
      </w:pPr>
      <w:bookmarkStart w:id="161" w:name="__RefHeading___Toc7971390_2870459653"/>
      <w:bookmarkStart w:id="162" w:name="_Toc57"/>
      <w:bookmarkEnd w:id="160"/>
      <w:bookmarkEnd w:id="161"/>
      <w:r>
        <w:rPr>
          <w:rtl w:val="true"/>
        </w:rPr>
        <w:t xml:space="preserve">الفرع الثالث </w:t>
      </w:r>
      <w:r>
        <w:rPr>
          <w:rtl w:val="true"/>
        </w:rPr>
        <w:t xml:space="preserve">: </w:t>
      </w:r>
      <w:r>
        <w:rPr>
          <w:rtl w:val="true"/>
        </w:rPr>
        <w:t>فيما لو اشترى بخيار و فلّس و الخيار باق</w:t>
      </w:r>
      <w:bookmarkEnd w:id="162"/>
    </w:p>
    <w:p>
      <w:pPr>
        <w:pStyle w:val="BookText"/>
        <w:rPr/>
      </w:pPr>
      <w:r>
        <w:rPr>
          <w:rFonts w:ascii="Amiri" w:hAnsi="Amiri" w:eastAsia="Amiri" w:cs="Amiri"/>
          <w:color w:val="111111"/>
          <w:sz w:val="28"/>
          <w:sz w:val="28"/>
          <w:szCs w:val="28"/>
          <w:rtl w:val="true"/>
          <w:lang w:bidi="ar-SA"/>
        </w:rPr>
        <w:t>لو اشترى بخيار قبل الحجر عليه و بقيت مدّة خياره الى بعد الحجر فله فسخ البيع؛ للأصل فانّ التصرّف الممنوع منه هو ابتداء التصرّف في المال، و هذا التصرّف ليس بابتداء تصرّف في المال بل هو أثر ثابت قبل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المال عن ملك المفلّس بعقد متزلزل كالهبة و نحوها قبل التفليس لم‌يستحقّ الغرماء الزامه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حقّ مالي على الغير كما لو أتلف ماله أو جنى عليه يطلب منه الدية فان قبض بعضه و أعرض عن بعض فلايبعد أن‌يقال بأنّ للغرماء منعه منه و ان كان فيه اشكال؛ لأنّه ليس تصرّفا في ماله حتّى يكون موضوعا للحجر عليه بل هو شبه كسب، و اللّه العالم</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7971392_2870459653"/>
      <w:bookmarkStart w:id="164" w:name="_Toc58"/>
      <w:bookmarkEnd w:id="163"/>
      <w:r>
        <w:rPr>
          <w:rtl w:val="true"/>
        </w:rPr>
        <w:t xml:space="preserve">الفرع الرابع </w:t>
      </w:r>
      <w:r>
        <w:rPr>
          <w:rtl w:val="true"/>
        </w:rPr>
        <w:t xml:space="preserve">: </w:t>
      </w:r>
      <w:r>
        <w:rPr>
          <w:rtl w:val="true"/>
        </w:rPr>
        <w:t>فيما لو أقرضه انسان مالاً بعد الحجر أو باعه بثمن في ذمّته</w:t>
      </w:r>
      <w:bookmarkEnd w:id="164"/>
    </w:p>
    <w:p>
      <w:pPr>
        <w:pStyle w:val="BookText"/>
        <w:rPr/>
      </w:pPr>
      <w:r>
        <w:rPr>
          <w:rFonts w:ascii="Amiri" w:hAnsi="Amiri" w:eastAsia="Amiri" w:cs="Amiri"/>
          <w:color w:val="111111"/>
          <w:sz w:val="28"/>
          <w:sz w:val="28"/>
          <w:szCs w:val="28"/>
          <w:rtl w:val="true"/>
          <w:lang w:bidi="ar-SA"/>
        </w:rPr>
        <w:t>لو أقرضه انسان مالاً بعد الحجر عليه أو باعه بثمن في ذمّته لم‌يشارك المقرض و لا البائع مع الغرماء مع العلم باعساره، و كان هذا ثابتا في ذمّته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العالم بحاله موضع وفاق، و لاقدامه على دينه حيث علم اعساره و تعلّق حقّ الغرماء بأمواله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جاهلاً بحاله فقد جزم المصنّفبأنّه كذلك؛ لتعلّق حقّ الغرماء الموجودين عند الحجر بأمواله و ان كانت متجدّدة، بناءً على تعلّق الحجر بالمتجدّد من ماله، فلايتوجّه له الضرب معهم، و لا أخذ </w:t>
      </w:r>
      <w:bookmarkStart w:id="165" w:name="pg9674_84181"/>
    </w:p>
    <w:p>
      <w:pPr>
        <w:pStyle w:val="BookText"/>
        <w:rPr/>
      </w:pPr>
      <w:bookmarkEnd w:id="165"/>
      <w:r>
        <w:rPr>
          <w:rFonts w:ascii="Amiri" w:hAnsi="Amiri" w:eastAsia="Amiri" w:cs="Amiri"/>
          <w:color w:val="111111"/>
          <w:sz w:val="28"/>
          <w:sz w:val="28"/>
          <w:szCs w:val="28"/>
          <w:rtl w:val="true"/>
          <w:lang w:bidi="ar-SA"/>
        </w:rPr>
        <w:t>عين 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اختاره المصنّف لايخلو من قوّة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قيل بمشاركته مع الغرماء و لو بحكم الحاكم أو اختيار رجوعه بماله يكون أقرب الى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أتلف مالاً بعد الحجر ضمن و ذهب المصنّف الى أنّه شارك صاحب المال مع الغرماء، 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يضرب صاحب المال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السبب متأخّرا عن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رضاه، و انّما ثبت حقّه بوجه قهري فيثبت له استحقاق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قيل في الجاهل بالمعاملة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اتلافه المال جنايته على نفس آدمي محترمة أو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بأنّ الغرماء يملكون أموال المفلّس بمجرّد حجر الحاكم فلايشاركهم صاحب المال أو المجني عليه ولكن الظاهر عدم ملكهم لماله بمجرّد الحجر، و عليه فالمقتضي لاشراكهم موجود و المانع مفقود</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7971394_2870459653"/>
      <w:bookmarkStart w:id="167" w:name="_Toc59"/>
      <w:bookmarkEnd w:id="166"/>
      <w:r>
        <w:rPr>
          <w:rtl w:val="true"/>
        </w:rPr>
        <w:t xml:space="preserve">الفرع الخامس </w:t>
      </w:r>
      <w:r>
        <w:rPr>
          <w:rtl w:val="true"/>
        </w:rPr>
        <w:t xml:space="preserve">: </w:t>
      </w:r>
      <w:r>
        <w:rPr>
          <w:rtl w:val="true"/>
        </w:rPr>
        <w:t>فيما لو أقرّ بمال و جهل السبب</w:t>
      </w:r>
      <w:bookmarkEnd w:id="16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أقرّ المفلس بمال في ذمّته بعد الحجر أو ثبت شغل ذمّته بمال بعده مطلقا وبأيّ سبب كان ولكن لم‌يعلم السبب فلايعلم أنّه ممّا يشارك به الغرماء كالاتلاف و الجناية أو لا كما اذا كان برضا المستحقّ و علمه كما تقدّم في بعض الفروع السابقة </w:t>
      </w:r>
      <w:bookmarkStart w:id="168" w:name="pg9674_84182"/>
    </w:p>
    <w:p>
      <w:pPr>
        <w:pStyle w:val="BookText"/>
        <w:rPr/>
      </w:pPr>
      <w:bookmarkEnd w:id="168"/>
      <w:r>
        <w:rPr>
          <w:rFonts w:ascii="Amiri" w:hAnsi="Amiri" w:eastAsia="Amiri" w:cs="Amiri"/>
          <w:color w:val="111111"/>
          <w:sz w:val="28"/>
          <w:sz w:val="28"/>
          <w:szCs w:val="28"/>
          <w:rtl w:val="true"/>
          <w:lang w:bidi="ar-SA"/>
        </w:rPr>
        <w:t>فحينئذ لم‌يشارك المقرّ له الغرماء؛ لاحتمال كونه ممّا لايستحقّ به المشاركة، و الأصل في مثل ذلك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ممّا تقدّم أنّ ثبوت المال في ذمّة المحجور عليه قد يكون ممّا يضرب به، كالذي سبق سببه، و الواقع قهرا بعده كالاتلاف و الجناية، و قد لايكون كذلك، كالمتجدّد باختيار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أقرّ بمال مطلقا احتمل كونه ممّا يضرب به مع الغرماء و عدمه، و متى احتمل الأمرين يضعف عن مقاومة ما علم تعلّقه شرعا بماله، و هو حقّ الغرماء السابقين على الحجر، فيختصّون به؛ لأصالة عدم استحقاق المقرّ له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بوجوب استفصاله ليعلم أ يستحقّ المقرّ له الضرب أم لا؟ و لا شبهة في جوازه و أولويّته، أمّا وجوبه فيمكن دفعه بأنّ تعلّق حقّ الغرماء بعين ماله لمّا كان معلوما، و تعلّق حقّ المقرّ له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على أصالة عدم المشاركة الى أن‌يثبت خلافها</w:t>
      </w:r>
      <w:r>
        <w:rPr>
          <w:rFonts w:eastAsia="Amiri" w:cs="Amiri" w:ascii="Amiri" w:hAnsi="Amiri"/>
          <w:color w:val="111111"/>
          <w:sz w:val="28"/>
          <w:szCs w:val="28"/>
          <w:rtl w:val="true"/>
          <w:lang w:bidi="ar-SA"/>
        </w:rPr>
        <w:t>».</w:t>
      </w:r>
      <w:r>
        <w:rPr>
          <w:rStyle w:val="FootnoteAnchor"/>
          <w:rtl w:val="true"/>
        </w:rPr>
        <w:footnoteReference w:id="74"/>
      </w:r>
    </w:p>
    <w:p>
      <w:pPr>
        <w:pStyle w:val="Heading2"/>
        <w:numPr>
          <w:ilvl w:val="1"/>
          <w:numId w:val="1"/>
        </w:numPr>
        <w:rPr/>
      </w:pPr>
      <w:bookmarkStart w:id="169" w:name="__RefHeading___Toc7971396_2870459653"/>
      <w:bookmarkStart w:id="170" w:name="_Toc60"/>
      <w:bookmarkEnd w:id="169"/>
      <w:r>
        <w:rPr>
          <w:rtl w:val="true"/>
        </w:rPr>
        <w:t xml:space="preserve">الفرع السادس </w:t>
      </w:r>
      <w:r>
        <w:rPr>
          <w:rtl w:val="true"/>
        </w:rPr>
        <w:t xml:space="preserve">: </w:t>
      </w:r>
      <w:r>
        <w:rPr>
          <w:rtl w:val="true"/>
        </w:rPr>
        <w:t>في أنّه لاتحلّ الديون المؤجّلة بالحجر و تحلّ بالموت</w:t>
      </w:r>
      <w:bookmarkEnd w:id="170"/>
    </w:p>
    <w:p>
      <w:pPr>
        <w:pStyle w:val="BookText"/>
        <w:rPr/>
      </w:pPr>
      <w:r>
        <w:rPr>
          <w:rFonts w:ascii="Amiri" w:hAnsi="Amiri" w:eastAsia="Amiri" w:cs="Amiri"/>
          <w:color w:val="111111"/>
          <w:sz w:val="28"/>
          <w:sz w:val="28"/>
          <w:szCs w:val="28"/>
          <w:rtl w:val="true"/>
          <w:lang w:bidi="ar-SA"/>
        </w:rPr>
        <w:t>لاتحلّ الديون المؤجّلة بالحجر؛ للأصل، و تحلّ بالموت؛ لرواية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الرجل حلّ ما له و ما عليه من الدين</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السكوني عن جعفر عن أبيه عليهماالسلام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على الرجل دين الى أجل و مات الرجل حلّ الدين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الميّت حلّ ما له و ما عليه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مضمرة الحسين بن سعيد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أقرض رجلاً دراهم الى أجل مسمّى ثمّ مات المستقرض أ يحلّ مال القارض عند موت المستقرض منه أو للورثة من الأجل مثل ما للمستقرض في حياته؟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فقد حلّ مال القارض</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لاتحلّ الديون المؤجّلة بالحجر بلا خلاف أجده من غير الاسكافي، و تحلّ بالموت؛ للاجماع و الأخبار من غير فرق بين مال السلم و الجناية المؤجّلة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9"/>
      </w:r>
      <w:bookmarkStart w:id="171" w:name="pg9674_84184"/>
    </w:p>
    <w:p>
      <w:pPr>
        <w:pStyle w:val="BookText"/>
        <w:rPr/>
      </w:pPr>
      <w:bookmarkEnd w:id="171"/>
      <w:r>
        <w:rPr>
          <w:rFonts w:ascii="Amiri" w:hAnsi="Amiri" w:eastAsia="Amiri" w:cs="Amiri"/>
          <w:color w:val="111111"/>
          <w:sz w:val="28"/>
          <w:sz w:val="28"/>
          <w:szCs w:val="28"/>
          <w:rtl w:val="true"/>
          <w:lang w:bidi="ar-SA"/>
        </w:rPr>
        <w:t>القول في اختصاص الغريم بعين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وجد منهم عين ماله كان له أخذها و لو لم‌يكن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أن‌يضرب مع الغرماء بدينه سواء كان وفاءً أو لم‌يكن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 فغرماؤه سواء في التركة الاّ أن‌يترك نحوا ممّا عليه فيجوز حينئذ لصاحب العين أخذها، و هل الخيار في ذلك على الفور؟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 بالتراخي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بعض المبيع سليما أخذ الموجود بحصّته من الثمن و ضرب بالباقي مع الغرماء، و كذا ان وجده معيبا بعيب قد استحقّ أرشه ضرب مع الغرماء بأرش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عاب بشيء من قبل اللّه سبحانه أو جناية من المالك كان مخيّرا بين أخذه بالثمن و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172" w:name="__RefHeading___Toc7971398_2870459653"/>
      <w:bookmarkStart w:id="173" w:name="_Toc61"/>
      <w:bookmarkEnd w:id="172"/>
      <w:r>
        <w:rPr>
          <w:rtl w:val="true"/>
        </w:rPr>
        <w:t xml:space="preserve">الفرع الأوّل </w:t>
      </w:r>
      <w:r>
        <w:rPr>
          <w:rtl w:val="true"/>
        </w:rPr>
        <w:t xml:space="preserve">: </w:t>
      </w:r>
      <w:r>
        <w:rPr>
          <w:rtl w:val="true"/>
        </w:rPr>
        <w:t>فيما لو وجد الغريم متاعه بعينه و المفلس حيّ</w:t>
      </w:r>
      <w:bookmarkEnd w:id="173"/>
    </w:p>
    <w:p>
      <w:pPr>
        <w:pStyle w:val="BookText"/>
        <w:rPr/>
      </w:pPr>
      <w:r>
        <w:rPr>
          <w:rFonts w:ascii="Amiri" w:hAnsi="Amiri" w:eastAsia="Amiri" w:cs="Amiri"/>
          <w:color w:val="111111"/>
          <w:sz w:val="28"/>
          <w:sz w:val="28"/>
          <w:szCs w:val="28"/>
          <w:rtl w:val="true"/>
          <w:lang w:bidi="ar-SA"/>
        </w:rPr>
        <w:t>لو وجد غريم المفلس متاعه بعينه كان أحقّ به من سائر الغرماء فيأخذها و لو لم‌يكن سواها؛ و ذلك لصحيحة عمر بن يزيد عن أبي الحسن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يركبه الدين فيوجد متاع رجل عنده بعينه؟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لايحاصّه الغرماء</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أن‌يضرب مع الغرماء بدينه سواء كان وفاءً أو لم‌يكن؛ لظاهر الصحيحة المذكورة و غيرها</w:t>
      </w:r>
      <w:r>
        <w:rPr>
          <w:rFonts w:eastAsia="Amiri" w:cs="Amiri" w:ascii="Amiri" w:hAnsi="Amiri"/>
          <w:color w:val="111111"/>
          <w:sz w:val="28"/>
          <w:szCs w:val="28"/>
          <w:rtl w:val="true"/>
          <w:lang w:bidi="ar-SA"/>
        </w:rPr>
        <w:t xml:space="preserve">. </w:t>
      </w:r>
      <w:bookmarkStart w:id="174" w:name="pg9674_84185"/>
    </w:p>
    <w:p>
      <w:pPr>
        <w:pStyle w:val="BookText"/>
        <w:rPr/>
      </w:pPr>
      <w:bookmarkEnd w:id="174"/>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الأظهر الأشهر بل المشهور، بل لا أجد فيه خلافا معتدّا به اذا كان وفاءً، بل الاجماع بقسميه عليه، بل لا أجد خلافا فيما اذا لم‌يكن، الاّ من المحكي عن الشيخ في التهذيب و الاستبصار و النهاية و المبسوط، فخصّ الاختصاص بما اذا كان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ضعفه؛ للنبوي المروي في كتب فروع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أفلس الرجل و وجد سلعته فهو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غيره، و اطلاق صحيح عمر بن يزيد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بضميمة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العقد لا عدم المحاصّة في الوفاء، و الاّ لوجب التعرّض لزيادته على دينه و نقيصته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1"/>
      </w:r>
    </w:p>
    <w:p>
      <w:pPr>
        <w:pStyle w:val="Heading2"/>
        <w:numPr>
          <w:ilvl w:val="1"/>
          <w:numId w:val="1"/>
        </w:numPr>
        <w:rPr/>
      </w:pPr>
      <w:bookmarkStart w:id="175" w:name="__RefHeading___Toc7971400_2870459653"/>
      <w:bookmarkStart w:id="176" w:name="_Toc62"/>
      <w:bookmarkEnd w:id="175"/>
      <w:r>
        <w:rPr>
          <w:rtl w:val="true"/>
        </w:rPr>
        <w:t xml:space="preserve">الفرع الثاني </w:t>
      </w:r>
      <w:r>
        <w:rPr>
          <w:rtl w:val="true"/>
        </w:rPr>
        <w:t xml:space="preserve">: </w:t>
      </w:r>
      <w:r>
        <w:rPr>
          <w:rtl w:val="true"/>
        </w:rPr>
        <w:t>فيما اذا مات المديون و وجد الغريم متاعه بعينه</w:t>
      </w:r>
      <w:bookmarkEnd w:id="176"/>
    </w:p>
    <w:p>
      <w:pPr>
        <w:pStyle w:val="BookText"/>
        <w:rPr/>
      </w:pPr>
      <w:r>
        <w:rPr>
          <w:rFonts w:ascii="Amiri" w:hAnsi="Amiri" w:eastAsia="Amiri" w:cs="Amiri"/>
          <w:color w:val="111111"/>
          <w:sz w:val="28"/>
          <w:sz w:val="28"/>
          <w:szCs w:val="28"/>
          <w:rtl w:val="true"/>
          <w:lang w:bidi="ar-SA"/>
        </w:rPr>
        <w:t>لو مات المديون فغرماؤه سواء في التركة و عليه فصاحب العين و غيره شريك الاّ أن‌يكون تركته بقدر ما عليه فصاعدا بحيث لايحصل على باقي الغرماء قصور؛ و الدليل على ذلك صحيحة أبي ولاّد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باع من رجل متاعا الى سنة فمات المشتري قبل أن‌يحلّ ماله و أصاب البائع متاعه بعينه، له أن‌يأخذه اذا خفي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عليه دين و ترك نحوا ممّا عليه فليأخذه ان أخفي له، فانّ ذلك حلال له، و لو لم‌يترك نحوا من دينه فانّ صاحب المتاع كواحد ممّن له عليه شيء يأخذ بحصّته و لا سبيل له </w:t>
      </w:r>
    </w:p>
    <w:p>
      <w:pPr>
        <w:pStyle w:val="BookText"/>
        <w:rPr/>
      </w:pPr>
      <w:r>
        <w:rPr>
          <w:rFonts w:ascii="IRNazanin" w:hAnsi="IRNazanin" w:eastAsia="IRNazanin"/>
          <w:color w:val="111111"/>
          <w:sz w:val="28"/>
          <w:sz w:val="28"/>
          <w:szCs w:val="28"/>
          <w:rtl w:val="true"/>
          <w:lang w:bidi="fa-IR"/>
        </w:rPr>
        <w:t>على المتاع</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يجب أن‌يردّ المتاع بعينه على صاحبه اذا خلّف الميّت ما يقضى به دين الباقين من غير ذلك و الاّ فصاحبه أسوة الغرماء يقسّم بينهم بالسويّة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لاتعارضها مرسلة جميل عن أبي عبداللّه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باع متاعا من رجل فقبض المشتري المتاع و لم‌يدفع الثمن ثمّ مات المشتري و المتاع قائم بعينه،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المتاع قائما بعينه ردّ الى صاحب المتاع،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للغرماء أن‌يحاصّوه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ذلك لأنّها تقيّد بالصحيحة كما فسّرها الشيخ رحمه‌الله؛ جمعا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أن‌يموت المديون محجورا عليه أو لا؛ لأنّ الموت بمنزلة الحجر مضافا الى اطلاق الصحيحة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الحكمة في شرط الوفاء في مال الميّت دون الحيّ واضحة؛ لأنّ الميّت لايبقى له ذمّة، فلايناسب الاختصاص الاّ مع الوفاء لئلاّيتضرّر الغرماء، بخلاف الحيّ، فانّ ما يتخلّف من الدين يتعلّق بذمّته، فربّما لايضيع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بذلك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ابن الجنيد فحكم بالاختصاص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لم‌يكن وفاء كالحيّ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r>
        <w:rPr>
          <w:rStyle w:val="FootnoteAnchor"/>
          <w:rtl w:val="true"/>
        </w:rPr>
        <w:footnoteReference w:id="86"/>
      </w:r>
      <w:bookmarkStart w:id="177" w:name="pg9674_84187"/>
    </w:p>
    <w:p>
      <w:pPr>
        <w:pStyle w:val="BookText"/>
        <w:rPr/>
      </w:pPr>
      <w:bookmarkEnd w:id="177"/>
      <w:r>
        <w:rPr>
          <w:rFonts w:ascii="Amiri" w:hAnsi="Amiri" w:eastAsia="Amiri" w:cs="Amiri"/>
          <w:color w:val="111111"/>
          <w:sz w:val="28"/>
          <w:sz w:val="28"/>
          <w:szCs w:val="28"/>
          <w:rtl w:val="true"/>
          <w:lang w:bidi="ar-SA"/>
        </w:rPr>
        <w:t xml:space="preserve">ثمّ انّ الظاهر أنّ الخيار لواجد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له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علىالتراخي؛ و ذلك لاطلاق الدليل و ان كان مراعاة الفوريّة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اقتضى الضرورة الفور وجب</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7971402_2870459653"/>
      <w:bookmarkStart w:id="179" w:name="_Toc63"/>
      <w:bookmarkEnd w:id="178"/>
      <w:r>
        <w:rPr>
          <w:rtl w:val="true"/>
        </w:rPr>
        <w:t xml:space="preserve">الفرع الثالث </w:t>
      </w:r>
      <w:r>
        <w:rPr>
          <w:rtl w:val="true"/>
        </w:rPr>
        <w:t xml:space="preserve">: </w:t>
      </w:r>
      <w:r>
        <w:rPr>
          <w:rtl w:val="true"/>
        </w:rPr>
        <w:t>فيما لو وجد بعض المبيع سليما</w:t>
      </w:r>
      <w:bookmarkEnd w:id="179"/>
    </w:p>
    <w:p>
      <w:pPr>
        <w:pStyle w:val="BookText"/>
        <w:rPr/>
      </w:pPr>
      <w:r>
        <w:rPr>
          <w:rFonts w:ascii="Amiri" w:hAnsi="Amiri" w:eastAsia="Amiri" w:cs="Amiri"/>
          <w:color w:val="111111"/>
          <w:sz w:val="28"/>
          <w:sz w:val="28"/>
          <w:szCs w:val="28"/>
          <w:rtl w:val="true"/>
          <w:lang w:bidi="ar-SA"/>
        </w:rPr>
        <w:t>لو وجد البائع أو المقرض بعض العين المبيعة أو المقرضة فيتصوّر 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تارة يكون البعض الفائت ممّا يتقسّط عليه الثمن، بمعنى بسطه عليه و على الباقي بالنسبة، و هو الذي يصحّ افراده بالبيع، كعبد من عبدين و نصف ثوب، فحينئذ كان له الرجوع الى الموجود بحصّته من الثمن؛ لاطلاق الدليل المتقدّم و الضرب بالباقي مع الغرماء؛ لتحقّق الدين بالنسبة الى الباقي، كما أنّ له الضرب بتمام الثمن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خلاف في حكم هذه الصورة عندنا مطلقا؛ و لأنّ الموجود يصدق عليه أنّه عين ماله، فله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خالف فيه بعض العامّة فزعم أنّه ليس له الرجوع بالباقي؛ لأنّه لم‌يجد المبيع بعينه، كما في المسالك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لايكون للفائت جزء من الثمن أو وجد المبيع معيبا بعيب، فان كان العيب الحاصل بآفة سماويّة أو بفعل المشتري فذهب أكثر الأصحاب الى أنّه ليس للبائع الاّ الرضا به على تلك الحال، أو الضرب بالثمن مع الغرماء، حتّى أنّ المصنّف لم‌ينقل فيه هنا خلافا، و الظاهر أنّ ما ذهب اليه الأكثر هو الحقّ، ولكن ذهب الشهيد الثاني رحمه‌الله الى أنّ الأحسن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أخذه يستحقّ أرشه و الضرب مع الغرماء بأرش النقصان</w:t>
      </w:r>
      <w:r>
        <w:rPr>
          <w:rFonts w:eastAsia="Amiri" w:cs="Amiri" w:ascii="Amiri" w:hAnsi="Amiri"/>
          <w:color w:val="111111"/>
          <w:sz w:val="28"/>
          <w:szCs w:val="28"/>
          <w:rtl w:val="true"/>
          <w:lang w:bidi="ar-SA"/>
        </w:rPr>
        <w:t xml:space="preserve">. </w:t>
      </w:r>
      <w:bookmarkStart w:id="180" w:name="pg9674_84188"/>
    </w:p>
    <w:p>
      <w:pPr>
        <w:pStyle w:val="BookText"/>
        <w:rPr/>
      </w:pPr>
      <w:bookmarkEnd w:id="180"/>
      <w:r>
        <w:rPr>
          <w:rFonts w:ascii="Amiri" w:hAnsi="Amiri" w:eastAsia="Amiri" w:cs="Amiri"/>
          <w:color w:val="111111"/>
          <w:sz w:val="28"/>
          <w:sz w:val="28"/>
          <w:szCs w:val="28"/>
          <w:rtl w:val="true"/>
          <w:lang w:bidi="ar-SA"/>
        </w:rPr>
        <w:t>و أمّا ان كان بفعل الأجنبي استحقّ أرشه و تخيّر بين أخذه و الضرب بجزء منالثمن على نسبة نقصان القيمة، و بين الضرب بجميع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وسيلة النجاة بحث فيما اذا كان النقص حصل بفعل الأجنبي و مع ذلك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المسألة محلّ اشكال فالأحوط للبائع أن‌يقتصر على أقلّ الأمرين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المحشّي ذهب الى الاحتياط في التخلّص بالتصالح و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حصل منه نماء منفصل كالولد و اللبن كان النماء للمشتري و كان له أخذ الأصل بالثمن، و لو كان النماء متّصلاً كالسمن أو الطول فزادت لذلك قيمته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أخذه؛ لأنّ هذا النماء يتبع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تردّد، و كذا لو باعه نخلاً و ثمرتها قبل بلوغها و بلغت بعد التفليس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اشترى حبّا فزرعه و أحصد أو بيضة فأحضنها و صار منها فرخ لم‌يكن له أخذه؛ لأنّه ليس عين ماله، و لو باعه نخلاً حائلاً فأطلع أو أخذ النخل قبل تأبيره لم‌يتبعها 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باع أمة حائلاً فحملت ثمّ فلّس و أخذها البائع لم‌يتبعها الحمل، و لو باع شقصا و فلّس المشتري كان للشريك المطالبة بالشفعة و يكون البائع أسوة مع الغرماء في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181" w:name="__RefHeading___Toc7971404_2870459653"/>
      <w:bookmarkStart w:id="182" w:name="_Toc64"/>
      <w:bookmarkEnd w:id="181"/>
      <w:r>
        <w:rPr>
          <w:rtl w:val="true"/>
        </w:rPr>
        <w:t xml:space="preserve">الفرع الأوّل </w:t>
      </w:r>
      <w:r>
        <w:rPr>
          <w:rtl w:val="true"/>
        </w:rPr>
        <w:t xml:space="preserve">: </w:t>
      </w:r>
      <w:r>
        <w:rPr>
          <w:rtl w:val="true"/>
        </w:rPr>
        <w:t>فيما لو حصل للمبيع نماء</w:t>
      </w:r>
      <w:bookmarkEnd w:id="1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وجد البائع متاعه عند المفلّس و قد حصل منه نماء منفصل كالولد و اللبن كان النماء للمشتري و كان له أخذ الأصل بالثمن؛ و ذلك لأنّه حصل في ملك المفلّس فليس للبائع الرجوع فيه؛ لأنّه ليس عين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فرق في الولد بين الحمل و المنفصل، و لا في اللبن بين المحلوب و غيره، و مثله الثمرة المتجدّدة و ان لم‌تقطف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وفاق لم‌يخالف فيه الاّ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بيننا و لا اشكال</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أمّا لو كان النماء متّصلاً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بتبعيّة الزيادة المتّصلة للشيخ رحمه‌الله و جماعة منهم العلاّمة في القواعد، محتجّين بأنّ هذه الزيادة محض صفة و ليست من فعل المفلّس، فلاتعدّ مالاً له، و لأنّه يصدق أنّه وجد عين ماله فيرجع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تردّد المصنّف ممّا ذكر، و من كون الزيادة ملكا للمفلّس و ان لم‌تكن بفعله؛ لأنّها نماء ملكه، و أنّ الرجوع في العين على خلاف الأصل فيقتصر فيه على ما لايستلزم فوات مال للمفلّس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لانسلّم أنّها بقيت عين ماله، بل هي مع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أنّها تعرض على العرف فان كان يحكم فيها بالتبعيّة المحضة كالسمن اليسير الذي لايلحظ مستقلاًّ فتكون الزيادة للبائع، و ان كان العرف يلحظها مستقلّة بحيث تغيّر حالته الأولى بالكلّيّة من حيث القيمة و سائر الجهات فلا وجه للتبعيّة لكونها كالمباين بالنسبة الى الأصل عرفا، و لو شكّ العرف فيلحق بالأوّل؛ لأصالة التبعيّة الاّ ما يحرز استقلاله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ما لو باعه نخلاً و ثمرتها قبل بلوغها و بلغت بعد التفليس</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الحال بالنسبة الى المقرض و المقترض</w:t>
      </w:r>
      <w:r>
        <w:rPr>
          <w:rFonts w:eastAsia="Amiri" w:cs="Amiri" w:ascii="Amiri" w:hAnsi="Amiri"/>
          <w:color w:val="111111"/>
          <w:sz w:val="28"/>
          <w:szCs w:val="28"/>
          <w:rtl w:val="true"/>
          <w:lang w:bidi="ar-SA"/>
        </w:rPr>
        <w:t xml:space="preserve">. </w:t>
      </w:r>
      <w:bookmarkStart w:id="183" w:name="pg9674_84190"/>
    </w:p>
    <w:p>
      <w:pPr>
        <w:pStyle w:val="Heading2"/>
        <w:numPr>
          <w:ilvl w:val="1"/>
          <w:numId w:val="1"/>
        </w:numPr>
        <w:rPr/>
      </w:pPr>
      <w:bookmarkStart w:id="184" w:name="__RefHeading___Toc7971406_2870459653"/>
      <w:bookmarkStart w:id="185" w:name="_Toc65"/>
      <w:bookmarkEnd w:id="183"/>
      <w:bookmarkEnd w:id="184"/>
      <w:r>
        <w:rPr>
          <w:rtl w:val="true"/>
        </w:rPr>
        <w:t xml:space="preserve">الفرع الثاني </w:t>
      </w:r>
      <w:r>
        <w:rPr>
          <w:rtl w:val="true"/>
        </w:rPr>
        <w:t xml:space="preserve">: </w:t>
      </w:r>
      <w:r>
        <w:rPr>
          <w:rtl w:val="true"/>
        </w:rPr>
        <w:t>فيما لو اشترى حبّا فزرعه أو بيضا فأحضنه و نحو ذلك</w:t>
      </w:r>
      <w:bookmarkEnd w:id="185"/>
    </w:p>
    <w:p>
      <w:pPr>
        <w:pStyle w:val="BookText"/>
        <w:rPr/>
      </w:pPr>
      <w:r>
        <w:rPr>
          <w:rFonts w:ascii="Amiri" w:hAnsi="Amiri" w:eastAsia="Amiri" w:cs="Amiri"/>
          <w:color w:val="111111"/>
          <w:sz w:val="28"/>
          <w:sz w:val="28"/>
          <w:szCs w:val="28"/>
          <w:rtl w:val="true"/>
          <w:lang w:bidi="ar-SA"/>
        </w:rPr>
        <w:t>لو اشترى حبّا فزرعه و أحصد أو بيضة فأحضنها و صار منها فرخ لم‌يكن له أخذه؛ لأنّه ليس عين ماله و ان كان أصله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فارق الغاصب؛ لأنّ التغيّر في الغصب كان في ملك المغصوب منه فكان الموجود له كيف كان، فالمرجع هنا الى وجود العين لا الى مجرّد الملك، و كذا القول في العصير اذا تخمّر في يد المشتري ثمّ 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نخلاً حائلاً فأطلع أو أخذ النخل قبل تأبيره فأبّره لم‌يتبعها الطلع؛ لأنّ الطلع ثمرة متجدّدة في حكم المنفصلة فلايتّبع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باقي الأثمار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تكون الثمرة للمشتري و أخذ البائع الشجرة يجب عليه ابقاؤها الى أوان قطعها عادة بغير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ما لو باع أمة حائلاً فحملت ثمّ فلّس و أخذها البائع فلايتبعها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حكم بكون الحمل للمشتري يجب على البائع ابقاؤها الى الوضع بغير أجرة و يعتبر شربه اللباء أيضا كما في نظائره حيث انّ الولد لايعيش بدونه</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7971408_2870459653"/>
      <w:bookmarkStart w:id="187" w:name="_Toc66"/>
      <w:bookmarkEnd w:id="186"/>
      <w:r>
        <w:rPr>
          <w:rtl w:val="true"/>
        </w:rPr>
        <w:t xml:space="preserve">الفرع الثالث </w:t>
      </w:r>
      <w:r>
        <w:rPr>
          <w:rtl w:val="true"/>
        </w:rPr>
        <w:t xml:space="preserve">: </w:t>
      </w:r>
      <w:r>
        <w:rPr>
          <w:rtl w:val="true"/>
        </w:rPr>
        <w:t>فيما لو باع شقصا و فلّس المشتري</w:t>
      </w:r>
      <w:bookmarkEnd w:id="18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باع شقصا و فلّس المشتري كان للشريك المطالبة بالشفعة و يكون البائع أسوة مع الغرماء في الثمن؛ و ذلك لأنّ حقّ الشفيع مقدّم على حقّ البائع فاذا أخذ الشفيع الشقص و دفعه الثمن فالبائع يكون شريكا لثمن المبيع مع الغرماء؛ لأنّهلايكون عين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اشتملت هذه المسألة على 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حقّ الشفيع على البائع، و وجهه أنّ حقّه أسبق من حقّه؛ لأنّ الشفيع استحقّ العين بالبيع، و حقّ البائع انّما تعلّق بها بالحجر، و هو متأخّر عن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حقّ الشفيع لاحق للبيع لذاته و حقّ البائع لاحق له بواسطة الحجر، و ما بالذات أولى ممّا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حقّه أقوى؛ لأنّه يأخذ من المشتري و ممّن نقله اليه و ان تعدّد، و تبطل جميع العقود، و البائع انّما يتعلّق بالعين مادامت باقية على ملك المشتري، و لأنّه يأخذها و ان زادت، و البائع لايأخذها مع الزيادة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الثمن لايختصّ به البائع، بل يكون فيه أسوة الغرماء؛ و ذلك لأنّه انّما يثبت للمشتري بالأخذ بالشفعة، و في تلك الحال يكون مالاً للمشتري، فيتساوى فيه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لايقدّم به البائع؛ لأنّه ليس عين ماله بل عوضه، و هو لايقدّم بالعوض</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لو فلّس المستأجر كان للمؤجر فسخ الاجارة و لايجب عليه امضاؤها و لو بذل الغرماء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أرضا فغرس المشتري فيها أو بنى ثمّ فلّس كان صاحب الأرض أحقّ بها، و ليس له ازالة الغروس و لا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ذلك مع بذل الأرش؟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المنع، ثمّ يباعان فيكون له ما قابل الأرض، و ان امتنع بقيت له الأرض و بيعت الغروس و الأبنية منفردة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اشترى زيتا فخلطه بمثله لم‌يبطل حقّ البائع من العين، و كذا لوخلطه بدونه؛ لأنّه رضي بما دون حقّه، و ان خلطه بما هو أجود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يبطل </w:t>
      </w:r>
      <w:bookmarkStart w:id="188" w:name="pg9674_84192"/>
    </w:p>
    <w:p>
      <w:pPr>
        <w:pStyle w:val="BookText"/>
        <w:rPr/>
      </w:pPr>
      <w:bookmarkEnd w:id="188"/>
      <w:r>
        <w:rPr>
          <w:rFonts w:ascii="Amiri" w:hAnsi="Amiri" w:eastAsia="Amiri" w:cs="Amiri"/>
          <w:color w:val="111111"/>
          <w:sz w:val="28"/>
          <w:sz w:val="28"/>
          <w:szCs w:val="28"/>
          <w:rtl w:val="true"/>
          <w:lang w:bidi="ar-SA"/>
        </w:rPr>
        <w:t>حقّه من العين و يضرب بالقيمة مع الغرماء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189" w:name="__RefHeading___Toc7971410_2870459653"/>
      <w:bookmarkStart w:id="190" w:name="_Toc67"/>
      <w:bookmarkEnd w:id="189"/>
      <w:r>
        <w:rPr>
          <w:rtl w:val="true"/>
        </w:rPr>
        <w:t xml:space="preserve">الفرع الأوّل </w:t>
      </w:r>
      <w:r>
        <w:rPr>
          <w:rtl w:val="true"/>
        </w:rPr>
        <w:t xml:space="preserve">: </w:t>
      </w:r>
      <w:r>
        <w:rPr>
          <w:rtl w:val="true"/>
        </w:rPr>
        <w:t>فيما لو فلّس المستأجر</w:t>
      </w:r>
      <w:bookmarkEnd w:id="190"/>
    </w:p>
    <w:p>
      <w:pPr>
        <w:pStyle w:val="BookText"/>
        <w:rPr/>
      </w:pPr>
      <w:r>
        <w:rPr>
          <w:rFonts w:ascii="Amiri" w:hAnsi="Amiri" w:eastAsia="Amiri" w:cs="Amiri"/>
          <w:color w:val="111111"/>
          <w:sz w:val="28"/>
          <w:sz w:val="28"/>
          <w:szCs w:val="28"/>
          <w:rtl w:val="true"/>
          <w:lang w:bidi="ar-SA"/>
        </w:rPr>
        <w:t>لو فلّس المستأجر و لم‌يكن قد دفع الأجرة جاز للمؤجر فسخ الاجارة و أخذ العين المؤجرة؛ تنزيلاً للمنافع منزلة الأعيان، و لأنّه قد وجد عين ماله فتشمله الرواية، و له امضاء الاجارة و الضرب مع الغرماء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تفصيل المسألة أنّ الحجر عليه لايخلو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أن‌يكون قبل مضي شيء من المدّة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امّا أن‌تكون العين المؤجرة فارغة من حقّ المفلّس كالدار، أو مشغولة كالأرض يزرعها أو يغرسها، و الدابّة قد حمل عليها و هو في أثناء المسافة، ثمّ امّا أن تكون الاجارة واردة على عين أو ذمّة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قبل مضي شيء من المدّة و أراد المؤجر الفسخ فيفسخ و يأخذ العين، و ان كان بعده و تكون العين المؤجرة فارغة من حقّ المفلّس كالدار فيفسخ الاجارة و يضرب مع الغرماء في الأجرة ان كانت في الذمّة و ان كانت على عين فيأخذها، و أمّا ان كانت العين المؤجرة مشغولة كالأرض يزرعها أو يغرسها فسيأتي الكلام فيه في الفرع الآتي</w:t>
      </w:r>
      <w:r>
        <w:rPr>
          <w:rFonts w:eastAsia="Amiri" w:cs="Amiri" w:ascii="Amiri" w:hAnsi="Amiri"/>
          <w:color w:val="111111"/>
          <w:sz w:val="28"/>
          <w:szCs w:val="28"/>
          <w:rtl w:val="true"/>
          <w:lang w:bidi="ar-SA"/>
        </w:rPr>
        <w:t xml:space="preserve">. </w:t>
      </w:r>
      <w:bookmarkStart w:id="191" w:name="pg9674_84193"/>
    </w:p>
    <w:p>
      <w:pPr>
        <w:pStyle w:val="Heading2"/>
        <w:numPr>
          <w:ilvl w:val="1"/>
          <w:numId w:val="1"/>
        </w:numPr>
        <w:rPr/>
      </w:pPr>
      <w:bookmarkStart w:id="192" w:name="__RefHeading___Toc7971412_2870459653"/>
      <w:bookmarkStart w:id="193" w:name="_Toc68"/>
      <w:bookmarkEnd w:id="191"/>
      <w:bookmarkEnd w:id="192"/>
      <w:r>
        <w:rPr>
          <w:rtl w:val="true"/>
        </w:rPr>
        <w:t xml:space="preserve">الفرع الثاني </w:t>
      </w:r>
      <w:r>
        <w:rPr>
          <w:rtl w:val="true"/>
        </w:rPr>
        <w:t xml:space="preserve">: </w:t>
      </w:r>
      <w:r>
        <w:rPr>
          <w:rtl w:val="true"/>
        </w:rPr>
        <w:t>فيما لو اشترى أرضا فغرس فيها أو بنى ثمّ فلّس</w:t>
      </w:r>
      <w:bookmarkEnd w:id="193"/>
    </w:p>
    <w:p>
      <w:pPr>
        <w:pStyle w:val="BookText"/>
        <w:rPr/>
      </w:pPr>
      <w:r>
        <w:rPr>
          <w:rFonts w:ascii="Amiri" w:hAnsi="Amiri" w:eastAsia="Amiri" w:cs="Amiri"/>
          <w:color w:val="111111"/>
          <w:sz w:val="28"/>
          <w:sz w:val="28"/>
          <w:szCs w:val="28"/>
          <w:rtl w:val="true"/>
          <w:lang w:bidi="ar-SA"/>
        </w:rPr>
        <w:t>لو اشترى أرضا فغرس المشتري فيها أو بنى ثمّ فلّس كان صاحب الأرض أحقّ بها؛ لأنّها عين ماله و هي متميّزة عن مال المفلّس و لايستلزم الرجوع فيها أخذا لمال المفلّس؛ لأنّه ليس له ازالة الغروس و الأبنية بدون الأرش فيشمله صحيحة عمر بن يزيد عن أبي الحسن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يركبه الدين فيوجد متاع رجل عنده بعينه؟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لايحاصّه الغرماء</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هل لصاحب الأرض ازالة الغروس و الأبنية مع بذل الأرش؟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لظهور ما دلّ على أنّ له الرجوع في العين في استحقاق منافعها، و حيث وضع الغرس أو البناء بحقّ جمع بين الحقّين ببذل الأرش</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على هذا ينبغي أن‌يجوز ابقاؤه بأجرة لا مجّانا؛ لأنّ ذلك هو مقتضى تعليل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لم‌يذكر أحد استحقاقه الأجرة لو أبقاها كما في المسالك</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ليس لصاحب الأرض ازالة الغرس أو البناء؛ لأنّها وضعت بحقّ و في ملك الواضع فتكون محترمة و لايجوز ازالتها و لو مع الأرش، فطريق وصوله الى حقّه ابتداءً هو التراضي و التصالح بنحو من الأنحاء كما اذا اشترى صاحبالأرض البناء أو الغرس من المفلّس أو غير ذلك، فان لم‌يتصالحا على شيء فطريق وصوله الى حقّه أن‌تباع الأرض بما فيها من البناء و الغرس فله من الثمن ما </w:t>
      </w:r>
      <w:bookmarkStart w:id="194" w:name="pg9674_84194"/>
    </w:p>
    <w:p>
      <w:pPr>
        <w:pStyle w:val="BookText"/>
        <w:rPr/>
      </w:pPr>
      <w:bookmarkEnd w:id="194"/>
      <w:r>
        <w:rPr>
          <w:rFonts w:ascii="Amiri" w:hAnsi="Amiri" w:eastAsia="Amiri" w:cs="Amiri"/>
          <w:color w:val="111111"/>
          <w:sz w:val="28"/>
          <w:sz w:val="28"/>
          <w:szCs w:val="28"/>
          <w:rtl w:val="true"/>
          <w:lang w:bidi="ar-SA"/>
        </w:rPr>
        <w:t>قابل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معرفته هو أن‌يقوّم الغرس أو البناء ثمّ تقوّم الأرض مشغولة بهما ما بقيا مجّانا، و تنسب قيمتها كذلك الى قيمة المجموع و يؤخذ من الثمن لها بنسبة ذلك و الباقي للمفلّس</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7971414_2870459653"/>
      <w:bookmarkStart w:id="196" w:name="_Toc69"/>
      <w:bookmarkEnd w:id="195"/>
      <w:r>
        <w:rPr>
          <w:rtl w:val="true"/>
        </w:rPr>
        <w:t xml:space="preserve">الفرع الثالث </w:t>
      </w:r>
      <w:r>
        <w:rPr>
          <w:rtl w:val="true"/>
        </w:rPr>
        <w:t xml:space="preserve">: </w:t>
      </w:r>
      <w:r>
        <w:rPr>
          <w:rtl w:val="true"/>
        </w:rPr>
        <w:t>فيما لو اشترى زيتا فخلطه بمثله</w:t>
      </w:r>
      <w:bookmarkEnd w:id="196"/>
    </w:p>
    <w:p>
      <w:pPr>
        <w:pStyle w:val="BookText"/>
        <w:rPr/>
      </w:pPr>
      <w:r>
        <w:rPr>
          <w:rFonts w:ascii="Amiri" w:hAnsi="Amiri" w:eastAsia="Amiri" w:cs="Amiri"/>
          <w:color w:val="111111"/>
          <w:sz w:val="28"/>
          <w:sz w:val="28"/>
          <w:szCs w:val="28"/>
          <w:rtl w:val="true"/>
          <w:lang w:bidi="ar-SA"/>
        </w:rPr>
        <w:t>لو اشترى زيتا فخلطه بمثله لم‌يبطل حقّ البائع من العين؛ لوجود عين ماله في جملة الموجود غايته أنّها غير متميّزة و ذلك لايستلزم عدمها؛ اذ يمكن التوصّل الى حقّه بالقسمة؛ لأنّ الزيت كلّه سواء على الفرض فيأخذ حقّه بالكيل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لو خلطه بالأردئ؛ لأنّه رضي بما دون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خلطه بالأجود فللشيخ رحمه‌الله قول ببطلان حقّه من العين؛ لأنّ العين تصير بمنزلة التالفة للاختلاط و عدم امكان رجوعه الى عينه بالقسمة و أخذ المقدار الممتزج؛ للاضرار بصاحب الأجود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الشهيد في المسالك</w:t>
      </w:r>
      <w:r>
        <w:rPr>
          <w:rStyle w:val="FootnoteAnchor"/>
          <w:rtl w:val="true"/>
        </w:rPr>
        <w:footnoteReference w:id="94"/>
      </w:r>
      <w:r>
        <w:rPr>
          <w:rFonts w:ascii="Amiri" w:hAnsi="Amiri" w:eastAsia="Amiri" w:cs="Amiri"/>
          <w:color w:val="111111"/>
          <w:sz w:val="28"/>
          <w:sz w:val="28"/>
          <w:szCs w:val="28"/>
          <w:rtl w:val="true"/>
          <w:lang w:bidi="ar-SA"/>
        </w:rPr>
        <w:t>ذهب الى امكان التوصّل الى حقّه و هو قيمتها بأن‌يباعا و يكون له بنسبة ما يخصّه من القيمة و هو مختار العلاّمة في المختلف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كانت قيمة زيته درهما و الممزوج به درهمين بيعا و أخذ ثلث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و ان كانت المصالحة أحوط</w:t>
      </w:r>
      <w:r>
        <w:rPr>
          <w:rFonts w:eastAsia="Amiri" w:cs="Amiri" w:ascii="Amiri" w:hAnsi="Amiri"/>
          <w:color w:val="111111"/>
          <w:sz w:val="28"/>
          <w:szCs w:val="28"/>
          <w:rtl w:val="true"/>
          <w:lang w:bidi="ar-SA"/>
        </w:rPr>
        <w:t xml:space="preserve">. </w:t>
      </w:r>
      <w:bookmarkStart w:id="197" w:name="pg9674_84195"/>
    </w:p>
    <w:p>
      <w:pPr>
        <w:pStyle w:val="Heading2"/>
        <w:numPr>
          <w:ilvl w:val="1"/>
          <w:numId w:val="1"/>
        </w:numPr>
        <w:rPr/>
      </w:pPr>
      <w:bookmarkStart w:id="198" w:name="__RefHeading___Toc7971416_2870459653"/>
      <w:bookmarkStart w:id="199" w:name="_Toc70"/>
      <w:bookmarkEnd w:id="197"/>
      <w:bookmarkEnd w:id="198"/>
      <w:r>
        <w:rPr>
          <w:rtl w:val="true"/>
        </w:rPr>
        <w:t xml:space="preserve">فيما لو عمل عملاً في المبيع و في أحكام السلم </w:t>
      </w:r>
      <w:r>
        <w:rPr>
          <w:rtl w:val="true"/>
        </w:rPr>
        <w:t xml:space="preserve">... </w:t>
      </w:r>
      <w:r>
        <w:rPr/>
        <w:t>106</w:t>
      </w:r>
      <w:bookmarkEnd w:id="199"/>
    </w:p>
    <w:p>
      <w:pPr>
        <w:pStyle w:val="BookText"/>
        <w:rPr/>
      </w:pPr>
      <w:r>
        <w:rPr>
          <w:rFonts w:ascii="Amiri" w:hAnsi="Amiri" w:eastAsia="Amiri" w:cs="Amiri"/>
          <w:color w:val="111111"/>
          <w:sz w:val="28"/>
          <w:sz w:val="28"/>
          <w:szCs w:val="28"/>
          <w:rtl w:val="true"/>
          <w:lang w:bidi="ar-SA"/>
        </w:rPr>
        <w:t>و لو نسج الغزل أو قصر الثوب أو خبز الدقيق لم‌يبطل حقّ البائع من العين و كان للغرماء ما زاد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صبغ الثوب كان شريكا للبائع بقيمة الصبغ اذا لم‌ينقص قيمة الثوب به، و كذا لو عمل المفلس فيه عملاً بنفسه كان شريكا للبائع بقدر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في متاع ثمّ فلّس المسلم اليه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وجد رأس ماله أخذه و الاّ ضرب مع الغرماء بالقيمة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الخيار بين الضرب بالثمن أو بقيمة المتاع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أولد الجارية ثمّ فلّس جاز لصاحبها انتزاعها و بيعها، و لو طالب بثمنها جاز بيعها في ثمن رقبتها دون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200" w:name="__RefHeading___Toc7971418_2870459653"/>
      <w:bookmarkStart w:id="201" w:name="_Toc71"/>
      <w:bookmarkEnd w:id="200"/>
      <w:r>
        <w:rPr>
          <w:rtl w:val="true"/>
        </w:rPr>
        <w:t xml:space="preserve">الفرع الأوّل </w:t>
      </w:r>
      <w:r>
        <w:rPr>
          <w:rtl w:val="true"/>
        </w:rPr>
        <w:t xml:space="preserve">: </w:t>
      </w:r>
      <w:r>
        <w:rPr>
          <w:rtl w:val="true"/>
        </w:rPr>
        <w:t>فيما اذا عمل المفلس في المتاع عملاً</w:t>
      </w:r>
      <w:bookmarkEnd w:id="201"/>
    </w:p>
    <w:p>
      <w:pPr>
        <w:pStyle w:val="BookText"/>
        <w:rPr/>
      </w:pPr>
      <w:r>
        <w:rPr>
          <w:rFonts w:ascii="Amiri" w:hAnsi="Amiri" w:eastAsia="Amiri" w:cs="Amiri"/>
          <w:color w:val="111111"/>
          <w:sz w:val="28"/>
          <w:sz w:val="28"/>
          <w:szCs w:val="28"/>
          <w:rtl w:val="true"/>
          <w:lang w:bidi="ar-SA"/>
        </w:rPr>
        <w:t xml:space="preserve">اذا اشترى عينا و عمل فيها عملاً يزيد في صفتها لا في ذاتها كأن‌يطحن الحنطة أو يخبز الدقيق أو يقصر الثوب أو يخيطه بخيوط منه أو ينسج الغزل أو ينشر الخشب ألواحا أو يعملها بابا و نحو ذلك لم‌يسقط حقّ رجوعه بالعين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العين لم‌تخرج عن حقيقتها بتوارد هذه الصفات عليها فكان واجدا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الحكم فيما لو صبغ المفلّس الثوب المشترى، فانّ الثوب للبائع بلا خلاف ظاهرا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أجرة عمل المفلّس أو ثمن ماله كالخيوط أو الصبغ أو غير ذلك فتارة لم‌تزد قيمة المبيع بهذه الصفات فلا شيء للمفلّس سواء غرم المفلّس عليه شيئا أم </w:t>
      </w:r>
      <w:bookmarkStart w:id="202" w:name="pg9674_84196"/>
    </w:p>
    <w:p>
      <w:pPr>
        <w:pStyle w:val="BookText"/>
        <w:rPr/>
      </w:pPr>
      <w:bookmarkEnd w:id="202"/>
      <w:r>
        <w:rPr>
          <w:rFonts w:ascii="Amiri" w:hAnsi="Amiri" w:eastAsia="Amiri" w:cs="Amiri"/>
          <w:color w:val="111111"/>
          <w:sz w:val="28"/>
          <w:sz w:val="28"/>
          <w:szCs w:val="28"/>
          <w:rtl w:val="true"/>
          <w:lang w:bidi="ar-SA"/>
        </w:rPr>
        <w:t xml:space="preserve">لا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البائع حينئذ بالعين؛ لكونها قائمة بخلاف عين مال المفلّس فانّها ذاهبة و الفرض أنّ الصفة بدون ازدياد القيمة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نقصت قيمته فلا شيء للبائع معه لو اختار أخذ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زادت القيمة بسببه و حينئذ فالمفلّس شريك فيها كزيادة العين فتباع العين و يكون للمفلّس من الثمن بنسبة ما زاد فلو كانت قيمة الثوب مائة خاما و مائة و عشرين مقصورا كان للمفلّس سدس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فرض قيمة الثوب غير المصبوغ أربعة و الصبغ درهمين و المصبوغ ستّة فللمفلّس ثلث الثمن</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7971420_2870459653"/>
      <w:bookmarkStart w:id="204" w:name="_Toc72"/>
      <w:bookmarkEnd w:id="203"/>
      <w:r>
        <w:rPr>
          <w:rtl w:val="true"/>
        </w:rPr>
        <w:t xml:space="preserve">الفرع الثاني </w:t>
      </w:r>
      <w:r>
        <w:rPr>
          <w:rtl w:val="true"/>
        </w:rPr>
        <w:t xml:space="preserve">: </w:t>
      </w:r>
      <w:r>
        <w:rPr>
          <w:rtl w:val="true"/>
        </w:rPr>
        <w:t>فيما لو أسلم في متاع ثمّ أفلس المسلم اليه</w:t>
      </w:r>
      <w:bookmarkEnd w:id="204"/>
    </w:p>
    <w:p>
      <w:pPr>
        <w:pStyle w:val="BookText"/>
        <w:rPr/>
      </w:pPr>
      <w:r>
        <w:rPr>
          <w:rFonts w:ascii="Amiri" w:hAnsi="Amiri" w:eastAsia="Amiri" w:cs="Amiri"/>
          <w:color w:val="111111"/>
          <w:sz w:val="28"/>
          <w:sz w:val="28"/>
          <w:szCs w:val="28"/>
          <w:rtl w:val="true"/>
          <w:lang w:bidi="ar-SA"/>
        </w:rPr>
        <w:t>لو أسلف زيد متاعا من عمرو الى ستّة أشهر مثلاً و أخذ ثمنه ثمّ أفلس زيد فقال الشيخ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فينظر ان وجد عمرو عين ماله و هو رأس المال أخذه و كان أحقّ به من سائر الغرماء و ان لم‌يجد عين ماله فانّه يضارب مع الغرماء بقدر ماله عليه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وجدان عين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عموم الرواية المتقدّمة، و مععدمه يضرب بدينه كما في كلّ غريم، و دينه هو المسلم فيه فيضرب به و هو الأقوى كما في الجواهر</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عند المصنّف الخيار بين الضرب بالثمن أو بقيمة المتاع؛ و ذلك لأنّه </w:t>
      </w:r>
      <w:bookmarkStart w:id="205" w:name="pg9674_84197"/>
    </w:p>
    <w:p>
      <w:pPr>
        <w:pStyle w:val="BookText"/>
        <w:rPr/>
      </w:pPr>
      <w:bookmarkEnd w:id="205"/>
      <w:r>
        <w:rPr>
          <w:rFonts w:ascii="Amiri" w:hAnsi="Amiri" w:eastAsia="Amiri" w:cs="Amiri"/>
          <w:color w:val="111111"/>
          <w:sz w:val="28"/>
          <w:sz w:val="28"/>
          <w:szCs w:val="28"/>
          <w:rtl w:val="true"/>
          <w:lang w:bidi="ar-SA"/>
        </w:rPr>
        <w:t>متى تعذّر المسلم فيه في وقته تخيّر المسلم بين الفسخ و الصبر فيكون هنا كذلك، الاّ أنّه مع الفسخ يضرب بالثمن و مع عدمه يضرب بقيمة المسلم فيه؛ اذ لا صبر هنا لأحد من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أكثر الفقهاء و الشهيد في المسالك و قال فيه</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7971422_2870459653"/>
      <w:bookmarkStart w:id="207" w:name="_Toc73"/>
      <w:bookmarkEnd w:id="206"/>
      <w:r>
        <w:rPr>
          <w:rtl w:val="true"/>
        </w:rPr>
        <w:t xml:space="preserve">في بعض الأحكام المتعلّقة بالمفلس </w:t>
      </w:r>
      <w:r>
        <w:rPr>
          <w:rtl w:val="true"/>
        </w:rPr>
        <w:t xml:space="preserve">... </w:t>
      </w:r>
      <w:r>
        <w:rPr/>
        <w:t>108</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تقييده بما لو لم‌يكن مال المفلّس من جنس المسلم فيه، أو يشتمل عليه بحيث يمكن وفاؤه منه، فلو فرض ذلك لم‌يكن له الفسخ؛ اذ لا انقطاع للمسلم فيه و لا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الممكن أن‌يصل الى جميع حقّه، بأن‌يفرض عدم قصور المال حين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وصول البعض فلا وجه للفسخ فيه أيضا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ولكن صاحب الجواهر لم‌يرتض بهذا التقييد؛ لأنّ محلّ الكلام عدم وفاء تمام المسلم فيه للاعسار لا للانقطاع كما أنّه لا معنى لفرض وفاء جميع حقّه؛ لمعلوميّة خروجه عن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فالتحقيق في المقام ما سمعته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زيد جارية من عمرو فأولدها و لم‌يؤدّ ثمنها و أفلس جاز لصاحب الجارية انتزاعها؛ لأنّها عين ماله و الاستيلاد غير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الولد فهو حرّ على كلّ حال؛ لأنّه ولد من سيّدها حالة ملكه لها فلا سبيل لأحد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جني عليه خطأ تعلّق حقّ الغرماء بالدية، و ان كان عمدا كان بالخياربين القصاص و أخذ الدية ان بذلت له و لايتعيّن عليه قبول الدية؛ لأنّها اكتساب و هو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دار أو دابّة وجب أن‌يؤاجرها، و كذا لو كانت مملوكة له و لو كانت أمّ ولد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شهد للمفلس شاهد بمال فان حلف استحقّ، و ان امتنع هل يحلف </w:t>
      </w:r>
      <w:bookmarkStart w:id="208" w:name="pg9674_84198"/>
    </w:p>
    <w:p>
      <w:pPr>
        <w:pStyle w:val="BookText"/>
        <w:rPr/>
      </w:pPr>
      <w:bookmarkEnd w:id="208"/>
      <w:r>
        <w:rPr>
          <w:rFonts w:ascii="Amiri" w:hAnsi="Amiri" w:eastAsia="Amiri" w:cs="Amiri"/>
          <w:color w:val="111111"/>
          <w:sz w:val="28"/>
          <w:sz w:val="28"/>
          <w:szCs w:val="28"/>
          <w:rtl w:val="true"/>
          <w:lang w:bidi="ar-SA"/>
        </w:rPr>
        <w:t>الغرماء؟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الوجه، و ربّما قيل بالجواز؛ لأنّ في اليمين اثبات حقّ للغرماء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مات المفلس حلّ ما عليه و لايحلّ ما له و فيه رواية أخرى مهجورة، و ينظر المعسر و لايجوز الزامه و لا مؤاجرته و فيه رواية أخرى مطرحة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209" w:name="__RefHeading___Toc7971424_2870459653"/>
      <w:bookmarkStart w:id="210" w:name="_Toc74"/>
      <w:bookmarkEnd w:id="209"/>
      <w:r>
        <w:rPr>
          <w:rtl w:val="true"/>
        </w:rPr>
        <w:t xml:space="preserve">الفرع الأوّل </w:t>
      </w:r>
      <w:r>
        <w:rPr>
          <w:rtl w:val="true"/>
        </w:rPr>
        <w:t xml:space="preserve">: </w:t>
      </w:r>
      <w:r>
        <w:rPr>
          <w:rtl w:val="true"/>
        </w:rPr>
        <w:t>فيما لو جني على المفلس</w:t>
      </w:r>
      <w:bookmarkEnd w:id="210"/>
    </w:p>
    <w:p>
      <w:pPr>
        <w:pStyle w:val="BookText"/>
        <w:rPr/>
      </w:pPr>
      <w:r>
        <w:rPr>
          <w:rFonts w:ascii="Amiri" w:hAnsi="Amiri" w:eastAsia="Amiri" w:cs="Amiri"/>
          <w:color w:val="111111"/>
          <w:sz w:val="28"/>
          <w:sz w:val="28"/>
          <w:szCs w:val="28"/>
          <w:rtl w:val="true"/>
          <w:lang w:bidi="ar-SA"/>
        </w:rPr>
        <w:t>لو جني على المفلس أو على عبده أو على مورّثه خطأ تعلّق حقّ الغرماء بالدية؛ لأنّها مال متجدّد للمفلّس و لايصحّ العفو عنه هنا لمنعه من التصرّف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كانت الجناية عمدا فذهب المصنّف رحمه‌الله الى تخيير المجني عليه بين القصاص فانّه الأصل و بين الدية لو رضي مع بذل الجاني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لايتعيّن عليه أخذ المال لو بذل له؛ عملاً بالأصل و لأنّه اكتساب للمال و هو غير لازم له الآن كما لايلزمه قبول الهبة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فان اقتصّ فلا كلام و ان رضي بالمال و بذله الجاني تعلّق به حقّ الغرماء و الظاهر ممّا ذهب اليه أنّه ان عفا مطلقا جاز له و سقط حقّه منها كما في المسالك و الجواهر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للمديون المماطلة في أداء دينه، فان كان موسرا أدّى دينه و الاّ فعليه أن‌يشتغل بما هو شأنه و بما يليق بحاله كما سيأتي، فانّ ذلك مذكور في كتاب الدين ذكره صاحب الجواهر</w:t>
      </w:r>
      <w:r>
        <w:rPr>
          <w:rStyle w:val="FootnoteAnchor"/>
          <w:rtl w:val="true"/>
        </w:rPr>
        <w:footnoteReference w:id="98"/>
      </w:r>
      <w:r>
        <w:rPr>
          <w:rFonts w:ascii="Amiri" w:hAnsi="Amiri" w:eastAsia="Amiri" w:cs="Amiri"/>
          <w:color w:val="111111"/>
          <w:sz w:val="28"/>
          <w:sz w:val="28"/>
          <w:szCs w:val="28"/>
          <w:rtl w:val="true"/>
          <w:lang w:bidi="ar-SA"/>
        </w:rPr>
        <w:t>و غيره و عن الامام الخميني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على </w:t>
      </w:r>
      <w:bookmarkStart w:id="211" w:name="pg9674_84199"/>
    </w:p>
    <w:p>
      <w:pPr>
        <w:pStyle w:val="BookText"/>
        <w:rPr/>
      </w:pPr>
      <w:bookmarkEnd w:id="211"/>
      <w:r>
        <w:rPr>
          <w:rFonts w:ascii="Amiri" w:hAnsi="Amiri" w:eastAsia="Amiri" w:cs="Amiri"/>
          <w:color w:val="111111"/>
          <w:sz w:val="28"/>
          <w:sz w:val="28"/>
          <w:szCs w:val="28"/>
          <w:rtl w:val="true"/>
          <w:lang w:bidi="ar-SA"/>
        </w:rPr>
        <w:t>المديون عند حلول الدين و مطالبة الدائن السعي في أدائه بكلّ وسيلة و لو ببيع سلعته و متاعه و عقاره أو مطالبة غريم له أو اجارة أملاكه و غير ذلك، و هل يجب عليه التكسّب اللائق بحاله من حيث الشرف و القدرة؟ وجهان بل قولان، أحوطهما ذلك خصوصا فيما لايحتاج الى تكلّف و فيمن شغله التكسّب، بل وجوبه حينئذ قوي</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من جني عليه عمدا تخييري فانّه مخيّر بين القصاص و أخذ الدية لو رضي الجاني ببذلها، مع أنّ حقّ الغرماء تعييني و عليه فالمجني عليه ان أخذ الدية لايفوت حقّه و لم‌يتجاوز عن حقّه و عليه فكيف يجوز له القصاص مع رضى الجاني ببذل الدية و أيّ فرق بين أخذ الدية و بين التكسّب اللائق بحاله؟ و عليه فيمكن أن‌يقال بأنّه لايجوز له القصاص في هذا الفرض فضلاً عن العفو مطلقا عن القصاص و أخذ الدية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دار المفلّس و دابّته و مملوكه المحتاج اليه منها تكون من مستثنيات الديون لاتباع و لاتؤجر، و أمّا لو كانت هذه الأشياء له على وجه لايمكن بيعه بأن‌تكون موقوفة مثلاً و هي زائدة على ما يستثنى فيجب عليه أن‌يؤاجرها و صرف الأجرة في دينه</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7971426_2870459653"/>
      <w:bookmarkStart w:id="213" w:name="_Toc75"/>
      <w:bookmarkEnd w:id="212"/>
      <w:r>
        <w:rPr>
          <w:rtl w:val="true"/>
        </w:rPr>
        <w:t xml:space="preserve">الفرع الثاني </w:t>
      </w:r>
      <w:r>
        <w:rPr>
          <w:rtl w:val="true"/>
        </w:rPr>
        <w:t xml:space="preserve">: </w:t>
      </w:r>
      <w:r>
        <w:rPr>
          <w:rtl w:val="true"/>
        </w:rPr>
        <w:t>فيما اذا شهد شاهد للمفلس بمال</w:t>
      </w:r>
      <w:bookmarkEnd w:id="21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ادّعى المفلس على غيره مالاً و أقام شاهدا واحدا فانّه يحلف معه؛ لأنّ بيّنة المال تثبت بالشاهد و اليمين، فان حلف استحقّ </w:t>
      </w:r>
      <w:bookmarkStart w:id="214" w:name="pg9674_84200"/>
    </w:p>
    <w:p>
      <w:pPr>
        <w:pStyle w:val="BookText"/>
        <w:rPr/>
      </w:pPr>
      <w:bookmarkEnd w:id="214"/>
      <w:r>
        <w:rPr>
          <w:rFonts w:ascii="Amiri" w:hAnsi="Amiri" w:eastAsia="Amiri" w:cs="Amiri"/>
          <w:color w:val="111111"/>
          <w:sz w:val="28"/>
          <w:sz w:val="28"/>
          <w:szCs w:val="28"/>
          <w:rtl w:val="true"/>
          <w:lang w:bidi="ar-SA"/>
        </w:rPr>
        <w:t>المال، و ان نكل عن اليمين فهل يردّ على الغرماء فيحلفون و يستحقّون المال أم لا؟ الصحيح أنّه لايردّ عليهم؛ لأنّه لا دليل على ذلك،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يردّ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الحكم اذا لم‌يكن معه شاهد أصلاً و ردّ المدّعى عليه اليمين فنكل فلايردّ على الغرماء، و من خالف في الأولى خالف في هذه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ذهب اليه الشيخ في أصل المسألة لا خلاف و لا اشكال فيه؛ لأنّ بيّنة المال تثبت بشاهد و يمين، و أمّا ان نكل عن اليمين فالحقّ أنّه لايردّ على الغرماء و هو قول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المال للمفلّس الى أن‌يقتسمه الغرماء و ان تعلّق حقّهم به و الحلف لاثبات مال الغير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الغرماء فغير مقبولة هنا لمكان التهمة</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7971428_2870459653"/>
      <w:bookmarkStart w:id="216" w:name="_Toc76"/>
      <w:bookmarkEnd w:id="215"/>
      <w:r>
        <w:rPr>
          <w:rtl w:val="true"/>
        </w:rPr>
        <w:t xml:space="preserve">الفرع الثالث </w:t>
      </w:r>
      <w:r>
        <w:rPr>
          <w:rtl w:val="true"/>
        </w:rPr>
        <w:t xml:space="preserve">: </w:t>
      </w:r>
      <w:r>
        <w:rPr>
          <w:rtl w:val="true"/>
        </w:rPr>
        <w:t>فيما لو مات المفلس</w:t>
      </w:r>
      <w:bookmarkEnd w:id="216"/>
    </w:p>
    <w:p>
      <w:pPr>
        <w:pStyle w:val="BookText"/>
        <w:rPr/>
      </w:pPr>
      <w:r>
        <w:rPr>
          <w:rFonts w:ascii="Amiri" w:hAnsi="Amiri" w:eastAsia="Amiri" w:cs="Amiri"/>
          <w:color w:val="111111"/>
          <w:sz w:val="28"/>
          <w:sz w:val="28"/>
          <w:szCs w:val="28"/>
          <w:rtl w:val="true"/>
          <w:lang w:bidi="ar-SA"/>
        </w:rPr>
        <w:t>لو مات المفلس حلّ ما عليه؛ لرواية السكوني عن جعفر عن أبيه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على الرجل دين الى أجل و مات الرجل حلّ الدين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هذا لا خلاف و لا اشكال فيه كما في الجواهر و موضع وفاق كما في المسالك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لايحلّ ما له من الديون عند المشهور بين الأصحاب شهرة عظيمة بل عن </w:t>
      </w:r>
      <w:bookmarkStart w:id="217" w:name="pg9674_84201"/>
    </w:p>
    <w:p>
      <w:pPr>
        <w:pStyle w:val="BookText"/>
        <w:rPr/>
      </w:pPr>
      <w:bookmarkEnd w:id="217"/>
      <w:r>
        <w:rPr>
          <w:rFonts w:ascii="Amiri" w:hAnsi="Amiri" w:eastAsia="Amiri" w:cs="Amiri"/>
          <w:color w:val="111111"/>
          <w:sz w:val="28"/>
          <w:sz w:val="28"/>
          <w:szCs w:val="28"/>
          <w:rtl w:val="true"/>
          <w:lang w:bidi="ar-SA"/>
        </w:rPr>
        <w:t>الغنية نفي الخلاف فيه، بل عن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فيه بين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أوّلاً لأصالة البقاء و انتفاء ما يدلّ على خلافها بعد حرمة القياس و ثانيا للفرق بتحقّق الضرر في الأوّل على المالك ان تصرّف الوارث، و على الوارث ان منع منه الى أن‌يحلّ، بخلاف موت من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المرسل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الرجل حلّ ما له و ما عليه من الدين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مهجور عند معظم الأصحاب و لم‌يعمل به الاّ الشيخ في النهاية</w:t>
      </w:r>
      <w:r>
        <w:rPr>
          <w:rStyle w:val="FootnoteAnchor"/>
          <w:rtl w:val="true"/>
        </w:rPr>
        <w:footnoteReference w:id="103"/>
      </w:r>
      <w:r>
        <w:rPr>
          <w:rFonts w:ascii="Amiri" w:hAnsi="Amiri" w:eastAsia="Amiri" w:cs="Amiri"/>
          <w:color w:val="111111"/>
          <w:sz w:val="28"/>
          <w:sz w:val="28"/>
          <w:szCs w:val="28"/>
          <w:rtl w:val="true"/>
          <w:lang w:bidi="ar-SA"/>
        </w:rPr>
        <w:t>و تبعه جماعة</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7971430_2870459653"/>
      <w:bookmarkStart w:id="219" w:name="_Toc77"/>
      <w:bookmarkEnd w:id="218"/>
      <w:r>
        <w:rPr>
          <w:rtl w:val="true"/>
        </w:rPr>
        <w:t xml:space="preserve">الفرع الرابع </w:t>
      </w:r>
      <w:r>
        <w:rPr>
          <w:rtl w:val="true"/>
        </w:rPr>
        <w:t xml:space="preserve">: </w:t>
      </w:r>
      <w:r>
        <w:rPr>
          <w:rtl w:val="true"/>
        </w:rPr>
        <w:t>في انظار المعسر</w:t>
      </w:r>
      <w:bookmarkEnd w:id="219"/>
    </w:p>
    <w:p>
      <w:pPr>
        <w:pStyle w:val="BookText"/>
        <w:rPr/>
      </w:pPr>
      <w:r>
        <w:rPr>
          <w:rFonts w:ascii="Amiri" w:hAnsi="Amiri" w:eastAsia="Amiri" w:cs="Amiri"/>
          <w:color w:val="111111"/>
          <w:sz w:val="28"/>
          <w:sz w:val="28"/>
          <w:szCs w:val="28"/>
          <w:rtl w:val="true"/>
          <w:lang w:bidi="ar-SA"/>
        </w:rPr>
        <w:t>ينظر المعسر الى الميسرة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ذو عسرة فنظرة الى ميسرة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رواية غياث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كان يحبس في الدين فاذا تبيّن له حاجة و افلاس خلّى سبيله حتّى يستفيد مالاً</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السكوني عن جعفر عن أبيه عن علي عليهم‌السلام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استعدت على زوجها أنّه لاينفق عليها و كان زوجها معسرا فأبى أن‌يحبسه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 العسر يسرا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الى غير ذلك من الروايات الواردة في الباب الخامس و العشرين من أبواب الدين من الوسائل في المجلّد الثامن‌عشر الدالّة على أنّه يجب على الدائن انظار المعسر و عدم جواز معاسرته كقوله صلى‌الله‌عليه‌و‌آله في رواية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لايحلّ لغريمك أن‌يمطلك و هو موسر فكذلك لايحلّ لك أن‌تعسره اذا علمت أنّه معسر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ثمّ انّه أطلق جماعة من الأصحاب أنّه لايجب عليه الاكتساب أيضا و لا قبول الهبة و لا الصدقة و لا الوصيّة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بوجوب ما يليق بحاله كان حسنا كما في المسالك و اختاره الشهيد في الدروس و قد ورد في رواية السكوني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كان يحبس في الدين ثمّ ينظر فان كان له مال أعطى الغرماء و ان لم‌يكن له مال دفعه الى الغرماء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ان شئتم آجروه و ان شئتم استعملوه</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الاكتساب بما يليق بحاله حتّى انّه يلزم عليه قبول الاستئجار والاستعمال ان لم‌يكن منافيا لشأنه و هتكا لحرمته</w:t>
      </w:r>
      <w:r>
        <w:rPr>
          <w:rFonts w:eastAsia="Amiri" w:cs="Amiri" w:ascii="Amiri" w:hAnsi="Amiri"/>
          <w:color w:val="111111"/>
          <w:sz w:val="28"/>
          <w:szCs w:val="28"/>
          <w:rtl w:val="true"/>
          <w:lang w:bidi="ar-SA"/>
        </w:rPr>
        <w:t xml:space="preserve">. </w:t>
      </w:r>
      <w:bookmarkStart w:id="220" w:name="pg9674_84203"/>
    </w:p>
    <w:p>
      <w:pPr>
        <w:pStyle w:val="Heading2"/>
        <w:numPr>
          <w:ilvl w:val="1"/>
          <w:numId w:val="1"/>
        </w:numPr>
        <w:rPr/>
      </w:pPr>
      <w:bookmarkStart w:id="221" w:name="__RefHeading___Toc7971432_2870459653"/>
      <w:bookmarkStart w:id="222" w:name="_Toc78"/>
      <w:bookmarkEnd w:id="220"/>
      <w:bookmarkEnd w:id="221"/>
      <w:r>
        <w:rPr>
          <w:rtl w:val="true"/>
        </w:rPr>
        <w:t xml:space="preserve">القول في قسمة ماله </w:t>
      </w:r>
      <w:r>
        <w:rPr>
          <w:rtl w:val="true"/>
        </w:rPr>
        <w:t xml:space="preserve">... </w:t>
      </w:r>
      <w:r>
        <w:rPr/>
        <w:t>114</w:t>
      </w:r>
      <w:bookmarkEnd w:id="222"/>
    </w:p>
    <w:p>
      <w:pPr>
        <w:pStyle w:val="BookText"/>
        <w:rPr/>
      </w:pPr>
      <w:r>
        <w:rPr>
          <w:rFonts w:ascii="Amiri" w:hAnsi="Amiri" w:eastAsia="Amiri" w:cs="Amiri"/>
          <w:color w:val="111111"/>
          <w:sz w:val="28"/>
          <w:sz w:val="28"/>
          <w:szCs w:val="28"/>
          <w:rtl w:val="true"/>
          <w:lang w:bidi="ar-SA"/>
        </w:rPr>
        <w:t>القول في قسمة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احضار كلّ متاع في سوقه ليتوفّر الرغبة، و حضور الغرماء تعرّضا للزيادة، و أن‌يبدأ ببيع ما يخشى تلفه و بعده بالرهن؛ لانفراد المرتهن به و أن‌يعوّل على منادٍ يرتضي به الغرماء و المفلّس؛ دفعا للتهمة فان تعاسروا عيّن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لم‌يوجد من يتبرّع بالبيع و لا بذلت الأجرة من بيت المال وجب أخذها من مال المفلّس؛ لأنّ البيع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تسليم مال المفلس الاّ مع قبض الثمن، و ان تعاسرا تقابضا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اقتضت المصلحة تأخير القسمة،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في ذمّة مليّ احتياطا و الاّ جعل وديعة؛ لأنّه موضع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لايجبر المفلّس على بيع داره التي يسكنها و يباع منها ما يفضل عن حاجته و كذا أمته التي تخدمه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الحاكم أو أمينه مال المفلّس ثمّ طلب بزيادة لم‌يفسخ العقد، و لو التمس من المشتري الفسخ لم‌يجب عليه الاجابة لكن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عليه نفقته و نفقة من يجب عليه نفقته و كسوته، و يتبع في ذلك عادة أمثاله الى يوم قسمة ماله فيعطى هو و عياله نفقة ذلك اليوم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قدّم كفنه على حقوق الغرماء و يقتصر على الواجب منه</w:t>
      </w:r>
      <w:r>
        <w:rPr>
          <w:rFonts w:eastAsia="Amiri" w:cs="Amiri" w:ascii="Amiri" w:hAnsi="Amiri"/>
          <w:color w:val="111111"/>
          <w:sz w:val="28"/>
          <w:szCs w:val="28"/>
          <w:rtl w:val="true"/>
          <w:lang w:bidi="ar-SA"/>
        </w:rPr>
        <w:t xml:space="preserve">. </w:t>
      </w:r>
      <w:bookmarkStart w:id="223" w:name="pg9674_84204"/>
    </w:p>
    <w:p>
      <w:pPr>
        <w:pStyle w:val="BookText"/>
        <w:rPr/>
      </w:pPr>
      <w:bookmarkEnd w:id="223"/>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224" w:name="__RefHeading___Toc7971434_2870459653"/>
      <w:bookmarkStart w:id="225" w:name="_Toc79"/>
      <w:bookmarkEnd w:id="224"/>
      <w:r>
        <w:rPr>
          <w:rtl w:val="true"/>
        </w:rPr>
        <w:t xml:space="preserve">الفرع الأوّل </w:t>
      </w:r>
      <w:r>
        <w:rPr>
          <w:rtl w:val="true"/>
        </w:rPr>
        <w:t xml:space="preserve">: </w:t>
      </w:r>
      <w:r>
        <w:rPr>
          <w:rtl w:val="true"/>
        </w:rPr>
        <w:t>في بعض ما يستحبّ عند بيع مال المفلس</w:t>
      </w:r>
      <w:bookmarkEnd w:id="225"/>
    </w:p>
    <w:p>
      <w:pPr>
        <w:pStyle w:val="BookText"/>
        <w:rPr/>
      </w:pPr>
      <w:r>
        <w:rPr>
          <w:rFonts w:ascii="Amiri" w:hAnsi="Amiri" w:eastAsia="Amiri" w:cs="Amiri"/>
          <w:color w:val="111111"/>
          <w:sz w:val="28"/>
          <w:sz w:val="28"/>
          <w:szCs w:val="28"/>
          <w:rtl w:val="true"/>
          <w:lang w:bidi="ar-SA"/>
        </w:rPr>
        <w:t xml:space="preserve">يستحبّ احضار كلّ متاع في سوقه ليتوفّر الرغبة، كذلك أطلق الأصحاب ولكن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لأنّ بيعه فيه آثر لطلاّبه و أضبط لقيمته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حضور الغرماء تعرّضا للزيادة و يمكن وجوبه مع رجاء الزيادة بحضورهم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اليه استحباب حضور المفلّس أو وكيله؛ لأنّه أخبر بقيمة متاعه و أعرف بجيّده من غيره، فيتكلّم عليه و يخبر بقدره و يعرف المعيب من غيره و ربّما كان أكثر للرغبة فيه و أبعد عن التهمة و أطيب لنفس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أن‌يبدأ ببيع ما يخشى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وجوبه لئلاّيضيع على المفلّس و على الغرماء، و لوجوب الاحتياط على الأمناء و الوكلاء في أموال مستأمنيهم فهنا أولى، فيبدأ بما يخاف عليه الفساد عاجلاً كالفاكهة ثمّ بالحيوان ثمّ بسائر المنقولات ثمّ بالعقارات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أن‌يبدأ بعده بالرهن؛ لانفراد المرتهن به و لأنّه ربّما زادت قيمته عن الدين فيضمّ الباقي الى مال المفلّس و ربّما نقصت فيضرب المرتهن بباقي دينه مع الغرماء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أيضا أن‌يعوّل على منادٍ يرتضي به الغرماء و المفلّس؛ دفعا للتهمة عنه و لايجب؛ للأصل و ان تعاسروا عيّن الحاكم</w:t>
      </w:r>
      <w:r>
        <w:rPr>
          <w:rFonts w:eastAsia="Amiri" w:cs="Amiri" w:ascii="Amiri" w:hAnsi="Amiri"/>
          <w:color w:val="111111"/>
          <w:sz w:val="28"/>
          <w:szCs w:val="28"/>
          <w:rtl w:val="true"/>
          <w:lang w:bidi="ar-SA"/>
        </w:rPr>
        <w:t xml:space="preserve">. </w:t>
      </w:r>
      <w:bookmarkStart w:id="226" w:name="pg9674_84205"/>
    </w:p>
    <w:p>
      <w:pPr>
        <w:pStyle w:val="BookText"/>
        <w:rPr/>
      </w:pPr>
      <w:bookmarkEnd w:id="226"/>
      <w:r>
        <w:rPr>
          <w:rFonts w:ascii="Amiri" w:hAnsi="Amiri" w:eastAsia="Amiri" w:cs="Amiri"/>
          <w:color w:val="111111"/>
          <w:sz w:val="28"/>
          <w:sz w:val="28"/>
          <w:szCs w:val="28"/>
          <w:rtl w:val="true"/>
          <w:lang w:bidi="ar-SA"/>
        </w:rPr>
        <w:t>ثمّ انّه يتفحّص عمّن يتبرّع ببيع الأمتعة للقسمة بين الغرماء و الاّ بذلت الأجرة من بيت المال، و ان لم‌يوجد المتبرّع و لا بذلت الأجرة من بيت المال وجب أخذها من مال المفلّس؛ لأنّ البيع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تسليم مال المفلّس الاّ مع قبض الثمن؛ لأنّ مال الغير يجب الاحتياط فيه كذلك و ان تعاسرا تقابضا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اقتضت المصلحة تأخير القسمة فيجعلها الحاكم وديعة عند من يوثق به كما هو في أموال اليتامى و غيرهم ممّن أمره أحوط من مال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في ذمّة ملي احتياطا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كلّما قلنا من المستحبّات في هذا الفرع ليس تعبّديّا بل هو ارشاد الى أصلحيّة هذه الموارد من غيرها، فان اتّفق أنّ رعاية غيرها أو خلافها أصلح و آثر و أضبط فيستحبّ رعاية ذلك</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7971436_2870459653"/>
      <w:bookmarkStart w:id="228" w:name="_Toc80"/>
      <w:bookmarkEnd w:id="227"/>
      <w:r>
        <w:rPr>
          <w:rtl w:val="true"/>
        </w:rPr>
        <w:t xml:space="preserve">الفرع الثاني </w:t>
      </w:r>
      <w:r>
        <w:rPr>
          <w:rtl w:val="true"/>
        </w:rPr>
        <w:t xml:space="preserve">: </w:t>
      </w:r>
      <w:r>
        <w:rPr>
          <w:rtl w:val="true"/>
        </w:rPr>
        <w:t>في عدم اجبار المفلس على بيع داره و ما يحتاج اليه</w:t>
      </w:r>
      <w:bookmarkEnd w:id="228"/>
    </w:p>
    <w:p>
      <w:pPr>
        <w:pStyle w:val="BookText"/>
        <w:rPr/>
      </w:pPr>
      <w:r>
        <w:rPr>
          <w:rFonts w:ascii="Amiri" w:hAnsi="Amiri" w:eastAsia="Amiri" w:cs="Amiri"/>
          <w:color w:val="111111"/>
          <w:sz w:val="28"/>
          <w:sz w:val="28"/>
          <w:szCs w:val="28"/>
          <w:rtl w:val="true"/>
          <w:lang w:bidi="ar-SA"/>
        </w:rPr>
        <w:t>لايجبر المفلّس و من عليه الدين ببيع ما لا بدّ منه من مسكن و خادم، و يلزمه بيع ما يزيد عن كفايته من ذلك؛ تدلّ على ذلك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لاتباع الدار و لا الجارية في الدين؛ و ذلك أنّه لا بدّ للرجل من ظلّ يسكنه و خادم يخدمه</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ذريح المحاربي عن أبي عبداللّه عليه‌السلام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لايخرج الرجل عن مسقط رأسه بالدين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محكيّا عن المبسوط و في الغنية و التذكرة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لو فرض كون الدار زائدة عمّا يحتاج اليه يسكن في ما يحتاج اليه و يباع منها ما يفضل عن حاجته لوفاء دينه الواجب عليه، و يرشد اليه التعليل الوارد في صحيحة الحلبي و الظاهر أنّه لا خلاف فيه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الدار كونها لائقة بحاله كمّا و كيفا، فلو زادت في أحدهما وجب الاستبدال بما يليق به، أو بيع الفاضل ان أمكن افراده بالبيع، و في الأمة الحاجة الى خدمتها أو الأهليّة لها بحسب حاله، و مثلها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حكمها دابّة 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احتاج الى المتعدّد استثني كالمتّحد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يستثنى له دست ثوب يليق بحاله شتاءً و صيفا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اعتبار ما يليق بحاله في افلاسه، لا في حال ثروته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لعياله من الثياب ما يترك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لايترك له الفرش و البسط، بل يسامح باللبد و الحصير القليل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المستثنيات بين كونها عين مال بعض الغرماء و عدمه عندنا</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به من الأمثلة و حكمها حسن، الاّ ما ذكره أخيرا نقلاً عن العلاّمة في التذكرة من أنّ الأولى اعتبار ما يليق بحاله في افلاسه، فانّ الظاهر لزوم مراعاة حال له بين شرفه و افلاسه، لا حال شرفه مطلقا و لا حال افلاسه في جميع الموارد، بل حال متوسّط بينهما</w:t>
      </w:r>
      <w:r>
        <w:rPr>
          <w:rFonts w:eastAsia="Amiri" w:cs="Amiri" w:ascii="Amiri" w:hAnsi="Amiri"/>
          <w:color w:val="111111"/>
          <w:sz w:val="28"/>
          <w:szCs w:val="28"/>
          <w:rtl w:val="true"/>
          <w:lang w:bidi="ar-SA"/>
        </w:rPr>
        <w:t xml:space="preserve">. </w:t>
      </w:r>
      <w:bookmarkStart w:id="229" w:name="pg9674_84207"/>
    </w:p>
    <w:p>
      <w:pPr>
        <w:pStyle w:val="Heading2"/>
        <w:numPr>
          <w:ilvl w:val="1"/>
          <w:numId w:val="1"/>
        </w:numPr>
        <w:rPr/>
      </w:pPr>
      <w:bookmarkStart w:id="230" w:name="__RefHeading___Toc7971438_2870459653"/>
      <w:bookmarkStart w:id="231" w:name="_Toc81"/>
      <w:bookmarkEnd w:id="229"/>
      <w:bookmarkEnd w:id="230"/>
      <w:r>
        <w:rPr>
          <w:rtl w:val="true"/>
        </w:rPr>
        <w:t xml:space="preserve">الفرع الثالث </w:t>
      </w:r>
      <w:r>
        <w:rPr>
          <w:rtl w:val="true"/>
        </w:rPr>
        <w:t xml:space="preserve">: </w:t>
      </w:r>
      <w:r>
        <w:rPr>
          <w:rtl w:val="true"/>
        </w:rPr>
        <w:t>فيما لو باع الحاكم أو أمينه مال المفلس ثمّ طلب بزيادة</w:t>
      </w:r>
      <w:bookmarkEnd w:id="231"/>
    </w:p>
    <w:p>
      <w:pPr>
        <w:pStyle w:val="BookText"/>
        <w:rPr/>
      </w:pPr>
      <w:r>
        <w:rPr>
          <w:rFonts w:ascii="Amiri" w:hAnsi="Amiri" w:eastAsia="Amiri" w:cs="Amiri"/>
          <w:color w:val="111111"/>
          <w:sz w:val="28"/>
          <w:sz w:val="28"/>
          <w:szCs w:val="28"/>
          <w:rtl w:val="true"/>
          <w:lang w:bidi="ar-SA"/>
        </w:rPr>
        <w:t>لو باع الحاكم أو أمينه مال المفلّس بثمن مثله ثمّ جاء به زيادة بعد لزوم البيع و انقطاع الخيار سئل المشتري الاقالة أو بذل الزيادة، و يستحبّ للمشتري الاجابة؛ لأنّ فيه مصلحة المفلّس و ان لم‌يجبه الى ذلك لم‌يجبر عليه؛ لأنّ البيع الأوّل قد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المفلّس يجب أن‌ينفق عليه و على من يلزمه نفقته من أقاربه و زوجته و مماليكه من المال الذي في يده، و لايسقط عنه نفقتهم؛ لأنّه غني بماله و لا دليل على سقوط ذلك عنه و لا خلاف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أيضا أن‌يكسى جميع من يجب عليه كسوته من زوجته و أقاربه اجماعا و هكذا يكون الحكم فيمن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الى يوم قسمة ماله فيعطى هو و عياله نفقة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قدّم كفنه على حقوق الغرماء و يقتصر على الواجب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2"/>
        <w:numPr>
          <w:ilvl w:val="1"/>
          <w:numId w:val="1"/>
        </w:numPr>
        <w:rPr/>
      </w:pPr>
      <w:bookmarkStart w:id="232" w:name="__RefHeading___Toc7971440_2870459653"/>
      <w:bookmarkStart w:id="233" w:name="_Toc82"/>
      <w:bookmarkEnd w:id="232"/>
      <w:r>
        <w:rPr>
          <w:rtl w:val="true"/>
        </w:rPr>
        <w:t xml:space="preserve">فيما اذا قسّم الحاكم مال المفلس ثمّ ظهر غريم </w:t>
      </w:r>
      <w:r>
        <w:rPr>
          <w:rtl w:val="true"/>
        </w:rPr>
        <w:t xml:space="preserve">... </w:t>
      </w:r>
      <w:r>
        <w:rPr/>
        <w:t>118</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قسّم الحاكم مال المفلس ثمّ ظهر غريم نقضها و شاركهم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قسّم الحاكم مال المفلّس على غرمائه ثمّ ظهر غريم لم‌يكن يعلم به و ليس له عين مال قد اختار الفسخ فيها، نقضها و شاركهم الغريم؛ و ذلك لأنّه كاشف عنأنّ التقسيم لم‌يكن على واقعها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هي انتقضت في نفسها و شاركهم الغريم كما في الارشاد </w:t>
      </w:r>
      <w:bookmarkStart w:id="234" w:name="pg9674_84208"/>
    </w:p>
    <w:p>
      <w:pPr>
        <w:pStyle w:val="BookText"/>
        <w:rPr/>
      </w:pPr>
      <w:bookmarkEnd w:id="234"/>
      <w:r>
        <w:rPr>
          <w:rFonts w:ascii="Amiri" w:hAnsi="Amiri" w:eastAsia="Amiri" w:cs="Amiri"/>
          <w:color w:val="111111"/>
          <w:sz w:val="28"/>
          <w:sz w:val="28"/>
          <w:szCs w:val="28"/>
          <w:rtl w:val="true"/>
          <w:lang w:bidi="ar-SA"/>
        </w:rPr>
        <w:t>و التحرير و المسالك و محكي المبسوط و التذكرة؛ لعدم صدق القسمة التي كان يأمر بها أميرالمؤمنين عليه‌السلام ؛ ضرورة أنّها اخراج الحصص المشاعة الى التعيين، و مع فرض ظهور الغريم المشارك لهم بسبب سبق دينه على الحجر مثلاً لم‌تخرج من الاشاعة الى التعيين، فتبطل القسمة التي من مقوّماتها وصول نصيب كلّ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ذكره الأكثر من أنّه نقض الحكم أحسن ممّا ذكره صاحب الجواهر من انتقاض الحكم بنفسه، احتراما لحكم الحاكم</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7971442_2870459653"/>
      <w:bookmarkStart w:id="236" w:name="_Toc83"/>
      <w:bookmarkEnd w:id="235"/>
      <w:r>
        <w:rPr>
          <w:rtl w:val="true"/>
        </w:rPr>
        <w:t xml:space="preserve">فيما اذا كان عليه ديون حالّة و مؤجّلة </w:t>
      </w:r>
      <w:r>
        <w:rPr>
          <w:rtl w:val="true"/>
        </w:rPr>
        <w:t xml:space="preserve">... </w:t>
      </w:r>
      <w:r>
        <w:rPr/>
        <w:t>119</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عليه ديون حالّة و مؤجّلة قسّمت أمواله في الحالّة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عليه ديون حالّة و ديون مؤجّلة و قد فلّس لقصور ما عنده عن الديون الحالّة قسّمت أمواله على الحالّة خاصّة و لايدّخر منها شيء للمؤجّلة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استحقاقها 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مؤجّلة عند الحجر و حلّت عند القسمة شاركت و ان كان الحجر في ابتدائه لأجل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 بعد قسمة البعض شارك في الباقي، و ضرب مع باقي الغرماء ببقيّة ديونهم</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7971444_2870459653"/>
      <w:bookmarkStart w:id="238" w:name="_Toc84"/>
      <w:bookmarkEnd w:id="237"/>
      <w:r>
        <w:rPr>
          <w:rtl w:val="true"/>
        </w:rPr>
        <w:t xml:space="preserve">فيما اذا جنى عبد المفلس </w:t>
      </w:r>
      <w:r>
        <w:rPr>
          <w:rtl w:val="true"/>
        </w:rPr>
        <w:t xml:space="preserve">... </w:t>
      </w:r>
      <w:r>
        <w:rPr/>
        <w:t>119</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جنى عبد المفلس كان المجني عليه أولى به و لو أراد مولاه فكّه كان للغرماء منعه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جنى عبد المفلّس كان المجني عليه أولى به، و قد تقدّم في كتاب الرهن أنّ </w:t>
      </w:r>
      <w:bookmarkStart w:id="239" w:name="pg9674_84209"/>
    </w:p>
    <w:p>
      <w:pPr>
        <w:pStyle w:val="BookText"/>
        <w:rPr/>
      </w:pPr>
      <w:bookmarkEnd w:id="239"/>
      <w:r>
        <w:rPr>
          <w:rFonts w:ascii="Amiri" w:hAnsi="Amiri" w:eastAsia="Amiri" w:cs="Amiri"/>
          <w:color w:val="111111"/>
          <w:sz w:val="28"/>
          <w:sz w:val="28"/>
          <w:szCs w:val="28"/>
          <w:rtl w:val="true"/>
          <w:lang w:bidi="ar-SA"/>
        </w:rPr>
        <w:t>المجني عليه أحقّ بالعبد الجاني من الغرماء و من المرتهن أيضا؛ لانحصار حقّه في العين بخلافهم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يكون أحقّ به مع استيعاب الجناية لقيمته و الاّ استرقّ منه بقدرها و صرف الباقي الى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مولاه فكّه بما تعلّق به الحقّ من الأموال كان للغرماء منعه؛ لأنّه تصرّف مالي و قد حجر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فكّه مصلحة كما لو كان كسوبا مثلاً يثمر مالاً الى حين القسمة و قيمته باقية فله فكّه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بذلك النظر في حبسه</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7971446_2870459653"/>
      <w:bookmarkStart w:id="241" w:name="_Toc85"/>
      <w:bookmarkEnd w:id="240"/>
      <w:r>
        <w:rPr>
          <w:rtl w:val="true"/>
        </w:rPr>
        <w:t xml:space="preserve">في حبس المفلس </w:t>
      </w:r>
      <w:r>
        <w:rPr>
          <w:rtl w:val="true"/>
        </w:rPr>
        <w:t xml:space="preserve">... </w:t>
      </w:r>
      <w:r>
        <w:rPr/>
        <w:t>120</w:t>
      </w:r>
      <w:bookmarkEnd w:id="241"/>
    </w:p>
    <w:p>
      <w:pPr>
        <w:pStyle w:val="BookText"/>
        <w:rPr/>
      </w:pPr>
      <w:r>
        <w:rPr>
          <w:rFonts w:ascii="Amiri" w:hAnsi="Amiri" w:eastAsia="Amiri" w:cs="Amiri"/>
          <w:color w:val="111111"/>
          <w:sz w:val="28"/>
          <w:sz w:val="28"/>
          <w:szCs w:val="28"/>
          <w:rtl w:val="true"/>
          <w:lang w:bidi="ar-SA"/>
        </w:rPr>
        <w:t>لايجوز حبس المعسر مع ظهور اعساره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ذلك بموافقة الغريم أو قيام البيّنة، فان تناكرا و كان له مال ظاهر أمر بالتسليم فان امتنع فالحاكم بالخيار بين حبسه حتّى يوفي و بيع أمواله و قسمتها بين غرمائه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لم‌يكن له مال ظاهر و ادّعى الاعسار فان وجد البيّنة قضى بها، و ان عدمها و كان له أصل مال أو كان أصل الدعوى مالاً حبس حتّى يثبت اعساره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شهدت البيّنة بتلف أمواله قضي بها و لم‌يكلّف اليمين و لو لم‌تكن البيّنة مطّلعة على باطن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شهدت بالاعسار مطلقا لم‌تقبل حتّى تكون مطّلعة على أموره بالصحبة المؤكّدة، و للغرماء احلافه؛ دفعا للاحتمال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لم‌يعلم له أصل مال و ادّعى الاعسار قبلت دعواه و لايكلّف البيّنة، و للغرماء مطالبته باليمين، و اذا قسّم المال بين الغرماء وجب اطلاقه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يزول الحجر عنه بمجرّد الأداء أم يفتقر الى حكم الحاكم؟ الأولى أنّه يزول بالأداء؛ لزوال سببه</w:t>
      </w:r>
      <w:r>
        <w:rPr>
          <w:rFonts w:eastAsia="Amiri" w:cs="Amiri" w:ascii="Amiri" w:hAnsi="Amiri"/>
          <w:color w:val="111111"/>
          <w:sz w:val="28"/>
          <w:szCs w:val="28"/>
          <w:rtl w:val="true"/>
          <w:lang w:bidi="ar-SA"/>
        </w:rPr>
        <w:t xml:space="preserve">. </w:t>
      </w:r>
      <w:bookmarkStart w:id="242" w:name="pg9674_84210"/>
    </w:p>
    <w:p>
      <w:pPr>
        <w:pStyle w:val="BookText"/>
        <w:rPr/>
      </w:pPr>
      <w:bookmarkEnd w:id="242"/>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243" w:name="__RefHeading___Toc7971448_2870459653"/>
      <w:bookmarkStart w:id="244" w:name="_Toc86"/>
      <w:bookmarkEnd w:id="243"/>
      <w:r>
        <w:rPr>
          <w:rtl w:val="true"/>
        </w:rPr>
        <w:t xml:space="preserve">الفرع الأوّل </w:t>
      </w:r>
      <w:r>
        <w:rPr>
          <w:rtl w:val="true"/>
        </w:rPr>
        <w:t xml:space="preserve">: </w:t>
      </w:r>
      <w:r>
        <w:rPr>
          <w:rtl w:val="true"/>
        </w:rPr>
        <w:t>في عدم جواز حبس المديون المعسر</w:t>
      </w:r>
      <w:bookmarkEnd w:id="244"/>
    </w:p>
    <w:p>
      <w:pPr>
        <w:pStyle w:val="BookText"/>
        <w:rPr/>
      </w:pPr>
      <w:r>
        <w:rPr>
          <w:rFonts w:ascii="Amiri" w:hAnsi="Amiri" w:eastAsia="Amiri" w:cs="Amiri"/>
          <w:color w:val="111111"/>
          <w:sz w:val="28"/>
          <w:sz w:val="28"/>
          <w:szCs w:val="28"/>
          <w:rtl w:val="true"/>
          <w:lang w:bidi="ar-SA"/>
        </w:rPr>
        <w:t>لايجوز حبس المعسر مع ظهور اعساره سواء كان مفلّسا أي منعه الحاكم من التصرّف فيما يتجدّد من الأموال أو لا؛ للانظار المأمور به في الكتاب و السنّة و الفتوى من غير خلاف في ذلك كما في الجواهر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يثبت اعساره بموافقة جميع الغرماء و الاّ ففي حقّ الموافق، و لو فرض تعدّده و جمعه لشرائط الشهادة ثبت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تناكر الغريم و المديون في الاعسار، بأن‌ادّعاه المديون و أنكره الغريم و كان للمديون مال ظاهر غير المستثنيات لم‌تقبل دعواه و أمره الحاكم بالتسليم ان‌كان المال من جنس الحقّ أو تراضيا به، و الاّ صرف اليه ببيع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يحلّ لصاحب الدين الاغلاظ له في القول، بأن‌يقول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لقوله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الاغلاظ له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أصرّ على ذلك جاز للحاكم ضربه</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التحبيس و نحوه أيضا يكون من وظائف الحاكم؛ لأنّه كالتعزير الملحقبالحدود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فان امتنع الغريم من البيع يأمر الحاكم ببيع أمواله و ان امتنع باع الحاكم بنفسه و ان تعذّر يحبسه الحاكم، و حفظ المراتب في ذلك موافق للاحتياط</w:t>
      </w:r>
      <w:r>
        <w:rPr>
          <w:rFonts w:eastAsia="Amiri" w:cs="Amiri" w:ascii="Amiri" w:hAnsi="Amiri"/>
          <w:color w:val="111111"/>
          <w:sz w:val="28"/>
          <w:szCs w:val="28"/>
          <w:rtl w:val="true"/>
          <w:lang w:bidi="ar-SA"/>
        </w:rPr>
        <w:t xml:space="preserve">. </w:t>
      </w:r>
      <w:bookmarkStart w:id="245" w:name="pg9674_84211"/>
    </w:p>
    <w:p>
      <w:pPr>
        <w:pStyle w:val="BookText"/>
        <w:rPr/>
      </w:pPr>
      <w:bookmarkEnd w:id="245"/>
      <w:r>
        <w:rPr>
          <w:rFonts w:ascii="Amiri" w:hAnsi="Amiri" w:eastAsia="Amiri" w:cs="Amiri"/>
          <w:color w:val="111111"/>
          <w:sz w:val="28"/>
          <w:sz w:val="28"/>
          <w:szCs w:val="28"/>
          <w:rtl w:val="true"/>
          <w:lang w:bidi="ar-SA"/>
        </w:rPr>
        <w:t>و ان كان له قبل الحجر عليه مال و ادّعى تلفه بأن‌باع زيد من عمرو متاعا و يطالب بثمنها أو أقرضه مالاً و نحو ذلك و المديون يدّعي تلفه أو ينكر وصوله اليه مع قيام البيّنة فانّه حينئذ يحبس حتّى يثبت اعساره؛ لأنّ الأصل بقاء ذلك المال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ذلك يحبس بمجرّد ثبوت الدين و امتناعه من ايفائه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اذا لم‌يكن له بيّنة بذلك يحلف الغرماء على عدم التلف، فاذا حلفوا حبس</w:t>
      </w:r>
      <w:r>
        <w:rPr>
          <w:rFonts w:eastAsia="Amiri" w:cs="Amiri" w:ascii="Amiri" w:hAnsi="Amiri"/>
          <w:color w:val="111111"/>
          <w:sz w:val="28"/>
          <w:szCs w:val="28"/>
          <w:rtl w:val="true"/>
          <w:lang w:bidi="ar-SA"/>
        </w:rPr>
        <w:t>».».</w:t>
      </w:r>
      <w:r>
        <w:rPr>
          <w:rStyle w:val="FootnoteAnchor"/>
          <w:rtl w:val="true"/>
        </w:rPr>
        <w:footnoteReference w:id="117"/>
      </w:r>
    </w:p>
    <w:p>
      <w:pPr>
        <w:pStyle w:val="Heading2"/>
        <w:numPr>
          <w:ilvl w:val="1"/>
          <w:numId w:val="1"/>
        </w:numPr>
        <w:rPr/>
      </w:pPr>
      <w:bookmarkStart w:id="246" w:name="__RefHeading___Toc7971450_2870459653"/>
      <w:bookmarkStart w:id="247" w:name="_Toc87"/>
      <w:bookmarkEnd w:id="246"/>
      <w:r>
        <w:rPr>
          <w:rtl w:val="true"/>
        </w:rPr>
        <w:t xml:space="preserve">الفرع الثاني </w:t>
      </w:r>
      <w:r>
        <w:rPr>
          <w:rtl w:val="true"/>
        </w:rPr>
        <w:t xml:space="preserve">: </w:t>
      </w:r>
      <w:r>
        <w:rPr>
          <w:rtl w:val="true"/>
        </w:rPr>
        <w:t>فيما اذا شهدت البيّنة بتلف أمواله أو بالاعسار</w:t>
      </w:r>
      <w:bookmarkEnd w:id="247"/>
    </w:p>
    <w:p>
      <w:pPr>
        <w:pStyle w:val="BookText"/>
        <w:rPr/>
      </w:pPr>
      <w:r>
        <w:rPr>
          <w:rFonts w:ascii="Amiri" w:hAnsi="Amiri" w:eastAsia="Amiri" w:cs="Amiri"/>
          <w:color w:val="111111"/>
          <w:sz w:val="28"/>
          <w:sz w:val="28"/>
          <w:szCs w:val="28"/>
          <w:rtl w:val="true"/>
          <w:lang w:bidi="ar-SA"/>
        </w:rPr>
        <w:t>اذا شهدت البيّنة للمديون بالاعسار فامّا أن‌يكون مستند شهادتها علمها بتلف ماله أو اطّلاعها على حاله، فان كان الأوّل بأن‌شهد الشاهدان على تلف أمواله قبلت و ان لم‌تكن مطّلعة على باطن أمره؛ لأنّ الشهادة بذلك تكون على الاثبات المحض و بثبوت تلف ماله يحصل الغرض من فقره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شهدا باعساره مطلقا أي من غير تعرّض لتلف أمواله فلا بدّ في ذلك من الصحبة المؤكّدة مع المشهود له و المعاشرة الكثيرة بحيث يطّلعان على باطنأمره غالبا؛ فانّ الأموال قد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لايعرف تفصيلها الاّ بأمثال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لم‌تكن مطّلعة على الوجه المذكور جاز أن‌يستندا في اعساره الى ظاهر حاله، و مع ذلك فللغرماء احلافه؛ لأنّ الاحتمال لايزول معها رأسا و لا صراحة فيها بتلف الأموال فيجبر باليمين بخلاف بيّنة الاثبات فانّها لاتكلّف باليمين</w:t>
      </w:r>
      <w:r>
        <w:rPr>
          <w:rFonts w:eastAsia="Amiri" w:cs="Amiri" w:ascii="Amiri" w:hAnsi="Amiri"/>
          <w:color w:val="111111"/>
          <w:sz w:val="28"/>
          <w:szCs w:val="28"/>
          <w:rtl w:val="true"/>
          <w:lang w:bidi="ar-SA"/>
        </w:rPr>
        <w:t xml:space="preserve">. </w:t>
      </w:r>
      <w:bookmarkStart w:id="248" w:name="pg9674_84212"/>
    </w:p>
    <w:p>
      <w:pPr>
        <w:pStyle w:val="Heading2"/>
        <w:numPr>
          <w:ilvl w:val="1"/>
          <w:numId w:val="1"/>
        </w:numPr>
        <w:rPr/>
      </w:pPr>
      <w:bookmarkStart w:id="249" w:name="__RefHeading___Toc7971452_2870459653"/>
      <w:bookmarkStart w:id="250" w:name="_Toc88"/>
      <w:bookmarkEnd w:id="248"/>
      <w:bookmarkEnd w:id="249"/>
      <w:r>
        <w:rPr>
          <w:rtl w:val="true"/>
        </w:rPr>
        <w:t xml:space="preserve">الفرع الثالث </w:t>
      </w:r>
      <w:r>
        <w:rPr>
          <w:rtl w:val="true"/>
        </w:rPr>
        <w:t xml:space="preserve">: </w:t>
      </w:r>
      <w:r>
        <w:rPr>
          <w:rtl w:val="true"/>
        </w:rPr>
        <w:t>فيما اذا لم‌يعلم له أصل مال و ادّعى الاعسار</w:t>
      </w:r>
      <w:bookmarkEnd w:id="250"/>
    </w:p>
    <w:p>
      <w:pPr>
        <w:pStyle w:val="BookText"/>
        <w:rPr/>
      </w:pPr>
      <w:r>
        <w:rPr>
          <w:rFonts w:ascii="Amiri" w:hAnsi="Amiri" w:eastAsia="Amiri" w:cs="Amiri"/>
          <w:color w:val="111111"/>
          <w:sz w:val="28"/>
          <w:sz w:val="28"/>
          <w:szCs w:val="28"/>
          <w:rtl w:val="true"/>
          <w:lang w:bidi="ar-SA"/>
        </w:rPr>
        <w:t xml:space="preserve">اذا لم‌يعرف للمديون أصل مال و لا كان أصل الدعوى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بأن‌كان مآلها أجرة عمل أو عوض اتلاف أو أرش جناية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 المديون في عدم المال بغير بيّنة؛ لأنّه منكر له و للغرماء مطالبته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قسّم المال بين الغرماء وجب اطلاقه من الحبس ان كان محبوسا و لايختصّ ذلك بالمفلّس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يزول الحجر عن المفلّس بمجرّد الأداء أم يفتقر الى حكم الحاكم؟ الأولى بل الأقوى أنّه يزول بالأداء؛ لزوال سببه؛ لأنّ الحجر عليه انّما كان لحقّ الغرماء ليقتسموا أمواله الموجودة و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توقّفه على حكم الحاكم، أنّه لم‌يثبت الاّ باثباته، فلايرفع الاّ برفعه كالسفيه، و لأنّه حجر يحتاج الى نظر و اجتهاد كحجر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ممنوعة؛ لما بيّنّاه من زوال المعنى المقتضي له، بخلاف السفيه، فانّه لايعلم زواله الاّ بالاختيار المستند الى الحاكم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هذا تمام الكلام في شرح</w:t>
      </w:r>
    </w:p>
    <w:p>
      <w:pPr>
        <w:pStyle w:val="BookText"/>
        <w:rPr/>
      </w:pPr>
      <w:r>
        <w:rPr>
          <w:rFonts w:ascii="Amiri" w:hAnsi="Amiri" w:eastAsia="Amiri" w:cs="Amiri"/>
          <w:color w:val="111111"/>
          <w:sz w:val="28"/>
          <w:sz w:val="28"/>
          <w:szCs w:val="28"/>
          <w:rtl w:val="true"/>
          <w:lang w:bidi="ar-SA"/>
        </w:rPr>
        <w:t>كتاب المفلّس من شرائع الاسلام</w:t>
      </w:r>
    </w:p>
    <w:p>
      <w:pPr>
        <w:pStyle w:val="BookText"/>
        <w:rPr/>
      </w:pPr>
      <w:r>
        <w:rPr>
          <w:rFonts w:ascii="Amiri" w:hAnsi="Amiri" w:eastAsia="Amiri" w:cs="Amiri"/>
          <w:color w:val="111111"/>
          <w:sz w:val="28"/>
          <w:sz w:val="28"/>
          <w:szCs w:val="28"/>
          <w:rtl w:val="true"/>
          <w:lang w:bidi="ar-SA"/>
        </w:rPr>
        <w:t>و يتلوه شرح كتاب الحجر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الحمدللّه أوّلاً و آخرا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9674_84214"/>
      <w:bookmarkStart w:id="252" w:name="pg9674_84214"/>
      <w:bookmarkEnd w:id="252"/>
    </w:p>
    <w:p>
      <w:pPr>
        <w:pStyle w:val="Heading2"/>
        <w:numPr>
          <w:ilvl w:val="1"/>
          <w:numId w:val="1"/>
        </w:numPr>
        <w:rPr/>
      </w:pPr>
      <w:bookmarkStart w:id="253" w:name="pg9674_84214"/>
      <w:bookmarkStart w:id="254" w:name="__RefHeading___Toc7971454_2870459653"/>
      <w:bookmarkStart w:id="255" w:name="_Toc89"/>
      <w:bookmarkEnd w:id="253"/>
      <w:bookmarkEnd w:id="254"/>
      <w:r>
        <w:rPr>
          <w:rtl w:val="true"/>
        </w:rPr>
        <w:t>كتاب الحجر</w:t>
      </w:r>
      <w:bookmarkEnd w:id="255"/>
    </w:p>
    <w:p>
      <w:pPr>
        <w:pStyle w:val="BookText"/>
        <w:rPr/>
      </w:pPr>
      <w:r>
        <w:rPr>
          <w:rFonts w:ascii="Amiri" w:hAnsi="Amiri" w:eastAsia="Amiri" w:cs="Amiri"/>
          <w:color w:val="111111"/>
          <w:sz w:val="28"/>
          <w:sz w:val="28"/>
          <w:szCs w:val="28"/>
          <w:rtl w:val="true"/>
          <w:lang w:bidi="ar-SA"/>
        </w:rPr>
        <w:t>الحجر هو المنع و المحجور شرعا هو الممنوع من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هو المنع و التضييق، و منه سمّي الحرام حجرا؛ لما فيه من المنع،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حجرا محجورا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أي حراما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بمعنى المنع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هذه أنعام و حرث حجر</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مرج البحرين هذا عذب فرات و هذا ملح أجاج و جعل بينهما برزخا و حجرا محجورا</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سمّي العقل حجرا؛ لأنّه يمنع صاحبه من ارتكاب القبيح و ما تضرّ عاقبته،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حيث انّ الحجر هو المنع فالمحجور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الممنوع من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مطلق التصرّف أعمّ من كونه في جميع المال أو بعضه، فيشمل الحجر على الصبي و نحوه ممّن يمنع من الجميع، و الحجر على المريض الذي يمنع من التصرّف في بعض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هذا الباب يستدعي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موجباته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في أحكامه</w:t>
      </w:r>
      <w:r>
        <w:rPr>
          <w:rFonts w:eastAsia="Amiri" w:cs="Amiri" w:ascii="Amiri" w:hAnsi="Amiri"/>
          <w:color w:val="111111"/>
          <w:sz w:val="28"/>
          <w:szCs w:val="28"/>
          <w:rtl w:val="true"/>
          <w:lang w:bidi="ar-SA"/>
        </w:rPr>
        <w:t xml:space="preserve">. </w:t>
      </w:r>
      <w:bookmarkStart w:id="256" w:name="pg9674_84216"/>
    </w:p>
    <w:p>
      <w:pPr>
        <w:pStyle w:val="Heading2"/>
        <w:numPr>
          <w:ilvl w:val="1"/>
          <w:numId w:val="1"/>
        </w:numPr>
        <w:rPr/>
      </w:pPr>
      <w:bookmarkStart w:id="257" w:name="__RefHeading___Toc7971456_2870459653"/>
      <w:bookmarkStart w:id="258" w:name="_Toc90"/>
      <w:bookmarkEnd w:id="256"/>
      <w:bookmarkEnd w:id="257"/>
      <w:r>
        <w:rPr>
          <w:rtl w:val="true"/>
        </w:rPr>
        <w:t xml:space="preserve">الفصل الأوّل </w:t>
      </w:r>
      <w:r>
        <w:rPr>
          <w:rtl w:val="true"/>
        </w:rPr>
        <w:t xml:space="preserve">: </w:t>
      </w:r>
      <w:r>
        <w:rPr>
          <w:rtl w:val="true"/>
        </w:rPr>
        <w:t>في موجباته</w:t>
      </w:r>
      <w:bookmarkEnd w:id="258"/>
    </w:p>
    <w:p>
      <w:pPr>
        <w:pStyle w:val="BookText"/>
        <w:rPr/>
      </w:pP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 الجنون و الرقّ و المرض و الفلس و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 أسبابه في الستّة المذكورة جعلي، لا استقرائي و لا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عادة الفقهاء بالبحث عن هذه الستّة، و عقد الباب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أقسام كثيرة سواها يتناولها التعريف و لاتذكر هنا، كالحجر على الراهن، و على المشتري فيما اشتراه قبل دفع الثمن، و على البائع في الثمن المعيّن، و على المكاتب في كسبه لغير الأداء و النفقة، و على المرتدّ الذي يسوغ عوده، و غير ذلك ممّا هو مذكور في تضاعيف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الصور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يحجر عليه لحقّ نفسه، و من يحجر عليه لحقّ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الصبي و المجنون و السفيه، و الثاني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الحجر امّا عامّ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سائر التصرّفات، أو خاصّ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امّا أن‌يكون ذا غاية يزول سببه فيها أو لا، و الأوّل الصغر، و الثاني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 امّا أن‌يكون الحجر فيهمقصورا على مصلحة المحجور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امّا أن‌يكون موقوفا </w:t>
      </w:r>
      <w:bookmarkStart w:id="259" w:name="pg9674_84217"/>
    </w:p>
    <w:p>
      <w:pPr>
        <w:pStyle w:val="BookText"/>
        <w:rPr/>
      </w:pPr>
      <w:bookmarkEnd w:id="259"/>
      <w:r>
        <w:rPr>
          <w:rFonts w:ascii="Amiri" w:hAnsi="Amiri" w:eastAsia="Amiri" w:cs="Amiri"/>
          <w:color w:val="111111"/>
          <w:sz w:val="28"/>
          <w:sz w:val="28"/>
          <w:szCs w:val="28"/>
          <w:rtl w:val="true"/>
          <w:lang w:bidi="ar-SA"/>
        </w:rPr>
        <w:t>على حكم الحاكم،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الفلس، و الثاني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الأسباب تعرف بالمقايسة</w:t>
      </w:r>
      <w:r>
        <w:rPr>
          <w:rFonts w:eastAsia="Amiri" w:cs="Amiri" w:ascii="Amiri" w:hAnsi="Amiri"/>
          <w:color w:val="111111"/>
          <w:sz w:val="28"/>
          <w:szCs w:val="28"/>
          <w:rtl w:val="true"/>
          <w:lang w:bidi="ar-SA"/>
        </w:rPr>
        <w:t>».</w:t>
      </w:r>
      <w:r>
        <w:rPr>
          <w:rStyle w:val="FootnoteAnchor"/>
          <w:rtl w:val="true"/>
        </w:rPr>
        <w:footnoteReference w:id="123"/>
      </w:r>
    </w:p>
    <w:p>
      <w:pPr>
        <w:pStyle w:val="Heading2"/>
        <w:numPr>
          <w:ilvl w:val="1"/>
          <w:numId w:val="1"/>
        </w:numPr>
        <w:rPr/>
      </w:pPr>
      <w:bookmarkStart w:id="260" w:name="__RefHeading___Toc7971458_2870459653"/>
      <w:bookmarkStart w:id="261" w:name="_Toc91"/>
      <w:bookmarkEnd w:id="260"/>
      <w:r>
        <w:rPr>
          <w:rtl w:val="true"/>
        </w:rPr>
        <w:t xml:space="preserve">في حجر الصغير </w:t>
      </w:r>
      <w:r>
        <w:rPr>
          <w:rtl w:val="true"/>
        </w:rPr>
        <w:t xml:space="preserve">... </w:t>
      </w:r>
      <w:r>
        <w:rPr/>
        <w:t>128</w:t>
      </w:r>
      <w:bookmarkEnd w:id="261"/>
    </w:p>
    <w:p>
      <w:pPr>
        <w:pStyle w:val="BookText"/>
        <w:rPr/>
      </w:pPr>
      <w:r>
        <w:rPr>
          <w:rFonts w:ascii="Amiri" w:hAnsi="Amiri" w:eastAsia="Amiri" w:cs="Amiri"/>
          <w:color w:val="111111"/>
          <w:sz w:val="28"/>
          <w:sz w:val="28"/>
          <w:szCs w:val="28"/>
          <w:rtl w:val="true"/>
          <w:lang w:bidi="ar-SA"/>
        </w:rPr>
        <w:t>أمّا الصغير فمحجور عليه ما لم‌يحصل له وصفان البلوغ و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يعلم بلوغه بانبات الشعر الخشن على العانة سواء كان مسلما أو مشركا، و خروج المني الذي يكون منه الولد من الموضع المعتاد كيف كان و يشترك في هذين الذكور و الاناث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بالسنّ و هو بلوغ خمس‌عشرة سنة للذكر و في أخرى اذا بلغ عشرا و كان بصيرا، أو بلغ خمسة أشبار، جازت وصيّته و اقتصّ منه و أقيمت عليه الحدود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الأنثى بتسع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الحمل و الحيض فليسا بلوغا في حقّ النساء بل قد يكونان دليلاً على سبق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ان خرج منيّه من الفرجين حكم ببلوغه و ان خرج من أحدهما لم‌يحكم به، و لو حاض من فرج الاناث و أمنى من فرج الذكور حكم ببلوغه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الصغير محجور عليه ما لم‌يحصل له وصفان البلوغ و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بلوغه بأحد من الأمور الثلاثة الآتية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انبات الشعر الخشن على العانة التي هي حول الذكر و القبل سواء كان مسلما أو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الانبات دلالة على بلوغ المسلمين </w:t>
      </w:r>
    </w:p>
    <w:p>
      <w:pPr>
        <w:pStyle w:val="BookText"/>
        <w:rPr/>
      </w:pPr>
      <w:r>
        <w:rPr>
          <w:rFonts w:ascii="Amiri" w:hAnsi="Amiri" w:eastAsia="Amiri" w:cs="Amiri"/>
          <w:color w:val="111111"/>
          <w:sz w:val="28"/>
          <w:sz w:val="28"/>
          <w:szCs w:val="28"/>
          <w:rtl w:val="true"/>
          <w:lang w:bidi="ar-SA"/>
        </w:rPr>
        <w:t>و المشركين باجماع الفرقة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 هذا الشعر دليل على البلوغ في حقّ المسلمين و الكفّار عند علمائنا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المؤيّد بالعادة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أبي البختري عن جعفر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رسول‌اللّه صلى‌الله‌عليه‌و‌آله عرضهم يومئذ على العانات فمن وجده أنبت قتله و من لم‌يجده أنبت ألحقه بالذراري</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منها رواية حمران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أن‌يؤخذ بالحدود التامّة و تقام عليه و يؤخذ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عنه اليتم و أدرك،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 أو بلغ خمس‌عشرة سنة أو أشعر أو أنبت قبل ذلك أقيمت عليه الحدود التامّة و أخذ بها و أخذت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منها ما في رواية يزيد الكناسي عن أبي جعفر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الغلام اذا زوّجه أبوه و لم‌يدرك كان بالخيار اذا أدرك و بلغ خمس عشرة سنة أو يشعر في وجهه أو ينبت في عانته</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قيّد الأصحاب الشعر بالخشن ليخرج الشعر الضعيف الذي ينبت قبل الخشن ثمّ يزول و يعبّر عنه بالزغب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قيّدوه بالعانة ليخرج غيره كشعر الابط و الشارب و اللحية، فلا عبرة بهاعند الأصحاب؛ اذ لم‌يثبت كون ذلك دليلاً شرعا خلافا لبعض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الشهيد عن التحرير أنّه استقرب كون نبات اللحية دليلاً دون غيره من الشعور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العادة قاضية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ثبت أنّ العادة تقضي بذلك فلا كلام و قد عرفت أنّ بعض روايات الباب خالية عن ذكر العانة كرواية حمران المتقدّمة آنفا و بعض الروايات ذكرت الوجه مع العانة كرواية يزيد الكناسي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شبهة في كون شعر العانة علامة على البلوغ، انّما الكلام في كونه نفسه بلوغا أو دليلاً على سبق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لتعليق الأحكام في الكتاب و السنّة على الحلم و الاحتلام، فلو كان الانبات بلوغا بنفسه لم‌يخصّ غيره بذلك، و ان كان يمكن أن‌يقال بأنّه ورد في الروايات أنّ الانبات علامة للبلوغ أيضا كما في الوسائل، و هي بيان للكتاب و العمل بها جابر لضعفها، الاّ أنّ الظاهر أنّ الاحتلام و الانبات كليهما لايكونان علامة على البلوغ حينهما بل هما دليلان على سبق البلوغ، فانّ الصبي لايبنت و لايحتلم الاّ اذا بلغ قبله فما ذهب اليه المشهور مطابق للاعتبار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النصوص الواردة في هذه العلامة مختصّة بالذكر الاّ أنّه قام الاجماع على عدم الفرق فيها بين الذكر و الأنثى، و عليه فالدليل في الأنثى هو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من الموضع المعتاد كيف خرج ليلاً أو نهارا؛ يدلّ على ذلك الكتاب و السنّة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بلغ الأطفال منكم الحلم فليستأذنوا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 الحلم خروج المني من الذكر أو قبل المرأة،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لاتقربوا مال اليتيم </w:t>
      </w:r>
    </w:p>
    <w:p>
      <w:pPr>
        <w:pStyle w:val="BookText"/>
        <w:rPr/>
      </w:pPr>
      <w:r>
        <w:rPr>
          <w:rFonts w:ascii="Amiri" w:hAnsi="Amiri" w:eastAsia="Amiri" w:cs="Amiri"/>
          <w:color w:val="111111"/>
          <w:sz w:val="28"/>
          <w:sz w:val="28"/>
          <w:szCs w:val="28"/>
          <w:rtl w:val="true"/>
          <w:lang w:bidi="ar-SA"/>
        </w:rPr>
        <w:t>الاّ بالتي هي أحسن حتّى يبلغ أشدّه</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بضميمة ما ورد في تفسيره من السنّةالآتية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فمنها موثّقة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 و أنا حاضر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اذا بلغ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منها رواية هشام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يتم اليتيم بالاحتلام و هو أشدّه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منها الحديث المعروف برفع القلم المروي عن النبي صلى‌الله‌عليه‌و‌آله و قد رواه المخالف و المؤالف في ضمن روايات مختلفة بل حكي عن ابن ادريس أنّه مجمع على روايته و من جملة ما ورد هذا الكلام فيه رواية ابن ظبيان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عمر بامرأة مجنونة قد زنت فأمر برجمها،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منها رواية حمّاد بن عمرو و أنس بن محمّد عن أبيه جميعا عن جعفر بن محمّد عن أبيه عن آبائه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صلى‌الله‌عليه‌و‌آله لعلي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يتم بعد احتلام</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طلحة بن زيد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أولاد المسلمين موسومون عند اللّه شافع و مشفّع، فاذا بلغوا اثنتيعشرة سنة كتبت لهم الحسنات فاذا بلغوا الحلم كتبت عليهمالسيّئات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الى غير ذلك من الروايات، مضافا الى أنّه لا خلاف فيه بين المسلمين فضلاً عن المؤمنين بل الاجماع بقسميه عليه كما في الجواهر</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 هو الجابر لضعف سند الروايات مضافا الى مطابقتها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 المصنّف المني بكونه ما يكون منه الولد ولكنّ الظاهر أنّ المعتبر في البلوغ خروج المني مطلقا، سواء صلح لتخلّق الولد بحسب شخصه أو لا؛ لاطلاق النصوص المتقدّمة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فان كان غرضه رحمه‌الله من التقييد تقسيم المني الى ما يتكوّن منه الولد و غيره ليكون القيد احترازيّا فالتقييد في غير محلّه، و أمّا ان كان القيد توضيحيّا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كونه من الموضع المعتاد و ان كانت الأدلّة مطلقة؛ و ذلك لوجوب حمل كلام الشارع على ما هو المعهود المتعارف، خصوصا و في بعضها بلوغ النكاح الذي يكون من المعتاد، فلو خرج من جرح و نحوه لم‌يعتدّ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لو خرج من أحد فرجي الخنثى؛ لعدم معلوميّتها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لايختصّ خروجه بحالة، بل كيف خرج، ليلاً أو نهارا، يقظة أو نوما، بجماع أو غيره، حكم 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بلغ الأطفال منكم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 هو خروج المني من الذكر، أو قبل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كونه في وقت يحتمل البلوغ </w:t>
      </w:r>
    </w:p>
    <w:p>
      <w:pPr>
        <w:pStyle w:val="BookText"/>
        <w:rPr/>
      </w:pPr>
      <w:r>
        <w:rPr>
          <w:rFonts w:ascii="Amiri" w:hAnsi="Amiri" w:eastAsia="Amiri" w:cs="Amiri"/>
          <w:color w:val="111111"/>
          <w:sz w:val="28"/>
          <w:sz w:val="28"/>
          <w:szCs w:val="28"/>
          <w:rtl w:val="true"/>
          <w:lang w:bidi="ar-SA"/>
        </w:rPr>
        <w:t xml:space="preserve">فيه فلا عبرة بما ينفصل بصفته قبل ذلك، و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القلّة في الأنثى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جانب الذكر فلايبعد أن‌يكون ما بعد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يشترك في هذين الأمرين الدالّين على البلوغ الذكور و الاناث بلا خلاف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و هو بلوغ خمس‌عشرة سنة للذكر و هو المشهور بين الأصحاب بل كاد يكون اجماعا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من السنين القمريّة دون الشمسيّة؛ لأنّ ذلك هو المعهود في شرعنا؛ و يدلّ عليه قوله عليه‌السلام في رواية حمران المتقدّمة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بلغ خمس‌عشرة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لاتعارضه رواية عمّار الساباطي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الغلام 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عليه ثلاث‌عشرة سنة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لأنّها تحمل على حصول الاحتلام أو الانبات للغلام في السنّ المذكورة أو غير ذلك من المحامل؛ جمعا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بلوغ الأنثى يكون بتسع كما هو المشهور و عليه العمل و قد دلّ عليه ذيل رواية حمران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 تؤخذ بها و يؤخذ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الجارية ليست مثل الغلام انّ الجارية اذا تزوّجت و دخل بها و لها تسع سنين ذهب عنها اليتم و دفع اليها مالها و جاز أمرها في الشراء و البيع و أقيمت عليها الحدود التامّة و أخذ لها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لايجوز أمره في الشراء و البيع و لايخرج من اليتم حتّى يبلغ خمس‌عشرة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رواية يزيد الكناسي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اذا بلغت تسع سنين ذهب عنها اليتم و زوّجت و أقيمت عليها الحدود التامّة لها 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أمّا الحمل فهو علامة على سبق البلوغ و ليس بلوغا في حقّ النساء، كما أنّ الحيض يكون غالبا علامة على سبق البلوغ و ربّما يكون بلوغا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كون الحمل و الحيض دليلين على سبق البلوغ، كما لا خلاف في كونهما بلوغا بأنفسهما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الحيض فقد علّق الشارع أحكام المكلّف عليه في عدّة أخبار، كقوله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لاتقبل صلاة حائض الاّ بخمار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بلغت المحيض لايصلح أن‌يرى منها الاّ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الى الوجه و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الحمل فهو مسبوق بالانزال؛ لأنّ الولد لايخلق الاّ من ماء الرجل و ماء المرأة، كما نبّه عليه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نطفة 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مختلطة ماء الرجل بماء المرأة، فهو دليل على سبق البلوغ، اذا علم أنّه آدمي أو مبدأ نشوه كالعلقة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يكونان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لتردّده في دلالتهما؛ لأنّها اجماعيّة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التقليليّة؛ لأنّهما مسبوقان غالبا بغيرهما من العلامات، خصوصا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قد عرفت أنّ الحيض أيضا يكون علامة على سبق البلوغ غالبا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حكم الذكر و الأنثى، أمّا الخنثى المشكل لمّا كان منحصرا في الذكوريّة أو </w:t>
      </w:r>
    </w:p>
    <w:p>
      <w:pPr>
        <w:pStyle w:val="BookText"/>
        <w:rPr/>
      </w:pPr>
      <w:r>
        <w:rPr>
          <w:rFonts w:ascii="Amiri" w:hAnsi="Amiri" w:eastAsia="Amiri" w:cs="Amiri"/>
          <w:color w:val="111111"/>
          <w:sz w:val="28"/>
          <w:sz w:val="28"/>
          <w:szCs w:val="28"/>
          <w:rtl w:val="true"/>
          <w:lang w:bidi="ar-SA"/>
        </w:rPr>
        <w:t xml:space="preserve">الأنوثيّة و انّما اشتبه حكمه في الالحاق بأحدهما فمتى حصل له وصف من أوصاف بلوغ يتحقّق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لاشتراكه بينهما كالانبات أو لالحاق الآخر بطريق أولى كبلوغ خمس‌عشرة أو لكونه جامعا للوصفين على التقديرين كما لو أمنى من الفرجين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ببلوغه؛ لأنّه ان كان ذكرا فقد أمنى من فرجه المعتاد و ان كانأنثى فكذلك، و أمّا حيضه من فرج الاناث و امناؤه من فرج الذكور فدلالته على البلوغ واضحة؛ لأنّه ان كان ذكرا فقد أمنى و ان كان أنثى فقد 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ذكرنا في كتاب المكاسب</w:t>
      </w:r>
      <w:r>
        <w:rPr>
          <w:rStyle w:val="FootnoteAnchor"/>
          <w:rtl w:val="true"/>
        </w:rPr>
        <w:footnoteReference w:id="142"/>
      </w:r>
      <w:r>
        <w:rPr>
          <w:rFonts w:ascii="Amiri" w:hAnsi="Amiri" w:eastAsia="Amiri" w:cs="Amiri"/>
          <w:color w:val="111111"/>
          <w:sz w:val="28"/>
          <w:sz w:val="28"/>
          <w:szCs w:val="28"/>
          <w:rtl w:val="true"/>
          <w:lang w:bidi="ar-SA"/>
        </w:rPr>
        <w:t xml:space="preserve">أنّ الصبي اذا كان رشيدا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منه المعاملات الصغيرة اللائقة بحاله التي يراه العرف عارفا بها متمكّنا من ايقاعها، دون المعاملات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و هو أن‌يكون مصلحا لماله، و هل تعتبر العدالة؟ فيه تردّد، و اذا لم‌يجتمع الوصفان كان الحجر باقيا، و كذا لو لم‌يحصل الرشد و لو طعن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رشده باختباره بما يلائمه من التصرّفات ليعلم قوّته على المكايسة في المبايعات و تحفّظه من الانخداع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تختبر الصبيّة و رشدها أن‌تتحفّظ من التبذير و أن‌تعتني بالاستغزال مثلاً و الاستنتاج ان كانت من أهل ذلك أو بما يضاهيه من الحركات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الرشد بشهادة الرجال في الرجال و بشهادة الرجال و النساء في النساء؛ دفعا لمشقّة الاقتصار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الصغير محجور عليه و ممنوع من التصرّف في ماله ما لم‌يحصل له وصفان البلوغ و الرشد</w:t>
      </w:r>
      <w:r>
        <w:rPr>
          <w:rFonts w:eastAsia="Amiri" w:cs="Amiri" w:ascii="Amiri" w:hAnsi="Amiri"/>
          <w:color w:val="111111"/>
          <w:sz w:val="28"/>
          <w:szCs w:val="28"/>
          <w:rtl w:val="true"/>
          <w:lang w:bidi="ar-SA"/>
        </w:rPr>
        <w:t xml:space="preserve">. </w:t>
      </w:r>
      <w:bookmarkStart w:id="262" w:name="pg9674_84225"/>
    </w:p>
    <w:p>
      <w:pPr>
        <w:pStyle w:val="BookText"/>
        <w:rPr/>
      </w:pPr>
      <w:bookmarkEnd w:id="262"/>
      <w:r>
        <w:rPr>
          <w:rFonts w:ascii="Amiri" w:hAnsi="Amiri" w:eastAsia="Amiri" w:cs="Amiri"/>
          <w:color w:val="111111"/>
          <w:sz w:val="28"/>
          <w:sz w:val="28"/>
          <w:szCs w:val="28"/>
          <w:rtl w:val="true"/>
          <w:lang w:bidi="ar-SA"/>
        </w:rPr>
        <w:t>أمّا البلوغ فقد اتّضح علاماته و ما يدلّ عليه من الكتاب و السنّة</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7971460_2870459653"/>
      <w:bookmarkStart w:id="264" w:name="_Toc92"/>
      <w:bookmarkEnd w:id="263"/>
      <w:r>
        <w:rPr>
          <w:rtl w:val="true"/>
        </w:rPr>
        <w:t xml:space="preserve">في اعتبار الرشد </w:t>
      </w:r>
      <w:r>
        <w:rPr>
          <w:rtl w:val="true"/>
        </w:rPr>
        <w:t xml:space="preserve">... </w:t>
      </w:r>
      <w:r>
        <w:rPr/>
        <w:t>135</w:t>
      </w:r>
      <w:bookmarkEnd w:id="264"/>
    </w:p>
    <w:p>
      <w:pPr>
        <w:pStyle w:val="BookText"/>
        <w:rPr/>
      </w:pPr>
      <w:r>
        <w:rPr>
          <w:rFonts w:ascii="Amiri" w:hAnsi="Amiri" w:eastAsia="Amiri" w:cs="Amiri"/>
          <w:color w:val="111111"/>
          <w:sz w:val="28"/>
          <w:sz w:val="28"/>
          <w:szCs w:val="28"/>
          <w:rtl w:val="true"/>
          <w:lang w:bidi="ar-SA"/>
        </w:rPr>
        <w:t>و أمّا الرشد فقد دلّ على اعتباره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اذا بلغوا النكاح فان آنستم منهم رشدا فادفعوا اليهم أموالهم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أمّا السنّة فعدّة روايات كصحيحة هشام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يتم اليتيم بالاحتلام و هو أشدّه و ان احتلم و لم‌يؤنس منه رشده و كان سفيها أو ضعيفا فليمسك عنه وليّه ماله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قد عرّفه المصنّف بأن‌يكون مصلحا لماله و قد أشكل عليه الشهيد رحمه‌الله في المسالك</w:t>
      </w:r>
      <w:r>
        <w:rPr>
          <w:rStyle w:val="FootnoteAnchor"/>
          <w:rtl w:val="true"/>
        </w:rPr>
        <w:footnoteReference w:id="145"/>
      </w:r>
      <w:r>
        <w:rPr>
          <w:rFonts w:ascii="Amiri" w:hAnsi="Amiri" w:eastAsia="Amiri" w:cs="Amiri"/>
          <w:color w:val="111111"/>
          <w:sz w:val="28"/>
          <w:sz w:val="28"/>
          <w:szCs w:val="28"/>
          <w:rtl w:val="true"/>
          <w:lang w:bidi="ar-SA"/>
        </w:rPr>
        <w:t>بأنّه ليس مطلق الاصلاح موجبا للرشد، بل الحقّ أنّ الرشد ملكة نفسانيّة تقتضي اصلاح المال، و تمنع من افساده و صرفه في غير الوجوه اللائقة بأفعال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احترز رحمه‌الله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مطلق الكيفيّة، فانّها ليست كافية، بل لا بدّ فيها من أن‌تصير ملكة يعسر زوالها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صاحب الجواهر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الوصف الثاني الذي يتوقّف عليه رفع الحجر، الرشد في المال بلا خلاف أجده فيه بل الاجماع بقسميه عليه بل الكتاب و السنّة دالّة عليه أيضا و المرجع فيه العرف كما في غيره من الألفاظ التي لا حقيقة شرعيّة لها و لا لغويّة مخالفة للعرف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انّه رحمه‌الله بعد ذكر كلمات اللغويّين و تفسيره عن بعض الفقهاء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جميع ذلك عند التأمّل فضول؛ لوفاء العرف في مصداقه فليس من وظائف الفقيه البحث فيه فضلاً عن الاطناب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رحمه‌الله بعد ذكر كلام الشهيد في المسالك الذي تقدّم آنفا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المعلوم ارادة الصفة اللازمة؛ ضرورة عدم صدق الرشيد عرفا على من حصل منه ذلك على وجه الاتّفاق و مرجع الملكة الى ذلك فهي مرادة للجميع بهذا المعنى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باصلاح المال حفظه و الاعتناء بحاله و عدم تبذيره والمبالاة و نحو ذلك ممّا ينافيه العرف بالأعمال التي لاتليق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الظاهر أنّ تعاريفهم كلّها يرجع الى مفهوم واحد و هو الذي لايقال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صغير لم‌تكن لك قوّة تشخيص الضرر و النفع في معاملاتك و معاشرتك بحسب سنّك، فاذا كان رشده مشكوكا يمتحن بما يتداول في زمانه و مكانه من الصبي و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الرشد في الرجال بشهادة رجلين و في النساء بشهادة أربع نساء؛ لأنّ رشد المرأة ممّا لايطّلع عليه الرجال غالبا فلو اقتصر في ثبوت رشدهنّ على شهادة الرجال لزم الحرج و الضيق و لذا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دفعا لمشقّة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يثبت رشدها بشهادة رجل و امرأتين بطريق أولى و بشهادة أربع خناثى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تعتبر العدالة في الرشد؟ الأقوى عدم اعتبارها لعدم دليل صالح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المصنّف التردّد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 الشيخ و الراوندي و أبي المكارم و فخر الاسلام اعتبارها بل عن الغنية الاجماع عليه و المشهور نقلاً و 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و محكي التذكرة نسبته الى أكثر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اذ لا ريب في صدق العرف بدونها، و لو كانت معتبرة في الابتداء لاعتبرت في الاستدامة و هو </w:t>
      </w:r>
      <w:bookmarkStart w:id="265" w:name="pg9674_84227"/>
    </w:p>
    <w:p>
      <w:pPr>
        <w:pStyle w:val="BookText"/>
        <w:rPr/>
      </w:pPr>
      <w:bookmarkEnd w:id="265"/>
      <w:r>
        <w:rPr>
          <w:rFonts w:ascii="Amiri" w:hAnsi="Amiri" w:eastAsia="Amiri" w:cs="Amiri"/>
          <w:color w:val="111111"/>
          <w:sz w:val="28"/>
          <w:sz w:val="28"/>
          <w:szCs w:val="28"/>
          <w:rtl w:val="true"/>
          <w:lang w:bidi="ar-SA"/>
        </w:rPr>
        <w:t>معلوم الفساد بالسيرة القطعيّة في معاملة المخالفين و أهل الذمّة و الفسقة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6"/>
      </w:r>
    </w:p>
    <w:p>
      <w:pPr>
        <w:pStyle w:val="Heading2"/>
        <w:numPr>
          <w:ilvl w:val="1"/>
          <w:numId w:val="1"/>
        </w:numPr>
        <w:rPr/>
      </w:pPr>
      <w:bookmarkStart w:id="266" w:name="__RefHeading___Toc7971462_2870459653"/>
      <w:bookmarkStart w:id="267" w:name="_Toc93"/>
      <w:bookmarkEnd w:id="266"/>
      <w:r>
        <w:rPr>
          <w:rtl w:val="true"/>
        </w:rPr>
        <w:t xml:space="preserve">في اعتبار الرشد </w:t>
      </w:r>
      <w:r>
        <w:rPr>
          <w:rtl w:val="true"/>
        </w:rPr>
        <w:t xml:space="preserve">... </w:t>
      </w:r>
      <w:r>
        <w:rPr/>
        <w:t>135</w:t>
      </w:r>
      <w:bookmarkEnd w:id="267"/>
    </w:p>
    <w:p>
      <w:pPr>
        <w:pStyle w:val="BookText"/>
        <w:rPr/>
      </w:pPr>
      <w:r>
        <w:rPr>
          <w:rFonts w:ascii="Amiri" w:hAnsi="Amiri" w:eastAsia="Amiri" w:cs="Amiri"/>
          <w:color w:val="111111"/>
          <w:sz w:val="28"/>
          <w:sz w:val="28"/>
          <w:szCs w:val="28"/>
          <w:rtl w:val="true"/>
          <w:lang w:bidi="ar-SA"/>
        </w:rPr>
        <w:t>و أمّا السفيه فهو الذي يصرف أمواله في غير الأغراض الصحيحة فلو باعو الحال هذه لم‌يمض بيعه، و كذا لو وهب أو أقرّ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طلاقه و ظهاره و خلعه و اقراره بالنسب و بما يوجب القصاص؛ اذ المقتضي للحجر صيانة المال عن الاتلاف، و لايجوز تسليم عوض الخلع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وكّله أجنبي في بيع أو هبة جاز؛ لأنّ السفه لم‌يسلبه أهليّة التصرّف، و لو أذن له الولي في النكاح جاز، و لو باع فأجاز الولي فالوجه الجواز؛ للأمن من الانخداع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السفيه من جملة المحجورين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يصرف أمواله في غير الأغراض الصحيحة عند العقلاء؛ لما عرفت من أنّ الرشد اصلاح المال و لايتحقّق الاّ بعدم الصرف في غير الأغراض الصحيحة كما عرفت فيما تقدّم فمرجع معرفة السفيه عن الرشيد هو العرف و لا شكّ في أنّ العرف لايتحقّق عنده السفه و لايحكم به بمجرّد الصرف في مطلق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فلو باع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سفهه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لم‌يمض بيعه، و كذا لو اشترى شيئا لم‌يمض شراؤه و لا غير ذلك من عقوده و معاملاته اذا حجر عليه الحاكم، و كذا لو وهب مالاً أو أقرّ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المنع من التصرّفات الماليّة كما دلّ عليه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لاتؤتوا السفهاء أموالكم التي جعل اللّه لكم </w:t>
      </w:r>
    </w:p>
    <w:p>
      <w:pPr>
        <w:pStyle w:val="BookText"/>
        <w:rPr/>
      </w:pP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 السنّة و هي عدّة روايات كصحيحة هشام المتقدّمة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يتم اليتيم بالاحتلام و هو أشدّه و ان احتلم و لم‌يؤنس منه رشده و كان سفيها أو ضعيفا فليمسك عنه وليّه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فيه بل يمكن تحصيل الاجماع عليه بل عن مجمع البرهان دعواهكما في الجواهر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لايخفى أنّ على الولي أن‌يمسك عنه أمواله و لا ربط لهذا الامساك بحكم الحاكم بحجر السفيه و عدم تصرّفه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يصحّ طلاقه؛ لأنّ الطلاق فوات الاستمتاع لا تضييع المال، و كذا الظهار و لو رجع المظاهر كفّر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خلعه؛ لأنّه كسب للمال فيكون أولى بعدم المنع الاّ أنّه لايجوز تسليم عوض الخلع اليه بل يسلم الى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الاقرار بالنسب فان لم‌يوجب النفقة فقبوله واضح كما اذا أقرّ بأخوّة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أوجب النفقة فقد يشكل من حيث استلزامه لوجوب النفقة فينبغي أن‌لاينفذ؛ لأنّه تصرّف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في المسالك</w:t>
      </w:r>
      <w:r>
        <w:rPr>
          <w:rStyle w:val="FootnoteAnchor"/>
          <w:rtl w:val="true"/>
        </w:rPr>
        <w:footnoteReference w:id="149"/>
      </w:r>
      <w:r>
        <w:rPr>
          <w:rFonts w:ascii="Amiri" w:hAnsi="Amiri" w:eastAsia="Amiri" w:cs="Amiri"/>
          <w:color w:val="111111"/>
          <w:sz w:val="28"/>
          <w:sz w:val="28"/>
          <w:szCs w:val="28"/>
          <w:rtl w:val="true"/>
          <w:lang w:bidi="ar-SA"/>
        </w:rPr>
        <w:t>بأنّ الاقرار حينئذ يتضمّن شيئين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 النسب، و هو ليس بمال، فيجب أن‌يثبت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عليه، و هو تصرّف مالي فلايثبت، و ان كان أحدهما لاينفكّ عن الآخر غالبا، الاّ أنّ تلازمهما غير معلوم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الاقرار أوّلاً و بالذات قد تعلّق بالنسب و هو ليس تصرّفا ماليّا فيجب </w:t>
      </w:r>
      <w:bookmarkStart w:id="268" w:name="pg9674_84229"/>
    </w:p>
    <w:p>
      <w:pPr>
        <w:pStyle w:val="BookText"/>
        <w:rPr/>
      </w:pPr>
      <w:bookmarkEnd w:id="268"/>
      <w:r>
        <w:rPr>
          <w:rFonts w:ascii="Amiri" w:hAnsi="Amiri" w:eastAsia="Amiri" w:cs="Amiri"/>
          <w:color w:val="111111"/>
          <w:sz w:val="28"/>
          <w:sz w:val="28"/>
          <w:szCs w:val="28"/>
          <w:rtl w:val="true"/>
          <w:lang w:bidi="ar-SA"/>
        </w:rPr>
        <w:t>أن‌يثبت لشمول أدلّة قبول الاقرار له، و اذا ثبت النسب فيجب النفقة تبعا، و عليه فالظاهر أنّ الاقرار مسموع بالنسبة الى النسب، و النفقة ثابتة بعد ثبوت النسب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اقراره بما يوجب القصاص ففي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لم‌يستلزم فوات النفس ألزم به؛ لأنّه مكلّف عاقل، و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كان في نفس و طلب المقرّ له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طلب المال ففي اجابته اليه نظر، من وجوب حفظ النفس التي هي أولى من حفظ المال، و من أنّه مفوّت للغرض من الحجر؛ لامكان أن‌يتواطأمع المقرّ له على ذلك ليفوت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وجوب المال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يتعلّق بالنفس فالأقوى وجوب المال؛ لأنّ حفظ المال لحفظ النفس و الغرض من الحجر هو عدم تضييعه المنجرّ الى تضييع النفس غالبا، و احتمال التواطئ مع المقرّ له على ذلك ليفوت المال لا معنى له فيما يحتمل فيه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يتعلّق بغير النفس فالظاهر فيه أيضا وجوب المال ان رضي المجني عليه بالمال، فانّ حفظ أطرافه و أعضاء بدنه أيضا أولى من حفظ ماله مع ما عرفت من انتفاء احتمال التواطئ فيما يحتمل فيه القصاص</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7971464_2870459653"/>
      <w:bookmarkStart w:id="270" w:name="_Toc94"/>
      <w:bookmarkEnd w:id="269"/>
      <w:r>
        <w:rPr>
          <w:rtl w:val="true"/>
        </w:rPr>
        <w:t xml:space="preserve">فرع </w:t>
      </w:r>
      <w:r>
        <w:rPr>
          <w:rtl w:val="true"/>
        </w:rPr>
        <w:t xml:space="preserve">: </w:t>
      </w:r>
      <w:r>
        <w:rPr>
          <w:rtl w:val="true"/>
        </w:rPr>
        <w:t>فيما اذا وكّله أجنبي في معاملة أو أذن له الولي في النكاح</w:t>
      </w:r>
      <w:bookmarkEnd w:id="27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وكّله أجنبي في اجراء صيغة البيع أو الهبة جاز؛ لأنّ السفه لم‌يسلبه أهليّة التصرّف مطلقا و انّما سلبه أهليّته في المال خاصّة و ايقاع العقد ليس منه فيبقى </w:t>
      </w:r>
      <w:bookmarkStart w:id="271" w:name="pg9674_84230"/>
    </w:p>
    <w:p>
      <w:pPr>
        <w:pStyle w:val="BookText"/>
        <w:rPr/>
      </w:pPr>
      <w:bookmarkEnd w:id="271"/>
      <w:r>
        <w:rPr>
          <w:rFonts w:ascii="Amiri" w:hAnsi="Amiri" w:eastAsia="Amiri" w:cs="Amiri"/>
          <w:color w:val="111111"/>
          <w:sz w:val="28"/>
          <w:sz w:val="28"/>
          <w:szCs w:val="28"/>
          <w:rtl w:val="true"/>
          <w:lang w:bidi="ar-SA"/>
        </w:rPr>
        <w:t>مندرجا فيما دلّ على الصحّة خلافا لبعض العامّة كما في الجواهر</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لو أذن له الولي في النكاح الذي فيه مصلحته التي سوّغت للولي الاذن فيه جاز ان عيّن له المهر و نحو ذلك بحيث يؤمن معه من اتلاف المال بلا خلاف و لا اشكال بل و ان أطلق المهر؛ لأنّه ينصرف حينئذ الى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الزوج و الزوجة فقد تكلّمنا عنه في كتاب النكاح و قلنا هناك بأنّ الاختيار في تعيين الزوج أو الزوجة بيد نفس السفيه أو السفيهة لا بيد وليّهما، فاناختار السفيه زوجة أو السفيهة زوجا و أجاز الولي صحّ العقد</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7971466_2870459653"/>
      <w:bookmarkStart w:id="273" w:name="_Toc95"/>
      <w:bookmarkEnd w:id="272"/>
      <w:r>
        <w:rPr>
          <w:rtl w:val="true"/>
        </w:rPr>
        <w:t xml:space="preserve">في تصرّفات المملوك </w:t>
      </w:r>
      <w:r>
        <w:rPr>
          <w:rtl w:val="true"/>
        </w:rPr>
        <w:t xml:space="preserve">... </w:t>
      </w:r>
      <w:r>
        <w:rPr/>
        <w:t>141</w:t>
      </w:r>
      <w:bookmarkEnd w:id="273"/>
    </w:p>
    <w:p>
      <w:pPr>
        <w:pStyle w:val="BookText"/>
        <w:rPr/>
      </w:pPr>
      <w:r>
        <w:rPr>
          <w:rFonts w:ascii="Amiri" w:hAnsi="Amiri" w:eastAsia="Amiri" w:cs="Amiri"/>
          <w:color w:val="111111"/>
          <w:sz w:val="28"/>
          <w:sz w:val="28"/>
          <w:szCs w:val="28"/>
          <w:rtl w:val="true"/>
          <w:lang w:bidi="ar-SA"/>
        </w:rPr>
        <w:t>و المملوك ممنوع من التصرّفات الاّ باذن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المريض ممنوع من الوصيّة بما زاد عن الثلث اجماعا ما لم‌يجز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منعه من التبرّعات المنجّزة الزائدة عن الثلث خلاف بيننا، و الوجه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المملوك ممنوع من التصرّفات الاّ باذن المولى سواء قلنا بملكه أم لا، و يستثنى من المنع من تصرّفه طلاقه فيجوز بدون اذن مولاه بل و ان كره؛ لأنّ الطلاق بيد من أخذ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استثنى في التذكرة أيضا ضمانه؛ لأنّه تصرّف في الذمّة لا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علم المضمون له بعبوديّته قبل الضمان فلا رجوع له، و الاّ فله الرجوع؛ لاعساره</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عدم صحّة ضمان المملوك الاّ باذن مولاه؛ لأنّ العبد لايقدر على شيء كما وصفه اللّه بذلك في كتابه و ذمّته مملوكة للمولى فلايملك اثبات شيء </w:t>
      </w:r>
    </w:p>
    <w:p>
      <w:pPr>
        <w:pStyle w:val="BookText"/>
        <w:rPr/>
      </w:pPr>
      <w:r>
        <w:rPr>
          <w:rFonts w:ascii="Amiri" w:hAnsi="Amiri" w:eastAsia="Amiri" w:cs="Amiri"/>
          <w:color w:val="111111"/>
          <w:sz w:val="28"/>
          <w:sz w:val="28"/>
          <w:szCs w:val="28"/>
          <w:rtl w:val="true"/>
          <w:lang w:bidi="ar-SA"/>
        </w:rPr>
        <w:t>فيها الاّ باذنه و لأنّ الضمان يستلزم اثبات مال في الذمّة فيمنع منه بدون اذن المولى كما يمنع من النكاح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يضمنه من الاتلاف و الغصب و الجناية فيثبت في ذمّته فهو حكم شرعي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لزم ذلك الصبي و المجنون أيضا مع عدم صحّة ضمانهما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المريض فقد فصّلنا البحث عنه في كتاب الوصيّة</w:t>
      </w:r>
      <w:r>
        <w:rPr>
          <w:rStyle w:val="FootnoteAnchor"/>
          <w:rtl w:val="true"/>
        </w:rPr>
        <w:footnoteReference w:id="153"/>
      </w:r>
      <w:r>
        <w:rPr>
          <w:rFonts w:ascii="Amiri" w:hAnsi="Amiri" w:eastAsia="Amiri" w:cs="Amiri"/>
          <w:color w:val="111111"/>
          <w:sz w:val="28"/>
          <w:sz w:val="28"/>
          <w:szCs w:val="28"/>
          <w:rtl w:val="true"/>
          <w:lang w:bidi="ar-SA"/>
        </w:rPr>
        <w:t>و قلنا هناك بأنّه كغيره ممنوع من الوصيّة بما زاد عن الثلث اجماعا ما لم‌يجز الورثة بمعنى أنّ وصيّته بمازاد تكون موقوفة على اجازتهم فان أجازوها و الاّ بطلت فيما زاد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يجوز له التصرّف في ماله بالاستيفاء و الانتفاع منه و كذا يجوز له كلّ معاملة معاوضيّة، و أمّا منجّزاته كهبته و وقفه و غير ذلك من التصرّفات غير المعاوضيّة فلايجوز له فيما زاد عن الثلث الاّ باجازة الوارث و عليه فمنجّزاته كوصيّة غيره</w:t>
      </w:r>
      <w:r>
        <w:rPr>
          <w:rFonts w:eastAsia="Amiri" w:cs="Amiri" w:ascii="Amiri" w:hAnsi="Amiri"/>
          <w:color w:val="111111"/>
          <w:sz w:val="28"/>
          <w:szCs w:val="28"/>
          <w:rtl w:val="true"/>
          <w:lang w:bidi="ar-SA"/>
        </w:rPr>
        <w:t xml:space="preserve">. </w:t>
      </w:r>
      <w:bookmarkStart w:id="274" w:name="pg9674_84232"/>
    </w:p>
    <w:p>
      <w:pPr>
        <w:pStyle w:val="Heading2"/>
        <w:numPr>
          <w:ilvl w:val="1"/>
          <w:numId w:val="1"/>
        </w:numPr>
        <w:rPr/>
      </w:pPr>
      <w:bookmarkStart w:id="275" w:name="__RefHeading___Toc7971468_2870459653"/>
      <w:bookmarkStart w:id="276" w:name="_Toc96"/>
      <w:bookmarkEnd w:id="274"/>
      <w:bookmarkEnd w:id="275"/>
      <w:r>
        <w:rPr>
          <w:rtl w:val="true"/>
        </w:rPr>
        <w:t xml:space="preserve">الفصل الثاني </w:t>
      </w:r>
      <w:r>
        <w:rPr>
          <w:rtl w:val="true"/>
        </w:rPr>
        <w:t xml:space="preserve">: </w:t>
      </w:r>
      <w:r>
        <w:rPr>
          <w:rtl w:val="true"/>
        </w:rPr>
        <w:t>في أحكام الحجر</w:t>
      </w:r>
      <w:bookmarkEnd w:id="276"/>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7971470_2870459653"/>
      <w:bookmarkStart w:id="278" w:name="_Toc97"/>
      <w:bookmarkEnd w:id="277"/>
      <w:r>
        <w:rPr>
          <w:rtl w:val="true"/>
        </w:rPr>
        <w:t xml:space="preserve">في عدم ثبوت حجر المفلس و السفيه الاّ بحكم الحاكم </w:t>
      </w:r>
      <w:r>
        <w:rPr>
          <w:rtl w:val="true"/>
        </w:rPr>
        <w:t xml:space="preserve">... </w:t>
      </w:r>
      <w:r>
        <w:rPr/>
        <w:t>143</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حجر المفلس الاّ بحكم الحاكم، و هل يثبت في السفيه بظهور سفهه؟ فيه تردّد و الوجه أنّه لايثبت و كذا لايزول الاّ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توقّف حجر المفلس على حكم الحاكم، و في توقّف رفعه على حكمه خلاف، و قد سبق أنّ الأقوى رفعه بمجرّد الأداء؛ لزوال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السفيه ففي توقّف حجره على حكم الحاكم أو الاكتفاء بظهور سفهه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اختلف في ارتفاع حجره بزوال سفهه أو توقّفه على حكم الحاكم، و قد ذهب المصنّف الى أنّه لايثبت السفاهة الاّ بحكم الحاكم و لايزول الاّ بحكمه؛ و ذلك لأنّ الحجر حكم شرعي لايثبت و لايزول الاّ بدليل شرعي، و لأنّ السفه أمر خفي و الأنظار فيه مختلفة فناسب كونه منوطا بنظر الحاكم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في الجواهر و المسالك الى أنّ الأقوى عدم توقّفه على حكم الحاكم ثبوتا و زوالاً؛ و ذلك لأنّ المقتضي للحجر هو السفه، فيجب تحقّقه، و اذاارتفع زال المقتضي، فيجب أن‌يزول، و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آنستم منهم </w:t>
      </w:r>
      <w:bookmarkStart w:id="279" w:name="pg9674_84233"/>
    </w:p>
    <w:p>
      <w:pPr>
        <w:pStyle w:val="BookText"/>
        <w:rPr/>
      </w:pPr>
      <w:bookmarkEnd w:id="279"/>
      <w:r>
        <w:rPr>
          <w:rFonts w:ascii="Amiri" w:hAnsi="Amiri" w:eastAsia="Amiri" w:cs="Amiri"/>
          <w:color w:val="111111"/>
          <w:sz w:val="28"/>
          <w:sz w:val="28"/>
          <w:szCs w:val="28"/>
          <w:rtl w:val="true"/>
          <w:lang w:bidi="ar-SA"/>
        </w:rPr>
        <w:t>رشدا فادفعوا اليهم أموالهم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حيث علّق الأمر بالدفع على ايناس الرشد، فلو توقّف معه على أمر آخر لم‌يكن الشرط صحيحا، و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كان الذي عليه الحقّ سفيها </w:t>
      </w:r>
      <w:r>
        <w:rPr>
          <w:rFonts w:eastAsia="Amiri" w:cs="Amiri" w:ascii="Amiri" w:hAnsi="Amiri"/>
          <w:color w:val="111111"/>
          <w:sz w:val="28"/>
          <w:szCs w:val="28"/>
          <w:rtl w:val="true"/>
          <w:lang w:bidi="ar-SA"/>
        </w:rPr>
        <w:t>... »</w:t>
      </w:r>
      <w:r>
        <w:rPr>
          <w:rStyle w:val="FootnoteAnchor"/>
          <w:rtl w:val="true"/>
        </w:rPr>
        <w:footnoteReference w:id="155"/>
      </w:r>
      <w:r>
        <w:rPr>
          <w:rFonts w:ascii="Amiri" w:hAnsi="Amiri" w:eastAsia="Amiri" w:cs="Amiri"/>
          <w:color w:val="111111"/>
          <w:sz w:val="28"/>
          <w:sz w:val="28"/>
          <w:szCs w:val="28"/>
          <w:rtl w:val="true"/>
          <w:lang w:bidi="ar-SA"/>
        </w:rPr>
        <w:t>أثبت عليه الولاية بمجرّد السفه، فتوقّفها على أمر آخر يحتاج الى دليل، و الآية الأخرى تساق لرفعه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السفاهة ان كان ظاهرا منه و لم‌يشكّ فيها العرف بالأخصّ وليّه فهو محجور عن ماله و أمره يكون بيد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لم‌يكن ظاهرا و اختلف فيه فينجرّ الى النزاع فيرجع الى الحاكم</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7971472_2870459653"/>
      <w:bookmarkStart w:id="281" w:name="_Toc98"/>
      <w:bookmarkEnd w:id="280"/>
      <w:r>
        <w:rPr>
          <w:rtl w:val="true"/>
        </w:rPr>
        <w:t xml:space="preserve">فيما اذا حجر عليه فبايعه انسان </w:t>
      </w:r>
      <w:r>
        <w:rPr>
          <w:rtl w:val="true"/>
        </w:rPr>
        <w:t xml:space="preserve">... </w:t>
      </w:r>
      <w:r>
        <w:rPr/>
        <w:t>144</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حجر عليه فبايعه انسان كان البيع باطلاً، فان كان المبيع موجودا استعاده البائع، و ان تلف و قبضه باذن صاحبه كان تالفا و ان فكّ حجره، و لو أودعه وديعة فأتلفها ففيه تردّد و الوجه أنّه لايضمن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حجر الحاكم على السفيه فبايعه انسان كان البيع باطلاً مع عدم اجازة الولي لا معها بلا خلاف في ذلك، و حينئذ فان كان المبيع موجودا استعاده البائع، عالما كان أو جاهلاً بالحكم أو الموضوع؛ ضرورة بقاء المال على ملكه فله انتزاعه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تلف فلايخلو امّا أن‌يكون قد قبضه باذن صاحبه أو بغير اذنه، و على التقديرين امّا أن‌يكون البائع عالما أو جاهلاً، فان كان قبضه باذن صاحبه كان تالفا عليه؛ لأنّه سلّطه على اتلافه مع كونه سفيها هذا واضح مع كون البائع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ان كان جاهلاً فيشكل مع عدم اعلام الحاكم أو الولي بما يتعارف بالنسبة الى زمانه و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أودعه وديعة فأتلفها ففي ضمانه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عدم الضمان كما أشار اليه المصنّف، و عن ارشاد الفاضل؛ للأصل و لتفريطه بالايداع بعد نهي اللّه تعالى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لاتؤتوا السفهاء أموالكم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فيكون بمنزلة من ألقى ماله في البحر، فهو حينئذ سبب أقوى من المباشر؛ و يدلّ عليه صحيحة حريز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لاسماعيل بن أبي عبداللّه عليه‌السلام دنانير و أراد رجل من قريش أن‌يخرج الى اليمن، 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انّ فلانا يريد الخروج الى اليمن و عندي كذا و كذا دينار أ فترى أن‌أدفعها اليه يبتاع لي بها بضاعة من اليمن؟ فقال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مابلغك أنّه يشرب الخمر؟ 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لاتفعل، فعصى اسماعيل أباه و دفع اليه دنانيره فاستهلكها و لم‌يأته بشيء منها، فخرج اسماعيل و قضي أنّ أبا عبداللّه عليه‌السلام حجّ و حجّ اسماعيل تلك السنة فجعل يطوف بالبيت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 أخلف عليّ، فلحقه أبو عبداللّه عليه‌السلام فهمزه بيده من خلفه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بنيّ فلا و اللّه ما لك على اللّه هذا و لا لك أن‌يأجرك و لايخلف عليك و قد بلغك أنّه يشرب الخمر فائتمنته، 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انّي لم‌أره يشرب الخمر انّما سمعت الناس يقولون،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للّه و يصدّق للمؤمنين، فاذا شهد عندك المؤمنون فصدّقهم</w:t>
      </w:r>
      <w:r>
        <w:rPr>
          <w:rFonts w:eastAsia="Amiri" w:cs="Amiri" w:ascii="Amiri" w:hAnsi="Amiri"/>
          <w:color w:val="111111"/>
          <w:sz w:val="28"/>
          <w:szCs w:val="28"/>
          <w:rtl w:val="true"/>
          <w:lang w:bidi="ar-SA"/>
        </w:rPr>
        <w:t xml:space="preserve">. </w:t>
      </w:r>
      <w:bookmarkStart w:id="282" w:name="pg9674_84235"/>
    </w:p>
    <w:p>
      <w:pPr>
        <w:pStyle w:val="BookText"/>
        <w:rPr/>
      </w:pPr>
      <w:bookmarkEnd w:id="282"/>
      <w:r>
        <w:rPr>
          <w:rFonts w:ascii="Amiri" w:hAnsi="Amiri" w:eastAsia="Amiri" w:cs="Amiri"/>
          <w:color w:val="111111"/>
          <w:sz w:val="28"/>
          <w:sz w:val="28"/>
          <w:szCs w:val="28"/>
          <w:rtl w:val="true"/>
          <w:lang w:bidi="ar-SA"/>
        </w:rPr>
        <w:t>و لاتأتمن شارب الخمر انّ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سفيه أسفه من شارب الخمر؛ انّ شارب الخمر لايزوّج اذا خطب و لايشفّع اذا شفع و لايؤتمن على أمانة، فمن ائتمنه على أمانة فاستهلكها لم‌يكن للذي ائتمنه على اللّه أن‌يأجره و لايخلف عليه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القول الثاني هو الضمان كما عن الجواهر و المسالك و التذكرة و جامع المقاصد؛ و ذلك لأنّه كالغصب الذي لم‌يكن خلاف في ضمانه بل هو منه؛ ضرورة كون السفيه بالغا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الوجه الأوّل أنّ الأصل مقطوع بأدلّة الضمان كعموم من أتلف و نحوه، و الايداع من مكلّف بعد أن‌لم‌يكن فيه اذنا بالاتلاف ليس تفريطا ليسقط معه حرمة المال و يخرج به عن عمومات الضمان، و دعوى قوّة السبب على المباشر واضحة المنع، و الصحيحة المزبورة ليست في مقام حكم عدم الضمان كما يظهر بالتأمّل و هو الأقوى</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7971474_2870459653"/>
      <w:bookmarkStart w:id="284" w:name="_Toc99"/>
      <w:bookmarkEnd w:id="283"/>
      <w:r>
        <w:rPr>
          <w:rtl w:val="true"/>
        </w:rPr>
        <w:t xml:space="preserve">فيما لو فكّ حجره ثمّ عاد مبذّرا </w:t>
      </w:r>
      <w:r>
        <w:rPr>
          <w:rtl w:val="true"/>
        </w:rPr>
        <w:t xml:space="preserve">... </w:t>
      </w:r>
      <w:r>
        <w:rPr/>
        <w:t>146</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فكّ حجره ثمّ عاد مبذّرا حجر عليه، و لو زال فكّ حجره، و لو عاد عاد الحجر هكذا دائما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فكّ حجره، ثمّ عاد مبذّرا 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زال فكّ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عاد عاد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دائما؛ و ذلك لأنّ السفه علّة الحكم بالحجر، امّا بنفسه أو بحكم الحاكم على ما مرّ، فاذا ظهرت العلّة ظهر المعلول و اذا ارتفعت رفع من غير فرق بين المرّة و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خلاف فيه كما في المسالك</w:t>
      </w:r>
      <w:r>
        <w:rPr>
          <w:rFonts w:eastAsia="Amiri" w:cs="Amiri" w:ascii="Amiri" w:hAnsi="Amiri"/>
          <w:color w:val="111111"/>
          <w:sz w:val="28"/>
          <w:szCs w:val="28"/>
          <w:rtl w:val="true"/>
          <w:lang w:bidi="ar-SA"/>
        </w:rPr>
        <w:t>.</w:t>
      </w:r>
      <w:r>
        <w:rPr>
          <w:rStyle w:val="FootnoteAnchor"/>
          <w:rtl w:val="true"/>
        </w:rPr>
        <w:footnoteReference w:id="158"/>
      </w:r>
      <w:bookmarkStart w:id="285" w:name="pg9674_84236"/>
    </w:p>
    <w:p>
      <w:pPr>
        <w:pStyle w:val="Heading2"/>
        <w:numPr>
          <w:ilvl w:val="1"/>
          <w:numId w:val="1"/>
        </w:numPr>
        <w:rPr/>
      </w:pPr>
      <w:bookmarkStart w:id="286" w:name="__RefHeading___Toc7971476_2870459653"/>
      <w:bookmarkStart w:id="287" w:name="_Toc100"/>
      <w:bookmarkEnd w:id="285"/>
      <w:bookmarkEnd w:id="286"/>
      <w:r>
        <w:rPr>
          <w:rtl w:val="true"/>
        </w:rPr>
        <w:t xml:space="preserve">فيمن له الولاية على مال الطفل و المجنون </w:t>
      </w:r>
      <w:r>
        <w:rPr>
          <w:rtl w:val="true"/>
        </w:rPr>
        <w:t xml:space="preserve">... </w:t>
      </w:r>
      <w:r>
        <w:rPr/>
        <w:t>147</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مال الطفل و المجنون للأب و الجدّ للأب، فان لم‌يكونا فللوصي فان لم‌يكن فللحاكم، أمّا السفيه و المفلس فالولاية في مالهما للحاكم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أنّ الولاية في مال الطفل للأب و الجدّ و ان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عليه النصوص الواردة في النكاح</w:t>
      </w:r>
      <w:r>
        <w:rPr>
          <w:rStyle w:val="FootnoteAnchor"/>
          <w:rtl w:val="true"/>
        </w:rPr>
        <w:footnoteReference w:id="159"/>
      </w:r>
      <w:r>
        <w:rPr>
          <w:rFonts w:ascii="Amiri" w:hAnsi="Amiri" w:eastAsia="Amiri" w:cs="Amiri"/>
          <w:color w:val="111111"/>
          <w:sz w:val="28"/>
          <w:sz w:val="28"/>
          <w:szCs w:val="28"/>
          <w:rtl w:val="true"/>
          <w:lang w:bidi="ar-SA"/>
        </w:rPr>
        <w:t>و عقد البيع</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لم‌يكونا فللوصي فان لم‌يكن فللحاكم، و المراد بالحاكم حيث يطلق في أبواب الفقه، هو الفقيه الجامع لشرائط الفتوى اجماعا كما في المسالك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المفلّس فالولاية في ماله للحاكم كما مرّ، و أمّا السفيه و المجنون فالأجود هو ان بلغ سفيها أو مجنونا فالولاية للأب و الجدّ ثمّ وصيّ أحدهما ثمّ الحاكم كالصبي؛ استصحابا لحكم ولايتهما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بلغ عاقلاً رشيدا ثمّ تجدّد جنونه أو سفهه فأمره الى الحاكم دونهما؛ لارتفاع ولايتهما بعد البلوغ فيحتاج عودها الى الدليل، و أمّا الحاكم فهو ولي عامّ لايحتاج فيه الى دليل خاصّ</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7971478_2870459653"/>
      <w:bookmarkStart w:id="289" w:name="_Toc101"/>
      <w:bookmarkEnd w:id="288"/>
      <w:r>
        <w:rPr>
          <w:rtl w:val="true"/>
        </w:rPr>
        <w:t xml:space="preserve">فيما اذا أحرم المحجور بحجّة واجبة </w:t>
      </w:r>
      <w:r>
        <w:rPr>
          <w:rtl w:val="true"/>
        </w:rPr>
        <w:t xml:space="preserve">... </w:t>
      </w:r>
      <w:r>
        <w:rPr/>
        <w:t>147</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أحرم بحجّة واجبة لم‌يمنع ممّا يحتاج اليه في الاتيان بالفرض، و ان أحرم تطوّعا فان استوت نفقته سفرا و حضرا لم‌يمنع، و كذا ان أمكنه تكسّب ما يحتاج اليه، و لو لم‌يكن كذلك حلّله الولي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أنّ السفيه كالرشيد بالنسبة الى العبادات فاذا أحرم بحجّة و عمرة واجبة و لو بالنذر قبل الحجر أو سببه، فلم‌يمنع ممّا يحتاج اليه في الاتيان بالفرض و ان زاد على نفقة الحضر، لكن لايمكّن من الانفاق بل ينفق عليه وليّه أو وكيله</w:t>
      </w:r>
      <w:r>
        <w:rPr>
          <w:rFonts w:eastAsia="Amiri" w:cs="Amiri" w:ascii="Amiri" w:hAnsi="Amiri"/>
          <w:color w:val="111111"/>
          <w:sz w:val="28"/>
          <w:szCs w:val="28"/>
          <w:rtl w:val="true"/>
          <w:lang w:bidi="ar-SA"/>
        </w:rPr>
        <w:t xml:space="preserve">. </w:t>
      </w:r>
      <w:bookmarkStart w:id="290" w:name="pg9674_84237"/>
    </w:p>
    <w:p>
      <w:pPr>
        <w:pStyle w:val="BookText"/>
        <w:rPr/>
      </w:pPr>
      <w:bookmarkEnd w:id="290"/>
      <w:r>
        <w:rPr>
          <w:rFonts w:ascii="Amiri" w:hAnsi="Amiri" w:eastAsia="Amiri" w:cs="Amiri"/>
          <w:color w:val="111111"/>
          <w:sz w:val="28"/>
          <w:sz w:val="28"/>
          <w:szCs w:val="28"/>
          <w:rtl w:val="true"/>
          <w:lang w:bidi="ar-SA"/>
        </w:rPr>
        <w:t>و أمّا اذا كان الحجّ مندوبا فان استوت نفقته سفرا و حضرا لم‌يمنع؛ لعدم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احتاج الى زيادة فان كان يكتسبها في السفر فكذلك؛ لانتفاء الضرر من ماله المحجور عليه فيه، و لو لم‌يكن كذلك فذهب المصنّف رحمه‌الله الى أنّه حلّله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هناك اجماع على لزوم تحليل الولي فهو و الاّ فلا دليل على جوازه فانّ الاحرام لمّا انعقد فلايجوز نقضه بلا دليل و عليه فعلى الولي أن‌يعينه على اتمام الحجّ أو العمرة و لو ببذل النفقة من كيسه</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7971480_2870459653"/>
      <w:bookmarkStart w:id="292" w:name="_Toc102"/>
      <w:bookmarkEnd w:id="291"/>
      <w:r>
        <w:rPr>
          <w:rtl w:val="true"/>
        </w:rPr>
        <w:t xml:space="preserve">في انعقاد يمينه اذا حلف </w:t>
      </w:r>
      <w:r>
        <w:rPr>
          <w:rtl w:val="true"/>
        </w:rPr>
        <w:t xml:space="preserve">... </w:t>
      </w:r>
      <w:r>
        <w:rPr/>
        <w:t>148</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حلف انعقدت يمينه و لو حنث كفّر بالصوم، 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حلف السفيه على فعل شيء أو تركه تنعقد يمينه؛ لأنّه لايتعلّق بالمال، و مثله لو نذر أو عهد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متعلّق النذر نفس المال بأن‌نذر أن‌يتصدّق بمال مثلاً فان كان معيّنا بطل النذر و ان كان في الذمّة صحّ و روعي في انفاذه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حلف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حنث وجبت عليه الكفّارة قطعا؛ لأنّه بالغ عاقل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بأنّه يكفّر بالصوم لا بالمال؛ لأنّه ممنوع من التصرّف المالي، و ما قيل من أنّ الكفّارة تصير حينئذ واجبة عليه و هو مالك للمال فتخرج من المال كما تخرج الواجبات من الزكاة و الخمس و مؤونة الحجّ الواجب و الكفّارة المسبوقة وجوبها الحجر، مدفوع بأنّ هذه الواجبات تثبت عليه بغير اختياره فلا تصرّف له في المال و انّما الحاكم به اللّه تعالى، بخلاف الكفّارة المذكورة فانّ سببها مستند الى اختياره في مخالفة مقتضى اليمين</w:t>
      </w:r>
      <w:r>
        <w:rPr>
          <w:rFonts w:eastAsia="Amiri" w:cs="Amiri" w:ascii="Amiri" w:hAnsi="Amiri"/>
          <w:color w:val="111111"/>
          <w:sz w:val="28"/>
          <w:szCs w:val="28"/>
          <w:rtl w:val="true"/>
          <w:lang w:bidi="ar-SA"/>
        </w:rPr>
        <w:t xml:space="preserve">. </w:t>
      </w:r>
      <w:bookmarkStart w:id="293" w:name="pg9674_84238"/>
    </w:p>
    <w:p>
      <w:pPr>
        <w:pStyle w:val="BookText"/>
        <w:rPr/>
      </w:pPr>
      <w:bookmarkEnd w:id="293"/>
      <w:r>
        <w:rPr>
          <w:rFonts w:ascii="Amiri" w:hAnsi="Amiri" w:eastAsia="Amiri" w:cs="Amiri"/>
          <w:color w:val="111111"/>
          <w:sz w:val="28"/>
          <w:sz w:val="28"/>
          <w:szCs w:val="28"/>
          <w:rtl w:val="true"/>
          <w:lang w:bidi="ar-SA"/>
        </w:rPr>
        <w:t>ولكنّ الظاهر أنّه ان رأى الولي المصلحة في تكفيره بالمال فيجوز له، فانّه ربّما يكون المصلحة في ذلك</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7971482_2870459653"/>
      <w:bookmarkStart w:id="295" w:name="_Toc103"/>
      <w:bookmarkEnd w:id="294"/>
      <w:r>
        <w:rPr>
          <w:rtl w:val="true"/>
        </w:rPr>
        <w:t xml:space="preserve">في جواز عفوه عن القصاص </w:t>
      </w:r>
      <w:r>
        <w:rPr>
          <w:rtl w:val="true"/>
        </w:rPr>
        <w:t xml:space="preserve">... </w:t>
      </w:r>
      <w:r>
        <w:rPr/>
        <w:t>149</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له القصاص جاز أن‌يعفو، و لو وجب له دية لم‌يجز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وجب له القصاص جاز أن‌يعفو؛ لأنّ موجب العمد القصاص خاصّة و هو ليس بمال و يجوز له أن‌يبدّل قصاصه بالمال، و أمّا لو وجب له دية أوّلاً فقد يقال بأنّه لايجوز له العفو؛ لأنّه تصرّف مالي فيمنع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في هذا و أمثاله لزوم مراعاة المصلحة من طرف الولي، فان رأى الولي المصلحة في العفو أو غير ذلك من التصرّفات الماليّة فالظاهر جوازه له</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7971484_2870459653"/>
      <w:bookmarkStart w:id="297" w:name="_Toc104"/>
      <w:bookmarkEnd w:id="296"/>
      <w:r>
        <w:rPr>
          <w:rtl w:val="true"/>
        </w:rPr>
        <w:t xml:space="preserve">في اختبار الصبي قبل بلوغه </w:t>
      </w:r>
      <w:r>
        <w:rPr>
          <w:rtl w:val="true"/>
        </w:rPr>
        <w:t xml:space="preserve">... </w:t>
      </w:r>
      <w:r>
        <w:rPr/>
        <w:t>149</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 الصبي قبل بلوغه، و هل يصحّ بيعه؟ الأشبه أنّه لايصحّ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يختبر الصبي قبل بلوغه؛ لأنّ الرشد لايعلم الاّ باختباره بما يلائمه من التصرّفات و الأعمال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اذا بلغوا النكاح فان</w:t>
      </w:r>
    </w:p>
    <w:p>
      <w:pPr>
        <w:pStyle w:val="BookText"/>
        <w:rPr/>
      </w:pPr>
      <w:r>
        <w:rPr>
          <w:rFonts w:ascii="Amiri" w:hAnsi="Amiri" w:eastAsia="Amiri" w:cs="Amiri"/>
          <w:color w:val="111111"/>
          <w:sz w:val="28"/>
          <w:sz w:val="28"/>
          <w:szCs w:val="28"/>
          <w:rtl w:val="true"/>
          <w:lang w:bidi="ar-SA"/>
        </w:rPr>
        <w:t xml:space="preserve">آنستم منه رشدا فادفعوا اليهم أموالهم </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 لا خلاف في ذلك عند الأصحاب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كان الاختبار بمثل البيع لمن هو أهله فظهر رشده و أوقعه فالظاهر صحّة بيعه؛ لأمره تعالى بالابتلاء و هو يقتضي كون الفعل الصادر من الصبي معتبرا خصوصا على مختارنا من شرعيّة أفعاله، و مع ذلك قد انضمّ الى اذن الولي له؛ لأنّ اعطاء المال و أمره به اذن فيجب أن‌يكون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صحّة بيعه؛ لمنع دلالة الأمر بالابتلاء على الصحّة، بل غايته استفادة الرشد بما به الابتلاء، أمّا كونه صحيحا أم لا فهو خارج عن مقتضاه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الظاهر صحّته كما تقدّم؛ لأنّ الصحّة تلازم الاختبار الذي دلّ على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w:t>
      </w:r>
    </w:p>
    <w:p>
      <w:pPr>
        <w:pStyle w:val="BookText"/>
        <w:rPr/>
      </w:pPr>
      <w:r>
        <w:rPr>
          <w:rFonts w:ascii="Amiri" w:hAnsi="Amiri" w:eastAsia="Amiri" w:cs="Amiri"/>
          <w:color w:val="111111"/>
          <w:sz w:val="28"/>
          <w:sz w:val="28"/>
          <w:szCs w:val="28"/>
          <w:rtl w:val="true"/>
          <w:lang w:bidi="ar-SA"/>
        </w:rPr>
        <w:t>في بيان أحكام الحجر</w:t>
      </w:r>
    </w:p>
    <w:p>
      <w:pPr>
        <w:pStyle w:val="BookText"/>
        <w:rPr/>
      </w:pPr>
      <w:r>
        <w:rPr>
          <w:rFonts w:ascii="Amiri" w:hAnsi="Amiri" w:eastAsia="Amiri" w:cs="Amiri"/>
          <w:color w:val="111111"/>
          <w:sz w:val="28"/>
          <w:sz w:val="28"/>
          <w:szCs w:val="28"/>
          <w:rtl w:val="true"/>
          <w:lang w:bidi="ar-SA"/>
        </w:rPr>
        <w:t>و يتلوه شرح كتاب الصلح</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w:t>
      </w:r>
      <w:bookmarkStart w:id="298" w:name="pg9674_84240"/>
    </w:p>
    <w:p>
      <w:pPr>
        <w:pStyle w:val="Heading2"/>
        <w:numPr>
          <w:ilvl w:val="1"/>
          <w:numId w:val="1"/>
        </w:numPr>
        <w:rPr/>
      </w:pPr>
      <w:bookmarkStart w:id="299" w:name="__RefHeading___Toc7971486_2870459653"/>
      <w:bookmarkStart w:id="300" w:name="_Toc105"/>
      <w:bookmarkEnd w:id="298"/>
      <w:bookmarkEnd w:id="299"/>
      <w:r>
        <w:rPr>
          <w:rtl w:val="true"/>
        </w:rPr>
        <w:t>كتاب الصلح</w:t>
      </w:r>
      <w:bookmarkEnd w:id="300"/>
    </w:p>
    <w:p>
      <w:pPr>
        <w:pStyle w:val="BookText"/>
        <w:rPr/>
      </w:pPr>
      <w:r>
        <w:rPr>
          <w:rFonts w:ascii="Amiri" w:hAnsi="Amiri" w:eastAsia="Amiri" w:cs="Amiri"/>
          <w:color w:val="111111"/>
          <w:sz w:val="28"/>
          <w:sz w:val="28"/>
          <w:szCs w:val="28"/>
          <w:rtl w:val="true"/>
          <w:lang w:bidi="ar-SA"/>
        </w:rPr>
        <w:t>الصلح و هو عقد شرّع لقطع التجاذب، و ليس فرعا على غيره و لو أفاد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مع الاقرار و الانكار الاّ ما أحلّ حراما أو حرّم حلالاً، و كذا يصحّ مع علم المصطلحين بما وقعت المنازعة فيه و مع جهالتهما به دينا كان أو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لازم من الطرفين مع استكمال شرائطه الاّ أن‌يتّفقا على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شرعيّة الصلح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امرأة خافت من بعلها نشوزا أو اعراضا فلا جناح عليهما أن‌يصلحا بينهما صلحا و الصلح خير</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طائفتان من المؤمنين اقتتلوا فأصلحوا بينهما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في صحيحة حفص بن البختري عن أبي عبداللّه عليه‌السلام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r>
        <w:rPr>
          <w:rStyle w:val="FootnoteAnchor"/>
          <w:rtl w:val="true"/>
        </w:rPr>
        <w:footnoteReference w:id="166"/>
      </w:r>
      <w:bookmarkStart w:id="301" w:name="pg9674_84241"/>
    </w:p>
    <w:p>
      <w:pPr>
        <w:pStyle w:val="BookText"/>
        <w:rPr/>
      </w:pPr>
      <w:bookmarkEnd w:id="301"/>
      <w:r>
        <w:rPr>
          <w:rFonts w:ascii="Amiri" w:hAnsi="Amiri" w:eastAsia="Amiri" w:cs="Amiri"/>
          <w:color w:val="111111"/>
          <w:sz w:val="28"/>
          <w:sz w:val="28"/>
          <w:szCs w:val="28"/>
          <w:rtl w:val="true"/>
          <w:lang w:bidi="ar-SA"/>
        </w:rPr>
        <w:t xml:space="preserve">و صحيحة الحلبي عن أبي عبداللّه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الشيء فيصالح،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بطيبة نفس من صاحبه فلا بأس</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ثمّ انّ عقد الصلح و ان كان شرّع في الأصل لقطع التجاذب و التنازع بين المتخاصمين الاّ أنّ ذلك من الحكمة لا العلّة التي يدور الحكم مدارها، مثل المشقّة في حكمة القصر في السفر و نقصان القيمة في الردّ بالعيب و استبراء الرحم للعدّة و غيرها من الحكم التي لاتقتضي تخصيصا أو تقييدا لعموم الدليل أو اطلاقه المقتضي لثبوت الحكم في غير محلّها مضافا الى خصوص الأدلّة من السنّة و الاجماع، و عليه فالصلح جارٍ و جائز في غير مقام التجاذب و التنازع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302" w:name="__RefHeading___Toc7971488_2870459653"/>
      <w:bookmarkStart w:id="303" w:name="_Toc106"/>
      <w:bookmarkEnd w:id="302"/>
      <w:r>
        <w:rPr>
          <w:rtl w:val="true"/>
        </w:rPr>
        <w:t xml:space="preserve">الفرع الأوّل </w:t>
      </w:r>
      <w:r>
        <w:rPr>
          <w:rtl w:val="true"/>
        </w:rPr>
        <w:t xml:space="preserve">: </w:t>
      </w:r>
      <w:r>
        <w:rPr>
          <w:rtl w:val="true"/>
        </w:rPr>
        <w:t>في أنّ عقد الصلح ليس فرعا على غيره</w:t>
      </w:r>
      <w:bookmarkEnd w:id="3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الصلح ليس عندنا فرعا على غيره من العقود و ان أفاد فائدته كما هو مقتضى اطلاق أدلّته، و عليه فله أحكام تختصّ به و لايجري فيه أحكام العقود التي أفاد فائدتها، خلافا للشيخ في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ليس بأصل في نفسه و انّما هو فرع لغيره و هو على خمسة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الهبة</w:t>
      </w:r>
      <w:r>
        <w:rPr>
          <w:rFonts w:eastAsia="Amiri" w:cs="Amiri" w:ascii="Amiri" w:hAnsi="Amiri"/>
          <w:color w:val="111111"/>
          <w:sz w:val="28"/>
          <w:szCs w:val="28"/>
          <w:rtl w:val="true"/>
          <w:lang w:bidi="ar-SA"/>
        </w:rPr>
        <w:t>».</w:t>
      </w:r>
      <w:r>
        <w:rPr>
          <w:rStyle w:val="FootnoteAnchor"/>
          <w:rtl w:val="true"/>
        </w:rPr>
        <w:footnoteReference w:id="168"/>
      </w:r>
      <w:bookmarkStart w:id="304" w:name="pg9674_84242"/>
    </w:p>
    <w:p>
      <w:pPr>
        <w:pStyle w:val="BookText"/>
        <w:rPr/>
      </w:pPr>
      <w:bookmarkEnd w:id="304"/>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فرع على عقود خمسة و هو مذهب الشافعي، فجعله فرع البيع اذا أفاد نقل الملك بعوض معلوم، و فرع الاجارة اذا وقع على منفعة مقدّرة بمدّة معلومة بعوض معلوم، و فرع الهبة اذا تضمّن ملك العين بغير عوض، و فرع العارية اذا تضمّن اباحة منفعة بغير عوض، و فرع الابراء اذا تضمّن اسقاط دين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يلحقه حكم ما ألحق به من العقود في ذلك الفرد الذي ألحق به فيه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افادة فائدة عقد آخر لاتقتضي كونه من أفراده مع دلالة الدليل على استقلاله بنفسه كغيره من العقود، و عليه فلايجري فيه أحكام البيع فيما اذا أفاد فائدة البيع كلزوم التقابض في المجلس في بيع الصرف أو قبض الثمن في بيع السلم و غير ذلك و كذا سائر العقود</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7971490_2870459653"/>
      <w:bookmarkStart w:id="306" w:name="_Toc107"/>
      <w:bookmarkEnd w:id="305"/>
      <w:r>
        <w:rPr>
          <w:rtl w:val="true"/>
        </w:rPr>
        <w:t xml:space="preserve">الفرع الثاني </w:t>
      </w:r>
      <w:r>
        <w:rPr>
          <w:rtl w:val="true"/>
        </w:rPr>
        <w:t xml:space="preserve">: </w:t>
      </w:r>
      <w:r>
        <w:rPr>
          <w:rtl w:val="true"/>
        </w:rPr>
        <w:t>في الصلح مع الاقرار و الانكار</w:t>
      </w:r>
      <w:bookmarkEnd w:id="306"/>
    </w:p>
    <w:p>
      <w:pPr>
        <w:pStyle w:val="BookText"/>
        <w:rPr/>
      </w:pPr>
      <w:r>
        <w:rPr>
          <w:rFonts w:ascii="Amiri" w:hAnsi="Amiri" w:eastAsia="Amiri" w:cs="Amiri"/>
          <w:color w:val="111111"/>
          <w:sz w:val="28"/>
          <w:sz w:val="28"/>
          <w:szCs w:val="28"/>
          <w:rtl w:val="true"/>
          <w:lang w:bidi="ar-SA"/>
        </w:rPr>
        <w:t xml:space="preserve">صحّة الصلح مع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أقرّ المدّعى عليه بما يدّعي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و لا خلاف فيه، و كذا يصحّ مع الانكار و هو ما اذا أنكر المدّعى عليه ما يدّعي المدّعي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موضع خلاف بيننا و بين الشافعي حيث منعه مع الانكار؛ نظرا الى أنّه عاوض على ما لم‌يثبت له، فلم‌تصحّ المعاوضة، كما لو باع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نمنع بطلان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بالصلح، فانّه عينالمتنازع، و الفرق بينه و بين البيع ظاهر؛ فانّ ذلك تصرّف في مال الغير بغير اذنه، </w:t>
      </w:r>
    </w:p>
    <w:p>
      <w:pPr>
        <w:pStyle w:val="BookText"/>
        <w:rPr/>
      </w:pPr>
      <w:r>
        <w:rPr>
          <w:rFonts w:ascii="Amiri" w:hAnsi="Amiri" w:eastAsia="Amiri" w:cs="Amiri"/>
          <w:color w:val="111111"/>
          <w:sz w:val="28"/>
          <w:sz w:val="28"/>
          <w:szCs w:val="28"/>
          <w:rtl w:val="true"/>
          <w:lang w:bidi="ar-SA"/>
        </w:rPr>
        <w:t>بخلافه هنا، و لأنّ مبنى شرعيّته عندنا و عنده على قطع التنازع، و هو شامل للحالين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الصلح مع الاقرار ظاهرة، و أمّا مع الانكار فبأن‌يدّعي شخص على غيره دينا أو عينا، فينكر المدّعى عليه، فيصالحه على مال آخر، أو على بعض المدّعى به، أو على غير ذلك من منفعة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بصحّة الصلح مع الانكار صحّته بحسب الظاهر، و أمّا بحسب نفس الأمر فلايستبيح كلّ منهما ما وصل اليه بالصلح، و هو غير محقّ</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بالجملة يجوز للمتداعيين في دين أو عين أو منفعة أن‌يتصالحا بشيء من المدّعى به أو بشيء آخر حتّى مع انكار المدّعى عليه، و يسقط بهذا الصلح حقّ الدعوى، و كذا حقّ اليمين الذي كان للمدّعي على المنكر، و ليس للمدّعي بعد ذلك تجديد المرافعة لكن هذا فصل ظاهري ينقطع به الدعوى في ظاهر الشرع، و لايحلّ به ما أخذه غير المحقّ منهما، فاذا ادّعى شخص على شخص بدين فأنكره ثمّ تصالحا على النصف فهذا الصلح و ان أثّر في سقوط الدعوى لكن ان كان المدّعي محقّا بحسب الواقع فقد وصل اليه نصف حقّه و بقي الباقي على ذمّة المنكر و لو كان محقّا بحسب اعتقاده، الاّ اذا فرض رضا المدّعي باطنا بالصلح عن جميع ماله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العكس أي لو كان المدّعى عليه محقّا و دعوى المدّعي باطلة يحرم عليه ما أخذه من المنكر الاّ مع فرض طيب نفسه واقعا بأن‌يكون للمدّعي ما صالح به لا أنّه رضي به تخلّصا من دعواه الكاذبة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لو فرض أنّه قد صالح المحقّ واقعا مع غير المحقّ عن العين بمال آخرفهي بأجمعها في يده مغصوبة و لايستثنى له منها مقدار ما دفع؛ لعدم صحّة </w:t>
      </w:r>
      <w:bookmarkStart w:id="307" w:name="pg9674_84244"/>
    </w:p>
    <w:p>
      <w:pPr>
        <w:pStyle w:val="BookText"/>
        <w:rPr/>
      </w:pPr>
      <w:bookmarkEnd w:id="307"/>
      <w:r>
        <w:rPr>
          <w:rFonts w:ascii="Amiri" w:hAnsi="Amiri" w:eastAsia="Amiri" w:cs="Amiri"/>
          <w:color w:val="111111"/>
          <w:sz w:val="28"/>
          <w:sz w:val="28"/>
          <w:szCs w:val="28"/>
          <w:rtl w:val="true"/>
          <w:lang w:bidi="ar-SA"/>
        </w:rPr>
        <w:t xml:space="preserve">المعاوضة في نفس الأمر و انّ هذا كلّه أكل مال بالباطل والمحقّ انّما صالح غير المحقّ دفعا لدعواه الكاذبة كما تقدّم أو استدفع بالصلح ضررا عن نفسه أو ماله، و مثل هذا لايعدّ تراضيا يبيح أكل مال الغير؛ و الدليل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يزيد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لرجل على رجل دين فمطله حتّى مات ثمّ صالح ورثته على شيء فالذي أخذ الورثة لهم، و ما بقي فللميّت حتّى يستوفيه منه في الآخرة، و ان هو لم‌يصالحهم على شيء حتّى مات و لم‌يقض عنه فهو كلّه للميّت يأخذه به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رواية علي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يهودي أو نصراني كانت له عندي أربعة آلاف درهم مات، أ لي أن‌أصالح ورثته و لاأعلمهم كم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حتّى تخبرهم</w:t>
      </w:r>
      <w:r>
        <w:rPr>
          <w:rFonts w:eastAsia="Amiri" w:cs="Amiri" w:ascii="Amiri" w:hAnsi="Amiri"/>
          <w:color w:val="111111"/>
          <w:sz w:val="28"/>
          <w:szCs w:val="28"/>
          <w:rtl w:val="true"/>
          <w:lang w:bidi="ar-SA"/>
        </w:rPr>
        <w:t>».</w:t>
      </w:r>
      <w:r>
        <w:rPr>
          <w:rStyle w:val="FootnoteAnchor"/>
          <w:rtl w:val="true"/>
        </w:rPr>
        <w:footnoteReference w:id="172"/>
      </w:r>
    </w:p>
    <w:p>
      <w:pPr>
        <w:pStyle w:val="Heading2"/>
        <w:numPr>
          <w:ilvl w:val="1"/>
          <w:numId w:val="1"/>
        </w:numPr>
        <w:rPr/>
      </w:pPr>
      <w:bookmarkStart w:id="308" w:name="__RefHeading___Toc7971492_2870459653"/>
      <w:bookmarkStart w:id="309" w:name="_Toc108"/>
      <w:bookmarkEnd w:id="308"/>
      <w:r>
        <w:rPr>
          <w:rtl w:val="true"/>
        </w:rPr>
        <w:t xml:space="preserve">الفرع الثالث </w:t>
      </w:r>
      <w:r>
        <w:rPr>
          <w:rtl w:val="true"/>
        </w:rPr>
        <w:t xml:space="preserve">: </w:t>
      </w:r>
      <w:r>
        <w:rPr>
          <w:rtl w:val="true"/>
        </w:rPr>
        <w:t>في الصلح اذا أحلّ حراما أو حرّم حلالاً</w:t>
      </w:r>
      <w:bookmarkEnd w:id="309"/>
    </w:p>
    <w:p>
      <w:pPr>
        <w:pStyle w:val="BookText"/>
        <w:rPr/>
      </w:pPr>
      <w:r>
        <w:rPr>
          <w:rFonts w:ascii="Amiri" w:hAnsi="Amiri" w:eastAsia="Amiri" w:cs="Amiri"/>
          <w:color w:val="111111"/>
          <w:sz w:val="28"/>
          <w:sz w:val="28"/>
          <w:szCs w:val="28"/>
          <w:rtl w:val="true"/>
          <w:lang w:bidi="ar-SA"/>
        </w:rPr>
        <w:t>الصلح جائز بين المسلمين الاّ ما أحلّ حراما أو حرّم حلالاً كما في مرسلة الصدوق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 اليمين على المدّعى عليه، و </w:t>
      </w:r>
      <w:bookmarkStart w:id="310" w:name="pg9674_84245"/>
    </w:p>
    <w:p>
      <w:pPr>
        <w:pStyle w:val="BookText"/>
        <w:rPr/>
      </w:pPr>
      <w:bookmarkEnd w:id="310"/>
      <w:r>
        <w:rPr>
          <w:rFonts w:ascii="Amiri" w:hAnsi="Amiri" w:eastAsia="Amiri" w:cs="Amiri"/>
          <w:color w:val="111111"/>
          <w:sz w:val="28"/>
          <w:sz w:val="28"/>
          <w:szCs w:val="28"/>
          <w:rtl w:val="true"/>
          <w:lang w:bidi="ar-SA"/>
        </w:rPr>
        <w:t>الصلح جائز بين المسلمين الاّ صلحا أحلّ حراما أو حرّم حلالاً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فسّر تحليل الحرام بالصلح على استرقاق حرّ أو استباحة بضع لا سبب لاباحته غيره أو ليشربا أو أحدهما الخمر و نحو ذلك، و تحريم الحلال بأن‌لايطأ أحدهما حليلته أو لاينتفع بماله و نحو ذلك</w:t>
      </w:r>
      <w:r>
        <w:rPr>
          <w:rFonts w:eastAsia="Amiri" w:cs="Amiri" w:ascii="Amiri" w:hAnsi="Amiri"/>
          <w:color w:val="111111"/>
          <w:sz w:val="28"/>
          <w:szCs w:val="28"/>
          <w:rtl w:val="true"/>
          <w:lang w:bidi="ar-SA"/>
        </w:rPr>
        <w:t>».</w:t>
      </w:r>
      <w:r>
        <w:rPr>
          <w:rStyle w:val="FootnoteAnchor"/>
          <w:rtl w:val="true"/>
        </w:rPr>
        <w:footnoteReference w:id="174"/>
      </w:r>
    </w:p>
    <w:p>
      <w:pPr>
        <w:pStyle w:val="Heading2"/>
        <w:numPr>
          <w:ilvl w:val="1"/>
          <w:numId w:val="1"/>
        </w:numPr>
        <w:rPr/>
      </w:pPr>
      <w:bookmarkStart w:id="311" w:name="__RefHeading___Toc7971494_2870459653"/>
      <w:bookmarkStart w:id="312" w:name="_Toc109"/>
      <w:bookmarkEnd w:id="311"/>
      <w:r>
        <w:rPr>
          <w:rtl w:val="true"/>
        </w:rPr>
        <w:t xml:space="preserve">الفرع الرابع </w:t>
      </w:r>
      <w:r>
        <w:rPr>
          <w:rtl w:val="true"/>
        </w:rPr>
        <w:t xml:space="preserve">: </w:t>
      </w:r>
      <w:r>
        <w:rPr>
          <w:rtl w:val="true"/>
        </w:rPr>
        <w:t>في الصلح مع علمهما بما وقعت المنازعة فيه و جهلهما</w:t>
      </w:r>
      <w:bookmarkEnd w:id="312"/>
    </w:p>
    <w:p>
      <w:pPr>
        <w:pStyle w:val="BookText"/>
        <w:rPr/>
      </w:pPr>
      <w:r>
        <w:rPr>
          <w:rFonts w:ascii="Amiri" w:hAnsi="Amiri" w:eastAsia="Amiri" w:cs="Amiri"/>
          <w:color w:val="111111"/>
          <w:sz w:val="28"/>
          <w:sz w:val="28"/>
          <w:szCs w:val="28"/>
          <w:rtl w:val="true"/>
          <w:lang w:bidi="ar-SA"/>
        </w:rPr>
        <w:t>يصحّ الصلح مع علم المصطلحين بما وقعت المنازعة فيه، و أمّا مع جهلهما بمقداره بحيث تعذّر للمتصالحين معرفة المصالح عنه فلا اشكال فيه أيضا كما اذا اختلط مال أحدهما بالآخر و لم‌يعلما مقدار كلّ منهما فاصطلحا على أن‌يشتركا فيه بالتساوي أو الاختلاف، أو صالح أحدهما ماله مع الآخر بمال معيّن؛ يدلّ على ذلك صحيحة محمّد بن مسلم عن أبي جعفر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كان لكلّ واحد منهما طعام عند صاحبه و لايدري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 لي ما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اذا تراضيا و طابت أنفسهما</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الحاجة قد تمسّ الى تحصيل البراءة مع الجهل و لا وجه له الاّ الصلح، دينا كان أو عينا بل هو جارٍ في غير ما وقعت المنازعة فيه أيضا</w:t>
      </w:r>
      <w:r>
        <w:rPr>
          <w:rFonts w:eastAsia="Amiri" w:cs="Amiri" w:ascii="Amiri" w:hAnsi="Amiri"/>
          <w:color w:val="111111"/>
          <w:sz w:val="28"/>
          <w:szCs w:val="28"/>
          <w:rtl w:val="true"/>
          <w:lang w:bidi="ar-SA"/>
        </w:rPr>
        <w:t xml:space="preserve">. </w:t>
      </w:r>
      <w:bookmarkStart w:id="313" w:name="pg9674_84246"/>
    </w:p>
    <w:p>
      <w:pPr>
        <w:pStyle w:val="BookText"/>
        <w:rPr/>
      </w:pPr>
      <w:bookmarkEnd w:id="313"/>
      <w:r>
        <w:rPr>
          <w:rFonts w:ascii="Amiri" w:hAnsi="Amiri" w:eastAsia="Amiri" w:cs="Amiri"/>
          <w:color w:val="111111"/>
          <w:sz w:val="28"/>
          <w:sz w:val="28"/>
          <w:szCs w:val="28"/>
          <w:rtl w:val="true"/>
          <w:lang w:bidi="ar-SA"/>
        </w:rPr>
        <w:t>و أمّا مع امكان معرفتهما بمقداره في الحال ففيه اشكال الاّ اذا تراضيا بما صالحا عليه بطيب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أحدهما عالما به دون الآخر فان كان الجاهل المستحقّ لم‌يصحّ الصلح في نفس الأمر الاّ أن‌يعلمه بالقدر أو يكون المصالح به قدر حقّه مع كونه غير متعيّن فالعبرة بوصول الحقّ لا بالصلح، و قد تقدّم في الفرع الثاني رواية علي بن أبي حمزة و كذا صحيحة عمر بن يزيد و ما يدلّ على ما نحن فيه</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7971496_2870459653"/>
      <w:bookmarkStart w:id="315" w:name="_Toc110"/>
      <w:bookmarkEnd w:id="314"/>
      <w:r>
        <w:rPr>
          <w:rtl w:val="true"/>
        </w:rPr>
        <w:t xml:space="preserve">الفرع الخامس </w:t>
      </w:r>
      <w:r>
        <w:rPr>
          <w:rtl w:val="true"/>
        </w:rPr>
        <w:t xml:space="preserve">: </w:t>
      </w:r>
      <w:r>
        <w:rPr>
          <w:rtl w:val="true"/>
        </w:rPr>
        <w:t>في الايجاب و القبول</w:t>
      </w:r>
      <w:bookmarkEnd w:id="315"/>
    </w:p>
    <w:p>
      <w:pPr>
        <w:pStyle w:val="BookText"/>
        <w:rPr/>
      </w:pPr>
      <w:r>
        <w:rPr>
          <w:rFonts w:ascii="Amiri" w:hAnsi="Amiri" w:eastAsia="Amiri" w:cs="Amiri"/>
          <w:color w:val="111111"/>
          <w:sz w:val="28"/>
          <w:sz w:val="28"/>
          <w:szCs w:val="28"/>
          <w:rtl w:val="true"/>
          <w:lang w:bidi="ar-SA"/>
        </w:rPr>
        <w:t xml:space="preserve">قد تقدّم أنّ الصلح عقد مستقلّ بنفسه و عنوان برأسه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الى سائر العقود و ان أفاد فائدتها فيفيد فائدة البيع اذا كان عن عين بعوض و فائدة الهبة اذا كان عن عين بلا عوض، و فائدة الاجارة اذا كان عن منفعة بعوض و هكذا، فلايلحقه أحكام سائر العقود و لايجري فيه شروطها، فما أفاد فائدة البيع لايلحقه أحكامه و شروطه فلايجري فيه الخيارات المختصّة بالبيع كخياري المجلس و الحيوان و لا الشفعة، و لايشترط فيه قبض العوضين اذا تعلّق بمعاوضة النقدين، و ما أفاد فائدة الهبة من تمليك عين بلا عوض لايعتبر فيه قبض العين كما يعتبر في الهبة و هكذا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الصلح عقدا من العقود يحتاج الى الايجاب و القبول مطلقا حتّى فيما أفاد فائدة الابراء و اسقاط الحقّ، فابراء المديون من الدين و اسقاط الحقّ عمّن عليه الحقّ و ان لم‌يتوقّفا على قبول من عليه الدين أو الحقّ لكن اذا أوقعاه بعنوان الصلح توقّف على القبول</w:t>
      </w:r>
      <w:r>
        <w:rPr>
          <w:rFonts w:eastAsia="Amiri" w:cs="Amiri" w:ascii="Amiri" w:hAnsi="Amiri"/>
          <w:color w:val="111111"/>
          <w:sz w:val="28"/>
          <w:szCs w:val="28"/>
          <w:rtl w:val="true"/>
          <w:lang w:bidi="ar-SA"/>
        </w:rPr>
        <w:t xml:space="preserve">. </w:t>
      </w:r>
      <w:bookmarkStart w:id="316" w:name="pg9674_84247"/>
    </w:p>
    <w:p>
      <w:pPr>
        <w:pStyle w:val="BookText"/>
        <w:rPr/>
      </w:pPr>
      <w:bookmarkEnd w:id="316"/>
      <w:r>
        <w:rPr>
          <w:rFonts w:ascii="Amiri" w:hAnsi="Amiri" w:eastAsia="Amiri" w:cs="Amiri"/>
          <w:color w:val="111111"/>
          <w:sz w:val="28"/>
          <w:sz w:val="28"/>
          <w:szCs w:val="28"/>
          <w:rtl w:val="true"/>
          <w:lang w:bidi="ar-SA"/>
        </w:rPr>
        <w:t>و لايعتبر في الصلح صيغة خاصّة بل يقع بكلّ لفظ أفاد في متفاهم العرف التسالم و التراضي على أمر من نقل عين أو منفعة أو قرار مشروع بين المتصالحين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اللفظ الدائر في الألسنة الذي هو كالصريح في افادة هذا المعنى من طرف الايجاب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يتعدّى الى المفعول الأوّل بنفسه و الي المفعول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عن الدار أو منفعتها بكذا، فيقول المتصالح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المصالحة أو اصطلحتها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عقد الصلح لازم من الطرفين؛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استفادة اللزوم من خصوص أدلّة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أنّ الأصل في كلّ عقد لزومه الاّ ما خرج بالدليل و قد أقمنا عليه براهين في مواضع مختلفة، و من جملة ما يدلّ عليه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فالصلح لازم مع استكمال شرائطه و لايفسخ الاّ باقالة المتصالحين أو بوجود خيار في البين حتّى فيما أفاد فائدة الهبة الجائزة</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7971498_2870459653"/>
      <w:bookmarkStart w:id="318" w:name="_Toc111"/>
      <w:bookmarkEnd w:id="317"/>
      <w:r>
        <w:rPr>
          <w:rtl w:val="true"/>
        </w:rPr>
        <w:t xml:space="preserve">فيما اذا اصطلح الشريكان على أن‌يكون الربح و الخسران على أحدهما </w:t>
      </w:r>
      <w:r>
        <w:rPr>
          <w:rtl w:val="true"/>
        </w:rPr>
        <w:t xml:space="preserve">... </w:t>
      </w:r>
      <w:r>
        <w:rPr/>
        <w:t>158</w:t>
      </w:r>
      <w:bookmarkEnd w:id="318"/>
    </w:p>
    <w:p>
      <w:pPr>
        <w:pStyle w:val="BookText"/>
        <w:rPr/>
      </w:pPr>
      <w:r>
        <w:rPr>
          <w:rFonts w:ascii="Amiri" w:hAnsi="Amiri" w:eastAsia="Amiri" w:cs="Amiri"/>
          <w:color w:val="111111"/>
          <w:sz w:val="28"/>
          <w:sz w:val="28"/>
          <w:szCs w:val="28"/>
          <w:rtl w:val="true"/>
          <w:lang w:bidi="ar-SA"/>
        </w:rPr>
        <w:t>و اذا اصطلح الشريكان على أن‌يكون الربح و الخسران على أحدهما و للآخر رأس ماله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أن‌يصطلح الشريكان على أن‌يكون لأحدهما رأس المال و الربح للآخر و الخسران عليه؛ تدلّ عليه صحيحة الحلبي عن أبي عبداللّه عليه‌السلام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اشتركا في مال فربحا فيه و كان من المال دين و عليهما دين،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رأس المال و لك الربح و عليك </w:t>
      </w:r>
      <w:bookmarkStart w:id="319" w:name="pg9674_84248"/>
    </w:p>
    <w:p>
      <w:pPr>
        <w:pStyle w:val="BookText"/>
        <w:rPr/>
      </w:pPr>
      <w:bookmarkEnd w:id="319"/>
      <w:r>
        <w:rPr>
          <w:rFonts w:ascii="IRNazanin" w:hAnsi="IRNazanin" w:eastAsia="IRNazanin"/>
          <w:color w:val="111111"/>
          <w:sz w:val="28"/>
          <w:sz w:val="28"/>
          <w:szCs w:val="28"/>
          <w:rtl w:val="true"/>
          <w:lang w:bidi="fa-IR"/>
        </w:rPr>
        <w:t>التوى</w:t>
      </w:r>
      <w:r>
        <w:rPr>
          <w:rStyle w:val="FootnoteAnchor"/>
          <w:rtl w:val="true"/>
        </w:rPr>
        <w:footnoteReference w:id="17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اشترطا، فاذا كان شرط يخالف كتاب اللّه فهو ردّ الى كتاب اللّه عزّوجلّ</w:t>
      </w:r>
      <w:r>
        <w:rPr>
          <w:rFonts w:eastAsia="Amiri" w:cs="Amiri" w:ascii="Amiri" w:hAnsi="Amiri"/>
          <w:color w:val="111111"/>
          <w:sz w:val="28"/>
          <w:szCs w:val="28"/>
          <w:rtl w:val="true"/>
          <w:lang w:bidi="ar-SA"/>
        </w:rPr>
        <w:t>».</w:t>
      </w:r>
      <w:r>
        <w:rPr>
          <w:rStyle w:val="FootnoteAnchor"/>
          <w:rtl w:val="true"/>
        </w:rPr>
        <w:footnoteReference w:id="178"/>
      </w:r>
    </w:p>
    <w:p>
      <w:pPr>
        <w:pStyle w:val="Heading2"/>
        <w:numPr>
          <w:ilvl w:val="1"/>
          <w:numId w:val="1"/>
        </w:numPr>
        <w:rPr/>
      </w:pPr>
      <w:bookmarkStart w:id="320" w:name="__RefHeading___Toc7971500_2870459653"/>
      <w:bookmarkStart w:id="321" w:name="_Toc112"/>
      <w:bookmarkEnd w:id="320"/>
      <w:r>
        <w:rPr>
          <w:rtl w:val="true"/>
        </w:rPr>
        <w:t xml:space="preserve">في بعض فروع الصلح </w:t>
      </w:r>
      <w:r>
        <w:rPr>
          <w:rtl w:val="true"/>
        </w:rPr>
        <w:t xml:space="preserve">... </w:t>
      </w:r>
      <w:r>
        <w:rPr/>
        <w:t>160</w:t>
      </w:r>
      <w:bookmarkEnd w:id="321"/>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اذا كان عند انتهاء الشركة و ارادة فسخها، لتكون الزيادة مع من هي معه بمنزلة الهبة، و الخسران على من هو عليه بمنزلة الابراء، أمّا قبله فلا؛ لمنافاته وضع الشركة شرعا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بما شرطناه من كون الشرط عند الانتهاء لا كما أطلق المصنّف</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اصطلح الشريكان على أخذ أحدهما رأس المال و الباقي للآخر ربح أو خسر صحّ عند انقضاء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ارادة فسخها لتكون الزيادة مع من هي معه بمنزلة الهبة، و الخسران على من هو عليه بمنزلة الابراء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شرطا بقاءهما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ما يتجدّد من الربح و الخسران لأحدهما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مخالفته لوضع الشركة حيث انّها تقتضي كونهما على حسب رأس المال، و من اطلاق الرواية بجوازه بعد ظهور الربح من غير تقييد بارادة القسمة صريحا فيجوز مع ظهوره، أو ظهور الخسارة مطلقا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أن‌يكون نظره في جواز الشرط مطلقا و ان كان في ابتداء الشركة، كما ذهب اليه الشيخ و جماعة زاعمين أنّ اطلاق الرواية يدلّ عليه ، و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المنع، و هو مختاره في الدروس</w:t>
      </w:r>
      <w:r>
        <w:rPr>
          <w:rFonts w:eastAsia="Amiri" w:cs="Amiri" w:ascii="Amiri" w:hAnsi="Amiri"/>
          <w:color w:val="111111"/>
          <w:sz w:val="28"/>
          <w:szCs w:val="28"/>
          <w:rtl w:val="true"/>
          <w:lang w:bidi="ar-SA"/>
        </w:rPr>
        <w:t>».</w:t>
      </w:r>
      <w:r>
        <w:rPr>
          <w:rStyle w:val="FootnoteAnchor"/>
          <w:rtl w:val="true"/>
        </w:rPr>
        <w:footnoteReference w:id="180"/>
      </w:r>
      <w:bookmarkStart w:id="322" w:name="pg9674_84249"/>
    </w:p>
    <w:p>
      <w:pPr>
        <w:pStyle w:val="BookText"/>
        <w:rPr/>
      </w:pPr>
      <w:bookmarkEnd w:id="322"/>
      <w:r>
        <w:rPr>
          <w:rFonts w:ascii="Amiri" w:hAnsi="Amiri" w:eastAsia="Amiri" w:cs="Amiri"/>
          <w:color w:val="111111"/>
          <w:sz w:val="28"/>
          <w:sz w:val="28"/>
          <w:szCs w:val="28"/>
          <w:rtl w:val="true"/>
          <w:lang w:bidi="ar-SA"/>
        </w:rPr>
        <w:t>و لو كان معهما درهمان فادّعاهما أحدهما و ادّعى الآخر أحدهما كان لمدّعيهما درهم و نصف و للآخر ما بقي، و كذا لو أودعه انسان درهمين و آخر درهما و امتزج الجميع ثمّ تلف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لواحد ثوب بعشرين درهما و لآخر ثوب بثلاثين درهما ثمّ اشتبها فان خيّر أحدهما صاحبه فقد أنصفه، و ان تعاسرا بيعا و قسّم ثمنها بينهما فأعطي صاحب العشرين سهمين من خمسة و للآخر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بان أحد العوضين مستحقّا بطل الصلح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2"/>
        <w:numPr>
          <w:ilvl w:val="1"/>
          <w:numId w:val="1"/>
        </w:numPr>
        <w:rPr/>
      </w:pPr>
      <w:bookmarkStart w:id="323" w:name="__RefHeading___Toc7971502_2870459653"/>
      <w:bookmarkStart w:id="324" w:name="_Toc113"/>
      <w:bookmarkEnd w:id="323"/>
      <w:r>
        <w:rPr>
          <w:rtl w:val="true"/>
        </w:rPr>
        <w:t xml:space="preserve">الفرع الأوّل </w:t>
      </w:r>
      <w:r>
        <w:rPr>
          <w:rtl w:val="true"/>
        </w:rPr>
        <w:t xml:space="preserve">: </w:t>
      </w:r>
      <w:r>
        <w:rPr>
          <w:rtl w:val="true"/>
        </w:rPr>
        <w:t>فيما لو كان معهما درهمان فادّعاهما أحدهما و الآخر أحدهما</w:t>
      </w:r>
      <w:bookmarkEnd w:id="324"/>
    </w:p>
    <w:p>
      <w:pPr>
        <w:pStyle w:val="BookText"/>
        <w:rPr/>
      </w:pPr>
      <w:r>
        <w:rPr>
          <w:rFonts w:ascii="Amiri" w:hAnsi="Amiri" w:eastAsia="Amiri" w:cs="Amiri"/>
          <w:color w:val="111111"/>
          <w:sz w:val="28"/>
          <w:sz w:val="28"/>
          <w:szCs w:val="28"/>
          <w:rtl w:val="true"/>
          <w:lang w:bidi="ar-SA"/>
        </w:rPr>
        <w:t xml:space="preserve">لو كان معهما درهمان فادّعاهما أحدهما و ادّعى الآخر أحدهما كان لمدّعيهما درهم و نصف و للآخر ما بقي؛ تدلّ على ذلك صحيحة عبداللّه بن المغيرة عن غير واحد من أصحابنا عن أبي عبداللّه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كان معهما درهمان،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الدرهمان لي،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 بينك،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 بينك فقد أقرّ بأنّ أحد الدرهمين ليس له و أنّه لصاحبه، و يقسّم الآخر بينهما</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بكونهما معهما كونهما تحت يدهما ليتساويا في الدعوى؛ اذ لو كان </w:t>
      </w:r>
      <w:bookmarkStart w:id="325" w:name="pg9674_84250"/>
    </w:p>
    <w:p>
      <w:pPr>
        <w:pStyle w:val="BookText"/>
        <w:rPr/>
      </w:pPr>
      <w:bookmarkEnd w:id="325"/>
      <w:r>
        <w:rPr>
          <w:rFonts w:ascii="Amiri" w:hAnsi="Amiri" w:eastAsia="Amiri" w:cs="Amiri"/>
          <w:color w:val="111111"/>
          <w:sz w:val="28"/>
          <w:sz w:val="28"/>
          <w:szCs w:val="28"/>
          <w:rtl w:val="true"/>
          <w:lang w:bidi="ar-SA"/>
        </w:rPr>
        <w:t>في يد مدّعي الدرهمين قدّم قوله فيهما بيمينه، و كذا لو كانا في يد مدّعي الدرهم لقدّم فيه بيمينه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يكون الحكم لو أودعه انسان درهمين و الآخر درهما و امتزج الجميع ثمّ تلف درهم بغير تفريط؛ 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امكان استفادة حكمه من الصحيحة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عن الصادق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استودع رجلاً دينارين فاستودعه آخر دينارا فضاع دينار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صاحب الدينارين دينارا و يقسّم الآخر بينهما نصفين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بدل الدراهم مال تمتزج أجزاؤه بحيث لاتتميّز، و هو متساويها، كالحنطة و الشعير، و كان لأحدهما قفيزان مثلاً و للآخر قفيز، و تلف قفيز بعد امتزاجهما بغير اختياره، فالتالف على نسبة المالين، و كذا الباقي، فيكون لصاحب القفيزين قفيز و ثلث، و للآخر ثلثا 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الذاهب هنا عليهما معا بخلاف الدرهم؛ لأنّه حقّ لأحدهما خاصّة قطعا</w:t>
      </w:r>
      <w:r>
        <w:rPr>
          <w:rFonts w:eastAsia="Amiri" w:cs="Amiri" w:ascii="Amiri" w:hAnsi="Amiri"/>
          <w:color w:val="111111"/>
          <w:sz w:val="28"/>
          <w:szCs w:val="28"/>
          <w:rtl w:val="true"/>
          <w:lang w:bidi="ar-SA"/>
        </w:rPr>
        <w:t>».</w:t>
      </w:r>
      <w:r>
        <w:rPr>
          <w:rStyle w:val="FootnoteAnchor"/>
          <w:rtl w:val="true"/>
        </w:rPr>
        <w:footnoteReference w:id="183"/>
      </w:r>
    </w:p>
    <w:p>
      <w:pPr>
        <w:pStyle w:val="Heading2"/>
        <w:numPr>
          <w:ilvl w:val="1"/>
          <w:numId w:val="1"/>
        </w:numPr>
        <w:rPr/>
      </w:pPr>
      <w:bookmarkStart w:id="326" w:name="__RefHeading___Toc7971504_2870459653"/>
      <w:bookmarkStart w:id="327" w:name="_Toc114"/>
      <w:bookmarkEnd w:id="326"/>
      <w:r>
        <w:rPr>
          <w:rtl w:val="true"/>
        </w:rPr>
        <w:t xml:space="preserve">الفرع الثاني </w:t>
      </w:r>
      <w:r>
        <w:rPr>
          <w:rtl w:val="true"/>
        </w:rPr>
        <w:t xml:space="preserve">: </w:t>
      </w:r>
      <w:r>
        <w:rPr>
          <w:rtl w:val="true"/>
        </w:rPr>
        <w:t>في اشتباه الثوبين مع اختلاف قيمتهما</w:t>
      </w:r>
      <w:bookmarkEnd w:id="3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لواحد ثوب بعشرين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لآخر ثوب بثلاثين درهما ثمّ اشتبها و لم‌يميّز كلّ منهما ماله عن مال صاحبه فان خيّر أحدهما صاحبه فقد أنصفه، فأيّهما اختاره يحلّ له و يحلّ الآخر لصاحبه، و ان تضايقا فان كان المنظور </w:t>
      </w:r>
    </w:p>
    <w:p>
      <w:pPr>
        <w:pStyle w:val="BookText"/>
        <w:rPr/>
      </w:pPr>
      <w:r>
        <w:rPr>
          <w:rFonts w:ascii="Amiri" w:hAnsi="Amiri" w:eastAsia="Amiri" w:cs="Amiri"/>
          <w:color w:val="111111"/>
          <w:sz w:val="28"/>
          <w:sz w:val="28"/>
          <w:szCs w:val="28"/>
          <w:rtl w:val="true"/>
          <w:lang w:bidi="ar-SA"/>
        </w:rPr>
        <w:t xml:space="preserve">و المقصود لكلّ منهما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اشترياهما للمساومة و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و قسّم الثمن بينهما بنسبة مالهما فيعطى صاحب العشرين في المثال سهمين من خمسة و للآخر ثلاثة أسهم منها؛ تدلّ على ذلك رواية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يبضعه الرجل ثلاثين درهما في ثوب و آخر عشرين درهما في ثوب فبعث الثوبين و لم‌يعرف هذا ثوبه و لا هذا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الثوبان فيعطى صاحب الثلاثين ثلاثة أخماس الثمن و الآخر خمسي الثمن،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 العشرين قال لصاحب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المنجبر بالشهرة مع احتمال صحّة سندها في طريق الصدوق، بل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ابن ادريس من القرعة و مال اليه في المسالك في غير محلّه؛ ضرورة عدم الاشكال بعد ما عرفت، معتضدا بالاعتبار الذي يقتضي بكون مثل هذا الاشتباه كالاشتراك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في الدروس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ان عملنا بالرواية ففي تعدّيها الى الثياب و الأمتعة و الأثمان المختلفة نظر، من تساوي الطريق في الجميع و عدمه، و الأقرب القرعة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مخالف لقولهم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أن‌نلقي اليكم الأصول، و عليكم أن‌تفرّعوا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حينئذ 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ربّما ظهر من الحكم في هذه المسألة أنّه من بيان موضوعات الأحكام، لا من باب المرافعات؛ ضرورة عدم ميزان للحكم فيها من البيّنة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رحمه‌الله متين، فانّ الفقيه اذا 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بالطريقة </w:t>
      </w:r>
      <w:bookmarkStart w:id="328" w:name="pg9674_84252"/>
    </w:p>
    <w:p>
      <w:pPr>
        <w:pStyle w:val="BookText"/>
        <w:rPr/>
      </w:pPr>
      <w:bookmarkEnd w:id="328"/>
      <w:r>
        <w:rPr>
          <w:rFonts w:ascii="Amiri" w:hAnsi="Amiri" w:eastAsia="Amiri" w:cs="Amiri"/>
          <w:color w:val="111111"/>
          <w:sz w:val="28"/>
          <w:sz w:val="28"/>
          <w:szCs w:val="28"/>
          <w:rtl w:val="true"/>
          <w:lang w:bidi="ar-SA"/>
        </w:rPr>
        <w:t>التي ذكرها الامام عليه‌السلام ، فليعمل على طبق فتواه، و ليس المقام مقام المرافعة والدعوى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لم‌يعمل الطرفان على طبق الفتوى أو لم‌يرتض أحدهما بفتواه فوقعت المرافعة بينهما فليرجعا الى الحاكم ليحكم بينهما على طبق قواعد القضاء</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7971506_2870459653"/>
      <w:bookmarkStart w:id="330" w:name="_Toc115"/>
      <w:bookmarkEnd w:id="329"/>
      <w:r>
        <w:rPr>
          <w:rtl w:val="true"/>
        </w:rPr>
        <w:t xml:space="preserve">الفرع الثالث </w:t>
      </w:r>
      <w:r>
        <w:rPr>
          <w:rtl w:val="true"/>
        </w:rPr>
        <w:t xml:space="preserve">: </w:t>
      </w:r>
      <w:r>
        <w:rPr>
          <w:rtl w:val="true"/>
        </w:rPr>
        <w:t>فيما اذا بان أحد العوضين مستحقّا</w:t>
      </w:r>
      <w:bookmarkEnd w:id="330"/>
    </w:p>
    <w:p>
      <w:pPr>
        <w:pStyle w:val="BookText"/>
        <w:rPr/>
      </w:pPr>
      <w:r>
        <w:rPr>
          <w:rFonts w:ascii="Amiri" w:hAnsi="Amiri" w:eastAsia="Amiri" w:cs="Amiri"/>
          <w:color w:val="111111"/>
          <w:sz w:val="28"/>
          <w:sz w:val="28"/>
          <w:szCs w:val="28"/>
          <w:rtl w:val="true"/>
          <w:lang w:bidi="ar-SA"/>
        </w:rPr>
        <w:t xml:space="preserve">اذا بان أحد العوضين المعيّنين في العقد مستحقّا للغير أو غير قابل للعوضيّة كالخمر و الخنزير بطل الصلح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ضرورة كونهما من أركان هذا الصلح الذي قد وقعا فيه و ان لم‌نقل أنّه يعتبر في الصلح العوض؛ لقيامه مقام الهبة و العارية؛ و ذلك لأنّ الذي قصد لم‌يصحّ بالفرض و الذي فرض صحّته لم‌يقصد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لايقاس ما نحن فيه على المهر في النكاح الذي فساده فيه لايقتضي فساد العقد؛ لأنّه ليس من الأركان فيه و لذا يرجع الى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كانا معيّنين و أمّا لو كانا أو أحدهما مطلقا ثمّ بان مستحقّا رجع ببدله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ظهر فيه عيب فله الفسخ؛ لقاعدة نفي الضرر و يثبت فيه أيضا كلّ خيار يجري في البيع ممّا كان دليله نفي الضرر كخيار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اختصّ دليله بالبيع كخيار المجلس و الحيوان و نحوهما</w:t>
      </w:r>
      <w:r>
        <w:rPr>
          <w:rFonts w:eastAsia="Amiri" w:cs="Amiri" w:ascii="Amiri" w:hAnsi="Amiri"/>
          <w:color w:val="111111"/>
          <w:sz w:val="28"/>
          <w:szCs w:val="28"/>
          <w:rtl w:val="true"/>
          <w:lang w:bidi="ar-SA"/>
        </w:rPr>
        <w:t xml:space="preserve">. </w:t>
      </w:r>
      <w:bookmarkStart w:id="331" w:name="pg9674_84253"/>
    </w:p>
    <w:p>
      <w:pPr>
        <w:pStyle w:val="Heading2"/>
        <w:numPr>
          <w:ilvl w:val="1"/>
          <w:numId w:val="1"/>
        </w:numPr>
        <w:rPr/>
      </w:pPr>
      <w:bookmarkStart w:id="332" w:name="__RefHeading___Toc7971508_2870459653"/>
      <w:bookmarkStart w:id="333" w:name="_Toc116"/>
      <w:bookmarkEnd w:id="331"/>
      <w:bookmarkEnd w:id="332"/>
      <w:r>
        <w:rPr>
          <w:rtl w:val="true"/>
        </w:rPr>
        <w:t xml:space="preserve">في صحّة الصلح على عين بعين أو منفعة، و على منفعة بعين أو منفعة </w:t>
      </w:r>
      <w:r>
        <w:rPr>
          <w:rtl w:val="true"/>
        </w:rPr>
        <w:t xml:space="preserve">... </w:t>
      </w:r>
      <w:r>
        <w:rPr/>
        <w:t>164</w:t>
      </w:r>
      <w:bookmarkEnd w:id="333"/>
    </w:p>
    <w:p>
      <w:pPr>
        <w:pStyle w:val="BookText"/>
        <w:rPr/>
      </w:pPr>
      <w:r>
        <w:rPr>
          <w:rFonts w:ascii="Amiri" w:hAnsi="Amiri" w:eastAsia="Amiri" w:cs="Amiri"/>
          <w:color w:val="111111"/>
          <w:sz w:val="28"/>
          <w:sz w:val="28"/>
          <w:szCs w:val="28"/>
          <w:rtl w:val="true"/>
          <w:lang w:bidi="ar-SA"/>
        </w:rPr>
        <w:t>و يصحّ الصلح على عين بعين أو منفعة، و على منفعة بعين أو منفعة، و لوصالحه على دراهم بدنانير أو بدراهم صحّ و لم‌يكن فرعا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فيه ما يعتبر في الصرف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 على رجل ثوبا قيمته درهم فصالحه عنه على درهمين صحّ على الأشبه؛ لأنّ الصلح وقع عن الثوب لا عن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الصلح على عين بعين أو منفعة، و على منفعة بعين أو منفعة؛ للعمومات المقتضية لما ذكر، و يصحّ الصلح أيضا عن الحقّ اسقاطا أو نقلاً كحقّ الخيار و حقّ التحجير و حقّ الشفعة بحقّ مثله أو عين أو منفعة</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7971510_2870459653"/>
      <w:bookmarkStart w:id="335" w:name="_Toc117"/>
      <w:bookmarkEnd w:id="334"/>
      <w:r>
        <w:rPr>
          <w:rtl w:val="true"/>
        </w:rPr>
        <w:t xml:space="preserve">في بعض الفروع المتعلّقة بالدعوى </w:t>
      </w:r>
      <w:r>
        <w:rPr>
          <w:rtl w:val="true"/>
        </w:rPr>
        <w:t xml:space="preserve">... </w:t>
      </w:r>
      <w:r>
        <w:rPr/>
        <w:t>164</w:t>
      </w:r>
      <w:bookmarkEnd w:id="335"/>
    </w:p>
    <w:p>
      <w:pPr>
        <w:pStyle w:val="BookText"/>
        <w:rPr/>
      </w:pPr>
      <w:r>
        <w:rPr>
          <w:rFonts w:ascii="Amiri" w:hAnsi="Amiri" w:eastAsia="Amiri" w:cs="Amiri"/>
          <w:color w:val="111111"/>
          <w:sz w:val="28"/>
          <w:sz w:val="28"/>
          <w:szCs w:val="28"/>
          <w:rtl w:val="true"/>
          <w:lang w:bidi="ar-SA"/>
        </w:rPr>
        <w:t>ثمّ انّه لو صالحه على دراهم بدنانير أو بدراهم صحّ و ان لم‌يكن قبض و اقباض في المجلس؛ لما تقدّم من عدم كون الصلح فرعا للبيع، و انّه لايعتبر في الصلح ما يعتبر في بيع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قام مقام بيع السلم لايعتبر فيه قبض العوض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أتلف على رجل ثوبا قيمته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 عنه على درهمين أو أقلّ من الدرهم صحّ؛ لأنّ الصلح وقع عن الثوب لا عن الدرهم الذي لم‌يثبت في الذمّة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دارا فأنكر من هي في يده ثمّ صالحه المنكر على سكنى سنة صحّ و لم‌يكن لأحدهما الرجوع، و كذا لو أقرّ له بالدار ثمّ صالح،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الرجوع؛ لأنّه هنا فرع العارية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أشبه، و لو ادّعى اثنان دارا في يد ثالث بسبب موجب للشركة كالميراث فصدّق المدّعى عليه أحدهما و صالحه على ذلك النصف بعوض فان كان باذن صاحبه صحّ الصلح في </w:t>
      </w:r>
      <w:bookmarkStart w:id="336" w:name="pg9674_84254"/>
    </w:p>
    <w:p>
      <w:pPr>
        <w:pStyle w:val="BookText"/>
        <w:rPr/>
      </w:pPr>
      <w:bookmarkEnd w:id="336"/>
      <w:r>
        <w:rPr>
          <w:rFonts w:ascii="Amiri" w:hAnsi="Amiri" w:eastAsia="Amiri" w:cs="Amiri"/>
          <w:color w:val="111111"/>
          <w:sz w:val="28"/>
          <w:sz w:val="28"/>
          <w:szCs w:val="28"/>
          <w:rtl w:val="true"/>
          <w:lang w:bidi="ar-SA"/>
        </w:rPr>
        <w:t>النصف أجمع و كان العوض بينهما، و ان كان بغير اذنه صحّ في حقّه و هوالربع و بطل في حصّة الشريك و هو الربع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ادّعى كلّ واحد منهما النصف من غير سبب موجب للشركة لم‌يشتركا فيما يقرّ به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عليه فأنكر فصالحه المدّعى عليه على سقي زرعه أو شجره بمائه،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لأنّ العوض هو الماء و 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وجه آخر مأخذه جواز بيع ماء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صالحه على اجراء الماء على سطحه أو ساحته صحّ بعد العلم بالموضع الذي يجري الماء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قال المدّعى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اقرارا؛ لأنّه قد يصحّ مع الانكار،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أو ملّكني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2"/>
        <w:numPr>
          <w:ilvl w:val="1"/>
          <w:numId w:val="1"/>
        </w:numPr>
        <w:rPr/>
      </w:pPr>
      <w:bookmarkStart w:id="337" w:name="__RefHeading___Toc7971512_2870459653"/>
      <w:bookmarkStart w:id="338" w:name="_Toc118"/>
      <w:bookmarkEnd w:id="337"/>
      <w:r>
        <w:rPr>
          <w:rtl w:val="true"/>
        </w:rPr>
        <w:t xml:space="preserve">الفرع الأوّل </w:t>
      </w:r>
      <w:r>
        <w:rPr>
          <w:rtl w:val="true"/>
        </w:rPr>
        <w:t xml:space="preserve">: </w:t>
      </w:r>
      <w:r>
        <w:rPr>
          <w:rtl w:val="true"/>
        </w:rPr>
        <w:t>فيما لو ادّعى دارا فأنكر الآخر فصالحه</w:t>
      </w:r>
      <w:bookmarkEnd w:id="338"/>
    </w:p>
    <w:p>
      <w:pPr>
        <w:pStyle w:val="BookText"/>
        <w:rPr/>
      </w:pPr>
      <w:r>
        <w:rPr>
          <w:rFonts w:ascii="Amiri" w:hAnsi="Amiri" w:eastAsia="Amiri" w:cs="Amiri"/>
          <w:color w:val="111111"/>
          <w:sz w:val="28"/>
          <w:sz w:val="28"/>
          <w:szCs w:val="28"/>
          <w:rtl w:val="true"/>
          <w:lang w:bidi="ar-SA"/>
        </w:rPr>
        <w:t>لو ادّعى دارا فأنكر من هي في يده ثمّ صالحه المنكر عن اسقاط دعواه على أن‌يسكن فيها سنة و تكون الدار للمنكر صحّ؛ للأصل أي أصالة صحّة العقود و يكون هنا مفيدا فائدة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أقرّ بأنّ الدار للمدّعي ثمّ تصالحا على سكنى المقرّ مدّة معلومة صحّ أيضا و لا رجوع في الصورتين؛ لما تقدّم من أنّه عقد لازم و ليس فرع العارية حتّى يقال بجواز الرجوع فيها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القول بفرعيّة الصلح في هذا للعارية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فللمصالح الرجوع في الصورتين؛ لأنّ متعلّق الصلح المنفعة بغير عوض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العين الخارجة من يد المقرّ ليست عوضا عن المنفعة الراجعة اليه؛ لثبوتها للمقرّ له </w:t>
      </w:r>
      <w:bookmarkStart w:id="339" w:name="pg9674_84255"/>
    </w:p>
    <w:p>
      <w:pPr>
        <w:pStyle w:val="BookText"/>
        <w:rPr/>
      </w:pPr>
      <w:bookmarkEnd w:id="339"/>
      <w:r>
        <w:rPr>
          <w:rFonts w:ascii="Amiri" w:hAnsi="Amiri" w:eastAsia="Amiri" w:cs="Amiri"/>
          <w:color w:val="111111"/>
          <w:sz w:val="28"/>
          <w:sz w:val="28"/>
          <w:szCs w:val="28"/>
          <w:rtl w:val="true"/>
          <w:lang w:bidi="ar-SA"/>
        </w:rPr>
        <w:t>بالاقرار قبل أن‌يقع الصلح فلايكون في مقابلة المنفعة عوض فيكون ما في يده بعنوان العارية يلزمه حكمها من جواز الرجوع فيه عند الشيخ القائل بأنّ حكمها حكم العارية كما في الروضة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ثمّ اعلم أنّه في صورة اقرار من هي في يده بأنّ الدار للمدّعي فهي ثابتة للمدّعي، و اذا تصالحا على أن‌يكون الدار للمقرّ بازاء سكنى المدّعي سنة فترجع الدار اليه و الاّ فلاتزول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أنكر دعوى المدّعي في ملكيّة الدار و لم‌تكن للمدّعي بيّنة و لم‌يحصل من المنكر يمين فتصالحا على أن‌يسكن المدّعي في الدار سنة و ينصرف عن دعواه فملكيّة الدار للمنكر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لم‌يكن لهما بعد الصلح رجوع</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7971514_2870459653"/>
      <w:bookmarkStart w:id="341" w:name="_Toc119"/>
      <w:bookmarkEnd w:id="340"/>
      <w:r>
        <w:rPr>
          <w:rtl w:val="true"/>
        </w:rPr>
        <w:t xml:space="preserve">الفرع الثاني </w:t>
      </w:r>
      <w:r>
        <w:rPr>
          <w:rtl w:val="true"/>
        </w:rPr>
        <w:t xml:space="preserve">: </w:t>
      </w:r>
      <w:r>
        <w:rPr>
          <w:rtl w:val="true"/>
        </w:rPr>
        <w:t>فيما لو ادّعى اثنان دارا في يد ثالث</w:t>
      </w:r>
      <w:bookmarkEnd w:id="34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ادّعى رجلان ملك الدار أو أضافا ملكها الى سبب واحد يتضمّن اشتراكهما في كلّ جزء منها مثل أن‌يضيفاها الى ميراث أو شراء صفقة واحدة فاذا أقرّ لأحدهما بشيء كان بمنزلة الاقرار به لهما فاشتركا فيه، فان صالح المقرّ المقرّ له من النصف الذي أقرّ له به على مال يدفعه اليه فانّه ينظر فان كان قد صالحه باذن صاحبه كان الصلح صحيحا و كان المال الذي حصل معه بينهما نصفين، و ان كان قد صالحه بغير اذن صاحبه فانّ الصلح باطل في حقّ صاحبه وهو نصف النصف، و يكون بمنزلة من باع حقّا له و حقّا لغيره فانّه يبطل البيع في </w:t>
      </w:r>
      <w:bookmarkStart w:id="342" w:name="pg9674_84256"/>
    </w:p>
    <w:p>
      <w:pPr>
        <w:pStyle w:val="BookText"/>
        <w:rPr/>
      </w:pPr>
      <w:bookmarkEnd w:id="342"/>
      <w:r>
        <w:rPr>
          <w:rFonts w:ascii="Amiri" w:hAnsi="Amiri" w:eastAsia="Amiri" w:cs="Amiri"/>
          <w:color w:val="111111"/>
          <w:sz w:val="28"/>
          <w:sz w:val="28"/>
          <w:szCs w:val="28"/>
          <w:rtl w:val="true"/>
          <w:lang w:bidi="ar-SA"/>
        </w:rPr>
        <w:t>حقّ ملك الغير و يصحّ في حقّ نفسه فيكون الصلح جائزا فيما يخصّه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اذا ادّعى رجلان دارا في يد ثالث و اتّفقا على كون سبب ملكهما مقتضيا للشركة كالميراث فاقرار من في يده الدار لأحدهما مقتضٍ لتشاركهما فيما أقرّ به و ان لم‌يصدّق المتشبّث ايّاهما على السبب الذي ادّعيا به؛ و ذلك لاتّفاقهما على أنّ البعض كالكلّ يستوي ملكهما فيه، فلايؤثّر فيه تخصيص المقرّ أحدهما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فاذا صالح المقرّ المقرّ له على النصف المقرّ به فان كان الصلح باذن شريكه صحّ الصلح في النصف أجمع و كان العوض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بغير اذنه صحّ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أحد الشريكين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الربع و بطل في حصّة الشريك و هو الربع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أحدهما النصف بسبب الارث مثلاً و الآخر بالشراء فانّ ملك أحدهما لايستلزم ملك الآخر فلايقتضي الاقرار لأحدهما بما يدّعيه مشاركة الآخر ايّاه و مثله ما لو ادّعى كلّ منهما أنّه اشترى النصف من غير تقييد بالمعيّة</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7971516_2870459653"/>
      <w:bookmarkStart w:id="344" w:name="_Toc120"/>
      <w:bookmarkEnd w:id="343"/>
      <w:r>
        <w:rPr>
          <w:rtl w:val="true"/>
        </w:rPr>
        <w:t xml:space="preserve">الفرع الثالث </w:t>
      </w:r>
      <w:r>
        <w:rPr>
          <w:rtl w:val="true"/>
        </w:rPr>
        <w:t xml:space="preserve">: </w:t>
      </w:r>
      <w:r>
        <w:rPr>
          <w:rtl w:val="true"/>
        </w:rPr>
        <w:t>فيما لو صالح المدّعى عليه على سقي زرع المدّعي</w:t>
      </w:r>
      <w:bookmarkEnd w:id="344"/>
    </w:p>
    <w:p>
      <w:pPr>
        <w:pStyle w:val="BookText"/>
        <w:rPr/>
      </w:pPr>
      <w:r>
        <w:rPr>
          <w:rFonts w:ascii="Amiri" w:hAnsi="Amiri" w:eastAsia="Amiri" w:cs="Amiri"/>
          <w:color w:val="111111"/>
          <w:sz w:val="28"/>
          <w:sz w:val="28"/>
          <w:szCs w:val="28"/>
          <w:rtl w:val="true"/>
          <w:lang w:bidi="ar-SA"/>
        </w:rPr>
        <w:t>لو ادّعى رجل على آخر بشيء فأنكر ثمّ صالحه المدّعى عليه عمّا ادّعى به على أن‌يسقي زرع المدّعي أو شجره بمائه فلو كان في الجملة معلوما صحّ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جعل السقي بالماء عوضا للصلح بأن‌يكون موردهأمرا آخر من عين أو منفعة، و كذا يجوز كونه موردا له و عوضه أمرا آخر كذلك، و كذا لو كان أحدهما عوضا و الآخر موردا، كلّ ذلك مع ضبطه بمدّة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345" w:name="pg9674_84257"/>
    </w:p>
    <w:p>
      <w:pPr>
        <w:pStyle w:val="BookText"/>
        <w:rPr/>
      </w:pPr>
      <w:bookmarkEnd w:id="345"/>
      <w:r>
        <w:rPr>
          <w:rFonts w:ascii="Amiri" w:hAnsi="Amiri" w:eastAsia="Amiri" w:cs="Amiri"/>
          <w:color w:val="111111"/>
          <w:sz w:val="28"/>
          <w:sz w:val="28"/>
          <w:szCs w:val="28"/>
          <w:rtl w:val="true"/>
          <w:lang w:bidi="ar-SA"/>
        </w:rPr>
        <w:t>خالف الشيخ رحمه‌الله في الجميع محتجّا بجهالة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يصحّ الصلح على اجراء الماء على سطحه، أو ساحته جاعلاً للماء عوضا و موردا بعد العلم بالموضع الذي يجري منه الماء بأن‌يقدر مجراه طولاً و عرضا؛ لترتفع الجهالة عن المحلّ المصالح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87"/>
      </w:r>
    </w:p>
    <w:p>
      <w:pPr>
        <w:pStyle w:val="Heading2"/>
        <w:numPr>
          <w:ilvl w:val="1"/>
          <w:numId w:val="1"/>
        </w:numPr>
        <w:rPr/>
      </w:pPr>
      <w:bookmarkStart w:id="346" w:name="__RefHeading___Toc7971518_2870459653"/>
      <w:bookmarkStart w:id="347" w:name="_Toc121"/>
      <w:bookmarkEnd w:id="346"/>
      <w:r>
        <w:rPr>
          <w:rtl w:val="true"/>
        </w:rPr>
        <w:t xml:space="preserve">الفرع الرابع </w:t>
      </w:r>
      <w:r>
        <w:rPr>
          <w:rtl w:val="true"/>
        </w:rPr>
        <w:t xml:space="preserve">: </w:t>
      </w:r>
      <w:r>
        <w:rPr>
          <w:rtl w:val="true"/>
        </w:rPr>
        <w:t>فيما لو قال المدّعى عليه</w:t>
      </w:r>
      <w:r>
        <w:rPr>
          <w:rtl w:val="true"/>
        </w:rPr>
        <w:t xml:space="preserve">: </w:t>
      </w:r>
      <w:r>
        <w:rPr>
          <w:rtl w:val="true"/>
        </w:rPr>
        <w:t>صالحني أو بعني</w:t>
      </w:r>
      <w:bookmarkEnd w:id="34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قال المدّعى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اقرارا؛ لأنّه قد يصحّ الصلح مع الاقرار و الانكار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أو ملّكني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اقرارا؛ لأنّه صريح في التماس التمليك و هو ينافي كونه ملكا له؛ لاشتماله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في كونه اقرارا بعدم ملك المقرّ و كونه ملكا لغيره في الجملة، أمّا كونه ملكا لمن طلب منه البيع و التمليك ففيه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أعمّ من ملكه؛ اذ قد يكون وكيلاً</w:t>
      </w:r>
      <w:r>
        <w:rPr>
          <w:rFonts w:eastAsia="Amiri" w:cs="Amiri" w:ascii="Amiri" w:hAnsi="Amiri"/>
          <w:color w:val="111111"/>
          <w:sz w:val="28"/>
          <w:szCs w:val="28"/>
          <w:rtl w:val="true"/>
          <w:lang w:bidi="ar-SA"/>
        </w:rPr>
        <w:t xml:space="preserve">. </w:t>
      </w:r>
      <w:bookmarkStart w:id="348" w:name="pg9674_84258"/>
    </w:p>
    <w:p>
      <w:pPr>
        <w:pStyle w:val="Heading2"/>
        <w:numPr>
          <w:ilvl w:val="1"/>
          <w:numId w:val="1"/>
        </w:numPr>
        <w:rPr/>
      </w:pPr>
      <w:bookmarkStart w:id="349" w:name="__RefHeading___Toc7971520_2870459653"/>
      <w:bookmarkStart w:id="350" w:name="_Toc122"/>
      <w:bookmarkEnd w:id="348"/>
      <w:bookmarkEnd w:id="349"/>
      <w:r>
        <w:rPr>
          <w:rtl w:val="true"/>
        </w:rPr>
        <w:t xml:space="preserve">في أحكام النزاع في الأملاك </w:t>
      </w:r>
      <w:r>
        <w:rPr>
          <w:rtl w:val="true"/>
        </w:rPr>
        <w:t xml:space="preserve">... </w:t>
      </w:r>
      <w:r>
        <w:rPr/>
        <w:t>169</w:t>
      </w:r>
      <w:bookmarkEnd w:id="350"/>
    </w:p>
    <w:p>
      <w:pPr>
        <w:pStyle w:val="BookText"/>
        <w:rPr/>
      </w:pPr>
      <w:r>
        <w:rPr>
          <w:rFonts w:ascii="Amiri" w:hAnsi="Amiri" w:eastAsia="Amiri" w:cs="Amiri"/>
          <w:color w:val="111111"/>
          <w:sz w:val="28"/>
          <w:sz w:val="28"/>
          <w:szCs w:val="28"/>
          <w:rtl w:val="true"/>
          <w:lang w:bidi="ar-SA"/>
        </w:rPr>
        <w:t>و يلحق بذلك أحكام النزاع في الأملاك، و هي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اخراج الرواشن و الأجنحة الى الطرق النافذة اذا كانت عالية لاتضرّ بالمارّة و لو عارض فيها مسلم على الأصحّ، و لو كانت مضرّة وجب ازالتها، و لو أظلم بها الطريق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ازالتها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فتح الأبواب المستجدّة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الطرق المرفوعة فلايجوز احداث باب فيها و لا جناح و لا غيره الاّ باذن أربابها، سواء كان مضرّا أو لم‌يكن؛ لأنّه مختصّ بهم و كذا لو أراد فتح باب لايستطرق فيه؛ دفعا للشبهة، و يجوز فتح الروازن و الشبابيك، و مع اذنهم فلا اعتراض لغيرهم، و لو صالحهم على احداث روشن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لأنّه لايصحّ افراد الهواء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لانسان داران باب كلّ واحد الى زقاق</w:t>
      </w:r>
      <w:r>
        <w:rPr>
          <w:rStyle w:val="FootnoteAnchor"/>
          <w:rtl w:val="true"/>
        </w:rPr>
        <w:footnoteReference w:id="189"/>
      </w:r>
      <w:r>
        <w:rPr>
          <w:rFonts w:ascii="Amiri" w:hAnsi="Amiri" w:eastAsia="Amiri" w:cs="Amiri"/>
          <w:color w:val="111111"/>
          <w:sz w:val="28"/>
          <w:sz w:val="28"/>
          <w:szCs w:val="28"/>
          <w:rtl w:val="true"/>
          <w:lang w:bidi="ar-SA"/>
        </w:rPr>
        <w:t>غير نافذ جاز أن‌يفتح بينهما بابا، و لو أحدث في الطريق المرفوع حدثا جاز ازالته لكلّ من له عليه استطراق، و لو كان في زقاق بابان أحدهما أدخل من الآخر فصاحب الأوّل يشارك الآخر في مجازه و ينفرد الأدخل بما بين البابين، و لو كان في الزقاق فاضل الى صدرها و تداعياه فهما فيه سواء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للداخل أن‌يقدّم بابه و كذا الخارج و لايجوز للخارج أن‌يدخل ببابه و كذا الداخل، و لو أخرج بعض أهل الدرب النافذ روشنا لم‌يكن لمقابله معارضته و لو استوعب عرض الدرب، و لو سقط ذلك الروشن فسبق جاره الى عمل روشن لم‌يكن للأوّل منعه؛ لأنّهما فيه شرع كالسبق الى القعود 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يجوز اخراج الرواشن و الأجنحة و نحوهما الى الطرق النافذة و الشوارع العامّة اذا كانت عالية بحيث لاتضرّ بالمارّة؛ للسيرة المستمرّة في الأعصار و الأمصار من زمن النبي صلى‌الله‌عليه‌و‌آله الى يومنا هذا بلا خلاف و لا اشكال كما في الجواهر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الروشن و الجناح يشتركان في اخراج خشب من حائط المالك الى الطريق بحيث لايصل الى الجدار المقابل و يبنى عليها، و لو وصلت فهو الساباط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فرّق بينهما بأنّ الأجنحة ينضمّ اليها مع ما ذكر أن‌توضع لها أعمدة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التضرّر و عدمه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المارّة ما يليق بتلك الطريق عادة، فان كانت ممّا يمرّ عليها الفرسان اعتبر ارتفاع ذلك بقدر لايصدم الرمح على وضعه مائلاً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ممّا يمرّ فيها الابل اعتبر فيها مروره محمّلاً و مركوبا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التضرّر ليس منحصرا بالمارّة بل لو تضرّر جاره بالاشراف عليه لايجوز كما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الرواشن و الأجنحة و ما شاكلها مضرّة وجب ازالتها و ان كان ضررها بمثل أن‌أظلم بها الطريق على وجه ذهب الضياء منه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يجوز احداث الروشن على الجادّة يجوز فتح الأبواب المستجدّة فيها سواء كان له باب آخر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فتح الشبّاك و الروازن على الجادّة و نصب الميزاب فيها و كذا بناء ساباط</w:t>
      </w:r>
      <w:r>
        <w:rPr>
          <w:rStyle w:val="FootnoteAnchor"/>
          <w:rtl w:val="true"/>
        </w:rPr>
        <w:footnoteReference w:id="192"/>
      </w:r>
      <w:r>
        <w:rPr>
          <w:rFonts w:ascii="Amiri" w:hAnsi="Amiri" w:eastAsia="Amiri" w:cs="Amiri"/>
          <w:color w:val="111111"/>
          <w:sz w:val="28"/>
          <w:sz w:val="28"/>
          <w:szCs w:val="28"/>
          <w:rtl w:val="true"/>
          <w:lang w:bidi="ar-SA"/>
        </w:rPr>
        <w:t xml:space="preserve">عليها اذا لم‌يكن معتمدا على حائط غيره مع عدم </w:t>
      </w:r>
    </w:p>
    <w:p>
      <w:pPr>
        <w:pStyle w:val="BookText"/>
        <w:rPr/>
      </w:pPr>
      <w:r>
        <w:rPr>
          <w:rFonts w:ascii="Amiri" w:hAnsi="Amiri" w:eastAsia="Amiri" w:cs="Amiri"/>
          <w:color w:val="111111"/>
          <w:sz w:val="28"/>
          <w:sz w:val="28"/>
          <w:szCs w:val="28"/>
          <w:rtl w:val="true"/>
          <w:lang w:bidi="ar-SA"/>
        </w:rPr>
        <w:t>اذنه و لم‌يكن مضرّا بالمارّة و لو من جهة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الطرق المرفوعة أي المسدودة التي لاتنتهي الى طريق آخر و لا مباح بل الى ملك الغير فلايجوز احداث باب فيها و لا جناح و لا غيره الاّ باذن أربابها، سواء كان مضرّا أو لم‌يكن؛ لأنّه مختصّ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لايجوز احداث شيء من ذلك لغير أربابها الاّ باذنهم لايجوز لبعضهم الاّ باذن شركائه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صالح غيرهم معهم أو بعضهم مع الباقين على احداث شيء من ذلك صحّ و لزم، سواء كان مع العوض أو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نقب سرداب تحت الجادّة مع احكام أساسه و بنيانه و سقفه بحيث يؤمن من الثقب و الخسف و الانهدام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احداث البالوعة للأمطار فيها مع التحفّظ عن كونها مضرّة بالمارّة، و ان كان تركها أحوط بل لايترك، من جهة ما قيل من أنّه لايحدث هذه الاّ و فيها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لانسان داران باب كلّ واحد الى زقاق غير نافذ جاز أن‌يفتح بينهما بابا؛ لأنّ له حقّ السلوك في كلّ واحدة و رفع الجدار الحائل بين الدارين و جعلهما واحدة، ففتح باب من احداهما الى الأخرى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أحدث في الطريق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المسدود الذي لا حقّ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جاز ازالته لكلّ من له عليه استطراق فيه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في زقاق بابان أحدهما أدخل من الآخر فصاحب الأوّل يشارك الآخر في مجازه، و ينفرد الأدخل بما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و وجهه أنّ المقتضي لاستحقاق كلّ واحد هو الاستطراق، و نهايته بابه فلايشارك في الداخل</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لو كان في الزقاق فاضل الى صدرها و تداعياه فهما فيه سواء؛ لاستوائهم فيالارتفاق بها فلا أولويّة لواحد على غيره بخلاف ما بين البابين؛ لأنّ أدخليّة الباب تقتضي الاستطراق و هو مختصّ بالمستطرق فيتحقّق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للداخل أن‌يقدّم بابه الى الخارج و كذا الخارج يجوز أن‌يقدّم بابه ولكن لايجوز له أن‌يدخل بابه الى أسفل و كذا الداخل بالنسبة الى الأدخل؛ و ذلك لاختصاص كلّ داخل عن الخارج بما دخل عنه و مشاركته فيما خرج، فيجوز للداخل اخراج بابه؛ لثبوت حقّ الاستطراق في جميع الطريق الى بابه، فكلّ ما خرج عنه له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للخارج أن‌يدخل ببابه و كذا الداخل، بالنسبة الى الأدخل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أخرج بعض أهل الدرب النافذ روشنا لم‌يكن لمقابله معارضته، و لو استوعب عرض الدرب اذا لم‌يكن مضرّا بالمارّة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سقط ذلك الروشن فسبق جاره الى عمل روشن لم‌يكن للأوّل منعه؛ لأنّهما فيه شرع كالسبق الى القعود في المسجد؛ لأنّ الأوّل لم‌يملك الموضع بوضع الروشن فيه، و انّما اكتسب أولويّة، فاذا زال زالت كالقعود في المسجد و السوق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التمس وضع جذوعه على حائط جاره لم‌يجب على الجار اجابته و لو كان خشبة واحدة لكن يستحبّ، و لو أذن جاز الرجوع قبل الوضع اجماعا، و بعد الوضع لايجوز؛ لأنّ المراد به التأبيد، و الجواز حسن مع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انهدم لم‌يعد الطرح الاّ باذن مستأنف، و فيه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صالحه على الوضع ابتداءً جاز بعد أن‌يذكر عدد الخشب و وزنها و طولها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التمس وضع جذوعه على حائط جاره لم‌يجب على الجار اجابته و لو كانخشبة واحدة؛</w:t>
      </w:r>
    </w:p>
    <w:p>
      <w:pPr>
        <w:pStyle w:val="BookText"/>
        <w:rPr/>
      </w:pPr>
      <w:r>
        <w:rPr>
          <w:rFonts w:ascii="Amiri" w:hAnsi="Amiri" w:eastAsia="Amiri" w:cs="Amiri"/>
          <w:color w:val="111111"/>
          <w:sz w:val="28"/>
          <w:sz w:val="28"/>
          <w:szCs w:val="28"/>
          <w:rtl w:val="true"/>
          <w:lang w:bidi="ar-SA"/>
        </w:rPr>
        <w:t>و ذلك لتسلّط الناس على أموالهم و عدم وجوب اجابة أحد و لو كان هو الجار، على الاستمتاع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لم‌يجبه و لم‌يأذن له فلايجوز للجار أن‌يضع جذوعه على جداره يدلّ عليه موثّقة سماعة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عنده‌أمانة فليؤدّها الى من ائتمنه عليها؛ فانّه لايحلّ دم امرئ مسلم و لا ماله الاّ بطيبة نفسه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رواية الحسن بن علي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رسول‌اللّه صلى‌الله‌عليه‌و‌آله أنّه قال في خطبة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انّما المؤمنون اخوة و لايحلّ لمؤمن مال أخيه الاّ عن طيب نفس منه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عندنا موضع وفاق، و للرواية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لقضاء العقل بقبح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استحبابا مؤكّدا؛ لما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فلايمنعنّ جاره من وضع خشبة على جداره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تقدير ثبوته منزّل على الاستحباب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العامّة الى جوازه بغير اذنه، عملاً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ورد في أحاديثنا من التأكيد و الحثّ الأكيد في قضاء حوائج الاخوان و </w:t>
      </w:r>
    </w:p>
    <w:p>
      <w:pPr>
        <w:pStyle w:val="BookText"/>
        <w:rPr/>
      </w:pPr>
      <w:r>
        <w:rPr>
          <w:rFonts w:ascii="Amiri" w:hAnsi="Amiri" w:eastAsia="Amiri" w:cs="Amiri"/>
          <w:color w:val="111111"/>
          <w:sz w:val="28"/>
          <w:sz w:val="28"/>
          <w:szCs w:val="28"/>
          <w:rtl w:val="true"/>
          <w:lang w:bidi="ar-SA"/>
        </w:rPr>
        <w:t>لا سيّما الجيران ما يرشد الى استحباب اجابته استحبابا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بنى أو وضع الجذوع باذنه و رضاه فان كان ذلك بعنوان ملزم كالشرط في ضمن عقد لازم أو بالاجارة أو بالصلح عليه لم‌يجز له الرجوع، و أمّا اذا كان مجرّد الاذن و الرخصة جاز له الرجوع قبل البناء و الوضع قطعا، و أمّا بعد ذلك فهل يجوز له الرجوع مع الأرش و عدمه أم لا مع استحقاق الأجرة و عدمه؟ وجوه بل أقوال فلايترك الاحتياط بالتصالح و التراضي بينهما و لو بالابقاء مع الأجرة أو الهدم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أن‌يقال بجواز الرجوع؛ لقاعدة السلطنة الجارية في أصل الحدوث و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الأرش فلقاعدة من أتلف فانّ البناء وقع بعد اذنه صحيحا فهو مال محترم يجب تدارك اتلافه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عدم الأرش فلأنّ الاتلاف انّما حصل بحكم الشارع بوجوب تفريغ مال الغير و ردّه اليه فالاتلاف مستند الى صاحب الجذوع الذي يكون هو الباني لا الى الجار حتّى يوجب ضمانه فلا منشأ لضمانه حتّى يتعلّق به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جواز الرجوع فلأنّ الاذن في وضع الجذع مع الالتفات الى أنّه يبنى عليه و البناء يبقى مدّة بحسب العادة اسقاط لحقّ الرجوع مادام البناء فيستحقّ الأجرة؛ لأنّه جمع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 أمّا القول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التصالح و التراضي بينهما و لو بالابقاء مع الأجرة أو الهدم مع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فيها نصّ خاصّ و لا اجماع معتبر و الأقوال المذكورة هنا لاتخلو من المناقشة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الأرش هنا دفع تفاوت قيمته عامرا و في حال الهدم بعد كسر </w:t>
      </w:r>
    </w:p>
    <w:p>
      <w:pPr>
        <w:pStyle w:val="BookText"/>
        <w:rPr/>
      </w:pPr>
      <w:r>
        <w:rPr>
          <w:rFonts w:ascii="Amiri" w:hAnsi="Amiri" w:eastAsia="Amiri" w:cs="Amiri"/>
          <w:color w:val="111111"/>
          <w:sz w:val="28"/>
          <w:sz w:val="28"/>
          <w:szCs w:val="28"/>
          <w:rtl w:val="true"/>
          <w:lang w:bidi="ar-SA"/>
        </w:rPr>
        <w:t>قيمة آلات الأبنية كالأخشاب و نحوها ان كان لها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انهدم فلايعود الطرح الاّ باذن مستأنف؛ لأنّ المأذون فيه و هو الوضع قد حصل و الاعادة تحتاج الى اذن جديد، و فيه قول آخر للشيخ في المبسوط</w:t>
      </w:r>
      <w:r>
        <w:rPr>
          <w:rStyle w:val="FootnoteAnchor"/>
          <w:rtl w:val="true"/>
        </w:rPr>
        <w:footnoteReference w:id="198"/>
      </w:r>
      <w:r>
        <w:rPr>
          <w:rFonts w:ascii="Amiri" w:hAnsi="Amiri" w:eastAsia="Amiri" w:cs="Amiri"/>
          <w:color w:val="111111"/>
          <w:sz w:val="28"/>
          <w:sz w:val="28"/>
          <w:szCs w:val="28"/>
          <w:rtl w:val="true"/>
          <w:lang w:bidi="ar-SA"/>
        </w:rPr>
        <w:t>و هو أنّه لو انهدم الحائط فان أعاده بآلته الأولى لم‌يكن له منعه من ردّ الخشب و السقف عليه، و ان أعاده بغيرها كان له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كثير من الأصحاب لم‌يذكروا هنا خلافا، و يمكن أن‌يكون سببه أنّ الشيخ كان ذكر أوّلاً في الكتاب أنّه لو انهدم الحائط أو هدمه المستعير لم‌يكن له الاعادة الاّ باذن مستأنف، و لم‌يتردّد في ذلك، فأطرحوا قوله الآخر، و هو قول لبعض الشافعيّة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لو صالحه على الوضع ابتداءً جاز بعد أن‌يذكر عدد الخشب و وزنها و طولها؛ لأنّ عدم ذكره يوجب الغرر و الضرر و النزاع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تداعيا جدارا مطلقا و لا بيّنة فمن حلف عليه مع نكول صاحبه قضي له، و ان حلفا أو نكلا قضي به بينهما، و لو كان متّصلاً ببناء أحدهما كان القول قوله مع يمينه، و ان كان لأحدهما عليه جذع أو جذوع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لايقضى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مع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لايرجّح دعوى أحدهما بالخوارج التي في الحيطان و لا الروازن، و لو اختلفا في خصّ قضي لمن اليه معاقد القمط؛ عملاً بالرواية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تداعيا جدارا مطلقا و هو ما لم‌يكن متّصلاً ببناء أحدهما أو في أرض </w:t>
      </w:r>
    </w:p>
    <w:p>
      <w:pPr>
        <w:pStyle w:val="BookText"/>
        <w:rPr/>
      </w:pPr>
      <w:r>
        <w:rPr>
          <w:rFonts w:ascii="Amiri" w:hAnsi="Amiri" w:eastAsia="Amiri" w:cs="Amiri"/>
          <w:color w:val="111111"/>
          <w:sz w:val="28"/>
          <w:sz w:val="28"/>
          <w:szCs w:val="28"/>
          <w:rtl w:val="true"/>
          <w:lang w:bidi="ar-SA"/>
        </w:rPr>
        <w:t>أحدهما و لم‌يكن مقيّدا بوجه يوجب كونه لأحدهما بحيث لم‌يثبت لأحدهماعليه يد أو يكون اليد لهما كما اذا كان بين ملكيهما من دون مرجّح فحينئذ فمن أقام البيّنة منهما حكم له به و ان لم‌يكن بيّنة حلف كلّ واحد لصاحبه و كان بينهما نصفين و كذا لو نكلا عن اليمين، و لو حلف أحدهما و نكل الآخر ثبت للحالف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متّصلاً ببناء أحدهما اتّصال ترصيف و هو تداخل الأحجار و اللبن على وجه يبعد كونه محدثا و على وجه دالّ على أنّه جدار واحد أو كان لأحدهما عليه قبّة أو سترة على وجه يكون من الجدار نفسه أو نحو ذلك دون الآخر و لم‌يكن هناك بيّنة كان القول قوله مع يمينه؛ لصيرورته بذلك 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اتّصل بهما كذلك أو كان البناء لهما أو اختصّ أحدهما بصفة و الآخر بأخرى فاليد لهما، و كذا لو كان لأحدهما واحدة و الباقي مع الآخر؛ اذ لا أثر لزيادة اليد في الترجيح فيحلفان و يقسّم بينهما، و كذلك الحكم لو نكلا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لأحدهما عليه جذع أو جذوع يقضى بها لذيها مع اليمين خلافا للشيخ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لايقضى بها محتجّا بأنّ في كون الجدار بين الدارين دلالة ظاهرة على أنّه في أيديهما، و وضع الجذوع اختصاص بمزيد انتفاع كاختصاص أحد الساكنين بزيادة الأمتعة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كونه بينهما على اليد اذا لم‌ينضمّ اليه تصرّف بوجه من الوجوه السابقة، و حينئذ فوضع الجذع يفيد اليد للواضع و يبقى الآخر خاليا و يكون حكم الجذع حكم ما سلف من المرجّحات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لاترجّح دعوى أحدهما بالخوارج التي في الحيطان من نقش و وتد و رفّ و نحو ذلك؛ فانّه لايفيد الترجيح لمالكه؛ لامكان احداثه له من جهته من غير شعور </w:t>
      </w:r>
    </w:p>
    <w:p>
      <w:pPr>
        <w:pStyle w:val="BookText"/>
        <w:rPr/>
      </w:pPr>
      <w:r>
        <w:rPr>
          <w:rFonts w:ascii="Amiri" w:hAnsi="Amiri" w:eastAsia="Amiri" w:cs="Amiri"/>
          <w:color w:val="111111"/>
          <w:sz w:val="28"/>
          <w:sz w:val="28"/>
          <w:szCs w:val="28"/>
          <w:rtl w:val="true"/>
          <w:lang w:bidi="ar-SA"/>
        </w:rPr>
        <w:t>صاحب الجدار، و مثله الدواخل فيه كالطاقات غير النافذة و الروازن النافذة؛ لماذكر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خصّ</w:t>
      </w:r>
      <w:r>
        <w:rPr>
          <w:rStyle w:val="FootnoteAnchor"/>
          <w:rtl w:val="true"/>
        </w:rPr>
        <w:footnoteReference w:id="201"/>
      </w:r>
      <w:r>
        <w:rPr>
          <w:rFonts w:ascii="Amiri" w:hAnsi="Amiri" w:eastAsia="Amiri" w:cs="Amiri"/>
          <w:color w:val="111111"/>
          <w:sz w:val="28"/>
          <w:sz w:val="28"/>
          <w:szCs w:val="28"/>
          <w:rtl w:val="true"/>
          <w:lang w:bidi="ar-SA"/>
        </w:rPr>
        <w:t>قضي لمن اليه معاقد القمط</w:t>
      </w:r>
      <w:r>
        <w:rPr>
          <w:rStyle w:val="FootnoteAnchor"/>
          <w:rtl w:val="true"/>
        </w:rPr>
        <w:footnoteReference w:id="202"/>
      </w:r>
      <w:r>
        <w:rPr>
          <w:rFonts w:ascii="Amiri" w:hAnsi="Amiri" w:eastAsia="Amiri" w:cs="Amiri"/>
          <w:color w:val="111111"/>
          <w:sz w:val="28"/>
          <w:sz w:val="28"/>
          <w:szCs w:val="28"/>
          <w:rtl w:val="true"/>
          <w:lang w:bidi="ar-SA"/>
        </w:rPr>
        <w:t>يدلّ عليه صحيحة منصور بن حازم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خصّ بين دارين فزعم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عليه‌السلام قضى به لصاحب الدار الذي من قبله وجه القماط</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رواية جابر عن أبي جعفر عن أبيه عن جدّه عن عليّ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قضى في رجلين اختصما اليه في 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الخصّ للّذي اليه القماط</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قوما اختصموا الى رسول‌اللّه صلى‌الله‌عليه‌و‌آله في خصّ، فبعث حذيفة بن اليمان ليحكم بينهم فحكم به لمن اليه معاقد القمط، ثمّ رجع الى النبي صلى‌الله‌عليه‌و‌آله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بفتوى المعظم من الأصحاب بل في التذكرة نسبته الى علمائنا</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للشريك في الحائط التصرّف فيه ببناء و لا تسقيف و لا ادخال خشبة الاّ باذن شريكه، و لو انهدم لم‌يجبر شريكه على المشاركة في عمارته، و كذا لو كانت الشركة في دولاب أو بئر أو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لايجبر </w:t>
      </w:r>
    </w:p>
    <w:p>
      <w:pPr>
        <w:pStyle w:val="BookText"/>
        <w:rPr/>
      </w:pPr>
      <w:r>
        <w:rPr>
          <w:rFonts w:ascii="Amiri" w:hAnsi="Amiri" w:eastAsia="Amiri" w:cs="Amiri"/>
          <w:color w:val="111111"/>
          <w:sz w:val="28"/>
          <w:sz w:val="28"/>
          <w:szCs w:val="28"/>
          <w:rtl w:val="true"/>
          <w:lang w:bidi="ar-SA"/>
        </w:rPr>
        <w:t>صاحب السفل و لا العلوّ على بناء الجدار الذي يحمل العلوّ، و لو هدمه بغير اذن شريكه وجب عليه اعادته، و كذا لو هدمه باذنه و شرط 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للشريك في الحائط التصرّف فيه ببناء و لا تسقيف و لا ادخال خشبة الاّ باذن شريكه، كغيره من الأموال المشتركة؛ لحرمة التصرّف في مال الغير بغير اذنه عقلاً و شرعا من غير فرق بين المضرّ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استثني له و لغيره الاستناد اليه و كذا اسناد المتاع و نحوه مع فرض عدم الضرر و كذا الجدار المختصّ؛ عملاً بشاهد الحال و لأنّه بمنزلة استضاءته بسراج الغير و الاستظلال بجداره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منع من الاسناد عليه و نحوه ففيه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الاستظلال و نحوه و الاستضاءة بالسراج لثبوت الاذن الشرعي بالسيرة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 الاسناد و نحوه ان كان ضرريّا فهو، و الاّ فلايعدّ في العرف تصرّفا و لا أقلّ من الشكّ في كون ذلك من التصرّف في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له حكّ شيء من آلاته حجرا كانت أو آجرّا أو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الكتابة على الجدار، فان حكم العرف بأنّ للشريك أن‌يكتب أو يصبغ أو ينقش على طرف الجدار المشترك الذي من جانبه فلا اشكال فيه فانّ هذه و أمثالها في زماننا هذا لايعدّ عند العرف تصرّفا في مال الغير و لايتوقّفون عند هذه التصرّفات حتّى يأذن لهم الجار الذي هو شريك في الجدار، و عليه فالظاهر أنّ المدار على الصدق العرفي من التصرّف في مال الغير فاطلاق المنع من الكتابة محلّ اشكال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بنى الشريك في ملكه جدارا متّصلاً بالجدار المشترك أو المختصّ بالجار بحيث لايقع ثقله عليه جاز و لم‌يكن للآخر الاعتراض، و أمّا لو ألقى ثقله عليه لم‌يجز بدون اذنه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انهدم الجدار لم‌يجبر شريكه على المشاركة في عمارته؛ اذ لايجب على أحد عمارة جداره المنهدم ففي المشترك أولى، الاّ اذا كان في عدم العمارة ضررعلى أحدهما أو اضطرّ الى عمارته، فان امتنع يرفع أمره الى الحاكم ليجبره على المساعدة أو الاذن فان امتنع أذن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عمّره الشريك بالآلة المشتركة فالظاهر عدم اشتراط رضاه؛ لأنّه يبقى شريكا كما كان و حينئذ لو نقضه الشريك فعليه الاثم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ذلك فجعل في المسالك و الجواهر الأقوى توقّف العمارة على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الحال فيما لو كانت الشركة في دولاب أو بئر أو نهر أو قناة أو ناعورة أو نحو ذلك بمعنى أنّه لايجبر الشريك على المشاركة في عمارتها من غير فرق بين كون المشترك ذا غلّة تفي بعمارتها و غيرها، و بين القابلة للقسمة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لايجبر صاحب السفل و لا العلوّ في الساباط و غيره على بناء الجدار الذي يحمل العلوّ و لا على جدار البيت؛ لأصالة براءة الذمّة من وجوب عمارة ملك الانسان لنفسه فضلاً عن الغير الاّ أن‌يكون ذلك لازما بعقد فيجب حينئذ، الاّ في صورة الاضطرار و الاحتياج أو الضرر فتقدّم أنّ له الرجوع الى الحاكم مع امتناع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هدمه بغير اذن شريكه وجب عليه اعادته، و كذا لو هدمه باذنه و شرط اعادته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انهدم الجدار المشترك و أراد أحد الشريكين تعميره لم‌يجبر شريكه على المشاركة في عمارته، و هل له التعمير من ماله مجّانا بدون اذن شريكه؟ لا اشكال في أنّ له ذلك اذا كان الأساس مختصّا به و بناه بآلات مختصّة به، كما أنّه لا اشكال في عدم الجواز اذا كان الأساس مختصّا بشريكه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اذا كان الأساس مشتركا فان كان قابلاً للقسمة ليس له التعمير بدون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المطالبة بالقسمة، فيبني على حصّته المفروزة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لم‌يكن قابلاً للقسمة ولم‌يوافقه الشريك في شيء يرفع أمره الى الحاكم ليخيّره بين عدّة أمور من بيع أو اجارة أو المشاركة معه في العمارة أو الرخصة في تعميره و بنائه من ماله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لو كانت الشركة في بئر أو نهر أو قناة أو ناعور و نحو ذلك، فلايجبر الشريك على المشاركة في التعمير و 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الشريك تعميرها و تنقيتها من ماله تبرّعا و مجّانا له ذلك على الظاهر</w:t>
      </w:r>
      <w:r>
        <w:rPr>
          <w:rStyle w:val="FootnoteAnchor"/>
          <w:rtl w:val="true"/>
        </w:rPr>
        <w:footnoteReference w:id="206"/>
      </w:r>
      <w:r>
        <w:rPr>
          <w:rFonts w:ascii="Amiri" w:hAnsi="Amiri" w:eastAsia="Amiri" w:cs="Amiri"/>
          <w:color w:val="111111"/>
          <w:sz w:val="28"/>
          <w:sz w:val="28"/>
          <w:szCs w:val="28"/>
          <w:rtl w:val="true"/>
          <w:lang w:bidi="ar-SA"/>
        </w:rPr>
        <w:t>و ليس للشريك منعه، خصوصا اذا لم‌يمكن القسمة، كما أنّه لو أنفق في تعميرها، فنبع الماء أو زاد ليس له أن‌يمنع شريكه الغير المنفق من نصيبه من الماء؛ لأنّه من فوائد ملكهما المشترك</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تنازع صاحب السفل و العلوّ في جدران البيت فالقول قول صاحب البيت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جدران الغرفة فالقول قول صاحبها مع يمينه، و لو تنازعا في السقف،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حلفا قضي به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حسن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تنازع صاحب السفل و العلوّ في جدار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جدار الغرفة التحتيّة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صاحب السفل مع يمينه؛ لأنّ جدران البيت كالجزء منه فيحكم به لصاحب البيت خلافا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تنازعا في جدران الغرفة الفوقيّة فالقول قول صاحبها مع يمينه؛ لما ذكر من الجزئيّة، و لا اشكال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ما ذهب اليه المصنّف، و 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جدران البيت بينهما؛ لأنّ حاجتهما اليه واحدة، بخلاف جدار الغرفة؛ اذ لا تعلّقلصاحب البيت به الاّ كونه موضوعا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ارتضاه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جيّد، لكنّ الأوّل أجود</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لو تنازعا في سقف البيت المتوسّط بينهما الحامل للغرفة فذهب الشهيد الأوّل رحمه‌الله في اللمعة</w:t>
      </w:r>
      <w:r>
        <w:rPr>
          <w:rStyle w:val="FootnoteAnchor"/>
          <w:rtl w:val="true"/>
        </w:rPr>
        <w:footnoteReference w:id="209"/>
      </w:r>
      <w:r>
        <w:rPr>
          <w:rFonts w:ascii="Amiri" w:hAnsi="Amiri" w:eastAsia="Amiri" w:cs="Amiri"/>
          <w:color w:val="111111"/>
          <w:sz w:val="28"/>
          <w:sz w:val="28"/>
          <w:szCs w:val="28"/>
          <w:rtl w:val="true"/>
          <w:lang w:bidi="ar-SA"/>
        </w:rPr>
        <w:t>الى أنّه يقرع بينهما و علّله في الروضة باستوائهما في الحاجة اليه، و الانتفاع به، و القرعة لكلّ أمر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المحقّق في الشرائع كما عرفت في المتن، ولكن الشهيد الثاني في الروضة لم‌يرتض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بأنّ مورد القرعة المحلّ الذي لايحتمل اشتراكه بين المتنازعين بل هو حقّ لأحدهما مشتبه، و هنا ليس كذلك؛ لأنّه كما يجوز كونه لأحدهما يجوز كونه لهما معا؛ لاستوائهما فيه؛ لأنّه سقف لصاحب البيت، و أرض لصاحب الغرفة فكان كالجزء من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قوّى اشتراكهما فيه مع حلفهما، أو نكولهما، و الاّ اختصّ بالحالف؛ لما ذكر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استوائهما في الحاجة اليه و الانتفاع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به لصاحب الغرفة؛ لأنّها لاتتحقّق بدونه؛ لكونه أرضها، و البيت يتحقّق بدون السقف و هما متصادقان على أنّ هنا غرفة فلا بدّ من تحقّقها، و لأنّ تصرّفه فيه أغلب من تصرّف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أنّ القول بأنّ السقف مشترك بينهما أقرب من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موضع الخلاف في السقف الذي يمكن احداثه بعد بناء البيتكالسقوف التي تبنى بالأخشاب و الحديد حيث يمكن بعد اكمال الجدران بناء السقوف عليها بهذه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لايمكن احداثه بعد بناء الجدار الأسفل بل يحتاج الى اخراج بعض الأجزاء عن سمت وجه الجدار قبل انتهائه كالسقوف المقوّسة التي يقال بها آزاج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الأزج وزان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حاملاً للعقد فيضمّ بعض الحجارة الى بعض في البناء فهذه لصاحب السفل بيمينه؛ لدلالة ذلك على جزئيّته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أغصان شجرة الى ملك الجار وجب عطفها ان أمكن و الاّ قطعت من حدّ ملكه، و ان امتنع صاحبها قطعها الجار و لايتوقّف على اذن الحاكم، و لو صالحه على ابقائه في الهواء لم‌يصحّ على تردّد، أمّا لو صالحه على طرحه على الحائط جاز مع تقدير الزيادة أو انتهائها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خرجت أغصان شجرة الى فضاء ملك الجار من غير استحقاق له أن‌يطالب مالك الشجرة بعطف الأغصان أو قطعها من حدّ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امتنع صاحبها يجوز للجار عطفها، و ان لم‌يمكن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صالحه على طرحه على الحائط جاز بلا خلاف مع تقدير المدّة و الزيادة أو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عرفت جوازه مع عدم تقدير بالزيادة و لا انتهائها؛ لتحمّل الصلح من الجهالة ما لايتحمّله غيره</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تأمّل من جهة أنّ الصلح لايقبل الجهل المطلق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لانسان بيوت الخان السفلى و لآخر بيوته العليا وتداعيا الدرجة قضي بها لصاحب العلوّ مع يمينه، و لو كان تحت الدرجة خزانة كانا في دعواها سواءً، و لو تداعيا الصحن قضي منه بما يسلك فيه الى العلوّ بينهما و ما خرج عنه لصاحب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لانسان بيوت الخان السفلى و لآخر بيوته العليا و تنازعا في الدرجة قضي بها لصاحب العلوّ مع يمينه؛ لاختصاصه بالتصرّف فيها بالسلوك و ان كانت موضوعة في أرض صاحب السفلى، و كما يحكم بها للعليا يحكم له بمحلّها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التي بنيت الدرجة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تحت الدرجة خزانة فيمكن أن‌يقال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اللمعة</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يقرع بينهما؛ لاستوائهما فيها بكونها متّصلة بملك الأسفل، بل من جملة بيوته، و كونها هواءً لملك الأعلى و هو كالقرار فيقرع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ان كان التصرّف و اليد من كليهما فتنازعا في ملكها، فطبقا لقواعد القضاء يحلفان و يحكم بكونها مشتركة بينهما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تنازعا في الصحن قضي منه بما يسلك فيه الى العلوّ بينهما و ما خرج عنه لصاحب السفل مع يمينهما؛ أمّا الحكم للأعلى بقدر المسلك فلكونه من انتفاعه بالغرف بالضرورة و له عليه يد في جملة الصحن، و أمّا الزائد عنه فاختصاص صاحب السفل به أقوى؛ لأنّه صحن لبيوته فيقدّم قول كلّ منهما فيما يظهر اختصاصه به</w:t>
      </w:r>
      <w:r>
        <w:rPr>
          <w:rFonts w:eastAsia="Amiri" w:cs="Amiri" w:ascii="Amiri" w:hAnsi="Amiri"/>
          <w:color w:val="111111"/>
          <w:sz w:val="28"/>
          <w:szCs w:val="28"/>
          <w:rtl w:val="true"/>
          <w:lang w:bidi="ar-SA"/>
        </w:rPr>
        <w:t xml:space="preserve">. </w:t>
      </w:r>
      <w:bookmarkStart w:id="351" w:name="pg9674_84273"/>
    </w:p>
    <w:p>
      <w:pPr>
        <w:pStyle w:val="BookText"/>
        <w:rPr/>
      </w:pPr>
      <w:bookmarkEnd w:id="351"/>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تنازع راكب الدابّة و قابض لجامها قضي للراكب مع يمينه،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سواء في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تنازعا ثوبا و في يد أحدهما أكثره فهما سواء، و كذا لو تنازعا عبدا و لأحدهما عليه 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تداعيا جملاً و لأحدهما عليه حمل كان الترجيح لدعواه، و لو تداعيا غرفة على بيت أحدهما و بابها الى غرفة الآخر كان الرجحان لدعوى صاحب البيت</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7971522_2870459653"/>
      <w:bookmarkStart w:id="353" w:name="_Toc123"/>
      <w:bookmarkEnd w:id="352"/>
      <w:r>
        <w:rPr>
          <w:rtl w:val="true"/>
        </w:rPr>
        <w:t xml:space="preserve">فيما اذا تنازع راكب الدابّة و قابض لجامها </w:t>
      </w:r>
      <w:r>
        <w:rPr>
          <w:rtl w:val="true"/>
        </w:rPr>
        <w:t xml:space="preserve">... </w:t>
      </w:r>
      <w:r>
        <w:rPr/>
        <w:t>184</w:t>
      </w:r>
      <w:bookmarkEnd w:id="353"/>
    </w:p>
    <w:p>
      <w:pPr>
        <w:pStyle w:val="BookText"/>
        <w:rPr/>
      </w:pPr>
      <w:r>
        <w:rPr>
          <w:rFonts w:ascii="Amiri" w:hAnsi="Amiri" w:eastAsia="Amiri" w:cs="Amiri"/>
          <w:color w:val="111111"/>
          <w:sz w:val="28"/>
          <w:sz w:val="28"/>
          <w:szCs w:val="28"/>
          <w:rtl w:val="true"/>
          <w:lang w:bidi="ar-SA"/>
        </w:rPr>
        <w:t xml:space="preserve">اذا تنازع راكب الدابّة و قابض لجامها قضي للراكب مع يمينه؛ لقوّة يده و شدّة تصرّفه بالنسبة الى القابض،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في محكي الخلاف و ابن ادريس في محكي السرائر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هما سواء في الدعوى؛ لثبوت يد كلّ منهما عليهما، و زيادة تصرّف الراكب لم‌يثبت شرعا كونه مرجّحا، و تعريف المدّعي و المنكر منطبق عليهما فيحلف كلّ منهما لصاحبه ان لم‌يكن بيّنة فيحكم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الظاهر أنّ الأوّل أقوى لأنّ الظاهر عند العرف كون يد الاختصاص للراكب خصوصا مع ملاحظة نظائره باعتراف الخصم كتنازع لابس الثوب و ممسكه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تنازعا ثوبا و في يد أحدهما أكثره فهما سواء؛ لاشتراكهما في اليد و لا ترجيح لقوّتها و التصرّف هنا و ان اختلف كثرة و قلّة لكنّه من واد واحد بخلاف الركوب و قبض اللجام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تنازعا عبدا و لأحدهما عليه ثياب و يدهما عليه فلايرجّح صاحب الثياب كما يرجّح راكب الدابّة على قابض لجامها؛ اذ لا دخل للّبس في الملك بخلاف الركوب؛ فانّ العبد قد يلبس الثياب بغير اذن مالكها و لايرد مثله في الركوب؛ لأنّ الراكب ذو يد بخلاف العبد فانّ اليد للمدّعي لا للعبد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تداعيا جملاً و لأحدهما عليه حمل كان الترجيح لدعواه قطعا لو لم‌يكن للآخر عليه يد؛ ضرورة أنّ الحمل عليه ظاهر في يد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 بكونه كذلك لو فرض أنّ للآخر يدا عليه، بقبض الزمام باعتبار ظهور يد الاختصاص في الحمل كالراكب و القابض فضلاً عمّا لو كانا معا قابضين، و لأحدهما خاصّة الحمل، و عن الدروس أنّه جعل حكم الراكب و لابس الثوب و ذي الحمل سواء، 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اتّحاد الحكم فيها أجمع</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لو تداعيا غرفة على بيت أحدهما و ان كان بابها مفتوحا الى غرفة الآخر كان الرجحان لصاحب البيت؛ لأنّها موضوعة في ملكه و هو هواء بيته، و مجرّد فتح الباب الى الغير لايفيد له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لم‌يكن من اليه الباب متصرّفا فيها بسكنى و غيرها و الاّ قدّم؛ لأنّ يده عليها تكون بالذات؛ لاقتضاء التصرّف له و يد مالك الهواء تكون بالتبعيّة و الذاتيّة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التساوي؛ لثبوت اليد من الجانبين في الجملة، و عدم تأثير قوّة اليد</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هذا تمام الكلام</w:t>
      </w:r>
    </w:p>
    <w:p>
      <w:pPr>
        <w:pStyle w:val="BookText"/>
        <w:rPr/>
      </w:pPr>
      <w:r>
        <w:rPr>
          <w:rFonts w:ascii="Amiri" w:hAnsi="Amiri" w:eastAsia="Amiri" w:cs="Amiri"/>
          <w:color w:val="111111"/>
          <w:sz w:val="28"/>
          <w:sz w:val="28"/>
          <w:szCs w:val="28"/>
          <w:rtl w:val="true"/>
          <w:lang w:bidi="ar-SA"/>
        </w:rPr>
        <w:t>في بيان أحكام الصلح</w:t>
      </w:r>
    </w:p>
    <w:p>
      <w:pPr>
        <w:pStyle w:val="BookText"/>
        <w:rPr/>
      </w:pPr>
      <w:r>
        <w:rPr>
          <w:rFonts w:ascii="Amiri" w:hAnsi="Amiri" w:eastAsia="Amiri" w:cs="Amiri"/>
          <w:color w:val="111111"/>
          <w:sz w:val="28"/>
          <w:sz w:val="28"/>
          <w:szCs w:val="28"/>
          <w:rtl w:val="true"/>
          <w:lang w:bidi="ar-SA"/>
        </w:rPr>
        <w:t>و يتلوه شرح كتاب الوديعة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9674_84276"/>
      <w:bookmarkStart w:id="355" w:name="pg9674_84276"/>
      <w:bookmarkEnd w:id="355"/>
    </w:p>
    <w:p>
      <w:pPr>
        <w:pStyle w:val="Heading2"/>
        <w:numPr>
          <w:ilvl w:val="1"/>
          <w:numId w:val="1"/>
        </w:numPr>
        <w:rPr/>
      </w:pPr>
      <w:bookmarkStart w:id="356" w:name="pg9674_84276"/>
      <w:bookmarkStart w:id="357" w:name="__RefHeading___Toc7971524_2870459653"/>
      <w:bookmarkStart w:id="358" w:name="_Toc124"/>
      <w:bookmarkEnd w:id="356"/>
      <w:bookmarkEnd w:id="357"/>
      <w:r>
        <w:rPr>
          <w:rtl w:val="true"/>
        </w:rPr>
        <w:t>كتاب الوديعة</w:t>
      </w:r>
      <w:bookmarkEnd w:id="358"/>
    </w:p>
    <w:p>
      <w:pPr>
        <w:pStyle w:val="BookText"/>
        <w:rPr/>
      </w:pPr>
      <w:r>
        <w:rPr>
          <w:rFonts w:ascii="Amiri" w:hAnsi="Amiri" w:eastAsia="Amiri" w:cs="Amiri"/>
          <w:color w:val="111111"/>
          <w:sz w:val="28"/>
          <w:sz w:val="28"/>
          <w:szCs w:val="28"/>
          <w:rtl w:val="true"/>
          <w:lang w:bidi="ar-SA"/>
        </w:rPr>
        <w:t>و النظر في أمور ثلاثة</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7971526_2870459653"/>
      <w:bookmarkStart w:id="360" w:name="_Toc125"/>
      <w:bookmarkEnd w:id="359"/>
      <w:r>
        <w:rPr>
          <w:rtl w:val="true"/>
        </w:rPr>
        <w:t xml:space="preserve">النظر الأوّل </w:t>
      </w:r>
      <w:r>
        <w:rPr>
          <w:rtl w:val="true"/>
        </w:rPr>
        <w:t xml:space="preserve">: </w:t>
      </w:r>
      <w:r>
        <w:rPr>
          <w:rtl w:val="true"/>
        </w:rPr>
        <w:t>في العقد</w:t>
      </w:r>
      <w:bookmarkEnd w:id="360"/>
    </w:p>
    <w:p>
      <w:pPr>
        <w:pStyle w:val="BookText"/>
        <w:rPr/>
      </w:pPr>
      <w:r>
        <w:rPr>
          <w:rFonts w:ascii="Amiri" w:hAnsi="Amiri" w:eastAsia="Amiri" w:cs="Amiri"/>
          <w:color w:val="111111"/>
          <w:sz w:val="28"/>
          <w:sz w:val="28"/>
          <w:szCs w:val="28"/>
          <w:rtl w:val="true"/>
          <w:lang w:bidi="ar-SA"/>
        </w:rPr>
        <w:t>و هو استنابة في الحفظ، و يفتقر الى ايجاب و قبول، و يقع بكلّ عبارة دلّت على معناه و يكفي الفعل الدالّ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طرح الوديعة عنده لم‌يلزمه حفظها اذا لم‌يقبلها، و كذا لو أكره على قبضها لم‌تصر وديعة و لايضمنها لو أهمل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الوديعة عقد معروف عند الناس يكون مركّبا من الايجاب و القبول و الأحسن أن‌يقال في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استنابة في الحفظ من المودع و القبول من المستودع،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 هي الاستنابة و قبولها،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مبادلة مال بمال، و بعبارة أخرى هي وضع المال عند الغير ليحفظه لمالكه و قبول الغير منه، و يقال لصاحب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bookmarkStart w:id="361" w:name="pg9674_84277"/>
    </w:p>
    <w:p>
      <w:pPr>
        <w:pStyle w:val="BookText"/>
        <w:rPr/>
      </w:pPr>
      <w:bookmarkEnd w:id="361"/>
      <w:r>
        <w:rPr>
          <w:rFonts w:ascii="Amiri" w:hAnsi="Amiri" w:eastAsia="Amiri" w:cs="Amiri"/>
          <w:color w:val="111111"/>
          <w:sz w:val="28"/>
          <w:sz w:val="28"/>
          <w:szCs w:val="28"/>
          <w:rtl w:val="true"/>
          <w:lang w:bidi="ar-SA"/>
        </w:rPr>
        <w:t>ثمّ ليعلم أنّ الوديعة عقد فيحتاج الى الايجاب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الايجاب فهو كلّ لفظ دلّ على تلك الاستنابة كأن‌يقول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أودعتك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وديعة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لعدم ورود تحديد شرعي في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هو كلّ ما يدلّ على الرضا بالنيابة في الحفظ، و لايعتبر فيها العربيّة بل تقع بكلّ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أن‌يكون الايجاب باللفظ و القبول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الوديعة عرفا فيشمله الاطلاقات، بل يصحّ وقوعها بالمعاطاة بأن‌يسلّم مالاً الى أحد بقصد أن‌يكون محفوظا عنده فيتسلّمه و يحفظه، و قد قلنا في البيع بأنّ المعاطاة جائزة فيه و يكون عقدا كما في كلّ عقد يصحّ انشاؤه بالمعاطاة؛ للعمومات و الاطلاقات الاّ ما خرج بالدليل</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7971528_2870459653"/>
      <w:bookmarkStart w:id="363" w:name="_Toc126"/>
      <w:bookmarkEnd w:id="362"/>
      <w:r>
        <w:rPr>
          <w:rtl w:val="true"/>
        </w:rPr>
        <w:t xml:space="preserve">فرع </w:t>
      </w:r>
      <w:r>
        <w:rPr>
          <w:rtl w:val="true"/>
        </w:rPr>
        <w:t xml:space="preserve">: </w:t>
      </w:r>
      <w:r>
        <w:rPr>
          <w:rtl w:val="true"/>
        </w:rPr>
        <w:t>فيما لو طرح مالاً عنده</w:t>
      </w:r>
      <w:bookmarkEnd w:id="363"/>
    </w:p>
    <w:p>
      <w:pPr>
        <w:pStyle w:val="BookText"/>
        <w:rPr/>
      </w:pPr>
      <w:r>
        <w:rPr>
          <w:rFonts w:ascii="Amiri" w:hAnsi="Amiri" w:eastAsia="Amiri" w:cs="Amiri"/>
          <w:color w:val="111111"/>
          <w:sz w:val="28"/>
          <w:sz w:val="28"/>
          <w:szCs w:val="28"/>
          <w:rtl w:val="true"/>
          <w:lang w:bidi="ar-SA"/>
        </w:rPr>
        <w:t xml:space="preserve">لو طرح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وديعة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قبلها بالقول أو الفعل الدالّ عليه صار وديعة و ترتّبت عليه أحكامها، بخلاف ما اذا لم‌يقبلها حتّى فيما اذا طرحه المالك عنده بهذا القصد و ذهب عنه، فان ذهب المطروح اليه بعد طرح المالك ثيابه فلا ضمان، و أمّا اذا وقف و لم‌يذهب و لم‌يقل شيئا يدلّ على انكاره فالظاهر أنّه قبول منه و لا أقلّ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صوّر في المسالك</w:t>
      </w:r>
      <w:r>
        <w:rPr>
          <w:rStyle w:val="FootnoteAnchor"/>
          <w:rtl w:val="true"/>
        </w:rPr>
        <w:footnoteReference w:id="215"/>
      </w:r>
      <w:r>
        <w:rPr>
          <w:rFonts w:ascii="IRNazanin" w:hAnsi="IRNazanin" w:eastAsia="IRNazanin"/>
          <w:color w:val="111111"/>
          <w:sz w:val="28"/>
          <w:sz w:val="28"/>
          <w:szCs w:val="28"/>
          <w:rtl w:val="true"/>
          <w:lang w:bidi="fa-IR"/>
        </w:rPr>
        <w:t>هنا صورا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أن‌يضع المال عنده و لايحصل منه ما يدلّ على الاستنابة في حفظه،فيقبله قولاً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بأنّه لا أثر للقبول في هذه الصورة في الضمان و لا في وجوب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ذكره تأمّل، فلا أقلّ من وجوب الحفظ كما أشار اليه في ذيل الصورة الرابعة، فيما اذا لم‌يقبل الموضوع عنده قولاً و لا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أن‌يقبله فعلاً بأن‌يقبضه الموضوع عنده، فقال بضمانه و وجوب حفظه عليه الى أن‌يردّه على مالكه؛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هو في محلّه اذ لايصدق عليه عنوان الوديعة و الأمانة المالكيّة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أن‌يتلفّظ المالك مع الطرح بما يدلّ على الايداع، فيقبل قبولاً قوليّا، فقال رحمه‌الله بأنّه يجب عليه في هذه الصورة الحفظ باعتبار الوديعة، و لا ضمان الاّ مع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كما ذكره قدس‌سره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أن‌يقبله قبولاً فعليّا، فيتمّ الوديعة أيضا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طرحها عنده متلفّظا بالوديعة أم لا، و لم‌يحصل من الموضوع عنده ما يدلّ على الرضا قولاً و لا فعلاً، لم‌يجب عليه حفظها، حتّى لو ذهب و تركها فلا ضمان عليه، لكن يأثم ان كان ذهابه بعد ما غاب المالك؛ لوجوب الحفظ حينئذ من باب المعاونة على البرّ و اعانة المحتاج، فيكون واجبا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رحمه‌الله في هذه الصورة جارٍ في الصورة الأولى ظاهرا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انعكس الفرض بأن‌تمّت الوديعة ولكن غاب المستودع و تركها و المالك حاضر عندها فقال في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ردّ للوديعة، و لو كان المالك غائبا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جزم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تحقّق الردّ بمجرّد الذهاب عنها مع حضور المالك؛لأصالة بقاء العقد، و كون الذهاب أعمّ منه ما لم‌ينضمّ اليه قرائن تدلّ عليه</w:t>
      </w:r>
      <w:r>
        <w:rPr>
          <w:rFonts w:eastAsia="Amiri" w:cs="Amiri" w:ascii="Amiri" w:hAnsi="Amiri"/>
          <w:color w:val="111111"/>
          <w:sz w:val="28"/>
          <w:szCs w:val="28"/>
          <w:rtl w:val="true"/>
          <w:lang w:bidi="ar-SA"/>
        </w:rPr>
        <w:t xml:space="preserve">». </w:t>
      </w:r>
      <w:bookmarkStart w:id="364" w:name="pg9674_84279"/>
    </w:p>
    <w:p>
      <w:pPr>
        <w:pStyle w:val="BookText"/>
        <w:rPr/>
      </w:pPr>
      <w:bookmarkEnd w:id="364"/>
      <w:r>
        <w:rPr>
          <w:rFonts w:ascii="Amiri" w:hAnsi="Amiri" w:eastAsia="Amiri" w:cs="Amiri"/>
          <w:color w:val="111111"/>
          <w:sz w:val="28"/>
          <w:sz w:val="28"/>
          <w:szCs w:val="28"/>
          <w:rtl w:val="true"/>
          <w:lang w:bidi="ar-SA"/>
        </w:rPr>
        <w:t>ثمّ انّه لو أكره على قبضها لم‌تصر وديعة و لايضمنها لو أهمل بمعنى أنّه غير واجب عليه بسبب الاكراه لكن يجب تقييده بما اذا لم‌يضع يده عليها اختيارا بعد زوال الاكراه فانّه يجب عليه الحفظ باليد المتجدّدة و ان لم‌يجب بالاكراه</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7971530_2870459653"/>
      <w:bookmarkStart w:id="366" w:name="_Toc127"/>
      <w:bookmarkEnd w:id="365"/>
      <w:r>
        <w:rPr>
          <w:rtl w:val="true"/>
        </w:rPr>
        <w:t xml:space="preserve">فيما يجب على المستودع </w:t>
      </w:r>
      <w:r>
        <w:rPr>
          <w:rtl w:val="true"/>
        </w:rPr>
        <w:t xml:space="preserve">... </w:t>
      </w:r>
      <w:r>
        <w:rPr/>
        <w:t>190</w:t>
      </w:r>
      <w:bookmarkEnd w:id="366"/>
    </w:p>
    <w:p>
      <w:pPr>
        <w:pStyle w:val="BookText"/>
        <w:rPr/>
      </w:pPr>
      <w:r>
        <w:rPr>
          <w:rFonts w:ascii="Amiri" w:hAnsi="Amiri" w:eastAsia="Amiri" w:cs="Amiri"/>
          <w:color w:val="111111"/>
          <w:sz w:val="28"/>
          <w:sz w:val="28"/>
          <w:szCs w:val="28"/>
          <w:rtl w:val="true"/>
          <w:lang w:bidi="ar-SA"/>
        </w:rPr>
        <w:t>و اذا استودع وجب عليه الحفظ، و لايلزمه دركها لو تلفت من غير تفريط أو أخذت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تمكّن من الدفع وجب، و لو لم‌يفعل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تحمّل الضرر الكثير بالدفع كالجرح و أخذ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أنكرها فطولب باليمين ظلما جاز الحلف مورّيا بما يخرج به عن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367" w:name="__RefHeading___Toc7971532_2870459653"/>
      <w:bookmarkStart w:id="368" w:name="_Toc128"/>
      <w:bookmarkEnd w:id="367"/>
      <w:r>
        <w:rPr>
          <w:rtl w:val="true"/>
        </w:rPr>
        <w:t xml:space="preserve">الفرع الأوّل </w:t>
      </w:r>
      <w:r>
        <w:rPr>
          <w:rtl w:val="true"/>
        </w:rPr>
        <w:t xml:space="preserve">: </w:t>
      </w:r>
      <w:r>
        <w:rPr>
          <w:rtl w:val="true"/>
        </w:rPr>
        <w:t>في وجوب حفظ الوديعة</w:t>
      </w:r>
      <w:bookmarkEnd w:id="368"/>
    </w:p>
    <w:p>
      <w:pPr>
        <w:pStyle w:val="BookText"/>
        <w:rPr/>
      </w:pPr>
      <w:r>
        <w:rPr>
          <w:rFonts w:ascii="Amiri" w:hAnsi="Amiri" w:eastAsia="Amiri" w:cs="Amiri"/>
          <w:color w:val="111111"/>
          <w:sz w:val="28"/>
          <w:sz w:val="28"/>
          <w:szCs w:val="28"/>
          <w:rtl w:val="true"/>
          <w:lang w:bidi="ar-SA"/>
        </w:rPr>
        <w:t>قبل التكلّم في وجوب حفظ الوديعة لابأس أن‌نشير الى ما ذكره في المسالك من أنّ قبول الوديعة قد يكون واجبا و قد يكون حراما و قد يكون مستحبّا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قبول الوديعة الذي يتفرّع عليه حكم الحفظ قد يكون واجبا، كما اذا كان المودع مضطرّا الى الاستيداع، فانّه يجب على كلّ قادر عليها واثق بالحفظ قبولها منه كفاية، و لو لم‌يوجد غير واحد تعيّن عليه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هذين الفردين وجوب الحفظ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مستحبّا مع قدرته و ثقته بنفسه بالأمانة و كون المودع غير مضطرّ؛ لما فيه من المعاونة على البرّ الذي أقلّ مراتب الأمر به الاستحباب، و قضاء حوائجالاخوان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محرّما كما اذا كان عاجزا عن الحفظ أو غير واثق بنفسه بالأمانة؛ </w:t>
      </w:r>
      <w:bookmarkStart w:id="369" w:name="pg9674_84280"/>
    </w:p>
    <w:p>
      <w:pPr>
        <w:pStyle w:val="BookText"/>
        <w:rPr/>
      </w:pPr>
      <w:bookmarkEnd w:id="369"/>
      <w:r>
        <w:rPr>
          <w:rFonts w:ascii="Amiri" w:hAnsi="Amiri" w:eastAsia="Amiri" w:cs="Amiri"/>
          <w:color w:val="111111"/>
          <w:sz w:val="28"/>
          <w:sz w:val="28"/>
          <w:szCs w:val="28"/>
          <w:rtl w:val="true"/>
          <w:lang w:bidi="ar-SA"/>
        </w:rPr>
        <w:t>لما فيه من التعرّض للتفريط في مال الغير، 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تضمّن القبول ضررا على المستودع في نفسه أو ماله أو بعض المؤمنين، و نحو ذلك</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ثمّ انّه متى قبل المستودع الوديعة في أيّ صورة من هذه الصور فيجب عليه حفظها؛ لأنّ الوديعة أمانة و عدم حفظها مستلزم لتلفها و هو خيانة محرّمة بالكتاب و السنّة و لاينافي ذلك كون الوديعة عقدا جائزا فمادام مستودعا يجب حفظها أو ردّها الى مالكها فهو مخيّر بين الردّ و الحفظ</w:t>
      </w:r>
      <w:r>
        <w:rPr>
          <w:rFonts w:eastAsia="Amiri" w:cs="Amiri" w:ascii="Amiri" w:hAnsi="Amiri"/>
          <w:color w:val="111111"/>
          <w:sz w:val="28"/>
          <w:szCs w:val="28"/>
          <w:rtl w:val="true"/>
          <w:lang w:bidi="ar-SA"/>
        </w:rPr>
        <w:t>.</w:t>
      </w:r>
    </w:p>
    <w:p>
      <w:pPr>
        <w:pStyle w:val="Heading2"/>
        <w:numPr>
          <w:ilvl w:val="1"/>
          <w:numId w:val="1"/>
        </w:numPr>
        <w:rPr/>
      </w:pPr>
      <w:bookmarkStart w:id="370" w:name="__RefHeading___Toc7971534_2870459653"/>
      <w:bookmarkStart w:id="371" w:name="_Toc129"/>
      <w:bookmarkEnd w:id="370"/>
      <w:r>
        <w:rPr>
          <w:rtl w:val="true"/>
        </w:rPr>
        <w:t xml:space="preserve">الفرع الثاني </w:t>
      </w:r>
      <w:r>
        <w:rPr>
          <w:rtl w:val="true"/>
        </w:rPr>
        <w:t xml:space="preserve">: </w:t>
      </w:r>
      <w:r>
        <w:rPr>
          <w:rtl w:val="true"/>
        </w:rPr>
        <w:t>فيما لو تلفت من غير تعدٍّ أو تفريط أو أخذت منه قهرا</w:t>
      </w:r>
      <w:bookmarkEnd w:id="371"/>
    </w:p>
    <w:p>
      <w:pPr>
        <w:pStyle w:val="BookText"/>
        <w:rPr/>
      </w:pPr>
      <w:r>
        <w:rPr>
          <w:rFonts w:ascii="Amiri" w:hAnsi="Amiri" w:eastAsia="Amiri" w:cs="Amiri"/>
          <w:color w:val="111111"/>
          <w:sz w:val="28"/>
          <w:sz w:val="28"/>
          <w:szCs w:val="28"/>
          <w:rtl w:val="true"/>
          <w:lang w:bidi="ar-SA"/>
        </w:rPr>
        <w:t>لو تلفت الوديعة في يد المستودع من دون تعدّ منه أو تفريط لم‌يضمنها؛ و ذلك لقوله عليه‌السلام في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الوديعة و البضاعة مؤتمنان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غيرها من الروايات الآتية في مطاوي مباحث الكتاب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الاجماع بقسميه عليه، مضافا الى الأصل، و قاعدة الايتمان المعلوم من الكتاب و السنّة و الاجماع و العقل عدم استتباعها الضمان</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لايضمن المستودع الوديعة لو أخذها منه ظالم قهرا سواء انتزعها من يده أو أمره بدفعها اليه بنفسه فدفعها كرها؛ و ذلك لعدم صدق التفريط و الخيانة </w:t>
      </w:r>
    </w:p>
    <w:p>
      <w:pPr>
        <w:pStyle w:val="BookText"/>
        <w:rPr/>
      </w:pPr>
      <w:r>
        <w:rPr>
          <w:rFonts w:ascii="Amiri" w:hAnsi="Amiri" w:eastAsia="Amiri" w:cs="Amiri"/>
          <w:color w:val="111111"/>
          <w:sz w:val="28"/>
          <w:sz w:val="28"/>
          <w:szCs w:val="28"/>
          <w:rtl w:val="true"/>
          <w:lang w:bidi="ar-SA"/>
        </w:rPr>
        <w:t>مضافا ما ورد من رفع الأثر عن الفعل الواقع اكراها كقوله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عن أمّتى الخطأ و النسيان و ما استكرهوا عليه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الشامل للوضعيّات أيضا على ما أوضحناه في مباحثنا في الأصول</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نعم، لو أمكن له دفع الظالم و لو ببذل شيء من ماله فسيأتي حكمه في الفرع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فرق في الأخذ قهرا بين أن‌يتولّى أخذها من يده، و بين أن‌يأمره بدفعها اليه بنفسه، فيدفعها له كرها؛ لصدق الاكراه و عدم التفريط فيهما، و لا ضمان عليه فيهما، و انّما ضمان المال على الظالم، فليس للمالك حينئذ مطالبته بوجه، وفاقا للأشهر بل المشهور، و خلافا للمحكي عن أبي الصلاح، و أبي المكارم، و الفاضل في التذكرة، و محكي التحرير من جواز رجوع المالك عليه مع مباشرته الدفع بنفسه الى من أمره الظالم؛ لأنّه باشر تسليم مال الغير بيده،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قرار الضمان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أنّه كماترى منافٍ لاطلاق ما دلّ على عدم ضمانه ممّا عرفت، بل و قاعدة الاحسان و غيرها التي قد عرفت تحكيمها على قاعدة اليد</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عدم جواز مطالبة المستودع؛ لعدم تفريطه و لأنّ الاكراه صيّر فعله منسوبا الى المكره و لأنّه محسن فلا سبيل عليه، و التسليم يكون باذن الشارع فلايستعقب الضمان</w:t>
      </w:r>
      <w:r>
        <w:rPr>
          <w:rFonts w:eastAsia="Amiri" w:cs="Amiri" w:ascii="Amiri" w:hAnsi="Amiri"/>
          <w:color w:val="111111"/>
          <w:sz w:val="28"/>
          <w:szCs w:val="28"/>
          <w:rtl w:val="true"/>
          <w:lang w:bidi="ar-SA"/>
        </w:rPr>
        <w:t xml:space="preserve">. </w:t>
      </w:r>
      <w:bookmarkStart w:id="372" w:name="pg9674_84282"/>
    </w:p>
    <w:p>
      <w:pPr>
        <w:pStyle w:val="Heading2"/>
        <w:numPr>
          <w:ilvl w:val="1"/>
          <w:numId w:val="1"/>
        </w:numPr>
        <w:rPr/>
      </w:pPr>
      <w:bookmarkStart w:id="373" w:name="__RefHeading___Toc7971536_2870459653"/>
      <w:bookmarkStart w:id="374" w:name="_Toc130"/>
      <w:bookmarkEnd w:id="372"/>
      <w:bookmarkEnd w:id="373"/>
      <w:r>
        <w:rPr>
          <w:rtl w:val="true"/>
        </w:rPr>
        <w:t xml:space="preserve">الفرع الثالث </w:t>
      </w:r>
      <w:r>
        <w:rPr>
          <w:rtl w:val="true"/>
        </w:rPr>
        <w:t xml:space="preserve">: </w:t>
      </w:r>
      <w:r>
        <w:rPr>
          <w:rtl w:val="true"/>
        </w:rPr>
        <w:t>فيما لو كان هو الساعي في أخذها منه قهرا</w:t>
      </w:r>
      <w:bookmarkEnd w:id="374"/>
    </w:p>
    <w:p>
      <w:pPr>
        <w:pStyle w:val="BookText"/>
        <w:rPr/>
      </w:pPr>
      <w:r>
        <w:rPr>
          <w:rFonts w:ascii="Amiri" w:hAnsi="Amiri" w:eastAsia="Amiri" w:cs="Amiri"/>
          <w:color w:val="111111"/>
          <w:sz w:val="28"/>
          <w:sz w:val="28"/>
          <w:szCs w:val="28"/>
          <w:rtl w:val="true"/>
          <w:lang w:bidi="ar-SA"/>
        </w:rPr>
        <w:t>لو كان هو الساعي في أخذها منه قهرا توجّه الضمان حينئذ لصدق الخيانة و التفريط بخلاف ما لو كانت السعاية من غيره أو علم الظالم بها من غير سعاية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أخبر اللصّ بها فسرقها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لو أخبر الظالم بالوديعة بدون قصد أخذها منه، أو أظهر محلّ حفظه الذي كان مظنّة الوصول الى الظالم فوصل اليه ففي هذين الموردين و نحوهما هل يصير ضامنا لو أخذها منه الظالم أو السارق قهرا أو كرها؟</w:t>
      </w:r>
    </w:p>
    <w:p>
      <w:pPr>
        <w:pStyle w:val="BookText"/>
        <w:rPr/>
      </w:pPr>
      <w:r>
        <w:rPr>
          <w:rFonts w:ascii="Amiri" w:hAnsi="Amiri" w:eastAsia="Amiri" w:cs="Amiri"/>
          <w:color w:val="111111"/>
          <w:sz w:val="28"/>
          <w:sz w:val="28"/>
          <w:szCs w:val="28"/>
          <w:rtl w:val="true"/>
          <w:lang w:bidi="ar-SA"/>
        </w:rPr>
        <w:t>الظاهر أنّه يرجع الكلام الى تحقّق عنوان الخيانة في الوديعة عند العرف أو بشهادة أهل الخبرة فمع الشكّ فالمرجع اطلاقات عدم الضمان في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التحقيق الحكم ببراءة ذمّة الأمين، و خصوصا الودعي مع الشكّ في تحقّق سبب الضمان، و لو للشكّ في الاندراج تحت ما جعلوه عنوانا له من التعدّي و التفريط؛ لأنّ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مخصّص بقاعدة الايتمان</w:t>
      </w:r>
      <w:r>
        <w:rPr>
          <w:rFonts w:eastAsia="Amiri" w:cs="Amiri" w:ascii="Amiri" w:hAnsi="Amiri"/>
          <w:color w:val="111111"/>
          <w:sz w:val="28"/>
          <w:szCs w:val="28"/>
          <w:rtl w:val="true"/>
          <w:lang w:bidi="ar-SA"/>
        </w:rPr>
        <w:t>».</w:t>
      </w:r>
      <w:r>
        <w:rPr>
          <w:rStyle w:val="FootnoteAnchor"/>
          <w:rtl w:val="true"/>
        </w:rPr>
        <w:footnoteReference w:id="223"/>
      </w:r>
    </w:p>
    <w:p>
      <w:pPr>
        <w:pStyle w:val="Heading2"/>
        <w:numPr>
          <w:ilvl w:val="1"/>
          <w:numId w:val="1"/>
        </w:numPr>
        <w:rPr/>
      </w:pPr>
      <w:bookmarkStart w:id="375" w:name="__RefHeading___Toc7971538_2870459653"/>
      <w:bookmarkStart w:id="376" w:name="_Toc131"/>
      <w:bookmarkEnd w:id="375"/>
      <w:r>
        <w:rPr>
          <w:rtl w:val="true"/>
        </w:rPr>
        <w:t xml:space="preserve">الفرع الرابع </w:t>
      </w:r>
      <w:r>
        <w:rPr>
          <w:rtl w:val="true"/>
        </w:rPr>
        <w:t xml:space="preserve">: </w:t>
      </w:r>
      <w:r>
        <w:rPr>
          <w:rtl w:val="true"/>
        </w:rPr>
        <w:t>فيما لو تمكّن من الدفع</w:t>
      </w:r>
      <w:bookmarkEnd w:id="37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تمكّن من الدفع اللائق به وجب؛ لأنّه مقدّمة للحفظ المأمور به على جهة </w:t>
      </w:r>
    </w:p>
    <w:p>
      <w:pPr>
        <w:pStyle w:val="BookText"/>
        <w:rPr/>
      </w:pPr>
      <w:r>
        <w:rPr>
          <w:rFonts w:ascii="Amiri" w:hAnsi="Amiri" w:eastAsia="Amiri" w:cs="Amiri"/>
          <w:color w:val="111111"/>
          <w:sz w:val="28"/>
          <w:sz w:val="28"/>
          <w:szCs w:val="28"/>
          <w:rtl w:val="true"/>
          <w:lang w:bidi="ar-SA"/>
        </w:rPr>
        <w:t>اطلاق الروايات، و لو لم‌يفعل ذلك مع قدرته عليه ضمن؛ لأنّه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الدفع لحفظ بعضها لو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توقّف الدفع على بذل شيء من ماله فلا اشكال في جوازه و ان كان في وجوبه اشكال و ذلك لما بيّنّاه في البحث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اذا توجّه الضرر ابتداءً الى الغير لايجب على الشخص تحمّل ضرر لئلاّيتحمّله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عليه لو فرض الضرر على المستودع في الدفع و حفظ الوديعة، لم‌يجب عليه خصوصا اذا كان الضرر كثيرا؛ لقاعدة نفي الضرر الاّ أن‌يعلم بأنّ المودع يتحمّل ضرره فحينئذ لايبعد القول بتحمّله؛ لعدم الضرر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لايجب الدفع لو كان موجبا للحرج عليه أو أقربائه و أصدقائه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المرجع في كثرة الضرر و قلّته الى حال المكره، فمنهم من يعدّ الكلمة اليسيرة من الأذى كثيرا في حقّه؛ لكونه شريفا لايليق بحاله ذلك، و منهم من لايعتدّ بأمثال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القول في الضرب و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كان المطلوب الذي لايندفع عنها بدونه بقدرها لم‌يجب بذله قطعا؛ لانتفاء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بذله بنيّة الرجوع به هل يرجع؟ يحتمله؛ لأنّ الوديعة لولاه</w:t>
      </w:r>
    </w:p>
    <w:p>
      <w:pPr>
        <w:pStyle w:val="BookText"/>
        <w:rPr/>
      </w:pPr>
      <w:r>
        <w:rPr>
          <w:rFonts w:ascii="Amiri" w:hAnsi="Amiri" w:eastAsia="Amiri" w:cs="Amiri"/>
          <w:color w:val="111111"/>
          <w:sz w:val="28"/>
          <w:sz w:val="28"/>
          <w:szCs w:val="28"/>
          <w:rtl w:val="true"/>
          <w:lang w:bidi="ar-SA"/>
        </w:rPr>
        <w:t>ذاهبة فيكون بذل قدرها كبذلها، و عدمه؛ لأنّ القدر المأذون فيه شرعا ما يترتّب عليه مصلحة المالك، و هو هنا منتف، فلايكون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الشهيد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الوديعة ان كانت عينا كفرس و كتاب و نحوهما يمكن تعلّق غرض المودع بها عينا، فلا ريب فيأنّ المتّجه جواز الرجوع، و ان بذل تمام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لم‌تكن كذلك فلعلّ المدار على عدم المفسدة على المودع، لا اعتبار المصلحة، فيرجع حينئذ على التقديرين </w:t>
      </w:r>
      <w:bookmarkStart w:id="377" w:name="pg9674_84284"/>
    </w:p>
    <w:p>
      <w:pPr>
        <w:pStyle w:val="BookText"/>
        <w:rPr/>
      </w:pPr>
      <w:bookmarkEnd w:id="377"/>
      <w:r>
        <w:rPr>
          <w:rFonts w:ascii="Amiri" w:hAnsi="Amiri" w:eastAsia="Amiri" w:cs="Amiri"/>
          <w:color w:val="111111"/>
          <w:sz w:val="28"/>
          <w:sz w:val="28"/>
          <w:szCs w:val="28"/>
          <w:rtl w:val="true"/>
          <w:lang w:bidi="ar-SA"/>
        </w:rPr>
        <w:t>بتمام ما بذل و ان كان مستوعبا</w:t>
      </w:r>
      <w:r>
        <w:rPr>
          <w:rFonts w:eastAsia="Amiri" w:cs="Amiri" w:ascii="Amiri" w:hAnsi="Amiri"/>
          <w:color w:val="111111"/>
          <w:sz w:val="28"/>
          <w:szCs w:val="28"/>
          <w:rtl w:val="true"/>
          <w:lang w:bidi="ar-SA"/>
        </w:rPr>
        <w:t>».</w:t>
      </w:r>
      <w:r>
        <w:rPr>
          <w:rStyle w:val="FootnoteAnchor"/>
          <w:rtl w:val="true"/>
        </w:rPr>
        <w:footnoteReference w:id="225"/>
      </w:r>
    </w:p>
    <w:p>
      <w:pPr>
        <w:pStyle w:val="Heading2"/>
        <w:numPr>
          <w:ilvl w:val="1"/>
          <w:numId w:val="1"/>
        </w:numPr>
        <w:rPr/>
      </w:pPr>
      <w:bookmarkStart w:id="378" w:name="__RefHeading___Toc7971540_2870459653"/>
      <w:bookmarkStart w:id="379" w:name="_Toc132"/>
      <w:bookmarkEnd w:id="378"/>
      <w:r>
        <w:rPr>
          <w:rtl w:val="true"/>
        </w:rPr>
        <w:t xml:space="preserve">الفرع الخامس </w:t>
      </w:r>
      <w:r>
        <w:rPr>
          <w:rtl w:val="true"/>
        </w:rPr>
        <w:t xml:space="preserve">: </w:t>
      </w:r>
      <w:r>
        <w:rPr>
          <w:rtl w:val="true"/>
        </w:rPr>
        <w:t>فيما توقّف دفع الظالم عن الوديعة على انكارها كاذبا</w:t>
      </w:r>
      <w:bookmarkEnd w:id="379"/>
    </w:p>
    <w:p>
      <w:pPr>
        <w:pStyle w:val="BookText"/>
        <w:rPr/>
      </w:pPr>
      <w:r>
        <w:rPr>
          <w:rFonts w:ascii="Amiri" w:hAnsi="Amiri" w:eastAsia="Amiri" w:cs="Amiri"/>
          <w:color w:val="111111"/>
          <w:sz w:val="28"/>
          <w:sz w:val="28"/>
          <w:szCs w:val="28"/>
          <w:rtl w:val="true"/>
          <w:lang w:bidi="ar-SA"/>
        </w:rPr>
        <w:t xml:space="preserve">لو توقّف دفع الظالم عن الوديعة على انكارها كاذبا بل على الحلف على ذلك جاز مورّيا بما يخرج به عن الكذب ان أمكن بل وجب؛ لأنّ حفظ الوديعة لمّا كان واجبا و توقّف على اليمين وجبت من باب المقدّمة؛ فانّ اليمين الكاذبة و ان كانت قبيحة الاّ أنّ اذهاب حقّ الآدمي أشدّ قبحا من حقّ اللّه تعالى و لأنّ اليمين الكاذبة عند الضرورة مأذون فيها شرعا بخلاف مال الغير فانّه لايباح اذهابه بغير اذنه مع امكان حفظه بوجه، و متى ترك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يتوقّف حفظ المال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الظالم ضمنه؛ للتفريط؛ تدلّ عليه رواية علاء بيّاع السابري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امرأة أودعت رجلاً مالاً فلمّا حضرها الموت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الذي دفعته اليك لفلانة، و ماتت المرأة فأتى أولياؤها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لصاحبتنا مال لانراه الاّ عندك فأحلف لنا ما لنا قبلك شيء، أ يحلف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مأمونة عنده فليحلف و ان كانت متّهمة عنده فلايحلف، و يضع الأمر على ما كان فانّما لها من مالها ثلثه</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المقام روايات كثيرة دالّة على جواز الحلف باليمين الكاذبة للتقيّة كدفع الظالم عن نفسه أو ماله أو نفس مؤمن أو ماله</w:t>
      </w:r>
      <w:r>
        <w:rPr>
          <w:rFonts w:eastAsia="Amiri" w:cs="Amiri" w:ascii="Amiri" w:hAnsi="Amiri"/>
          <w:color w:val="111111"/>
          <w:sz w:val="28"/>
          <w:szCs w:val="28"/>
          <w:rtl w:val="true"/>
          <w:lang w:bidi="ar-SA"/>
        </w:rPr>
        <w:t xml:space="preserve">. </w:t>
      </w:r>
      <w:bookmarkStart w:id="380" w:name="pg9674_84285"/>
    </w:p>
    <w:p>
      <w:pPr>
        <w:pStyle w:val="Heading2"/>
        <w:numPr>
          <w:ilvl w:val="1"/>
          <w:numId w:val="1"/>
        </w:numPr>
        <w:rPr/>
      </w:pPr>
      <w:bookmarkStart w:id="381" w:name="__RefHeading___Toc7971542_2870459653"/>
      <w:bookmarkStart w:id="382" w:name="_Toc133"/>
      <w:bookmarkEnd w:id="380"/>
      <w:bookmarkEnd w:id="381"/>
      <w:r>
        <w:rPr>
          <w:rtl w:val="true"/>
        </w:rPr>
        <w:t xml:space="preserve">في أنّ الوديعة من العقود الجائزة </w:t>
      </w:r>
      <w:r>
        <w:rPr>
          <w:rtl w:val="true"/>
        </w:rPr>
        <w:t xml:space="preserve">... </w:t>
      </w:r>
      <w:r>
        <w:rPr/>
        <w:t>196</w:t>
      </w:r>
      <w:bookmarkEnd w:id="382"/>
    </w:p>
    <w:p>
      <w:pPr>
        <w:pStyle w:val="BookText"/>
        <w:rPr/>
      </w:pPr>
      <w:r>
        <w:rPr>
          <w:rFonts w:ascii="Amiri" w:hAnsi="Amiri" w:eastAsia="Amiri" w:cs="Amiri"/>
          <w:color w:val="111111"/>
          <w:sz w:val="28"/>
          <w:sz w:val="28"/>
          <w:szCs w:val="28"/>
          <w:rtl w:val="true"/>
          <w:lang w:bidi="ar-SA"/>
        </w:rPr>
        <w:t>و هي عقد جائز من طرفيه يبطل بموت كلّ واحد منهما و بجنونه و تكون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الوديعة عقد جائز من طرفيه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بما يبطل به العقود الجائزة من فسخها و خروج كلّ منهما عن أهليّة التكليف بموت أو جنون أو اغماء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تكون العين في يد الودعي أو في يد من وضع يده عليها حسبة أمانة شرعيّة و يلحقها حكم غيرها من الأمانات الشرعيّة من وجوب ردّها الى مالكها أو وكيله أو ولي أمره فورا، فان أخّر ذلك مع قدرته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الوصول الى المالك أو وكيله أو وليّه سلّمها الى الحاكم؛ لأنّه ولي للغائب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تبطل الوديعة بموت كلّ واحد من المودع و المستودع أو جنونه، فان كان هو المودع تكون في يد الودعي أمانة شرعيّة، فيجب عليه فورا ردّها الى وارث المودع أو وليّه أو اعلامهما بها، فان أهمل لا لعذر شرعي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لعدم العلم بكون من يدّعي الارث وارثا، أو انحصار الوارث فيمن علم كونه وارثا فأخّر الردّ و الاعلام لأجل التروّي و الفحص عن الواقع لم‌يكن عليه ضمان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الوارث متعدّدا سلّمها الى الكلّ أو الى من يقوم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سلّمها الى البعض من غير اذن ضمن حصص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 المستودع تكون أمانة شرعيّة في يد وارثه أو وليّه يجب عليهما ما ذكر منالردّ الى المودع أو اعلامه فورا</w:t>
      </w:r>
      <w:r>
        <w:rPr>
          <w:rFonts w:eastAsia="Amiri" w:cs="Amiri" w:ascii="Amiri" w:hAnsi="Amiri"/>
          <w:color w:val="111111"/>
          <w:sz w:val="28"/>
          <w:szCs w:val="28"/>
          <w:rtl w:val="true"/>
          <w:lang w:bidi="ar-SA"/>
        </w:rPr>
        <w:t>».</w:t>
      </w:r>
      <w:r>
        <w:rPr>
          <w:rStyle w:val="FootnoteAnchor"/>
          <w:rtl w:val="true"/>
        </w:rPr>
        <w:footnoteReference w:id="227"/>
      </w:r>
      <w:bookmarkStart w:id="383" w:name="pg9674_84286"/>
    </w:p>
    <w:p>
      <w:pPr>
        <w:pStyle w:val="Heading2"/>
        <w:numPr>
          <w:ilvl w:val="1"/>
          <w:numId w:val="1"/>
        </w:numPr>
        <w:rPr/>
      </w:pPr>
      <w:bookmarkStart w:id="384" w:name="__RefHeading___Toc7971544_2870459653"/>
      <w:bookmarkStart w:id="385" w:name="_Toc134"/>
      <w:bookmarkEnd w:id="383"/>
      <w:bookmarkEnd w:id="384"/>
      <w:r>
        <w:rPr>
          <w:rtl w:val="true"/>
        </w:rPr>
        <w:t xml:space="preserve">في كيفيّة حفظ الوديعة </w:t>
      </w:r>
      <w:r>
        <w:rPr>
          <w:rtl w:val="true"/>
        </w:rPr>
        <w:t xml:space="preserve">... </w:t>
      </w:r>
      <w:r>
        <w:rPr/>
        <w:t>197</w:t>
      </w:r>
      <w:bookmarkEnd w:id="385"/>
    </w:p>
    <w:p>
      <w:pPr>
        <w:pStyle w:val="BookText"/>
        <w:rPr/>
      </w:pPr>
      <w:r>
        <w:rPr>
          <w:rFonts w:ascii="Amiri" w:hAnsi="Amiri" w:eastAsia="Amiri" w:cs="Amiri"/>
          <w:color w:val="111111"/>
          <w:sz w:val="28"/>
          <w:sz w:val="28"/>
          <w:szCs w:val="28"/>
          <w:rtl w:val="true"/>
          <w:lang w:bidi="ar-SA"/>
        </w:rPr>
        <w:t>و تحفظ الوديعة بما جرت العادة بحفظها كالثوب و الكتب في الصندوق و الدابّة في الاصطبل و الشاة في المراح أو ما يجري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سقي الدابّة و علفها أمره بذلك أو لم‌يأمره، و يجوز أن‌يسقيها بنفسه و بغلامه اتّباعا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اخراجها من منزله لذلك الاّ مع الضرورة كعدم التمكّن من سقيها أو علفها في منزله أو شبه ذلك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لاتعلفها أو لاتسقها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لم‌يجز القبول بل يجب عليه سقيها و 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أخلّ بذلك و الحال هذه أثم و لم‌يضمن؛ لأنّ المالك أسقط الضمان بنهيه كما لو أمره بالقاء ماله في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386" w:name="__RefHeading___Toc7971546_2870459653"/>
      <w:bookmarkStart w:id="387" w:name="_Toc135"/>
      <w:bookmarkEnd w:id="386"/>
      <w:r>
        <w:rPr>
          <w:rtl w:val="true"/>
        </w:rPr>
        <w:t xml:space="preserve">الفرع الأوّل </w:t>
      </w:r>
      <w:r>
        <w:rPr>
          <w:rtl w:val="true"/>
        </w:rPr>
        <w:t xml:space="preserve">: </w:t>
      </w:r>
      <w:r>
        <w:rPr>
          <w:rtl w:val="true"/>
        </w:rPr>
        <w:t>في وجوب حفظ الوديعة بما جرت العادة</w:t>
      </w:r>
      <w:bookmarkEnd w:id="387"/>
    </w:p>
    <w:p>
      <w:pPr>
        <w:pStyle w:val="BookText"/>
        <w:rPr/>
      </w:pPr>
      <w:r>
        <w:rPr>
          <w:rFonts w:ascii="Amiri" w:hAnsi="Amiri" w:eastAsia="Amiri" w:cs="Amiri"/>
          <w:color w:val="111111"/>
          <w:sz w:val="28"/>
          <w:sz w:val="28"/>
          <w:szCs w:val="28"/>
          <w:rtl w:val="true"/>
          <w:lang w:bidi="ar-SA"/>
        </w:rPr>
        <w:t>يجب على المستودع حفظ الوديعة بما جرت العادة بحفظها به و وضعها في الحرز الذي يناسبها كالصندوق المقفّل للثوب و الدراهم و الحلي و نحوها و الاصطبل المضبوط بالغلق للدابّة و المراح كذلك للشاة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لم‌يكن قبل الاستيداع حاصلاً يجب عليه تحصيله بعد قبولها مقدّمة للحفظ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عليه القيام بجميع ما له دخل في صيانتها من التعيّب أو التلف كنشر الثوب في الصيف اذا كان من الصوف أو الابريسم، و علف الدابّة و وقايتهامن الحرّ و البرد، فلو أهمل ذلك ضمنها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لم‌يكن لحفظ الوديعة كيفيّة مخصوصة من قبل الشارع كان المرجع فيه الى العرف، فما عدّ فيه حفظا لمثل تلك الوديعة كان هو الواجب، و لم‌يتعقّبه ضمان لو فرض تلفها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المصنّف من الأمثلة يدلّ عليه </w:t>
      </w:r>
      <w:bookmarkStart w:id="388" w:name="pg9674_84287"/>
    </w:p>
    <w:p>
      <w:pPr>
        <w:pStyle w:val="BookText"/>
        <w:rPr/>
      </w:pPr>
      <w:bookmarkEnd w:id="388"/>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وجوب الحفظ بما جرت به العادة بين علم المودع بأنّ المستودع قادر على تحصيل الحرز المعتبر و عدمه، فلو أودعه دابّة مع علمه أنّه لا اصطبل له، أو مالاً مع علمه أنّه لا صندوق له و نحو ذلك، لم‌يكن عذرا، بل يجب على المستودع بعد قبوله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8"/>
      </w:r>
    </w:p>
    <w:p>
      <w:pPr>
        <w:pStyle w:val="Heading2"/>
        <w:numPr>
          <w:ilvl w:val="1"/>
          <w:numId w:val="1"/>
        </w:numPr>
        <w:rPr/>
      </w:pPr>
      <w:bookmarkStart w:id="389" w:name="__RefHeading___Toc7971548_2870459653"/>
      <w:bookmarkStart w:id="390" w:name="_Toc136"/>
      <w:bookmarkEnd w:id="389"/>
      <w:r>
        <w:rPr>
          <w:rtl w:val="true"/>
        </w:rPr>
        <w:t xml:space="preserve">الفرع الثاني </w:t>
      </w:r>
      <w:r>
        <w:rPr>
          <w:rtl w:val="true"/>
        </w:rPr>
        <w:t xml:space="preserve">: </w:t>
      </w:r>
      <w:r>
        <w:rPr>
          <w:rtl w:val="true"/>
        </w:rPr>
        <w:t>في حفظ الدابّة المودعة</w:t>
      </w:r>
      <w:bookmarkEnd w:id="390"/>
    </w:p>
    <w:p>
      <w:pPr>
        <w:pStyle w:val="BookText"/>
        <w:rPr/>
      </w:pPr>
      <w:r>
        <w:rPr>
          <w:rFonts w:ascii="Amiri" w:hAnsi="Amiri" w:eastAsia="Amiri" w:cs="Amiri"/>
          <w:color w:val="111111"/>
          <w:sz w:val="28"/>
          <w:sz w:val="28"/>
          <w:szCs w:val="28"/>
          <w:rtl w:val="true"/>
          <w:lang w:bidi="ar-SA"/>
        </w:rPr>
        <w:t>لو كانت الوديعة دابّة يجب عليه سقيها و علفها و غيرهما ممّا يحتاج اليه و لو لم‌يأمر به المالك؛ لأنّها مقدّمة لحفظ الوديعة الذي يجب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أن‌يكون ذلك بمباشرته و أن‌يكون ذلك في موضعها فيجوز أن‌يسقيها بواسطة غلامه مثلاً و كذا يجوز اخراجها من منزله للسقي و ان أمكن سقيها في موضعها بعد جريان العادة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الطريق مخوفا لم‌يجز اخراجها كما أنّه لايجوز أن‌يولّي غيره لذلك اذا كان غير مأمون الاّ مع مصاحبة أمين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أودعه الحيوان المفتقر الى النفقة فلايخلو امّا أن‌يأمره بالانفاق عليه أو ينهاه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أمره أنفق و رجع عليه بما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فيهواضح</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أطلق توصّل الى اذنه أو اذن وكيله فيه، فان تعذّر رفع أمره الى الحاكم ليأمره به ان شاء، أو يستدين عليه، أو يبيع بعضه للنفقة، أو ينصب أمينا عليه، فان تعذّر الحاكم أنفق هو و أشهد عليه و رجع مع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الاشهاد اقتصر على نيّة الرجوع</w:t>
      </w:r>
      <w:r>
        <w:rPr>
          <w:rFonts w:eastAsia="Amiri" w:cs="Amiri" w:ascii="Amiri" w:hAnsi="Amiri"/>
          <w:color w:val="111111"/>
          <w:sz w:val="28"/>
          <w:szCs w:val="28"/>
          <w:rtl w:val="true"/>
          <w:lang w:bidi="ar-SA"/>
        </w:rPr>
        <w:t xml:space="preserve">. </w:t>
      </w:r>
      <w:bookmarkStart w:id="391" w:name="pg9674_84288"/>
    </w:p>
    <w:p>
      <w:pPr>
        <w:pStyle w:val="BookText"/>
        <w:rPr/>
      </w:pPr>
      <w:bookmarkEnd w:id="391"/>
      <w:r>
        <w:rPr>
          <w:rFonts w:ascii="Amiri" w:hAnsi="Amiri" w:eastAsia="Amiri" w:cs="Amiri"/>
          <w:color w:val="111111"/>
          <w:sz w:val="28"/>
          <w:sz w:val="28"/>
          <w:szCs w:val="28"/>
          <w:rtl w:val="true"/>
          <w:lang w:bidi="ar-SA"/>
        </w:rPr>
        <w:t>و في حكم الحيوان، الشجر الذي يفتقر الى السقي و غيره من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النفقة على الحيوان ما يفتقر اليه من الدواء 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ينفق مع عدم الاشهاد، امّا لتعذّره أو لعدم اشتراطه، و اختلفا في قدره فالقول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اختلفا في مدّة الانفاق فالقول قول المودع؛ عملاً بالأصل في الموضعين</w:t>
      </w:r>
      <w:r>
        <w:rPr>
          <w:rFonts w:eastAsia="Amiri" w:cs="Amiri" w:ascii="Amiri" w:hAnsi="Amiri"/>
          <w:color w:val="111111"/>
          <w:sz w:val="28"/>
          <w:szCs w:val="28"/>
          <w:rtl w:val="true"/>
          <w:lang w:bidi="ar-SA"/>
        </w:rPr>
        <w:t>».</w:t>
      </w:r>
      <w:r>
        <w:rPr>
          <w:rStyle w:val="FootnoteAnchor"/>
          <w:rtl w:val="true"/>
        </w:rPr>
        <w:footnoteReference w:id="229"/>
      </w:r>
    </w:p>
    <w:p>
      <w:pPr>
        <w:pStyle w:val="Heading2"/>
        <w:numPr>
          <w:ilvl w:val="1"/>
          <w:numId w:val="1"/>
        </w:numPr>
        <w:rPr/>
      </w:pPr>
      <w:bookmarkStart w:id="392" w:name="__RefHeading___Toc7971550_2870459653"/>
      <w:bookmarkStart w:id="393" w:name="_Toc137"/>
      <w:bookmarkEnd w:id="392"/>
      <w:r>
        <w:rPr>
          <w:rtl w:val="true"/>
        </w:rPr>
        <w:t xml:space="preserve">الفرع الثالث </w:t>
      </w:r>
      <w:r>
        <w:rPr>
          <w:rtl w:val="true"/>
        </w:rPr>
        <w:t xml:space="preserve">: </w:t>
      </w:r>
      <w:r>
        <w:rPr>
          <w:rtl w:val="true"/>
        </w:rPr>
        <w:t>فيما لو نهى مالك الدابّة عن سقيها و علفها</w:t>
      </w:r>
      <w:bookmarkEnd w:id="393"/>
    </w:p>
    <w:p>
      <w:pPr>
        <w:pStyle w:val="BookText"/>
        <w:rPr/>
      </w:pPr>
      <w:r>
        <w:rPr>
          <w:rFonts w:ascii="Amiri" w:hAnsi="Amiri" w:eastAsia="Amiri" w:cs="Amiri"/>
          <w:color w:val="111111"/>
          <w:sz w:val="28"/>
          <w:sz w:val="28"/>
          <w:szCs w:val="28"/>
          <w:rtl w:val="true"/>
          <w:lang w:bidi="ar-SA"/>
        </w:rPr>
        <w:t>لو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لاتعلفها و لاتسقها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لم‌يجز القبول بل يجب عليه سقيها و علفها؛ لحرمة تضييع المال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أخلّ بذلك و الحال هذه أثم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لايضمن؛ لأنّ المالك أسقط الضمان بنهيه كما لو أمره بالقاء ماله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تأمّل يظهر وجهه ممّا ذكره صاحب الجواهر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لم‌يجز ترك العلف و السقي مع النهي عنهما لأنّه حقّ للّه تعالى كما أنّه حقّ للمالك، فلايسقط حقّ اللّه تعالى باسقاط المالك حقّه، و لأنّ اتلاف المال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وجوبهما مع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تركهما أثم و لم‌يضمن؛ أمّا الاثم فلتركه حقّ اللّه تعالى، و ايجابه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الضمان فلأنّ الماليّة حقّ للمالك و قد أسقط عنه الضمان بنهيه، و كان في ذلك كالاذن في اتلاف ماله فلايتعقّبه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ما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يبقى اشكال في أصل صحّة الوديعة على </w:t>
      </w:r>
      <w:bookmarkStart w:id="394" w:name="pg9674_84289"/>
    </w:p>
    <w:p>
      <w:pPr>
        <w:pStyle w:val="BookText"/>
        <w:rPr/>
      </w:pPr>
      <w:bookmarkEnd w:id="394"/>
      <w:r>
        <w:rPr>
          <w:rFonts w:ascii="Amiri" w:hAnsi="Amiri" w:eastAsia="Amiri" w:cs="Amiri"/>
          <w:color w:val="111111"/>
          <w:sz w:val="28"/>
          <w:sz w:val="28"/>
          <w:szCs w:val="28"/>
          <w:rtl w:val="true"/>
          <w:lang w:bidi="ar-SA"/>
        </w:rPr>
        <w:t>هذا الوجه المقتضي سفاهة المالك، فيصير المال حينئذ في يده أمانة شرعيّة يجب ردّها الى المالك أو وليّه، اللّهمّ الاّ أن‌يفرض في وجه لا سفه فيه،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السفه لايؤثّر فسادا بدون تحجير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في صحّة الوديعة المأذون فيها بالتفريط مطلقا، أو في شيء خاصّ كما أنّه قد يقال بوجوب الحفظ على من في يده المال، و ان أذن المالك باتلافه</w:t>
      </w:r>
      <w:r>
        <w:rPr>
          <w:rFonts w:eastAsia="Amiri" w:cs="Amiri" w:ascii="Amiri" w:hAnsi="Amiri"/>
          <w:color w:val="111111"/>
          <w:sz w:val="28"/>
          <w:szCs w:val="28"/>
          <w:rtl w:val="true"/>
          <w:lang w:bidi="ar-SA"/>
        </w:rPr>
        <w:t>».</w:t>
      </w:r>
      <w:r>
        <w:rPr>
          <w:rStyle w:val="FootnoteAnchor"/>
          <w:rtl w:val="true"/>
        </w:rPr>
        <w:footnoteReference w:id="231"/>
      </w:r>
    </w:p>
    <w:p>
      <w:pPr>
        <w:pStyle w:val="Heading2"/>
        <w:numPr>
          <w:ilvl w:val="1"/>
          <w:numId w:val="1"/>
        </w:numPr>
        <w:rPr/>
      </w:pPr>
      <w:bookmarkStart w:id="395" w:name="__RefHeading___Toc7971552_2870459653"/>
      <w:bookmarkStart w:id="396" w:name="_Toc138"/>
      <w:bookmarkEnd w:id="395"/>
      <w:r>
        <w:rPr>
          <w:rtl w:val="true"/>
        </w:rPr>
        <w:t xml:space="preserve">فيما لو عيّن له موضع الاحتفاظ </w:t>
      </w:r>
      <w:r>
        <w:rPr>
          <w:rtl w:val="true"/>
        </w:rPr>
        <w:t xml:space="preserve">... </w:t>
      </w:r>
      <w:r>
        <w:rPr/>
        <w:t>200</w:t>
      </w:r>
      <w:bookmarkEnd w:id="396"/>
    </w:p>
    <w:p>
      <w:pPr>
        <w:pStyle w:val="BookText"/>
        <w:rPr/>
      </w:pPr>
      <w:r>
        <w:rPr>
          <w:rFonts w:ascii="Amiri" w:hAnsi="Amiri" w:eastAsia="Amiri" w:cs="Amiri"/>
          <w:color w:val="111111"/>
          <w:sz w:val="28"/>
          <w:sz w:val="28"/>
          <w:szCs w:val="28"/>
          <w:rtl w:val="true"/>
          <w:lang w:bidi="ar-SA"/>
        </w:rPr>
        <w:t>و لو عيّن له موضع الاحتفاظ اقتصر عليه فلو نقلها ضمن الاّ الى أحرز أو مثله على قول، و لايجوز نقلها الى ما دونه و لو كان حرزا الاّ مع الخوف مع ابقائها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لاتنقلها من هذا الحرز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بالنقل كيف كان الاّ أن‌يخاف تلفها فيه،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عيّن المودع موضعا خاصّا لحفظ الوديعة اقتصر عليه، و لايجوز نقلها الى غيره بعد وضعها فيه و ان كان أحفظ؛ لعدم جواز التصرّف في مال الغير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حفظها في ذلك المحلّ معرّضا للتلف جاز نقلها الى مكان آخر أحفظ</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نهاه عن نقلها عن المعيّن لم‌يجز نقلها الى غيره و ان كانأحرز اجماعا، الاّ أن‌يخاف عليها في المعيّن، فانّه حينئذ يجوز نقلها الى المساوي و الأحرز مع الامكان، و الاّ الى الأدون، بل يجب؛ لأنّ الحفظ عليه واجب و لايتمّ الاّ بالنقل، و للنهي عن اضاعة المال، فلايسقط هذا الحكم بنهي المالك، و ان صرّح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هنا لو ترك نقلها أثم و لا ضمان؛ لاسقاط المالك له عنه</w:t>
      </w:r>
      <w:r>
        <w:rPr>
          <w:rFonts w:eastAsia="Amiri" w:cs="Amiri" w:ascii="Amiri" w:hAnsi="Amiri"/>
          <w:color w:val="111111"/>
          <w:sz w:val="28"/>
          <w:szCs w:val="28"/>
          <w:rtl w:val="true"/>
          <w:lang w:bidi="ar-SA"/>
        </w:rPr>
        <w:t>».</w:t>
      </w:r>
      <w:r>
        <w:rPr>
          <w:rStyle w:val="FootnoteAnchor"/>
          <w:rtl w:val="true"/>
        </w:rPr>
        <w:footnoteReference w:id="232"/>
      </w:r>
      <w:bookmarkStart w:id="397" w:name="pg9674_84290"/>
    </w:p>
    <w:p>
      <w:pPr>
        <w:pStyle w:val="BookText"/>
        <w:rPr/>
      </w:pPr>
      <w:bookmarkEnd w:id="39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عدم الضمان اشكال كما تقدّم، فانّا اذا قلنا بوجوب الحفظ فلو أهمل و فرّط فيبعد القول بعدم الضمان و ان نهاه المالك، فانّ المستودع في هذا الفرض غير مأذون شرعا في الاتلاف كما أنّه غير مأذون في اتلاف الدابّة فيما تقدّم من الفرع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نقلها الى غير المعيّن و توقّف النقل على أجرة فان لم‌يتبرّع بذلك بل كان من نيّته الرجوع فيرجع بها الى المالك</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7971554_2870459653"/>
      <w:bookmarkStart w:id="399" w:name="_Toc139"/>
      <w:bookmarkEnd w:id="398"/>
      <w:r>
        <w:rPr>
          <w:rtl w:val="true"/>
        </w:rPr>
        <w:t xml:space="preserve">في وديعة الطفل و المجنون </w:t>
      </w:r>
      <w:r>
        <w:rPr>
          <w:rtl w:val="true"/>
        </w:rPr>
        <w:t xml:space="preserve">... </w:t>
      </w:r>
      <w:r>
        <w:rPr/>
        <w:t>201</w:t>
      </w:r>
      <w:bookmarkEnd w:id="399"/>
    </w:p>
    <w:p>
      <w:pPr>
        <w:pStyle w:val="BookText"/>
        <w:rPr/>
      </w:pPr>
      <w:r>
        <w:rPr>
          <w:rFonts w:ascii="Amiri" w:hAnsi="Amiri" w:eastAsia="Amiri" w:cs="Amiri"/>
          <w:color w:val="111111"/>
          <w:sz w:val="28"/>
          <w:sz w:val="28"/>
          <w:szCs w:val="28"/>
          <w:rtl w:val="true"/>
          <w:lang w:bidi="ar-SA"/>
        </w:rPr>
        <w:t>و لاتصحّ وديعة الطفل و لا المجنون و يضمن القابض و لايبرأ بردّها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لايصحّ أن‌يستودعا، و لو أودعا لم‌يضمنا بالاهمال؛ لأنّ المودع لهما متلف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كلّ من المستودع و المودع البلوغ و العقل فلايصحّ استيداع الصبي و لا المجنون و كذا ايداعهما من غير فرق بين كون المال لهما أو لغيرهما من الكاملين، بل لايجوز لأحد وضع اليد على ما أودعاه، و لو أخذ منهما أحد ضمنه ولايبرأ بردّها اليهما و انّما يبرأ بايصاله الى 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بأخذه منهما اذا خيف هلاكه و تلفه في أيديهما فيؤخذ بعنوان الحسبة في الحفظ ولكن لايصير بذلك وديعة و أمانة مالكيّة، بل تكون أمانة شرعيّة يجب عليه حفظها و المبادرة الى ايصالها الى وليّهما و اعلامه بكونها عنده و ليس عليه ضمان لو تلف في يده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عدم جواز قبول الوديعة منهما؛ لعدم أهليّتهما للاذن، فيكون وضع يد المستودع على المال بغير حقّ، 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w:t>
      </w:r>
    </w:p>
    <w:p>
      <w:pPr>
        <w:pStyle w:val="BookText"/>
        <w:rPr/>
      </w:pPr>
      <w:r>
        <w:rPr>
          <w:rFonts w:ascii="Amiri" w:hAnsi="Amiri" w:eastAsia="Amiri" w:cs="Amiri"/>
          <w:color w:val="111111"/>
          <w:sz w:val="28"/>
          <w:sz w:val="28"/>
          <w:szCs w:val="28"/>
          <w:rtl w:val="true"/>
          <w:lang w:bidi="ar-SA"/>
        </w:rPr>
        <w:t>بين أن‌يكون المال لهما و لغيرهما، و ان ادّعيا اذن المالك لهما في الايداع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استودعا لم‌يضمنا بالاهمال؛ لأنّ المودع لهما متلف ماله؛ حيث أودعه من لايكلّف بحفظه؛ لأنّ وجوب الحفظ من خطاب الشرع و هو مختصّ بالمكلّفين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لايعارضه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وجوب الدفع و التكليف بالردّ، فيكون مختصّا بالمكلّف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تلفت الوديعة بغير الاهمال بأن‌تعدّيا فيها فتلفت فهما يضمنان؛ لأنّ الاتلاف لمال الغير سبب في الضمان اذا وقع بغير اذنه، و الأسباب من باب خطاب الوضع يشترك فيها الصغير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القول في كلّ ما يتلفانه من مال الغير و يأكلانه منه، فانّهما يضمنانه و ان لم‌يكن لهما مال حين الاتلاف؛ لأنّ تعلّق الحقّ بالذمّة لايتوقّف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ايجاب التخلّص من الحقّ عليهما يتوقّف على التكليف كما مرّ، فقبله يكون المخاطب بالدفع من مالهما الولي ان كان لهما مال، و الاّ كان دينا عليهما يجب عليهما قضاؤه بعد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موتهما قبله و لا مال لهما، أو لهما مال و لم‌يعلم الولي بالحال، لم‌يؤاخذ به في الآخرة، بخلاف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المميّز و غيره؛ لأنّ المقتضي للضمان و هو الاتلاف موجود، و المانع و هو كون غير المميّز غير قاصد ضعيف؛ لأنّ القصد لا مدخل له في الضمان وعدمه، كما يعلم من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أودع عند الصبي و المجنون مال لم‌يضمناه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يضمنان بالاتلاف اذا كانا مميّزين، و التمييز في الصبي معلوم، و أمّا المجنون فبأن‌يكون له قدرة درك في الجملة</w:t>
      </w:r>
      <w:r>
        <w:rPr>
          <w:rFonts w:eastAsia="Amiri" w:cs="Amiri" w:ascii="Amiri" w:hAnsi="Amiri"/>
          <w:color w:val="111111"/>
          <w:sz w:val="28"/>
          <w:szCs w:val="28"/>
          <w:rtl w:val="true"/>
          <w:lang w:bidi="ar-SA"/>
        </w:rPr>
        <w:t xml:space="preserve">. </w:t>
      </w:r>
      <w:bookmarkStart w:id="400" w:name="pg9674_84292"/>
    </w:p>
    <w:p>
      <w:pPr>
        <w:pStyle w:val="BookText"/>
        <w:rPr/>
      </w:pPr>
      <w:bookmarkEnd w:id="400"/>
      <w:r>
        <w:rPr>
          <w:rFonts w:ascii="Amiri" w:hAnsi="Amiri" w:eastAsia="Amiri" w:cs="Amiri"/>
          <w:color w:val="111111"/>
          <w:sz w:val="28"/>
          <w:sz w:val="28"/>
          <w:szCs w:val="28"/>
          <w:rtl w:val="true"/>
          <w:lang w:bidi="ar-SA"/>
        </w:rPr>
        <w:t>و أمّا لو لم‌يكونا مميّزين فالظاهر عدم ضمانهما؛ و ذلك لأنّ السبب و هو المودع يكون أقوى من المباشر فهو ضامن، كما في غير المقام ممّا يكون الاتلاف فيه مستندا الى سبب و مباشر، مضافا الى أنّ العرف و العقلاء لايعتبرون لغير المميّز و المجنون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المقام ممّا يتّحد فيه السبب و المباشر اذا أتلف الصبي أو المجنون شيئا، فالضمان ثابت بقاعدة 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ظهر للمودع أمارة الموت وجب الاشهاد بها، و لو لم‌يشهد و أنكر الورثة كان القول قولهم و لا يمين عليهم الاّ أن‌يدّعى عليهم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ظهر للمستودع أمارة الموت بسبب المرض المخوف أو غيره يجب عليه ردّها الى مالكها أو وكيله مع الامكان و الاّ فالى الحاكم، و مع فقده يوصي و يشهد بها، فلو أهمل عن ذلك أيضا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الايصاء و الاشهاد بنحو يترتّب عليهما حفظ الوديعة و عدم ذهابها على مالكها فلا بدّ من ذكر الجنس و الوصف و تعيين المكان و المالك، فلايكفي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وديعة لبعض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مثل هذالايجدي في ايصالها الى مالكها</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7971556_2870459653"/>
      <w:bookmarkStart w:id="402" w:name="_Toc140"/>
      <w:bookmarkEnd w:id="401"/>
      <w:r>
        <w:rPr>
          <w:rtl w:val="true"/>
        </w:rPr>
        <w:t xml:space="preserve">فيما اذا ظهر للمودع أمارة الموت </w:t>
      </w:r>
      <w:r>
        <w:rPr>
          <w:rtl w:val="true"/>
        </w:rPr>
        <w:t xml:space="preserve">... </w:t>
      </w:r>
      <w:r>
        <w:rPr/>
        <w:t>203</w:t>
      </w:r>
      <w:bookmarkEnd w:id="402"/>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ظهر للمودع أمارة الموت فالأقوى وجوب الردّ على المالك مع الامكان و الاّ فالحاكم، و الاّ فعدول المؤمنين، و مع فرض التعذّر يشهد عليها حينئذ و يوصي بردّها؛ و ذلك لاطلاق وجوب ردّ الأمانة الى أهلها، و الخطابات المطلقة فتضيّق بظنّ الوفاة؛ لعدم الوثوق حينئذ بزمان غيره لامتثال الخطاب بردّ الأمانة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لم‌يشهد و أنكر الورثة، كان القول قولهم، و لا يمين عليهم الاّ أن‌يدّعى </w:t>
      </w:r>
      <w:bookmarkStart w:id="403" w:name="pg9674_84293"/>
    </w:p>
    <w:p>
      <w:pPr>
        <w:pStyle w:val="BookText"/>
        <w:rPr/>
      </w:pPr>
      <w:bookmarkEnd w:id="403"/>
      <w:r>
        <w:rPr>
          <w:rFonts w:ascii="Amiri" w:hAnsi="Amiri" w:eastAsia="Amiri" w:cs="Amiri"/>
          <w:color w:val="111111"/>
          <w:sz w:val="28"/>
          <w:sz w:val="28"/>
          <w:szCs w:val="28"/>
          <w:rtl w:val="true"/>
          <w:lang w:bidi="ar-SA"/>
        </w:rPr>
        <w:t>عليهم العلم كما هو الضابط في الحلف على نفي فعل الغير، سواء كان المراد انكار أصل الوديعة، أو التفريط بترك الاشهاد؛ لاحتمال تلفها بغير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4"/>
      </w:r>
    </w:p>
    <w:p>
      <w:pPr>
        <w:pStyle w:val="Heading2"/>
        <w:numPr>
          <w:ilvl w:val="1"/>
          <w:numId w:val="1"/>
        </w:numPr>
        <w:rPr/>
      </w:pPr>
      <w:bookmarkStart w:id="404" w:name="__RefHeading___Toc7971558_2870459653"/>
      <w:bookmarkStart w:id="405" w:name="_Toc141"/>
      <w:bookmarkEnd w:id="404"/>
      <w:r>
        <w:rPr>
          <w:rtl w:val="true"/>
        </w:rPr>
        <w:t xml:space="preserve">في وجوب اعادة الوديعة على المودع مع المطالبة </w:t>
      </w:r>
      <w:r>
        <w:rPr>
          <w:rtl w:val="true"/>
        </w:rPr>
        <w:t xml:space="preserve">... </w:t>
      </w:r>
      <w:r>
        <w:rPr/>
        <w:t>204</w:t>
      </w:r>
      <w:bookmarkEnd w:id="405"/>
    </w:p>
    <w:p>
      <w:pPr>
        <w:pStyle w:val="BookText"/>
        <w:rPr/>
      </w:pPr>
      <w:r>
        <w:rPr>
          <w:rFonts w:ascii="Amiri" w:hAnsi="Amiri" w:eastAsia="Amiri" w:cs="Amiri"/>
          <w:color w:val="111111"/>
          <w:sz w:val="28"/>
          <w:sz w:val="28"/>
          <w:szCs w:val="28"/>
          <w:rtl w:val="true"/>
          <w:lang w:bidi="ar-SA"/>
        </w:rPr>
        <w:t>و تجب اعادة الوديعة على المودع مع المطالبة و لو كان كافرا الاّ أن‌يكون المودع غاصبا لها فيمنع منها، و لو مات فطلبها وارثه وجب الانكار و يجب اعادتها على المغصوب منه ان عرف، و ان جهل عرّفت سنة ثمّ جاز التصدّق بها عن المالك، و يضمن المتصدّق ان كره صاحبها، و لو كان الغاصب مزجها بماله ثمّ أودع الجميع فان أمكن المستودع تمييز المالين ردّ عليه ماله و منع الآخر، و ان لم‌يمكن تمييزهما وجب اعادتهما على الغاصب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406" w:name="__RefHeading___Toc7971560_2870459653"/>
      <w:bookmarkStart w:id="407" w:name="_Toc142"/>
      <w:bookmarkEnd w:id="406"/>
      <w:r>
        <w:rPr>
          <w:rtl w:val="true"/>
        </w:rPr>
        <w:t xml:space="preserve">الفرع الأوّل </w:t>
      </w:r>
      <w:r>
        <w:rPr>
          <w:rtl w:val="true"/>
        </w:rPr>
        <w:t xml:space="preserve">: </w:t>
      </w:r>
      <w:r>
        <w:rPr>
          <w:rtl w:val="true"/>
        </w:rPr>
        <w:t>في وجوب ردّ الوديعة عند المطالبة</w:t>
      </w:r>
      <w:bookmarkEnd w:id="407"/>
    </w:p>
    <w:p>
      <w:pPr>
        <w:pStyle w:val="BookText"/>
        <w:rPr/>
      </w:pPr>
      <w:r>
        <w:rPr>
          <w:rFonts w:ascii="Amiri" w:hAnsi="Amiri" w:eastAsia="Amiri" w:cs="Amiri"/>
          <w:color w:val="111111"/>
          <w:sz w:val="28"/>
          <w:sz w:val="28"/>
          <w:szCs w:val="28"/>
          <w:rtl w:val="true"/>
          <w:lang w:bidi="ar-SA"/>
        </w:rPr>
        <w:t>يجب ردّ الوديعة عند المطالبة في أوّل وقت الامكان و ان كان المودع كافرا محترم المال، بل و ان كان حربيّا مباح المال على الأحوط؛ و الدليل على وجوب ردّ الوديعة من الكتاب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يأمركم أن‌تؤدّوا الامانات الى أهلها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 من السنّة صحيحة الحسين بن أبي العلاء عن أبي عبداللّه عليه‌السلام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لم‌يبعث نبيّا الاّ بصدق الحديث و أداء الأمانة الى </w:t>
      </w:r>
    </w:p>
    <w:p>
      <w:pPr>
        <w:pStyle w:val="BookText"/>
        <w:rPr/>
      </w:pPr>
      <w:r>
        <w:rPr>
          <w:rFonts w:ascii="IRNazanin" w:hAnsi="IRNazanin" w:eastAsia="IRNazanin"/>
          <w:color w:val="111111"/>
          <w:sz w:val="28"/>
          <w:sz w:val="28"/>
          <w:szCs w:val="28"/>
          <w:rtl w:val="true"/>
          <w:lang w:bidi="fa-IR"/>
        </w:rPr>
        <w:t>البرّ و الفاجر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رواية الحسين بن مصعب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عذر لأحد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الى البرّ و الفاجر، و الوفاء بالعهد للبرّ و الفاجر، و 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حيث انّ من روى عن الحسين بن مصعب الهمداني الذي لم‌يرد فيه توثيق، هو ابن أبي عمير فالرواية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الحسين الشيباني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يستحلّ مال بني أميّة و دماءهم و انّه وقع لهم عنده وديعة،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الى أهلها وان كانوا مجوسا، فانّ ذلك لايكون حتّى يقوم قائمنا فيحلّ و يحرّم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موثّقة اسحاق بن عمّار و غيره عن أبي عبداللّه عليه‌السلام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لاتغترّوا بكثرة صلاتهم و لابصيامهم فانّ الرجل ربّما لهج بالصلاة و الصوم حتّى لو تركه استوحش ولكن اختبروهم عند صدق الحديث و أداء الأمانة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رواية ابراهيم بن محمّد الهمداني عن محمّد بن علي الجواد عليهماالسلام عن أبيه عن آبائه عن علي عليهم‌السلام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لاتنظروا الى كثرة صلاتهم و صومهم و كثرة الحجّ و المعروف و </w:t>
      </w:r>
      <w:bookmarkStart w:id="408" w:name="pg9674_84295"/>
    </w:p>
    <w:p>
      <w:pPr>
        <w:pStyle w:val="BookText"/>
        <w:rPr/>
      </w:pPr>
      <w:bookmarkEnd w:id="408"/>
      <w:r>
        <w:rPr>
          <w:rFonts w:ascii="Amiri" w:hAnsi="Amiri" w:eastAsia="Amiri" w:cs="Amiri"/>
          <w:color w:val="111111"/>
          <w:sz w:val="28"/>
          <w:sz w:val="28"/>
          <w:szCs w:val="28"/>
          <w:rtl w:val="true"/>
          <w:lang w:bidi="ar-SA"/>
        </w:rPr>
        <w:t>طنطنتهم بالليل، انظروا الى صدق الحديث و أداء الأمانة</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صحيحة أبي ولاّد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ايمانه و لو كان ما بين قرنه الى قدمه ذنوبا لم‌ينقصه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الصدق و أداء الأمانة و الحياء و حسن الخلق</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رواية أبي حمزة الثمالي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سيّد العابدين علي بن الحسين بن علي بن أبي طالب عليهم‌السلام يقول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بأداء الأمانة فوالذي بعث محمّدا بالحقّ نبيّا لو أنّ قاتل أبي الحسين بن علي عليهماالسلام ائتمنني على السيف الذي قتله به لأدّيته اليه</w:t>
      </w:r>
      <w:r>
        <w:rPr>
          <w:rFonts w:eastAsia="Amiri" w:cs="Amiri" w:ascii="Amiri" w:hAnsi="Amiri"/>
          <w:color w:val="111111"/>
          <w:sz w:val="28"/>
          <w:szCs w:val="28"/>
          <w:rtl w:val="true"/>
          <w:lang w:bidi="ar-SA"/>
        </w:rPr>
        <w:t>».</w:t>
      </w:r>
      <w:r>
        <w:rPr>
          <w:rStyle w:val="FootnoteAnchor"/>
          <w:rtl w:val="true"/>
        </w:rPr>
        <w:footnoteReference w:id="242"/>
      </w:r>
    </w:p>
    <w:p>
      <w:pPr>
        <w:pStyle w:val="Heading2"/>
        <w:numPr>
          <w:ilvl w:val="1"/>
          <w:numId w:val="1"/>
        </w:numPr>
        <w:rPr/>
      </w:pPr>
      <w:bookmarkStart w:id="409" w:name="__RefHeading___Toc7971562_2870459653"/>
      <w:bookmarkStart w:id="410" w:name="_Toc143"/>
      <w:bookmarkEnd w:id="409"/>
      <w:r>
        <w:rPr>
          <w:rtl w:val="true"/>
        </w:rPr>
        <w:t xml:space="preserve">الفرع الثاني </w:t>
      </w:r>
      <w:r>
        <w:rPr>
          <w:rtl w:val="true"/>
        </w:rPr>
        <w:t xml:space="preserve">: </w:t>
      </w:r>
      <w:r>
        <w:rPr>
          <w:rtl w:val="true"/>
        </w:rPr>
        <w:t>فيما اذا كان المودع غاصبا</w:t>
      </w:r>
      <w:bookmarkEnd w:id="41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أودع اللصّ ما سرقه عند أحد لايجوز له ردّه عليه مع الامكان بل يكون أمانة شرعيّة في يده فيجب عليه ايصاله الى صاحبه ان عرفه و الاّ عرّفه سنة، فان لم‌يجد صاحبه تصدّق به عنه كما في اللقطة، فان جاء بعد ذلك خيّره بين الأجر و الغرم، فان اختار أجر الصدقة كان له و ان اختار الغرامة غرّم له و كان الأجر له؛ يدلّ على ذلك رواية حفص بن غياث قال</w:t>
      </w:r>
      <w:r>
        <w:rPr>
          <w:rFonts w:eastAsia="Amiri" w:cs="Amiri" w:ascii="Amiri" w:hAnsi="Amiri"/>
          <w:color w:val="111111"/>
          <w:sz w:val="28"/>
          <w:szCs w:val="28"/>
          <w:rtl w:val="true"/>
          <w:lang w:bidi="ar-SA"/>
        </w:rPr>
        <w:t xml:space="preserve">: </w:t>
      </w:r>
      <w:bookmarkStart w:id="411" w:name="pg9674_84296"/>
    </w:p>
    <w:p>
      <w:pPr>
        <w:pStyle w:val="BookText"/>
        <w:rPr/>
      </w:pPr>
      <w:bookmarkEnd w:id="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من المسلمين أودعه رجل من اللصوص دراهم أو متاعا و اللصّ مسلم هل يردّ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لايردّه فان أمكنه أن‌يردّه على أصحابه فعل و الاّ كان في يده بمنزلة اللقطة يصيبها، فيعرّفها حولاً فان أصاب صاحبها ردّها عليه و الاّ تصدّق بها، فان جاء طالبها بعد ذلك خيّره بين‌الأجر و الغرم فان اختار الأجر فله الأجر و ان اختار الغرم غرّم له و كان الأجر له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مستنده رواية حفص بن غياث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ضعيف، ولكنّه عندهم مجبور بالشهرة</w:t>
      </w:r>
      <w:r>
        <w:rPr>
          <w:rFonts w:eastAsia="Amiri" w:cs="Amiri" w:ascii="Amiri" w:hAnsi="Amiri"/>
          <w:color w:val="111111"/>
          <w:sz w:val="28"/>
          <w:szCs w:val="28"/>
          <w:rtl w:val="true"/>
          <w:lang w:bidi="ar-SA"/>
        </w:rPr>
        <w:t>».</w:t>
      </w:r>
      <w:r>
        <w:rPr>
          <w:rStyle w:val="FootnoteAnchor"/>
          <w:rtl w:val="true"/>
        </w:rPr>
        <w:footnoteReference w:id="244"/>
      </w:r>
    </w:p>
    <w:p>
      <w:pPr>
        <w:pStyle w:val="Heading2"/>
        <w:numPr>
          <w:ilvl w:val="1"/>
          <w:numId w:val="1"/>
        </w:numPr>
        <w:rPr/>
      </w:pPr>
      <w:bookmarkStart w:id="412" w:name="__RefHeading___Toc7971564_2870459653"/>
      <w:bookmarkStart w:id="413" w:name="_Toc144"/>
      <w:bookmarkEnd w:id="412"/>
      <w:r>
        <w:rPr>
          <w:rtl w:val="true"/>
        </w:rPr>
        <w:t xml:space="preserve">الفرع الثالث </w:t>
      </w:r>
      <w:r>
        <w:rPr>
          <w:rtl w:val="true"/>
        </w:rPr>
        <w:t xml:space="preserve">: </w:t>
      </w:r>
      <w:r>
        <w:rPr>
          <w:rtl w:val="true"/>
        </w:rPr>
        <w:t>فيما لو كان الغاصب مزجها بماله ثمّ أودع الجميع</w:t>
      </w:r>
      <w:bookmarkEnd w:id="41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الغاصب مزجها بماله ثمّ أودع الجميع فان أمكن للمستودع تمييزالمالين ردّ عليه ماله و منع الآخر بلا خلاف و لا اشكال، و ان لم‌يمكن تمييزها و لو بالقسمة الاجباريّة فذهب المصنّف الى وجوب اعادتها على الغاصب و نسبه في الجواهر الى الأصحاب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الغنية و السرائر الاجماع عليه؛ تقديما لاحترام المال المعلوم مالكه، على غيره الذي لايمكن معرفته ليردّ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و تبعه عليه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الأوفق بالقواعد ردّه على الحاكم مع امكانه، ليقسّمه و يردّ على الغاصب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المتّجه قيام عدول المؤمنين مقام </w:t>
      </w:r>
    </w:p>
    <w:p>
      <w:pPr>
        <w:pStyle w:val="BookText"/>
        <w:rPr/>
      </w:pPr>
      <w:r>
        <w:rPr>
          <w:rFonts w:ascii="Amiri" w:hAnsi="Amiri" w:eastAsia="Amiri" w:cs="Amiri"/>
          <w:color w:val="111111"/>
          <w:sz w:val="28"/>
          <w:sz w:val="28"/>
          <w:szCs w:val="28"/>
          <w:rtl w:val="true"/>
          <w:lang w:bidi="ar-SA"/>
        </w:rPr>
        <w:t>الحاكم مع تعذّره و وكيله</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ما ذهب اليه في المسالك و تبعه عليه صاحب الجواهر من لزوم الرجوع الى الحاكم و مع تعذّره الى عدول المؤمنين، و ذلك لأنّ في المقام أمر و نهي، أمّا الأمر فبأداء مال الغاصب اليه، و أمّا النهي فعن ردّ الوديعة الى الغاصب، و لا مجال لامتثالهما معا فعليه الرجوع الى الحاكم</w:t>
      </w:r>
      <w:r>
        <w:rPr>
          <w:rFonts w:eastAsia="Amiri" w:cs="Amiri" w:ascii="Amiri" w:hAnsi="Amiri"/>
          <w:color w:val="111111"/>
          <w:sz w:val="28"/>
          <w:szCs w:val="28"/>
          <w:rtl w:val="true"/>
          <w:lang w:bidi="ar-SA"/>
        </w:rPr>
        <w:t xml:space="preserve">. </w:t>
      </w:r>
      <w:bookmarkStart w:id="414" w:name="pg9674_84298"/>
    </w:p>
    <w:p>
      <w:pPr>
        <w:pStyle w:val="Heading2"/>
        <w:numPr>
          <w:ilvl w:val="1"/>
          <w:numId w:val="1"/>
        </w:numPr>
        <w:rPr/>
      </w:pPr>
      <w:bookmarkStart w:id="415" w:name="__RefHeading___Toc7971566_2870459653"/>
      <w:bookmarkStart w:id="416" w:name="_Toc145"/>
      <w:bookmarkEnd w:id="414"/>
      <w:bookmarkEnd w:id="415"/>
      <w:r>
        <w:rPr>
          <w:rtl w:val="true"/>
        </w:rPr>
        <w:t xml:space="preserve">النظر الثاني </w:t>
      </w:r>
      <w:r>
        <w:rPr>
          <w:rtl w:val="true"/>
        </w:rPr>
        <w:t xml:space="preserve">: </w:t>
      </w:r>
      <w:r>
        <w:rPr>
          <w:rtl w:val="true"/>
        </w:rPr>
        <w:t>في موجبات الضمان</w:t>
      </w:r>
      <w:bookmarkEnd w:id="416"/>
    </w:p>
    <w:p>
      <w:pPr>
        <w:pStyle w:val="BookText"/>
        <w:rPr/>
      </w:pPr>
      <w:r>
        <w:rPr>
          <w:rFonts w:ascii="Amiri" w:hAnsi="Amiri" w:eastAsia="Amiri" w:cs="Amiri"/>
          <w:color w:val="111111"/>
          <w:sz w:val="28"/>
          <w:sz w:val="28"/>
          <w:szCs w:val="28"/>
          <w:rtl w:val="true"/>
          <w:lang w:bidi="ar-SA"/>
        </w:rPr>
        <w:t>و ينظمها قسمان التفريط و التعدّي</w:t>
      </w:r>
    </w:p>
    <w:p>
      <w:pPr>
        <w:pStyle w:val="Heading2"/>
        <w:numPr>
          <w:ilvl w:val="1"/>
          <w:numId w:val="1"/>
        </w:numPr>
        <w:rPr/>
      </w:pPr>
      <w:bookmarkStart w:id="417" w:name="__RefHeading___Toc7971568_2870459653"/>
      <w:bookmarkStart w:id="418" w:name="_Toc146"/>
      <w:bookmarkEnd w:id="417"/>
      <w:r>
        <w:rPr>
          <w:rtl w:val="true"/>
        </w:rPr>
        <w:t xml:space="preserve">القسم الأوّل </w:t>
      </w:r>
      <w:r>
        <w:rPr>
          <w:rtl w:val="true"/>
        </w:rPr>
        <w:t xml:space="preserve">: </w:t>
      </w:r>
      <w:r>
        <w:rPr>
          <w:rtl w:val="true"/>
        </w:rPr>
        <w:t>في التفريط</w:t>
      </w:r>
      <w:bookmarkEnd w:id="418"/>
    </w:p>
    <w:p>
      <w:pPr>
        <w:pStyle w:val="BookText"/>
        <w:rPr/>
      </w:pPr>
      <w:r>
        <w:rPr>
          <w:rFonts w:ascii="Amiri" w:hAnsi="Amiri" w:eastAsia="Amiri" w:cs="Amiri"/>
          <w:color w:val="111111"/>
          <w:sz w:val="28"/>
          <w:sz w:val="28"/>
          <w:szCs w:val="28"/>
          <w:rtl w:val="true"/>
          <w:lang w:bidi="ar-SA"/>
        </w:rPr>
        <w:t>أمّا التفريط فكأن‌يطرحهما فيما ليس بحرز أو يترك سقي الدابّة أو علفها أو نشر الثوب الذي يفتقر الى النشر أو يودعها من غير ضرورة و لا اذن، أو يسافر بها كذلك مع خوف الطريق و مع أمنه و طرح الأقمشة في المواضع التي تعفنها، و كذا لو ترك سقي الدابّة أو علفها مدّة لاتصبر عليها في العادة فماتت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المستودع أمين ليس عليه ضمان لو تلفت الوديعة أو تعيّبت؛ يدلّ على ذلك الاجماع بل الضرورة و نصوص كثيرة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الحلبي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الوديعة و البضاعة مؤتمنان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منها رواية مسعدة بن زياد عن جعفر بن محمّد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أن‌تتّهم من ائتمنته، و لاتأتمن الخائن و قد جرّبته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عليه‌السلام عن المودع اذا كان غير ثقة، هل يقبل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يمين عليه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أمّا لو فرّط المستودع أو تعدّى فهو ضامن كما يدلّ عليه صحيحة محمّد بن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الى رجل وديعة فوضعها في منزل جاره فضاعت، هل يجب عليه اذا خالف أمره و أخرجها عن ملكه؟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ان شاء اللّه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أمّا التفريط فهو الاهمال في محافظتها و ترك ما يوجب حفظها على مجرى العادات بحيث يعدّ معه عند العرف مضيّعا و مسامحا كما اذا طرحها في محلّ ليس بحرز و ذهب عنها غير مراقب لها أو ترك سقي الدابّة و علفها أو ترك نشر ثوب الصوف و الابريسم في الصيف أو أودعها أو سافر بها من غير ضرورة أو ترك التحفّظ من الندى فيما تفسده النداوة كالكتب و بعض الأقمشة و غير 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اشترط المصنّف في الضمان بالايداع شرطين</w:t>
      </w:r>
      <w:r>
        <w:rPr>
          <w:rFonts w:eastAsia="Amiri" w:cs="Amiri" w:ascii="Amiri" w:hAnsi="Amiri"/>
          <w:color w:val="111111"/>
          <w:sz w:val="28"/>
          <w:szCs w:val="28"/>
          <w:rtl w:val="true"/>
          <w:lang w:bidi="ar-SA"/>
        </w:rPr>
        <w:t xml:space="preserve">: </w:t>
      </w:r>
      <w:bookmarkStart w:id="419" w:name="pg9674_84300"/>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الضرورة، فلو حصل ضرورة الى الايداع بأن‌خاف عليها من حرق أو سرق أو نهب، أو أراد سفرا و تعذّر ردّها الى المالك أو وكيله، دفعها الى الحاكم، و لايسمّى ذلك ايداعا، فان تعذّر أودعها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الخارج بالقيد، فلايجوز ايداعها للضرورة ابتداءً، بل على الوجه الذي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المالك في الايداع، فيجوز حينئذ على حسب ما يأذن رتبة و وصفا، فلا ضمان مع الايداع كما نصّ، لا اذا خالف المعيّن مطلقا أو الوصف في غيره الى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أسباب التفريط السفر بالوديعة من غير ضرورة و لا اذن المالك، سواء كان الطريق آمنا أم مخوفا، فاذا أراد السفر وجب عليه ردّها الى المالك أو وكيله كما مرّ، فان تعذّر فعلى الحاكم، فان تعذّر أودعها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50"/>
      </w:r>
    </w:p>
    <w:p>
      <w:pPr>
        <w:pStyle w:val="Heading2"/>
        <w:numPr>
          <w:ilvl w:val="1"/>
          <w:numId w:val="1"/>
        </w:numPr>
        <w:rPr/>
      </w:pPr>
      <w:bookmarkStart w:id="420" w:name="__RefHeading___Toc7971570_2870459653"/>
      <w:bookmarkStart w:id="421" w:name="_Toc147"/>
      <w:bookmarkEnd w:id="420"/>
      <w:r>
        <w:rPr>
          <w:rtl w:val="true"/>
        </w:rPr>
        <w:t xml:space="preserve">القسم الثاني </w:t>
      </w:r>
      <w:r>
        <w:rPr>
          <w:rtl w:val="true"/>
        </w:rPr>
        <w:t xml:space="preserve">: </w:t>
      </w:r>
      <w:r>
        <w:rPr>
          <w:rtl w:val="true"/>
        </w:rPr>
        <w:t>في التعدّي</w:t>
      </w:r>
      <w:bookmarkEnd w:id="421"/>
    </w:p>
    <w:p>
      <w:pPr>
        <w:pStyle w:val="BookText"/>
        <w:rPr/>
      </w:pPr>
      <w:r>
        <w:rPr>
          <w:rFonts w:ascii="Amiri" w:hAnsi="Amiri" w:eastAsia="Amiri" w:cs="Amiri"/>
          <w:color w:val="111111"/>
          <w:sz w:val="28"/>
          <w:sz w:val="28"/>
          <w:szCs w:val="28"/>
          <w:rtl w:val="true"/>
          <w:lang w:bidi="ar-SA"/>
        </w:rPr>
        <w:t>مثل أن‌يلبس الثوب أو يركب الدابّة أو يخرجها من حرزها لينتفع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الانتفاع لم‌يضمن بمجرّد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طلبت منه فامتنع من الردّ مع القدرة ضمن، و كذا لو جحدها ثمّ قامت عليه بيّنة أو اعترف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يضمن لو خلطها بماله بحيث لايتميّز، و كذا لو أودعه مالاً في كيس مختوم ففتح ختمه و كذا لو أودعه كيسين فمزجهما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أمره باجارتهالحمل أخفّ فآجرها لأثقل أو لأسهل فآجرها لأشقّ كالقطن و الحديد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جعلها المالك في حرز مقفّل ثمّ أودعها ففتح المودع الحرز و أخذ </w:t>
      </w:r>
    </w:p>
    <w:p>
      <w:pPr>
        <w:pStyle w:val="BookText"/>
        <w:rPr/>
      </w:pPr>
      <w:r>
        <w:rPr>
          <w:rFonts w:ascii="Amiri" w:hAnsi="Amiri" w:eastAsia="Amiri" w:cs="Amiri"/>
          <w:color w:val="111111"/>
          <w:sz w:val="28"/>
          <w:sz w:val="28"/>
          <w:szCs w:val="28"/>
          <w:rtl w:val="true"/>
          <w:lang w:bidi="ar-SA"/>
        </w:rPr>
        <w:t>بعضها ضمن الجميع، و لو لم‌تكن مودعة في حرز أو كانت مودعة في حرز المودَع فأخذ بعضها ضمن ما أخذ، و لو أعاد بدله لم‌يبرأ، و لو أعاده و مزجه بالباقي ضمن ما أخذه، و لو أعاد بدله و مزجه ببقيّة الوديعة مزجا لايتميّز ضمن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التعدّي وهو أن‌يتصرّف في الوديعة بما لم‌يأذن له المالك مثل أن‌يلبس الثوب أو يفرش الفراش أو يركب الدابّة اذا لم‌يتوقّف حفظها على التصرّف كما اذا توقّف حفظ الثوب و الفراش من الدود على اللبس و الافتراش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أودعه دراهم مثلاً في كيس مختوم أو مخيط أو مشدود فكسر ختمه أو حلّ خيطه و شدّه من دون ضرورة و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التعدّي خلط الوديعة بماله سواء كان بالجنس أو بغيره، و سواء كان بالمساوي أو بالأجود أو بالأردئ، بلا خلاف؛ للتصرّف غير المأذون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مزجه بالجنس من مال المودع كما اذا أودع عنده دراهم في كيسين غير مختومين و لا مشدودين فجعلهما كيسا واحدا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يضمن الأمين على الدابّة مثلاً لو أمره باجارتها لحمل أخفّ فآجرها لأثقل أو أمره باجارتها لأسهل كحمل القطن فآجرها لأشقّ كحمل الحديد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لصدق التعدّي و الخيانة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جعلها المالك في حرز مقفّل ثمّ أودعها ففتح المودع الحرز و أخذ بعضها ضمن الجميع؛ لصدق التعدّي و الخيانة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لم‌تكن مودعة في حرز أو كانت مودعة في حرز المستودع فأخذ بعضها ضمن ما أخذ؛ لصدق التعدّي والخيانة فيه دون غيره، و لو أعاد بدله لم‌يبرأ الاّ مع اجازة المالك؛ لعدم صيرورته بدلاً بدون قبض المالك</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طلبت منه فامتنع من الردّ مع القدرة عقلاً و شرعا و عرفا ضمن؛ لانقطاع الاذن بالاستنابة في حفظها و تغيير يد الايتمان حينئذ بيد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يضمنها لو جحدها بعد طلبه منها ثمّ قامت عليه بيّنة أو اعترف بها؛ لانقطاع الاذن ببقائها بالطلب فهي حينئذ في يده مضمونة عليه مضافا الى خيانته بجحوده</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9674_84304"/>
      <w:bookmarkStart w:id="423" w:name="pg9674_84304"/>
      <w:bookmarkEnd w:id="423"/>
    </w:p>
    <w:p>
      <w:pPr>
        <w:pStyle w:val="Heading2"/>
        <w:numPr>
          <w:ilvl w:val="1"/>
          <w:numId w:val="1"/>
        </w:numPr>
        <w:rPr/>
      </w:pPr>
      <w:bookmarkStart w:id="424" w:name="pg9674_84304"/>
      <w:bookmarkStart w:id="425" w:name="__RefHeading___Toc7971572_2870459653"/>
      <w:bookmarkStart w:id="426" w:name="_Toc148"/>
      <w:bookmarkEnd w:id="424"/>
      <w:bookmarkEnd w:id="425"/>
      <w:r>
        <w:rPr>
          <w:rtl w:val="true"/>
        </w:rPr>
        <w:t xml:space="preserve">النظرالثالث </w:t>
      </w:r>
      <w:r>
        <w:rPr>
          <w:rtl w:val="true"/>
        </w:rPr>
        <w:t xml:space="preserve">: </w:t>
      </w:r>
      <w:r>
        <w:rPr>
          <w:rtl w:val="true"/>
        </w:rPr>
        <w:t>في اللواحق</w:t>
      </w:r>
      <w:bookmarkEnd w:id="426"/>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2"/>
        <w:numPr>
          <w:ilvl w:val="1"/>
          <w:numId w:val="1"/>
        </w:numPr>
        <w:rPr/>
      </w:pPr>
      <w:bookmarkStart w:id="427" w:name="__RefHeading___Toc7971574_2870459653"/>
      <w:bookmarkStart w:id="428" w:name="_Toc149"/>
      <w:bookmarkEnd w:id="427"/>
      <w:r>
        <w:rPr>
          <w:rtl w:val="true"/>
        </w:rPr>
        <w:t xml:space="preserve">في السفر بالوديعة </w:t>
      </w:r>
      <w:r>
        <w:rPr>
          <w:rtl w:val="true"/>
        </w:rPr>
        <w:t xml:space="preserve">... </w:t>
      </w:r>
      <w:r>
        <w:rPr/>
        <w:t>215</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السفر بالوديعة اذا خاف تلفها مع الاقامة ثمّ لايضمن، و لايجوز السفر بها مع ظهور أمارة الخوف، و لو سافر و الحال هذه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يجوز السفر بالوديعة مع الخوف عليها اذا تعذّر ردّها على المالك أو وكيله أو الحاكم أو الثقة حيث لايكون في ايداعها خطر عليه، فلو قدر على أحدهم لم‌يكن له السفر بها ان خاف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خاف عليها على تقدير ايداعها سقط وجوبه و جاز السفر بها حينئذ بل يجب أخذها معه؛ لأنّ حفظها واجب فاذا لم‌يحصل الاّ بالسفر وجب من باب المقدّمة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حيث يجوز السفر بالوديعة لضرورته أو ضرورتها انّما يجوز مع أمن الطريق ، فلو سافر مع عدمه ضمن؛ لأنّه تغرير حتّى لو فرض الخوف عليها في الحضر فيكون من باب تعارض الخطرين فيرجّح اقامته</w:t>
      </w:r>
      <w:r>
        <w:rPr>
          <w:rFonts w:eastAsia="Amiri" w:cs="Amiri" w:ascii="Amiri" w:hAnsi="Amiri"/>
          <w:color w:val="111111"/>
          <w:sz w:val="28"/>
          <w:szCs w:val="28"/>
          <w:rtl w:val="true"/>
          <w:lang w:bidi="ar-SA"/>
        </w:rPr>
        <w:t xml:space="preserve">. </w:t>
      </w:r>
      <w:bookmarkStart w:id="429" w:name="pg9674_84305"/>
    </w:p>
    <w:p>
      <w:pPr>
        <w:pStyle w:val="Heading2"/>
        <w:numPr>
          <w:ilvl w:val="1"/>
          <w:numId w:val="1"/>
        </w:numPr>
        <w:rPr/>
      </w:pPr>
      <w:bookmarkStart w:id="430" w:name="__RefHeading___Toc7971576_2870459653"/>
      <w:bookmarkStart w:id="431" w:name="_Toc150"/>
      <w:bookmarkEnd w:id="429"/>
      <w:bookmarkEnd w:id="430"/>
      <w:r>
        <w:rPr>
          <w:rtl w:val="true"/>
        </w:rPr>
        <w:t xml:space="preserve">في أنّه لايبرأ المودع الاّ بردّها الى المالك أو وكيله </w:t>
      </w:r>
      <w:r>
        <w:rPr>
          <w:rtl w:val="true"/>
        </w:rPr>
        <w:t xml:space="preserve">... </w:t>
      </w:r>
      <w:r>
        <w:rPr/>
        <w:t>216</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لايبرأ المودع الاّ بردّها الى المالك أو وكيله، فان فقدهما فالى الحاكم مع العذر و مع عدم العذر يضمن، و لو فقد الحاكم و خشي تلفها جاز ايداعها من ثقة و لو تلفت لم‌يضمن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الوديعة من العقود الجائزة جاز للمستودع ردّها في كلّ وقت الى المالك أو وكيله، و لايبرأ الاّ بذلك و مع وجودهما لايجوز له الردّ الى الحاكم؛ لأنّه لا ولاية له على الحاضر الرشيد حتّى لو فقد المالك 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اضطرّ الى الردّ و فقد المالك أو وكيله جاز دفعها الى الحاكم؛ لأنّ له ولاية على الغائب على هذا الوجه، فان تعذّر أودعها الثقة و لا ضمان عليه؛ لمكان الحاجة</w:t>
      </w:r>
      <w:r>
        <w:rPr>
          <w:rFonts w:eastAsia="Amiri" w:cs="Amiri" w:ascii="Amiri" w:hAnsi="Amiri"/>
          <w:color w:val="111111"/>
          <w:sz w:val="28"/>
          <w:szCs w:val="28"/>
          <w:rtl w:val="true"/>
          <w:lang w:bidi="ar-SA"/>
        </w:rPr>
        <w:t>.</w:t>
      </w:r>
    </w:p>
    <w:p>
      <w:pPr>
        <w:pStyle w:val="Heading2"/>
        <w:numPr>
          <w:ilvl w:val="1"/>
          <w:numId w:val="1"/>
        </w:numPr>
        <w:rPr/>
      </w:pPr>
      <w:bookmarkStart w:id="432" w:name="__RefHeading___Toc7971578_2870459653"/>
      <w:bookmarkStart w:id="433" w:name="_Toc151"/>
      <w:bookmarkEnd w:id="432"/>
      <w:r>
        <w:rPr>
          <w:rtl w:val="true"/>
        </w:rPr>
        <w:t xml:space="preserve">فيما لو قدر على الحاكم فدفعها الى الثقة </w:t>
      </w:r>
      <w:r>
        <w:rPr>
          <w:rtl w:val="true"/>
        </w:rPr>
        <w:t xml:space="preserve">... </w:t>
      </w:r>
      <w:r>
        <w:rPr/>
        <w:t>216</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الحاكم فدفعها الى الثقة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اضطرّ الى ردّ الوديعة و لم‌يجد المالك أو وكيله و قدر على الحاكم فيجب عليه دفعها اليه، و لايجوز دفعها الى الثقة؛ لأنّ الحاكم ولي الغائب فكان أولى فيضمن لو خالف الترتيب، كما يضمن لو دفعها الى الحاكم مع امكان دفعها الى المالك أو وكيله</w:t>
      </w:r>
      <w:r>
        <w:rPr>
          <w:rFonts w:eastAsia="Amiri" w:cs="Amiri" w:ascii="Amiri" w:hAnsi="Amiri"/>
          <w:color w:val="111111"/>
          <w:sz w:val="28"/>
          <w:szCs w:val="28"/>
          <w:rtl w:val="true"/>
          <w:lang w:bidi="ar-SA"/>
        </w:rPr>
        <w:t>.</w:t>
      </w:r>
    </w:p>
    <w:p>
      <w:pPr>
        <w:pStyle w:val="Heading2"/>
        <w:numPr>
          <w:ilvl w:val="1"/>
          <w:numId w:val="1"/>
        </w:numPr>
        <w:rPr/>
      </w:pPr>
      <w:bookmarkStart w:id="434" w:name="__RefHeading___Toc7971580_2870459653"/>
      <w:bookmarkStart w:id="435" w:name="_Toc152"/>
      <w:bookmarkEnd w:id="434"/>
      <w:r>
        <w:rPr>
          <w:rtl w:val="true"/>
        </w:rPr>
        <w:t xml:space="preserve">فيما اذا أراد السفر فدفنها </w:t>
      </w:r>
      <w:r>
        <w:rPr>
          <w:rtl w:val="true"/>
        </w:rPr>
        <w:t xml:space="preserve">... </w:t>
      </w:r>
      <w:r>
        <w:rPr/>
        <w:t>216</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السفر فدفنها ضمن الاّ أن‌يخشى المعاجلة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أنّه مع ارادة السفر مع ضرورته يجب عليه ردّ الوديعة الى المالك أو وكيله ثمّ الى الحاكم ثمّ يودعها الثقة، فاذا ترك ذلك و اقتصر على دفنها فان كان مع وجود المالك أو وكيله فالضمان ظاهر؛ لعدم الوثوق بذلك؛ لأنّه قد يتّفق موته فلايصل مالكها اليها، و كما مضى أنّ الترتيب لازم في ذلك</w:t>
      </w:r>
      <w:r>
        <w:rPr>
          <w:rFonts w:eastAsia="Amiri" w:cs="Amiri" w:ascii="Amiri" w:hAnsi="Amiri"/>
          <w:color w:val="111111"/>
          <w:sz w:val="28"/>
          <w:szCs w:val="28"/>
          <w:rtl w:val="true"/>
          <w:lang w:bidi="ar-SA"/>
        </w:rPr>
        <w:t xml:space="preserve">. </w:t>
      </w:r>
      <w:bookmarkStart w:id="436" w:name="pg9674_84306"/>
    </w:p>
    <w:p>
      <w:pPr>
        <w:pStyle w:val="BookText"/>
        <w:rPr/>
      </w:pPr>
      <w:bookmarkEnd w:id="436"/>
      <w:r>
        <w:rPr>
          <w:rFonts w:ascii="Amiri" w:hAnsi="Amiri" w:eastAsia="Amiri" w:cs="Amiri"/>
          <w:color w:val="111111"/>
          <w:sz w:val="28"/>
          <w:sz w:val="28"/>
          <w:szCs w:val="28"/>
          <w:rtl w:val="true"/>
          <w:lang w:bidi="ar-SA"/>
        </w:rPr>
        <w:t>هذا اذا لم‌يخش المعاجلة قبل ايصالها الى من ذكر من المالك و من يترتّب عليه، و الاّ جاز الدفن في موضع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بالمعاجلة امّا معاجلة السرّاق قبل الردّ الى من ذكر أو معاجلة الرفقة اذا أراد السفر و كان ضروريّا و التخلّف عنها مضرّا ففي هاتين الصورتين يدفنها في حرز و لا ضمان عليه؛ لمكان الحاجة</w:t>
      </w:r>
      <w:r>
        <w:rPr>
          <w:rFonts w:eastAsia="Amiri" w:cs="Amiri" w:ascii="Amiri" w:hAnsi="Amiri"/>
          <w:color w:val="111111"/>
          <w:sz w:val="28"/>
          <w:szCs w:val="28"/>
          <w:rtl w:val="true"/>
          <w:lang w:bidi="ar-SA"/>
        </w:rPr>
        <w:t>.</w:t>
      </w:r>
    </w:p>
    <w:p>
      <w:pPr>
        <w:pStyle w:val="Heading2"/>
        <w:numPr>
          <w:ilvl w:val="1"/>
          <w:numId w:val="1"/>
        </w:numPr>
        <w:rPr/>
      </w:pPr>
      <w:bookmarkStart w:id="437" w:name="__RefHeading___Toc7971582_2870459653"/>
      <w:bookmarkStart w:id="438" w:name="_Toc153"/>
      <w:bookmarkEnd w:id="437"/>
      <w:r>
        <w:rPr>
          <w:rtl w:val="true"/>
        </w:rPr>
        <w:t xml:space="preserve">فيما اذا أعاد الوديعة بعد التفريط الى الحرز </w:t>
      </w:r>
      <w:r>
        <w:rPr>
          <w:rtl w:val="true"/>
        </w:rPr>
        <w:t xml:space="preserve">... </w:t>
      </w:r>
      <w:r>
        <w:rPr/>
        <w:t>217</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أعاد الوديعة بعد التفريط الى الحرز لم‌يبرأ، و لو جدّد المالك له الاستئمان برئ، و كذا لو أبرأه من الضمان، و لو أكره على دفعها الى غير المالك دفعها و 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فرّط في حفظ الوديعة ثمّ رجع عن تفريطه بأن‌جعلها في الحرز المضبوط و قام بما يوجب حفظها أو تعدّى ثمّ رجع كما اذا لبس الثوب ثمّ نزعه لم‌يبرأ من الضمان؛ لأنّ يده صار حينئذ من الأمانة الى الخيانة؛ لسقوط اذن المالك بالتفريط و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جدّد له المالك الاستئمان ارتفع الضمان؛ لحصول اذن جديد من المالك فهو مثل ما اذا كان مال بيد الغاصب فجعله بيده أمانة؛ فانّ الظاهر أنّه بذلك يرتفع الضمان؛ لتبدّل عنوان يده من العدوان الى الاستئمان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لم‌يبرأ بالردّ؛ لأنّه قد صار بمنزلة الغاصب بتعدّيه، فيستصحب الحكم بالضمان الى أن‌يحصل من المالك ما يقتضي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أن‌يردّه عليه ثمّ يجدّد له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شبهة فيه؛ لأنّه وديعة مستأنفة يترتّب عليها حكمها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أن‌يجدّده له من غير أن‌يدفعها اليه، بأن‌يقول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في حفظها، و فيه اشكال</w:t>
      </w:r>
      <w:r>
        <w:rPr>
          <w:rFonts w:eastAsia="Amiri" w:cs="Amiri" w:ascii="Amiri" w:hAnsi="Amiri"/>
          <w:color w:val="111111"/>
          <w:sz w:val="28"/>
          <w:szCs w:val="28"/>
          <w:rtl w:val="true"/>
          <w:lang w:bidi="ar-SA"/>
        </w:rPr>
        <w:t xml:space="preserve">. </w:t>
      </w:r>
      <w:bookmarkStart w:id="439" w:name="pg9674_84307"/>
    </w:p>
    <w:p>
      <w:pPr>
        <w:pStyle w:val="BookText"/>
        <w:rPr/>
      </w:pPr>
      <w:bookmarkEnd w:id="43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أن‌يبرئه من الضمان فانّ الضمان كان لحقّ المالك و قد أسقطه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الضمان أنّ العين لو تلفت وجب عليه بدلها، و الحال أنّها الآن لم‌تتلف، فيكون الابراء من الضمان ابراءً ممّا لم‌يجب</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استشكل به الشهيد رحمه‌الله في الموردين الأخيرين، غير وارد فانّ الضمان يزول و يرفع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أكره على دفعها الى غير المالك فدفعها فلا ضمان؛ لضعف المباشر و قوّة السبب فيختصّ به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الضمان فيما اذا أخذها المكره من الحرز بنفسه، و أمّا اذا سلّمها بيده فهو ضامن و ان خاف التلف؛ لأنّه حينئذ متلف بالتسليم فكان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القهر و الاذن الشرعي أسقطا الضمان، و لأنّ الاكراه صيّر فعله منسوبا الى المكره و لأنّه محسن فلا سبيل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ضمانه فقراره على المكره، فلو طالبه المالك حينئذ بالعين أو البدل فيرجع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المكره</w:t>
      </w:r>
      <w:r>
        <w:rPr>
          <w:rFonts w:eastAsia="Amiri" w:cs="Amiri" w:ascii="Amiri" w:hAnsi="Amiri"/>
          <w:color w:val="111111"/>
          <w:sz w:val="28"/>
          <w:szCs w:val="28"/>
          <w:rtl w:val="true"/>
          <w:lang w:bidi="ar-SA"/>
        </w:rPr>
        <w:t>.</w:t>
      </w:r>
    </w:p>
    <w:p>
      <w:pPr>
        <w:pStyle w:val="Heading2"/>
        <w:numPr>
          <w:ilvl w:val="1"/>
          <w:numId w:val="1"/>
        </w:numPr>
        <w:rPr/>
      </w:pPr>
      <w:bookmarkStart w:id="440" w:name="__RefHeading___Toc7971584_2870459653"/>
      <w:bookmarkStart w:id="441" w:name="_Toc154"/>
      <w:bookmarkEnd w:id="440"/>
      <w:r>
        <w:rPr>
          <w:rtl w:val="true"/>
        </w:rPr>
        <w:t xml:space="preserve">في انكار الوديعة أو دعوى تلفها أو ردّها </w:t>
      </w:r>
      <w:r>
        <w:rPr>
          <w:rtl w:val="true"/>
        </w:rPr>
        <w:t xml:space="preserve">... </w:t>
      </w:r>
      <w:r>
        <w:rPr/>
        <w:t>218</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أنكر الوديعة أو اعترف و ادّعى التلف أو ادّعى الردّ و لا بيّنة فالقول قوله و للمالك احلافه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دفعها الى غير المالك و ادّعى الاذن فأنكر فالقول قول المالك مع يمينه، و لو صدّقه على الاذن لم‌يضمن و ان ترك الاشهاد على الأشبه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أنكر الوديعة أو اعترف بها و ادّعى التلف أو الردّ و لا بيّنة فالقول قوله، و للمالك احلافه لو لم‌يرفع النزاع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لو تسالما على التلف ولكن ادّعى عليه المودع التفريط أو التعدّي؛ فانّ المستودع مؤتمن الاّ أنّه اذا لم‌يرتفع النزاع الاّ </w:t>
      </w:r>
      <w:bookmarkStart w:id="442" w:name="pg9674_84308"/>
    </w:p>
    <w:p>
      <w:pPr>
        <w:pStyle w:val="BookText"/>
        <w:rPr/>
      </w:pPr>
      <w:bookmarkEnd w:id="442"/>
      <w:r>
        <w:rPr>
          <w:rFonts w:ascii="Amiri" w:hAnsi="Amiri" w:eastAsia="Amiri" w:cs="Amiri"/>
          <w:color w:val="111111"/>
          <w:sz w:val="28"/>
          <w:sz w:val="28"/>
          <w:szCs w:val="28"/>
          <w:rtl w:val="true"/>
          <w:lang w:bidi="ar-SA"/>
        </w:rPr>
        <w:t>باليمين مع عدم البيّنة فعليه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دفعها الى غير المالك و ادّعى الاذن من المالك فأنكر المالك فعلى المدّعي و هو المستودع البيّنة و ان لم‌تكن فعلى المنكر أي المالك اليمين؛ فانّ قوله مطابق للأصل و هو عدم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صدّقه على الاذن لكن أنكر التسليم الى من أذن له فهو كدعواه الردّ الى المالك مع انكار المالك و قد تقدّم حيث انّ المستودع أمين فالقول قوله و للمالك احلافه لرفع الخصومة و النزاع</w:t>
      </w:r>
      <w:r>
        <w:rPr>
          <w:rFonts w:eastAsia="Amiri" w:cs="Amiri" w:ascii="Amiri" w:hAnsi="Amiri"/>
          <w:color w:val="111111"/>
          <w:sz w:val="28"/>
          <w:szCs w:val="28"/>
          <w:rtl w:val="true"/>
          <w:lang w:bidi="ar-SA"/>
        </w:rPr>
        <w:t>.</w:t>
      </w:r>
    </w:p>
    <w:p>
      <w:pPr>
        <w:pStyle w:val="Heading2"/>
        <w:numPr>
          <w:ilvl w:val="1"/>
          <w:numId w:val="1"/>
        </w:numPr>
        <w:rPr/>
      </w:pPr>
      <w:bookmarkStart w:id="443" w:name="__RefHeading___Toc7971586_2870459653"/>
      <w:bookmarkStart w:id="444" w:name="_Toc155"/>
      <w:bookmarkEnd w:id="443"/>
      <w:r>
        <w:rPr>
          <w:rtl w:val="true"/>
        </w:rPr>
        <w:t xml:space="preserve">فرع </w:t>
      </w:r>
      <w:r>
        <w:rPr>
          <w:rtl w:val="true"/>
        </w:rPr>
        <w:t xml:space="preserve">: </w:t>
      </w:r>
      <w:r>
        <w:rPr>
          <w:rtl w:val="true"/>
        </w:rPr>
        <w:t>فيما لو أمر المودع المستودع بدفع الوديعة الى غير المالك</w:t>
      </w:r>
      <w:bookmarkEnd w:id="444"/>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أنّ من أمر غيره بدفع الوديعة الى غير المالك أو بقضاء دينه ففعل و لم‌يشهد فأنكر المدفوع اليه، هل يضمن الدافع أم 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فيهما؛ لأنّ اطلاق الاذن يقتضي دفعا ثابتا يمكن الرجوع اليه عند الحاجة، فاذا ترك الاشهاد فقد قصّر، خصوصا الدين، فانّ الغرض منه براءة الذمّة و لاتظهر الاّ بالاشهاد؛ لأنّ الغريم اذا أنكر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الاشهاد فيهما و لا ضمان بتركه؛ لأنّ المأمور به هو الدفع و قد امتثله، و التوثّق عليه أمر آخر لايدلّ عليه اطلاق الأمر، و انّما هو مطلوب من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القول مال في المختلف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الاشهاد في قضاء الدين دون الوديعة، أمّا الدين فلما ذكر، و أمّا الوديعة فلأنّها أمانة، و قول المستودع مقبول في الردّ و التلف، فلا معنى للاشهاد، و لأنّ الودائع حقّها الاخفاء، بخلاف قضاء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هذا القول في التذكرة و كثير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رحمه‌الله اختار هنا عدم وجوب الاشهاد على أداء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45" w:name="pg9674_84309"/>
    </w:p>
    <w:p>
      <w:pPr>
        <w:pStyle w:val="BookText"/>
        <w:rPr/>
      </w:pPr>
      <w:bookmarkEnd w:id="445"/>
      <w:r>
        <w:rPr>
          <w:rFonts w:ascii="Amiri" w:hAnsi="Amiri" w:eastAsia="Amiri" w:cs="Amiri"/>
          <w:color w:val="111111"/>
          <w:sz w:val="28"/>
          <w:sz w:val="28"/>
          <w:szCs w:val="28"/>
          <w:rtl w:val="true"/>
          <w:lang w:bidi="ar-SA"/>
        </w:rPr>
        <w:t>في الوكالة اختار التفصيل على 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حسن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تكلّمنا عن هذا الفرع في كتاب الوكالة و قلنا هناك بأنّ عدم الضمان في الوديعة واضح لا اشكال فيه بل و لا خلاف و ذلك لأنّ الوديعة مبنيّة على الاخفاء غالبا و لأنّ المستودع قوله مقبول في الردّ و التلف فلايؤثّر الاشهاد في تغريمه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في الوكالة في أداء الدين فقد اختلف فيما اذا لم‌يشهد الوكيل على الدائن فأنكر الدائن أداء الدين اليه، فهل يكون الوكيل ضامنا أو لا؟</w:t>
      </w:r>
    </w:p>
    <w:p>
      <w:pPr>
        <w:pStyle w:val="BookText"/>
        <w:rPr/>
      </w:pPr>
      <w:r>
        <w:rPr>
          <w:rFonts w:ascii="Amiri" w:hAnsi="Amiri" w:eastAsia="Amiri" w:cs="Amiri"/>
          <w:color w:val="111111"/>
          <w:sz w:val="28"/>
          <w:sz w:val="28"/>
          <w:szCs w:val="28"/>
          <w:rtl w:val="true"/>
          <w:lang w:bidi="ar-SA"/>
        </w:rPr>
        <w:t>و قد اخترنا في كتاب الوكالة عدم ضمانه لعدم دلالة مطلق الأمر بأداء الدين على لزوم الاشهاد أوّلاً و لأنّ صدق التفريط على فعل الوكيل هنا غير معلوم ثانيا</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7971588_2870459653"/>
      <w:bookmarkStart w:id="447" w:name="_Toc156"/>
      <w:bookmarkEnd w:id="446"/>
      <w:r>
        <w:rPr>
          <w:rtl w:val="true"/>
        </w:rPr>
        <w:t xml:space="preserve">فيما اذا ادّعى التلف بعد ما أقام المالك البيّنة على الوديعة </w:t>
      </w:r>
      <w:r>
        <w:rPr>
          <w:rtl w:val="true"/>
        </w:rPr>
        <w:t xml:space="preserve">... </w:t>
      </w:r>
      <w:r>
        <w:rPr/>
        <w:t>220</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أقام المالك البيّنة على الوديعة بعد الانكار فصدّقها ثمّ ادّعى التلف قبل الانكار لم‌تسمع دعواه؛ لاشتغال ذمّته بالضمان، 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دعواه و تقبل بيّنته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أنكر المستودع الوديعة فلمّا أقام المالك البيّنة على الوديعة صدّقها ولكن ادّعى أنّ الوديعة قد تلفت قبل أن‌أنكرها و قبل أن‌يقيم المالك البيّنة ففي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لاتسمع دعواه فلايقبل منه اليمين و لا البيّنة على اشكال</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 المصنّف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وجه عدم السماع أنّه بانكاره السابق مكذّب لدعواه اللاحقة، فلاتسمع؛ لتناقض كلاميه، فلايتوجّه بها يمين </w:t>
      </w:r>
    </w:p>
    <w:p>
      <w:pPr>
        <w:pStyle w:val="BookText"/>
        <w:rPr/>
      </w:pPr>
      <w:r>
        <w:rPr>
          <w:rFonts w:ascii="Amiri" w:hAnsi="Amiri" w:eastAsia="Amiri" w:cs="Amiri"/>
          <w:color w:val="111111"/>
          <w:sz w:val="28"/>
          <w:sz w:val="28"/>
          <w:szCs w:val="28"/>
          <w:rtl w:val="true"/>
          <w:lang w:bidi="ar-SA"/>
        </w:rPr>
        <w:t>عليه و لا على المدّعى عليه، و كذا لاتسمع بيّنته بطريق أولى؛ لأنّه مكذّب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ما حسّنه المصنّف من سماعها عموم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جواز استناد جحوده الى النسيان فيعذر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المختلف منع من قبول بيّنته و سماع دعواه، بمعنى قبول قوله بيمينه،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له احلاف الغريم، و هو نوع من سماع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 منعهما معا، فصار للعلاّمة في المسألة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قول رابع و هو أنّه ان أظهر لانكاره تأويلاً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عندي وديعة يلزمني ردّها أو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قبلت دعواه و سمعت بيّنته، و ان لم‌يظهر له تأويلاً لم‌تقبل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الشهيد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أنكر الوديعة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بيّنة قبل حلفه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متعدّ بجحوده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أن‌يكون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لاتستحقّ عندي شيئا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وديعة يلزمني ردّها و لا عوضها، فلايضمن بالانكار، بل يكون كمدّعي التلف يقبل قوله بيمينه أيضا، و لامكان تلفها بغير تفريط فلاتكون مستحقّة عنده، و لايناقض قوله البيّنة، و لو أظهر لانكاره الأوّل تأويلاً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وديعة يلزمني ردّها أو ضمانها، و نحو ذلك فالأقوى القبول أيضا، و اختاره المصنّف رحمه‌الله في بعض تحقيقاته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أنكر المستودع الوديعة فلمّا أقام المالك البيّنة على الوديعة صدّقها ولكن ادّعى أنّ الوديعة قد تلفت قبل أن‌أنكرها و قبل أن‌يقيم المالك البيّنة، فان أقام البيّنة </w:t>
      </w:r>
      <w:bookmarkStart w:id="448" w:name="pg9674_84311"/>
    </w:p>
    <w:p>
      <w:pPr>
        <w:pStyle w:val="BookText"/>
        <w:rPr/>
      </w:pPr>
      <w:bookmarkEnd w:id="448"/>
      <w:r>
        <w:rPr>
          <w:rFonts w:ascii="Amiri" w:hAnsi="Amiri" w:eastAsia="Amiri" w:cs="Amiri"/>
          <w:color w:val="111111"/>
          <w:sz w:val="28"/>
          <w:sz w:val="28"/>
          <w:szCs w:val="28"/>
          <w:rtl w:val="true"/>
          <w:lang w:bidi="ar-SA"/>
        </w:rPr>
        <w:t>على دعواه أي التلف فتقبل، و ذلك لأنّه يمكن أن‌يكون في انكاره الأوّل معذورابعذر فاذا اعتذر عنه يقبل قوله بالبيّنة، و لو لم‌تكن له البيّنة فيعمل على طبق بيّنة المالك</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7971590_2870459653"/>
      <w:bookmarkStart w:id="450" w:name="_Toc157"/>
      <w:bookmarkEnd w:id="449"/>
      <w:r>
        <w:rPr>
          <w:rtl w:val="true"/>
        </w:rPr>
        <w:t xml:space="preserve">فيما اذا عيّن له حرزا بعيدا عنه </w:t>
      </w:r>
      <w:r>
        <w:rPr>
          <w:rtl w:val="true"/>
        </w:rPr>
        <w:t xml:space="preserve">... </w:t>
      </w:r>
      <w:r>
        <w:rPr/>
        <w:t>222</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عيّن له حرزا بعيدا عنه وجب المبادرة اليه بما جرت العادة، فان أخّر مع التمكّن ضمن، و لو سلّمها الى زوجته لتحرزها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أودع و لم‌يعيّن له حرزا مخصوصا وجبت المبادرة الى حرزها المعتاد المتعارف، و اذا عيّن له حرزا بعيدا عنه وجبت المبادرة اليه بما جرت العادة في المسارعة للوصول اليه، فمع فرض عدم الاذن في وضعها في غيره فان أخّر عن ذلك مع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مراعاة المبادرة اليه عادة على نحو ما سمعته في فوريّة أدائها عند طلب المالك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للتعدّي بالوضع في غير ما عيّن له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سلّمها الى زوجته لتحرزها و لو في ذلك المكان ضمن؛ لعدم الاذن له في ذلك الاّ أن‌يكون هناك قرائن حاليّة أو مقاليّة تدلّ على ذلك</w:t>
      </w:r>
      <w:r>
        <w:rPr>
          <w:rFonts w:eastAsia="Amiri" w:cs="Amiri" w:ascii="Amiri" w:hAnsi="Amiri"/>
          <w:color w:val="111111"/>
          <w:sz w:val="28"/>
          <w:szCs w:val="28"/>
          <w:rtl w:val="true"/>
          <w:lang w:bidi="ar-SA"/>
        </w:rPr>
        <w:t>.</w:t>
      </w:r>
    </w:p>
    <w:p>
      <w:pPr>
        <w:pStyle w:val="Heading2"/>
        <w:numPr>
          <w:ilvl w:val="1"/>
          <w:numId w:val="1"/>
        </w:numPr>
        <w:rPr/>
      </w:pPr>
      <w:bookmarkStart w:id="451" w:name="__RefHeading___Toc7971592_2870459653"/>
      <w:bookmarkStart w:id="452" w:name="_Toc158"/>
      <w:bookmarkEnd w:id="451"/>
      <w:r>
        <w:rPr>
          <w:rtl w:val="true"/>
        </w:rPr>
        <w:t xml:space="preserve">فيما اذا اعترف بالوديعة ثمّ مات و جهلت عينها </w:t>
      </w:r>
      <w:r>
        <w:rPr>
          <w:rtl w:val="true"/>
        </w:rPr>
        <w:t xml:space="preserve">... </w:t>
      </w:r>
      <w:r>
        <w:rPr/>
        <w:t>222</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اعترف بالوديعة ثمّ مات و جهلت عينها،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من أصل تركته و لو كان له غرماء و ضاقت التركة حاصّهم 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أقرّ بالوديعة ثمّ مات فان عيّنها في عين شخصيّة معيّنة موجودة حال موته أخرجت من التركة؛ لكونها عين مال الغير باعتراف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لم‌يعيّن عينها أخرجت من أصل تركته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علم تلفها بتفريط فهو ضامن و المودع أسوة الغرماء، و ان تلفت و </w:t>
      </w:r>
    </w:p>
    <w:p>
      <w:pPr>
        <w:pStyle w:val="BookText"/>
        <w:rPr/>
      </w:pPr>
      <w:r>
        <w:rPr>
          <w:rFonts w:ascii="Amiri" w:hAnsi="Amiri" w:eastAsia="Amiri" w:cs="Amiri"/>
          <w:color w:val="111111"/>
          <w:sz w:val="28"/>
          <w:sz w:val="28"/>
          <w:szCs w:val="28"/>
          <w:rtl w:val="true"/>
          <w:lang w:bidi="ar-SA"/>
        </w:rPr>
        <w:t>لم‌يعلم التفريط فالميّت المستودع غير ضامن؛ لأصالة 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اعترف بالوديعة ثمّ مات و جهلت عينها فالمشهور بين الأصحاب أنّها تخرج من أصل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غرماء فضاقت التركة حاصّهم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أنّ اعترافه بالوديعة في حياته أوجب ثبوت يده عليها و التزامه بها الى أن‌يردّها الى مالكها، فاذا لم‌تعلم كان ضامنا لها؛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بترك تعيينها مفرّط فيها فيضمن، و لأنّ الأصل بقاؤها في يده الى الموت، و بعده تكون في جملة التركة، فاذا تعذّر الوصول الى عينها وجب البدل، فيكون بمنزلة الدين فيحاصّ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تردّد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تردّده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في أصل الضمان، فانّ اعترافه بها في حياته انّما يقتضي وجوب الحفظ، و الا فذمّته بريئة من ضمانها، فاذا مات و لم‌يعلم احتمل تلفها قبل الموت بغير تفريط أو ردّها الى المالك، و الأصل براءة ذمّته من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التلف على خلاف الأصل معارض بهذا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ليسا متنافيين حتّى يتساقطا؛ اذ لايلزم من بقائها تعلّقها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التردّد في كيفيّة الضمان، فانّ أصالة بقائها اقتضى كونها في جملة التركة، غايته أنّ عينها مجهولة، فيكون مالكها بمنزلة الشريك، و كون الشركة قهريّة لايقدح في الحكم، كمن امتزج ماله بمال غيره بغير اختياره ثمّ مات أحدهما، فانّ الشركة تتحقّق و يقدّم الشريك بالحصّة على غيره من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الانتقال الى البدل اذا تعذّرت العين انّما يكون مع عدم العلم بوجودها في جملة المال، و الاّ منعنا البدل، و أصالة البقاء قد أوجبت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أنّه ان علم بقاء عينها الى بعد الموت و لم‌يتميّز قدّم مالكها على الغرماء، و كان بمنزلة الشريك، و ان علم تلفها بتفريط فهو أسوة الغرماء، و الاّ </w:t>
      </w:r>
      <w:bookmarkStart w:id="453" w:name="pg9674_84313"/>
    </w:p>
    <w:p>
      <w:pPr>
        <w:pStyle w:val="BookText"/>
        <w:rPr/>
      </w:pPr>
      <w:bookmarkEnd w:id="453"/>
      <w:r>
        <w:rPr>
          <w:rFonts w:ascii="Amiri" w:hAnsi="Amiri" w:eastAsia="Amiri" w:cs="Amiri"/>
          <w:color w:val="111111"/>
          <w:sz w:val="28"/>
          <w:sz w:val="28"/>
          <w:szCs w:val="28"/>
          <w:rtl w:val="true"/>
          <w:lang w:bidi="ar-SA"/>
        </w:rPr>
        <w:t>فلا ضمان أصلاً؛ لأصالة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بقائها الى الآن لو سلّمت لايقتضيتعلّقها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مثل هذا البحث في الرهن و القراض</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يده وديعة فادّعاها اثنان فان صدّق أحدهما قبل و ان أكذبهما فكذلك، و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في يده حتّى يثبت لها مالك، و ان ادّعيا أو أحدهما علمه بصحّة الدعوى كان عليه اليمين</w:t>
      </w:r>
      <w:r>
        <w:rPr>
          <w:rFonts w:eastAsia="Amiri" w:cs="Amiri" w:ascii="Amiri" w:hAnsi="Amiri"/>
          <w:color w:val="111111"/>
          <w:sz w:val="28"/>
          <w:szCs w:val="28"/>
          <w:rtl w:val="true"/>
          <w:lang w:bidi="ar-SA"/>
        </w:rPr>
        <w:t>.</w:t>
      </w:r>
    </w:p>
    <w:p>
      <w:pPr>
        <w:pStyle w:val="Heading2"/>
        <w:numPr>
          <w:ilvl w:val="1"/>
          <w:numId w:val="1"/>
        </w:numPr>
        <w:rPr/>
      </w:pPr>
      <w:bookmarkStart w:id="454" w:name="__RefHeading___Toc7971594_2870459653"/>
      <w:bookmarkStart w:id="455" w:name="_Toc159"/>
      <w:bookmarkEnd w:id="454"/>
      <w:r>
        <w:rPr>
          <w:rtl w:val="true"/>
        </w:rPr>
        <w:t xml:space="preserve">فيما اذا كان في يده وديعة فادّعاها اثنان </w:t>
      </w:r>
      <w:r>
        <w:rPr>
          <w:rtl w:val="true"/>
        </w:rPr>
        <w:t xml:space="preserve">... </w:t>
      </w:r>
      <w:r>
        <w:rPr/>
        <w:t>224</w:t>
      </w:r>
      <w:bookmarkEnd w:id="455"/>
    </w:p>
    <w:p>
      <w:pPr>
        <w:pStyle w:val="BookText"/>
        <w:rPr/>
      </w:pPr>
      <w:r>
        <w:rPr>
          <w:rFonts w:ascii="Amiri" w:hAnsi="Amiri" w:eastAsia="Amiri" w:cs="Amiri"/>
          <w:color w:val="111111"/>
          <w:sz w:val="28"/>
          <w:sz w:val="28"/>
          <w:szCs w:val="28"/>
          <w:rtl w:val="true"/>
          <w:lang w:bidi="ar-SA"/>
        </w:rPr>
        <w:t>اذا كان في يده وديعة فادّعاها اثنان فان صدّق أحدهما قبل و أحلف للآخر على البتّ؛ لأنّه منكر له كما أنّه يحلف المقرّ له أيضا؛ لأنّه منكر للمدّعي الآخر أيضا فيستقرّ حينئذٍ ملكه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نكل الودعي عن اليمين أحلف المدّعي و أغرم له المثل أو القيمة وقت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أكذبهما معا فتنتفي دعواهما؛ لأنّ اليد له الاّ أنّه لكلّ منهما احلافه على البتّ أيضا فان نكل عن اليمين ردتّ عليهما و صارا في الدعوى سواءً، فان حلفا أو نكلا قسّمت بينهما و ان حلف أحدهما خاصّة اختصّ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لأحدهما و لا أدري من هو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صدّقاه في نفي العلم فلا خصومة لهما معه و تبقى الخصومة بينهما و الحكم كما سبق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كذّباه في عدم العلم فادّعى كلّ منهما علمه بالمالك فالقول قوله مع يمينه و الحلف هنا على عدم العلم، فاذا حلف لهما بقيت المنازعة بينهما فيحلف كلّ منهما على ما ادّعاه فيقسّم بينهما؛ لتكافؤ الدعويين و تساويهما في الحجّة و هو يقتضي القسمة كذلك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الحكم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لاأدري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bookmarkStart w:id="456" w:name="pg9674_84314"/>
    </w:p>
    <w:p>
      <w:pPr>
        <w:pStyle w:val="Heading2"/>
        <w:numPr>
          <w:ilvl w:val="1"/>
          <w:numId w:val="1"/>
        </w:numPr>
        <w:rPr/>
      </w:pPr>
      <w:bookmarkStart w:id="457" w:name="__RefHeading___Toc7971596_2870459653"/>
      <w:bookmarkStart w:id="458" w:name="_Toc160"/>
      <w:bookmarkEnd w:id="456"/>
      <w:bookmarkEnd w:id="457"/>
      <w:r>
        <w:rPr>
          <w:rtl w:val="true"/>
        </w:rPr>
        <w:t xml:space="preserve">فيما اذا فرّط و اختلفا في القيمة </w:t>
      </w:r>
      <w:r>
        <w:rPr>
          <w:rtl w:val="true"/>
        </w:rPr>
        <w:t xml:space="preserve">... </w:t>
      </w:r>
      <w:r>
        <w:rPr/>
        <w:t>225</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الحاديه‌عشرة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فرّط و اختلفا في القيمة فالقول قول المالك مع يمينه،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الغارم مع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فرّط أو تعدّى و تلف المال و اختلفا في القيمة فالقول قول الغارم مع يمينه؛ لأنّه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هو الشيخ رحمه‌الله في النهاية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القول قول المالك مع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المستودع خرج عن الأمانة بالتفريط فلايكون قوله مسموعا، و لما 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عليه‌السلام عن المودع اذا كان غير ثقة، هل يقبل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يمين عليه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لانقبل قوله من جهة كونه أمينا بل من حيث انّه منكر للزائد فيكون القول قوله كما أنّ المالك مدّعٍ فيكون عليه البيّنة لقوله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هذا الحكم لايختصّ بالأمين بل هو ثابت لكلّ منكر في مقابلة المدّعي و ان كان المنكر غاصبا، و الرواية ضعيفة سندا لارسالها، و دلالة لاحتمال أن‌يكون المودع بالفتح فيكون بمعنى المستودع و يدلّ على خلاف ما ذهب اليه الشيخ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اختاره المصنّف أقوى، و هو اختيار الأكثر</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الجواهر</w:t>
      </w:r>
      <w:r>
        <w:rPr>
          <w:rStyle w:val="FootnoteAnchor"/>
          <w:rtl w:val="true"/>
        </w:rPr>
        <w:footnoteReference w:id="260"/>
      </w:r>
      <w:r>
        <w:rPr>
          <w:rFonts w:ascii="IRNazanin" w:hAnsi="IRNazanin" w:eastAsia="IRNazanin"/>
          <w:color w:val="111111"/>
          <w:sz w:val="28"/>
          <w:sz w:val="28"/>
          <w:szCs w:val="28"/>
          <w:rtl w:val="true"/>
          <w:lang w:bidi="fa-IR"/>
        </w:rPr>
        <w:t>رجّح قول المصنّف بأنّه أشبه بأصول المذهب و قواعده</w:t>
      </w:r>
      <w:r>
        <w:rPr>
          <w:rFonts w:eastAsia="IRNazanin" w:cs="IRNazanin"/>
          <w:color w:val="111111"/>
          <w:sz w:val="28"/>
          <w:szCs w:val="28"/>
          <w:rtl w:val="true"/>
          <w:lang w:bidi="fa-IR"/>
        </w:rPr>
        <w:t xml:space="preserve">. </w:t>
      </w:r>
      <w:bookmarkStart w:id="459" w:name="pg9674_84315"/>
    </w:p>
    <w:p>
      <w:pPr>
        <w:pStyle w:val="Heading2"/>
        <w:numPr>
          <w:ilvl w:val="1"/>
          <w:numId w:val="1"/>
        </w:numPr>
        <w:rPr/>
      </w:pPr>
      <w:bookmarkStart w:id="460" w:name="__RefHeading___Toc7971598_2870459653"/>
      <w:bookmarkStart w:id="461" w:name="_Toc161"/>
      <w:bookmarkEnd w:id="459"/>
      <w:bookmarkEnd w:id="460"/>
      <w:r>
        <w:rPr>
          <w:rtl w:val="true"/>
        </w:rPr>
        <w:t xml:space="preserve">فيما اذا مات المودع </w:t>
      </w:r>
      <w:r>
        <w:rPr>
          <w:rtl w:val="true"/>
        </w:rPr>
        <w:t xml:space="preserve">... </w:t>
      </w:r>
      <w:r>
        <w:rPr/>
        <w:t>226</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الثانيه‌عشرة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المودع سلّمت الوديعة الى الوارث، فان كانواجماعة سلّمت الى الكلّ أو الى من يقوم مقامهم، و لو سلّمها الى البعض من غير اذن ضمن حصص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مات المودع سلّمت الوديعة الى الوارث، فان كانوا جماعة سلّمت الى الكلّ أو الى من يقوم مقامهم، كوكيلهم أجمع أو وليّهم أو وصي مورّثهم لو كانوا أطفالاً أو الحاكم مع غيبتهم أو عدم وجود ولي خاصّ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سلّمها الى البعض من غير اذن ضمن حصص الباقين بلا خلاف و لا اشكال في ذلك كلّه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المبادرة الى التسليم المذكور؛ لأنّها بموت المودع صارت أمانة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وجوبها بين علم الورثة بها و عدمه عندنا كما في المسالك</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7971600_2870459653"/>
      <w:bookmarkStart w:id="463" w:name="_Toc162"/>
      <w:bookmarkEnd w:id="462"/>
      <w:r>
        <w:rPr>
          <w:rtl w:val="true"/>
        </w:rPr>
        <w:t xml:space="preserve">في ذكر بعض المسائل المتعلّقة بالوديعة </w:t>
      </w:r>
      <w:r>
        <w:rPr>
          <w:rtl w:val="true"/>
        </w:rPr>
        <w:t xml:space="preserve">... </w:t>
      </w:r>
      <w:r>
        <w:rPr/>
        <w:t>226</w:t>
      </w:r>
      <w:bookmarkEnd w:id="463"/>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هنا مسائل لم‌يذكرها المحقّق رحمه‌الله و ذكرها بعض، لابأس بذكرها تتميما للبحث في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اللزوم في الوديعة فهل لزم الشرط فلزمت الوديعة أو فسد الشرط و لايلزم الوفاء به و صحّت الوديعة جائزة أو فسد الشرط و أفسد العقد؟ وجوه، و الظاهر أنّ هذا الشرط امّا مخالف لمقتضى العقد فيرجّح الوجه الثالث أو لم‌يكن لازم الوفاء لكونه في ضمن عقد جائز و قد قرّر في محلّه أنّ الشرط لايجب الوفاء به الاّ اذا كان في ضمن عقد لازم فيرجّح الوجه الثاني، و الاحتياط بالتراضي حسن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استيداع مال الطفل أو المجنون مع المصلحة في ذلك اذا </w:t>
      </w:r>
    </w:p>
    <w:p>
      <w:pPr>
        <w:pStyle w:val="BookText"/>
        <w:rPr/>
      </w:pPr>
      <w:r>
        <w:rPr>
          <w:rFonts w:ascii="Amiri" w:hAnsi="Amiri" w:eastAsia="Amiri" w:cs="Amiri"/>
          <w:color w:val="111111"/>
          <w:sz w:val="28"/>
          <w:sz w:val="28"/>
          <w:szCs w:val="28"/>
          <w:rtl w:val="true"/>
          <w:lang w:bidi="ar-SA"/>
        </w:rPr>
        <w:t>وقع الاستيداع من الولي الى الثقة الأمين؛ للاطلاقات و العمومات و اقتضاء ولايته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اشتراط الضمان في الوديعة حتّى مع عدم التعدّي أو التفريط مخالف للكتاب و السنّة، فيفسد الشرط و تصحّ الوديعة و ليس على المستودع ضمان الاّ مع التعدّي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الضمان بعنوان تعهّد جديد من ماله و عقد جديد لا بعنوان الشرط في الوديعة فلايبعد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العين المودعة للمودع و ذلك لتبعيّة النماء للأصل في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اشتراط كونها للمستودع، فوجوب الوفاء به معلّق على القول بوجوب الوفاء بالشروط في ضمن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اطلاقات و عمومات الوديعة كما تشمل المنقول، تشمل غير المنقول أيضا فتصحّ الوديعة في غير المنقول كالعقارات و الأراضي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هنا تمّ ما أردنا</w:t>
      </w:r>
    </w:p>
    <w:p>
      <w:pPr>
        <w:pStyle w:val="BookText"/>
        <w:rPr/>
      </w:pPr>
      <w:r>
        <w:rPr>
          <w:rFonts w:ascii="Amiri" w:hAnsi="Amiri" w:eastAsia="Amiri" w:cs="Amiri"/>
          <w:color w:val="111111"/>
          <w:sz w:val="28"/>
          <w:sz w:val="28"/>
          <w:szCs w:val="28"/>
          <w:rtl w:val="true"/>
          <w:lang w:bidi="ar-SA"/>
        </w:rPr>
        <w:t>بيانه من مسائل كتاب الوديعة</w:t>
      </w:r>
    </w:p>
    <w:p>
      <w:pPr>
        <w:pStyle w:val="BookText"/>
        <w:rPr/>
      </w:pPr>
      <w:r>
        <w:rPr>
          <w:rFonts w:ascii="Amiri" w:hAnsi="Amiri" w:eastAsia="Amiri" w:cs="Amiri"/>
          <w:color w:val="111111"/>
          <w:sz w:val="28"/>
          <w:sz w:val="28"/>
          <w:szCs w:val="28"/>
          <w:rtl w:val="true"/>
          <w:lang w:bidi="ar-SA"/>
        </w:rPr>
        <w:t>و يتلوه شرح كتاب العارية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9674_84318"/>
      <w:bookmarkStart w:id="465" w:name="pg9674_84318"/>
      <w:bookmarkEnd w:id="465"/>
    </w:p>
    <w:p>
      <w:pPr>
        <w:pStyle w:val="Heading2"/>
        <w:numPr>
          <w:ilvl w:val="1"/>
          <w:numId w:val="1"/>
        </w:numPr>
        <w:rPr/>
      </w:pPr>
      <w:bookmarkStart w:id="466" w:name="pg9674_84318"/>
      <w:bookmarkStart w:id="467" w:name="__RefHeading___Toc7971602_2870459653"/>
      <w:bookmarkStart w:id="468" w:name="_Toc163"/>
      <w:bookmarkEnd w:id="466"/>
      <w:bookmarkEnd w:id="467"/>
      <w:r>
        <w:rPr>
          <w:rtl w:val="true"/>
        </w:rPr>
        <w:t>كتاب العارية</w:t>
      </w:r>
      <w:bookmarkEnd w:id="468"/>
    </w:p>
    <w:p>
      <w:pPr>
        <w:pStyle w:val="BookText"/>
        <w:rPr/>
      </w:pPr>
      <w:r>
        <w:rPr>
          <w:rFonts w:ascii="Amiri" w:hAnsi="Amiri" w:eastAsia="Amiri" w:cs="Amiri"/>
          <w:color w:val="111111"/>
          <w:sz w:val="28"/>
          <w:sz w:val="28"/>
          <w:szCs w:val="28"/>
          <w:rtl w:val="true"/>
          <w:lang w:bidi="ar-SA"/>
        </w:rPr>
        <w:t>العارية و هي عقد ثمرته التبرّع بالمنفعة و يقع بكلّ لفظ يشتمل على الاذن في الانتفاع و ليس بلازم لاحد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منسوبة الى العار؛ لأن طلبها عار 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 و ابن الأثير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منسوبة الى العارة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مصدر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أعرته اعارة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أجاب يجيب اجابة و جابة، و أطاق اطاقة و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يعير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و ذهب، و منه قيل للبطّال عيّار؛ لتردّده في بطالته، فسمّيت عاريّة؛ لتحوّلها من يد الى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التعاور و الاعتوار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أن‌يتداول القوم الشيء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الخطّابي في غريبه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اللغة العالية العارية، و قد تخفّف</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العارية عقد يحتاج الى ايجاب من المعير و قبول من </w:t>
      </w:r>
    </w:p>
    <w:p>
      <w:pPr>
        <w:pStyle w:val="BookText"/>
        <w:rPr/>
      </w:pPr>
      <w:r>
        <w:rPr>
          <w:rFonts w:ascii="Amiri" w:hAnsi="Amiri" w:eastAsia="Amiri" w:cs="Amiri"/>
          <w:color w:val="111111"/>
          <w:sz w:val="28"/>
          <w:sz w:val="28"/>
          <w:szCs w:val="28"/>
          <w:rtl w:val="true"/>
          <w:lang w:bidi="ar-SA"/>
        </w:rPr>
        <w:t>المستعير، فالايجاب كلّ لفظ يشتمل على الاذن في الانتفاع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لك في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لتنتفع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القبول هو كلّ ما أفاد الرضا بذلك؛ لأنّه لم‌يرد لفظ خاصّ من الشارع فتنعقد بكلّ لفظ يظهر منه العارية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ثمرتها انتفاع المستعير من المعار به مجّانا و لها أحكام يشير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تقع العارية بالمعاطاة أيضا؛ لصدق العارية عليها عرفا، و لظهور السيرة المستمرّة خلفا عن سلف فتشملها الأدلّة، فعليه تحصل العارية بما اذا دفع اليه 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ليلبسه فأخذه للّبس أو دفع اليه اناءا أو بساطا ليستعمله فأخذه و استعمله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العقد ليس بلازم لأحد المتعاقدين بلا خلاف معتدّ به بل الاجماع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استثني منه مواضع سيشير اليها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فصول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المعير</w:t>
      </w:r>
    </w:p>
    <w:p>
      <w:pPr>
        <w:pStyle w:val="BookText"/>
        <w:rPr/>
      </w:pPr>
      <w:r>
        <w:rPr>
          <w:rFonts w:ascii="Amiri" w:hAnsi="Amiri" w:eastAsia="Amiri" w:cs="Amiri"/>
          <w:color w:val="111111"/>
          <w:sz w:val="28"/>
          <w:sz w:val="28"/>
          <w:szCs w:val="28"/>
          <w:rtl w:val="true"/>
          <w:lang w:bidi="ar-SA"/>
        </w:rPr>
        <w:t>الفصل الثاني في المستعير</w:t>
      </w:r>
    </w:p>
    <w:p>
      <w:pPr>
        <w:pStyle w:val="BookText"/>
        <w:rPr/>
      </w:pPr>
      <w:r>
        <w:rPr>
          <w:rFonts w:ascii="Amiri" w:hAnsi="Amiri" w:eastAsia="Amiri" w:cs="Amiri"/>
          <w:color w:val="111111"/>
          <w:sz w:val="28"/>
          <w:sz w:val="28"/>
          <w:szCs w:val="28"/>
          <w:rtl w:val="true"/>
          <w:lang w:bidi="ar-SA"/>
        </w:rPr>
        <w:t>الفصل الثالث في العين المعارة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في الأحكام المتعلّقة بها </w:t>
      </w:r>
      <w:bookmarkStart w:id="469" w:name="pg9674_84320"/>
    </w:p>
    <w:p>
      <w:pPr>
        <w:pStyle w:val="Heading2"/>
        <w:numPr>
          <w:ilvl w:val="1"/>
          <w:numId w:val="1"/>
        </w:numPr>
        <w:rPr/>
      </w:pPr>
      <w:bookmarkStart w:id="470" w:name="__RefHeading___Toc7971604_2870459653"/>
      <w:bookmarkStart w:id="471" w:name="_Toc164"/>
      <w:bookmarkEnd w:id="469"/>
      <w:bookmarkEnd w:id="470"/>
      <w:r>
        <w:rPr>
          <w:rtl w:val="true"/>
        </w:rPr>
        <w:t xml:space="preserve">الفصل الأوّل </w:t>
      </w:r>
      <w:r>
        <w:rPr>
          <w:rtl w:val="true"/>
        </w:rPr>
        <w:t xml:space="preserve">: </w:t>
      </w:r>
      <w:r>
        <w:rPr>
          <w:rtl w:val="true"/>
        </w:rPr>
        <w:t>في المعير</w:t>
      </w:r>
      <w:bookmarkEnd w:id="471"/>
    </w:p>
    <w:p>
      <w:pPr>
        <w:pStyle w:val="BookText"/>
        <w:rPr/>
      </w:pPr>
      <w:r>
        <w:rPr>
          <w:rFonts w:ascii="Amiri" w:hAnsi="Amiri" w:eastAsia="Amiri" w:cs="Amiri"/>
          <w:color w:val="111111"/>
          <w:sz w:val="28"/>
          <w:sz w:val="28"/>
          <w:szCs w:val="28"/>
          <w:rtl w:val="true"/>
          <w:lang w:bidi="ar-SA"/>
        </w:rPr>
        <w:t>و لا بدّ أن‌يكون مكلّفا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فلاتصحّ اعارة الصبي و لا المجنون و لو أذن الولي جاز للصبي مع مراعاة المصلحة و كما لايليها عن نفسه كذا لاتصحّ ولايته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المعير أن‌يكون جائز التصرّف فلاتصحّ اعارة الصبي و المجنون الاّ باذن الولي مع المصلحة؛ لأنّها تصرّف مالي، و هكذا يكون الحكم بالنسبة الى المحجور عليه لسفه أو فلس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كون المعير كاملاً جائز التصرّف، و يجوز اعارة الصبي باذن الولي لمال نفسه، و وليّه؛ لأنّ المعتبر اذن الولي و هو كافٍ في تحقّق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علم المستعير باذن الولي، و الاّ لم‌يقبل قول الصبي في حقّه، الاّ أن‌تنضمّ اليه قرائن تفيد الظنّ المتآخم للعلم به، كما اذا طلبها من الولي فجاء به الصبي و أخبر أنّه أرسله بها، و نحو ذلك، كما يقبل قوله في الهديّة، و الاذن فيدخول الدار بالقرائن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بدّ مع اذن الولي له في اعارة ماله من وجود المصلحة بها بأن‌تكون يد المستعير أحفظ من يد الولي في ذلك الوقت، أو لانتفاع الصبي بالمستعير بما يزيد عن منفعة ماله، أو تكون العين ينفعها الاستعمال و يضرّها الاهمال، و نحو ذلك</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الى اعارة ماله باذن وليّه و اعارة مال وليّه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أيضا أنّه يجوز اعارة مال غيره و غير وليّه باذن صاحب المال، و هل يحتاج الى اذن وليّه؟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صرف واسطة فلايحتاج</w:t>
      </w:r>
      <w:r>
        <w:rPr>
          <w:rFonts w:eastAsia="Amiri" w:cs="Amiri" w:ascii="Amiri" w:hAnsi="Amiri"/>
          <w:color w:val="111111"/>
          <w:sz w:val="28"/>
          <w:szCs w:val="28"/>
          <w:rtl w:val="true"/>
          <w:lang w:bidi="ar-SA"/>
        </w:rPr>
        <w:t xml:space="preserve">. </w:t>
      </w:r>
      <w:bookmarkStart w:id="472" w:name="pg9674_84322"/>
    </w:p>
    <w:p>
      <w:pPr>
        <w:pStyle w:val="Heading2"/>
        <w:numPr>
          <w:ilvl w:val="1"/>
          <w:numId w:val="1"/>
        </w:numPr>
        <w:rPr/>
      </w:pPr>
      <w:bookmarkStart w:id="473" w:name="__RefHeading___Toc7971606_2870459653"/>
      <w:bookmarkStart w:id="474" w:name="_Toc165"/>
      <w:bookmarkEnd w:id="472"/>
      <w:bookmarkEnd w:id="473"/>
      <w:r>
        <w:rPr>
          <w:rtl w:val="true"/>
        </w:rPr>
        <w:t xml:space="preserve">الفصل الثاني </w:t>
      </w:r>
      <w:r>
        <w:rPr>
          <w:rtl w:val="true"/>
        </w:rPr>
        <w:t xml:space="preserve">: </w:t>
      </w:r>
      <w:r>
        <w:rPr>
          <w:rtl w:val="true"/>
        </w:rPr>
        <w:t>في المستعير</w:t>
      </w:r>
      <w:bookmarkEnd w:id="474"/>
    </w:p>
    <w:p>
      <w:pPr>
        <w:pStyle w:val="BookText"/>
        <w:rPr/>
      </w:pPr>
      <w:r>
        <w:rPr>
          <w:rFonts w:ascii="Amiri" w:hAnsi="Amiri" w:eastAsia="Amiri" w:cs="Amiri"/>
          <w:color w:val="111111"/>
          <w:sz w:val="28"/>
          <w:sz w:val="28"/>
          <w:szCs w:val="28"/>
          <w:rtl w:val="true"/>
          <w:lang w:bidi="ar-SA"/>
        </w:rPr>
        <w:t>و له الانتفاع بما جرت العادة به في الانتفاع بالمعار و لو نقص من العين شيء أو تلفت بالاستعمال من غير تعدٍّ لم‌يضمن الاّ أن‌يشترط ذلك في العارية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2"/>
        <w:numPr>
          <w:ilvl w:val="1"/>
          <w:numId w:val="1"/>
        </w:numPr>
        <w:rPr/>
      </w:pPr>
      <w:bookmarkStart w:id="475" w:name="__RefHeading___Toc7971608_2870459653"/>
      <w:bookmarkStart w:id="476" w:name="_Toc166"/>
      <w:bookmarkEnd w:id="475"/>
      <w:r>
        <w:rPr>
          <w:rtl w:val="true"/>
        </w:rPr>
        <w:t xml:space="preserve">الفرع الأوّل </w:t>
      </w:r>
      <w:r>
        <w:rPr>
          <w:rtl w:val="true"/>
        </w:rPr>
        <w:t xml:space="preserve">: </w:t>
      </w:r>
      <w:r>
        <w:rPr>
          <w:rtl w:val="true"/>
        </w:rPr>
        <w:t>في أنّ المستعير أمين</w:t>
      </w:r>
      <w:bookmarkEnd w:id="476"/>
    </w:p>
    <w:p>
      <w:pPr>
        <w:pStyle w:val="BookText"/>
        <w:rPr/>
      </w:pPr>
      <w:r>
        <w:rPr>
          <w:rFonts w:ascii="Amiri" w:hAnsi="Amiri" w:eastAsia="Amiri" w:cs="Amiri"/>
          <w:color w:val="111111"/>
          <w:sz w:val="28"/>
          <w:sz w:val="28"/>
          <w:szCs w:val="28"/>
          <w:rtl w:val="true"/>
          <w:lang w:bidi="ar-SA"/>
        </w:rPr>
        <w:t>المستعير أمين، فلو نقص من العين شيء أو تلفت بالاستعمال من غير تعدٍّ لم‌يضمن؛ يدلّ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عبداللّه بن سنان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العارية،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غرم على مستعير عاريّة اذا </w:t>
      </w:r>
      <w:bookmarkStart w:id="477" w:name="pg9674_84323"/>
    </w:p>
    <w:p>
      <w:pPr>
        <w:pStyle w:val="BookText"/>
        <w:rPr/>
      </w:pPr>
      <w:bookmarkEnd w:id="477"/>
      <w:r>
        <w:rPr>
          <w:rFonts w:ascii="Amiri" w:hAnsi="Amiri" w:eastAsia="Amiri" w:cs="Amiri"/>
          <w:color w:val="111111"/>
          <w:sz w:val="28"/>
          <w:sz w:val="28"/>
          <w:szCs w:val="28"/>
          <w:rtl w:val="true"/>
          <w:lang w:bidi="ar-SA"/>
        </w:rPr>
        <w:t>هلكت اذا كان مأمونا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منها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الوديعة و البضاعة مؤتمنان،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مستعير عاريّة ضمان و صاحب العارية و الوديعة مؤتمن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منها 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العارية يستعيرها الانسان فتهلك أو تسرق،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أمينا فلا غرم عليه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الظاهر بقرينة سائر الروايات أنّ المراد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اشترط الضمان في العارية فيلزم الشرط فيضمن المستعير؛ و ذلك لصحيحة الحلبي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هلكت العارية عند المستعير لم‌يضمنه الاّ أن‌يكون اشترط</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67"/>
      </w:r>
    </w:p>
    <w:p>
      <w:pPr>
        <w:pStyle w:val="Heading2"/>
        <w:numPr>
          <w:ilvl w:val="1"/>
          <w:numId w:val="1"/>
        </w:numPr>
        <w:rPr/>
      </w:pPr>
      <w:bookmarkStart w:id="478" w:name="__RefHeading___Toc7971610_2870459653"/>
      <w:bookmarkStart w:id="479" w:name="_Toc167"/>
      <w:bookmarkEnd w:id="478"/>
      <w:r>
        <w:rPr>
          <w:rtl w:val="true"/>
        </w:rPr>
        <w:t xml:space="preserve">الفرع الثاني </w:t>
      </w:r>
      <w:r>
        <w:rPr>
          <w:rtl w:val="true"/>
        </w:rPr>
        <w:t xml:space="preserve">: </w:t>
      </w:r>
      <w:r>
        <w:rPr>
          <w:rtl w:val="true"/>
        </w:rPr>
        <w:t>في كيفيّة انتفاع المستعير من المعار به</w:t>
      </w:r>
      <w:bookmarkEnd w:id="47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للمستعير الانتفاع بالمعار به بما جرت العادة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المرجع في العادة الى نوع الانتفاع و قدره و صفته، فلو أعاره بساطا اقتضى الاطلاق فرشه و نحوه من </w:t>
      </w:r>
      <w:bookmarkStart w:id="480" w:name="pg9674_84324"/>
    </w:p>
    <w:p>
      <w:pPr>
        <w:pStyle w:val="BookText"/>
        <w:rPr/>
      </w:pPr>
      <w:bookmarkEnd w:id="480"/>
      <w:r>
        <w:rPr>
          <w:rFonts w:ascii="Amiri" w:hAnsi="Amiri" w:eastAsia="Amiri" w:cs="Amiri"/>
          <w:color w:val="111111"/>
          <w:sz w:val="28"/>
          <w:sz w:val="28"/>
          <w:szCs w:val="28"/>
          <w:rtl w:val="true"/>
          <w:lang w:bidi="ar-SA"/>
        </w:rPr>
        <w:t>الوجوه المعتادة، أو لحافا اقتضى جعله غطاءً فلايجوز فرشه؛ لعدم جريان العادة بذلك، أو حيوانا للحمل اقتضى تحميله قدرا جرت العادة بكونه يحمله فلايجوز الزيادة، أو فرسا من شأنها الركوب فلايجوز تحميلها، و 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تعدّدت منفعة العين فان عيّن نوعا تعيّن، و ان عمّم جاز الانتفاع بجميع وجوهها، و ان أطلق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للمحرم أن‌يستعير من محلّ صيدا؛ لانّه ليس له امساكه، و لو أمسكه ضمنه و ان لم‌يشترط عليه، و لو كان الصيد في يد محرم فاستعاره المحلّ جاز؛ لأنّ ملك المحرم زال عنه بالاحرام كما يأخذ من الصيد ما ليس بملك</w:t>
      </w:r>
      <w:r>
        <w:rPr>
          <w:rFonts w:eastAsia="Amiri" w:cs="Amiri" w:ascii="Amiri" w:hAnsi="Amiri"/>
          <w:color w:val="111111"/>
          <w:sz w:val="28"/>
          <w:szCs w:val="28"/>
          <w:rtl w:val="true"/>
          <w:lang w:bidi="ar-SA"/>
        </w:rPr>
        <w:t>.</w:t>
      </w:r>
    </w:p>
    <w:p>
      <w:pPr>
        <w:pStyle w:val="Heading2"/>
        <w:numPr>
          <w:ilvl w:val="1"/>
          <w:numId w:val="1"/>
        </w:numPr>
        <w:rPr/>
      </w:pPr>
      <w:bookmarkStart w:id="481" w:name="__RefHeading___Toc7971612_2870459653"/>
      <w:bookmarkStart w:id="482" w:name="_Toc168"/>
      <w:bookmarkEnd w:id="481"/>
      <w:r>
        <w:rPr>
          <w:rtl w:val="true"/>
        </w:rPr>
        <w:t xml:space="preserve">في استعارة المحرم الصيد </w:t>
      </w:r>
      <w:r>
        <w:rPr>
          <w:rtl w:val="true"/>
        </w:rPr>
        <w:t xml:space="preserve">... </w:t>
      </w:r>
      <w:r>
        <w:rPr/>
        <w:t>235</w:t>
      </w:r>
      <w:bookmarkEnd w:id="482"/>
    </w:p>
    <w:p>
      <w:pPr>
        <w:pStyle w:val="BookText"/>
        <w:rPr/>
      </w:pPr>
      <w:r>
        <w:rPr>
          <w:rFonts w:ascii="Amiri" w:hAnsi="Amiri" w:eastAsia="Amiri" w:cs="Amiri"/>
          <w:color w:val="111111"/>
          <w:sz w:val="28"/>
          <w:sz w:val="28"/>
          <w:szCs w:val="28"/>
          <w:rtl w:val="true"/>
          <w:lang w:bidi="ar-SA"/>
        </w:rPr>
        <w:t>لايجوز للمحرم أن‌يستعير الصيد من محلّ و لا من محرم؛ لأنّ تسلّط المحرم على الصيد حرام و كذا تسليطه، فلو استعاره بعقد العارية فهل يقع العقد فاسدا؟ وجهان، نعم؛ للنهي عن الامساك، و لا؛ لأنّ النهي في المعاملات لايدلّ على الفساد الاّ بالقرينة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تقدير قبضه له ان ردّه على المالك برئ من حقّه، و أمّا الفداء للّه تعالى فمبني على القول بأنّ الفداء مترتّب على مجرّد الامساك، الاّ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أوضحناه في كتاب المناسك</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الفداء بصورة التلف، و أنّه ان أرسله قبل التلف لم‌يجب عليه فداء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تلف في يده فلا شبهة في ضمانه الفداء للّه تعالى؛ لأنّه ثابت عليه بمجرّدالتلف في يده و يضمنه للمالك أيضا بالقيمة و ان لم‌يشترط فيها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الصيد في يد محرم فاستعاره المحلّ جاز؛ لأنّ ملك المحرم زال عنه بالاحرام كما يأخذ من الصيد ما ليس بملك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في المسالك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حكم بزوال ملك المحرم عن الصيد صار فيه بمنزلة الأجنبي، فاطلاق الجواز على اعارته يشكل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الاعارة شرطها كون المعار ملكا للمعير، و هو هنا منتفٍ؛ لما ذكروه من زوال ملكه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تسليمه للمحلّ اعانة على الصيد و اثبات سلطنة للغير عليه، و هو محرّم على المحرم فلايناسبه اثبات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تسليمه اذا كان محرّما على المحرم يحرم قبوله من المحلّ؛ لاعانته له على الاثم و العدوان المنهي عنه في القرآن، و ان كان للمحلّ تناول الصيد لولا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الحكم بتحريم الاعارة المذكورة، أعني اثبات صورتها و ان كان الملك غير متحقّق، و تحريم أخذ المحلّ له من يده للاعانة على المحرّم، لكن لو فعل ذلك لم‌يلزم المحلّ سوى الاثم، و لا شيء للمحرم عليه؛ لزوال ملكه، و على المحرم الفداء لو تلف في يد المحلّ؛ لتعدّيه بالاعارة، فانّه كان يجب عليه الارسال</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صاحب الجواهر رحمه‌الله ففي شرحه على عبارة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كان الصيد في يد محرم فاستعاره المحلّ أي أخذه بصورة العارية جاز أخذه للمحلّ؛ </w:t>
      </w:r>
      <w:bookmarkStart w:id="483" w:name="pg9674_84326"/>
    </w:p>
    <w:p>
      <w:pPr>
        <w:pStyle w:val="BookText"/>
        <w:rPr/>
      </w:pPr>
      <w:bookmarkEnd w:id="483"/>
      <w:r>
        <w:rPr>
          <w:rFonts w:ascii="Amiri" w:hAnsi="Amiri" w:eastAsia="Amiri" w:cs="Amiri"/>
          <w:color w:val="111111"/>
          <w:sz w:val="28"/>
          <w:sz w:val="28"/>
          <w:szCs w:val="28"/>
          <w:rtl w:val="true"/>
          <w:lang w:bidi="ar-SA"/>
        </w:rPr>
        <w:t>للأصل و لأنّ ملك المحرم زال عنه بالاحرام فأخذه حينئذ منه كما يأخذ من الصيدما ليس بملك فيملكه حينئذ بالاستيلاء أو مع نيّة الملك على الوجهين في تملّك المباح، و حرمة الدفع الى المحلّ على المحرم لتعيّن الارسال عليه لاينافي جواز الأخذ للمحلّ، و ليس هو من الاعانة على المحرم قطعا، و ان وجب الفداء على المحرم مع التلف في يد المحلّ</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رحمه‌الله قد قبل عدم ملكيّة المحرم للصيد و لم‌يكن هناك اعارة قهرا، ولكن لم‌يقبل كون أخذ المحلّ منه من الاعانة على الاثم و أنّ تسليمه عليه حرام و كذا حرمة أخذ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لو قلنا بوجوب ارسال المحرم الصيد فجواز اعطائه للمحلّ مشكل بل غير جائز، كما أنّ صدق الاعانة على الاثم هنا مشكل الاّ أنّ الاحتياط ترك الأخذ</w:t>
      </w:r>
    </w:p>
    <w:p>
      <w:pPr>
        <w:pStyle w:val="Heading2"/>
        <w:numPr>
          <w:ilvl w:val="1"/>
          <w:numId w:val="1"/>
        </w:numPr>
        <w:rPr/>
      </w:pPr>
      <w:bookmarkStart w:id="484" w:name="__RefHeading___Toc7971614_2870459653"/>
      <w:bookmarkStart w:id="485" w:name="_Toc169"/>
      <w:bookmarkEnd w:id="484"/>
      <w:r>
        <w:rPr>
          <w:rtl w:val="true"/>
        </w:rPr>
        <w:t xml:space="preserve">في استعارة المحرم الصيد </w:t>
      </w:r>
      <w:r>
        <w:rPr>
          <w:rtl w:val="true"/>
        </w:rPr>
        <w:t xml:space="preserve">... </w:t>
      </w:r>
      <w:r>
        <w:rPr/>
        <w:t>235</w:t>
      </w:r>
      <w:bookmarkEnd w:id="485"/>
    </w:p>
    <w:p>
      <w:pPr>
        <w:pStyle w:val="BookText"/>
        <w:rPr/>
      </w:pPr>
      <w:r>
        <w:rPr>
          <w:rFonts w:ascii="Amiri" w:hAnsi="Amiri" w:eastAsia="Amiri" w:cs="Amiri"/>
          <w:color w:val="111111"/>
          <w:sz w:val="28"/>
          <w:sz w:val="28"/>
          <w:szCs w:val="28"/>
          <w:rtl w:val="true"/>
          <w:lang w:bidi="ar-SA"/>
        </w:rPr>
        <w:t>و لو استعاره من الغاصب و هو لايعلم كان الضمان على الغاصب و للمالك الزام المستعير بما استوفاه من المنفعة و يرجع على الغاصب؛ لأنّه أذن له في استيفائها بغير عوض، و الوجه تعلّق الضمان بالغاصب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تلفت العين في يد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عالما كان ضامنا و لم‌يرجع على الغاصب، و لو أغرم الغاصب رجع على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استعار عينا من الغاصب فان لم‌يعلم بغصبه كان قرار الضمان على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6" w:name="__RefHeading___Toc7971616_2870459653"/>
      <w:bookmarkStart w:id="487" w:name="_Toc170"/>
      <w:bookmarkEnd w:id="486"/>
      <w:r>
        <w:rPr>
          <w:rtl w:val="true"/>
        </w:rPr>
        <w:t xml:space="preserve">فيما لو استعاره من الغاصب و هو لايعلم </w:t>
      </w:r>
      <w:r>
        <w:rPr>
          <w:rtl w:val="true"/>
        </w:rPr>
        <w:t xml:space="preserve">... </w:t>
      </w:r>
      <w:r>
        <w:rPr/>
        <w:t>237</w:t>
      </w:r>
      <w:bookmarkEnd w:id="487"/>
    </w:p>
    <w:p>
      <w:pPr>
        <w:pStyle w:val="BookText"/>
        <w:rPr/>
      </w:pPr>
      <w:r>
        <w:rPr>
          <w:rFonts w:ascii="Amiri" w:hAnsi="Amiri" w:eastAsia="Amiri" w:cs="Amiri"/>
          <w:color w:val="111111"/>
          <w:sz w:val="28"/>
          <w:sz w:val="28"/>
          <w:szCs w:val="28"/>
          <w:rtl w:val="true"/>
          <w:lang w:bidi="ar-SA"/>
        </w:rPr>
        <w:t>الغاصب؛ لقاعدة الغرور بعد فرض كون المستعير جاهلاً بالغصب، فان تلفت فييد المستعير فللمالك الرجوع بعوض ماله على كلّ من الغاصب و المستعير؛ لقاعدة ضمان اليد بعد فرض جريان يد كلّ من الغاصب و المستعير على مال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رجع على المستعير يرجع هو على الغاصب؛ لكونه غارّا، و ان رجع على الغاصب لم‌يرجع هو على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الحكم بالنسبة الى بدل المنافع المستوفاة في يد المستعير فانّه اذا رجع به على المستعير يرجع هو على الغاصب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عالما بالغصب لم‌يرجع المستعير على الغاصب لو رجع المالك عليه؛ لقاعدة ضمان اليد و لعدم غروره لعلمه بالغصب فهو بنفسه أقدم على الضمان، بل لو رجع المالك على الغاصب يرجع هو على المستعير لأنّ التلف وقع في يده فيكون قرار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لايجوز للمستعير أن‌يردّ العين الى الغاصب بعد علمه بالغصبيّة بل يجب أن‌يردّها الى مالكها؛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يأمركم أن‌تؤدّوا الأمانات الى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Style w:val="FootnoteAnchor"/>
          <w:rtl w:val="true"/>
        </w:rPr>
        <w:footnoteReference w:id="272"/>
      </w:r>
      <w:bookmarkStart w:id="488" w:name="pg9674_84328"/>
    </w:p>
    <w:p>
      <w:pPr>
        <w:pStyle w:val="Heading2"/>
        <w:numPr>
          <w:ilvl w:val="1"/>
          <w:numId w:val="1"/>
        </w:numPr>
        <w:rPr/>
      </w:pPr>
      <w:bookmarkStart w:id="489" w:name="__RefHeading___Toc7971618_2870459653"/>
      <w:bookmarkStart w:id="490" w:name="_Toc171"/>
      <w:bookmarkEnd w:id="488"/>
      <w:bookmarkEnd w:id="489"/>
      <w:r>
        <w:rPr>
          <w:rtl w:val="true"/>
        </w:rPr>
        <w:t xml:space="preserve">الفصل الثالث </w:t>
      </w:r>
      <w:r>
        <w:rPr>
          <w:rtl w:val="true"/>
        </w:rPr>
        <w:t xml:space="preserve">: </w:t>
      </w:r>
      <w:r>
        <w:rPr>
          <w:rtl w:val="true"/>
        </w:rPr>
        <w:t>في العين المعارة</w:t>
      </w:r>
      <w:bookmarkEnd w:id="490"/>
    </w:p>
    <w:p>
      <w:pPr>
        <w:pStyle w:val="BookText"/>
        <w:rPr/>
      </w:pPr>
      <w:r>
        <w:rPr>
          <w:rFonts w:ascii="Amiri" w:hAnsi="Amiri" w:eastAsia="Amiri" w:cs="Amiri"/>
          <w:color w:val="111111"/>
          <w:sz w:val="28"/>
          <w:sz w:val="28"/>
          <w:szCs w:val="28"/>
          <w:rtl w:val="true"/>
          <w:lang w:bidi="ar-SA"/>
        </w:rPr>
        <w:t>و هي كلّ ما يصحّ الانتفاع به مع بقاء عينه كالثوب و الدابّة، و تصحّ استعارة الارض للزراعة و الغرس و البناء، و يقتصر المستعير على القدر المأذون فيه،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أن‌يستبيح ما دونه في الضرر كأن‌يستعير أرضا للغرس فيزرع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استعارة كلّ حيوان له منفعة كفحل الضراب و الكلب و السنّور و العبد للخدمة و المملوكة، و لو كان المستعير أجنبيّا منها، و يجوز استعارة الشاة للحلب و هي المنحة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لايستباح وط‌ء الامة بالعاريّة، و في استباحتها بلفظ الاباحة تردّد و الأشبه الجواز</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قد استفيد الضابط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الروايات بعد ما تبيّن أنّ معنى العارية في العرف هو الانتفاع من الشيء المعار به مع حفظ عينه، الاّ ما خرج بالدليل مثل المنحة، و دليل خروجها هو السيرة، و عليه فالمعيارهو العرف بعد ما كانت الروايات 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ذكره الأعلام من الأمثلة يرجع الى ما ذكرنا من العرف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ضابطها المستفاد من الفتوى و معقد الاجماع و نفي الخلاف و الاقتصار على المتيقّن من اطلاق النصّ، عدا ما خرج من المنحة بدليله هي كلّ ما يصحّ الانتفاع به شرعا مع بقاء عينه منفعة معتدّا بها عند العقلاء، و لو غير معتادة من تلك العين كالثوب و الدابّة و الدار و الدراهم للتزيّن بها، أو لارهانها و نحوها، لا مثل الأطعمة و الأشربة و نحوهما لارادة الانتفاع بها بالأكل و الشرب و نحوهما، ممّا يكون منفعة باتلاف عينه، و لا مثل أواني الذهب و الفضّة للأكل و الشرب، و كلب الصيد للهو و الطرب، و الجواري للاستمتاع بهنّ، بلا خلاف و لا اشكال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اشكال في أنّه تصحّ استعارة الأرض للزراعة و الغرس و البناء ولكن يقتصر المستعير على القدر المأذون فيه كما هو صريح المسالك و الروضة و غيرهما، و ظاهر الدروس و اللمعة؛ لأصالة حرمة التصرّف في مال الغير بغير اذنه فلايجوز التعدّي الى الأدنى فضلاً عن المساوي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يجوز استعارة كلّ حيوان له منفعة كفحل الضراب و ان استلزم اتلاف عين مائه، الاّ أنّه من التوابع للنزو و ادخال الفرج و نحوهما التي لاتقدح، أو علم بالسيرة جوازها، و العبد للخدمة، و كذا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ظاهرا كما اعترف به بعضهم في أنّه يجوز استعارة الشاة للحلب و هي المسمّاة بالمنحة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لايستباح وطى الأمة بالعاريّة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73"/>
      </w:r>
      <w:bookmarkStart w:id="491" w:name="pg9674_84330"/>
    </w:p>
    <w:p>
      <w:pPr>
        <w:pStyle w:val="Heading2"/>
        <w:numPr>
          <w:ilvl w:val="1"/>
          <w:numId w:val="1"/>
        </w:numPr>
        <w:rPr/>
      </w:pPr>
      <w:bookmarkStart w:id="492" w:name="__RefHeading___Toc7971620_2870459653"/>
      <w:bookmarkStart w:id="493" w:name="_Toc172"/>
      <w:bookmarkEnd w:id="491"/>
      <w:bookmarkEnd w:id="492"/>
      <w:r>
        <w:rPr>
          <w:rtl w:val="true"/>
        </w:rPr>
        <w:t xml:space="preserve">في صحّة الاعارة مطلقا و مدّة معيّنة </w:t>
      </w:r>
      <w:r>
        <w:rPr>
          <w:rtl w:val="true"/>
        </w:rPr>
        <w:t xml:space="preserve">... </w:t>
      </w:r>
      <w:r>
        <w:rPr/>
        <w:t>241</w:t>
      </w:r>
      <w:bookmarkEnd w:id="493"/>
    </w:p>
    <w:p>
      <w:pPr>
        <w:pStyle w:val="BookText"/>
        <w:rPr/>
      </w:pPr>
      <w:r>
        <w:rPr>
          <w:rFonts w:ascii="Amiri" w:hAnsi="Amiri" w:eastAsia="Amiri" w:cs="Amiri"/>
          <w:color w:val="111111"/>
          <w:sz w:val="28"/>
          <w:sz w:val="28"/>
          <w:szCs w:val="28"/>
          <w:rtl w:val="true"/>
          <w:lang w:bidi="ar-SA"/>
        </w:rPr>
        <w:t>و تصحّ الاعارة مطلقا و مدّة معيّنة و للمالك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له في البناء أو الغرس ثمّ أمره بالازالة وجبت الاجابة، و كذا في الزرع و لو قبل ادراكه على الأشبه، و على الاذن الارش و ليس له المطالبة بالازالة من دون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تصحّ الاعارة مطلقا و مدّة معيّنة؛ لاطلاق الأدلّة مع عدم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بصحّتها مدّة معيّنة عدم الاذن فيما بعدها لا لزومها اليها، و حينئذٍ فللمالك في الحالين الرجوع بها؛ لأنّها عقد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أذن له في البناء أو الغرس ثمّ أمره بازالة وجبت الاجابة، و كذا في الزرع و لو قبل ادراكه؛ و ذلك لأنّ بناء العارية على الجواز الاّ ما أخرجه الدليل و هو منتف هنا، و حديث الضرر و الاضرار مشترك بين المعير و المستعير، فيسقط اعتباره للتعارض و يرجع الى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الجمع بين المصلحتين و اندفاع الضررين بدفع المعير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المالك عن اذنه بعد بناء المستعير أو غرسه أو زرعه في الأرض فليس له المطالبة بالازالة من دون الارش، و هو تفاوت ما بين كونه منزوعا من الأرض و ثابتا فلاتجب اجابته الى القلع قبل دفعه؛ لاحتمال تعذّر الرجوع عليه بافلاس أو غيبة و نحوهما فيضيع حقّ المستعير و يلزم عليه الضرر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المعير لو بذل قيمة الغرس و الزرع و البناء لايجب على المستعير اجابته كما لايجب اجابة المستعير لو بذل قيمة الأرض أو الأجرة؛ لأنّ تملّك مال الغير واستحقاق منفعة ماله موقوف على رضاه</w:t>
      </w:r>
      <w:r>
        <w:rPr>
          <w:rFonts w:eastAsia="Amiri" w:cs="Amiri" w:ascii="Amiri" w:hAnsi="Amiri"/>
          <w:color w:val="111111"/>
          <w:sz w:val="28"/>
          <w:szCs w:val="28"/>
          <w:rtl w:val="true"/>
          <w:lang w:bidi="ar-SA"/>
        </w:rPr>
        <w:t xml:space="preserve">. </w:t>
      </w:r>
      <w:bookmarkStart w:id="494" w:name="pg9674_84331"/>
    </w:p>
    <w:p>
      <w:pPr>
        <w:pStyle w:val="Heading2"/>
        <w:numPr>
          <w:ilvl w:val="1"/>
          <w:numId w:val="1"/>
        </w:numPr>
        <w:rPr/>
      </w:pPr>
      <w:bookmarkStart w:id="495" w:name="__RefHeading___Toc7971622_2870459653"/>
      <w:bookmarkStart w:id="496" w:name="_Toc173"/>
      <w:bookmarkEnd w:id="494"/>
      <w:bookmarkEnd w:id="495"/>
      <w:r>
        <w:rPr>
          <w:rtl w:val="true"/>
        </w:rPr>
        <w:t xml:space="preserve">فيما لو أعاره أرضا للدفن </w:t>
      </w:r>
      <w:r>
        <w:rPr>
          <w:rtl w:val="true"/>
        </w:rPr>
        <w:t xml:space="preserve">... </w:t>
      </w:r>
      <w:r>
        <w:rPr/>
        <w:t>242</w:t>
      </w:r>
      <w:bookmarkEnd w:id="496"/>
    </w:p>
    <w:p>
      <w:pPr>
        <w:pStyle w:val="BookText"/>
        <w:rPr/>
      </w:pPr>
      <w:r>
        <w:rPr>
          <w:rFonts w:ascii="Amiri" w:hAnsi="Amiri" w:eastAsia="Amiri" w:cs="Amiri"/>
          <w:color w:val="111111"/>
          <w:sz w:val="28"/>
          <w:sz w:val="28"/>
          <w:szCs w:val="28"/>
          <w:rtl w:val="true"/>
          <w:lang w:bidi="ar-SA"/>
        </w:rPr>
        <w:t>و لو أعاره أرضا للدفن لم‌يكن له اجباره على قلع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أعاره أرضا لدفن الميّت المسلم أو من في حكمه كولده الصغير و المجنون و اللقيط بشرطه، فان رجع قبل الطمّ و مواراة الميّت جاز و ان كان الميّت قد وضع؛ للأصل أي استصحاب جواز الرجوع في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الرجوع بعد الطمّ و مواراته؛ لتحريم نبشه و هتك حرمته الى أن‌تندرس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 نبشه بأيّ وجه فانّ اعارته حينئذٍ تحتاج الى اذن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للمستعير أن‌يدخل الى الأرض و يستظلّ بشجرها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استعار الأرض للغرس فغرسها جاز لكلّ من المعير و المستعير دخول الأرض، أمّا المعير فلأنّ الأرض ملكه فله الدخول فيها في كلّ وقت، و له أن‌يستظلّ شجرها و ان كان ملكا لغيره؛ لأنّه جالس في ملكه كما لو جلس في غيره من أملاكه و اتّفق له التظلّل بشجر غيره أو في المباح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أنّه يجوز له الانتفاع منها بكلّ ما لايستلزم التصرّف في الغرس أو البناء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 دخول المستعير فلأنّ الشجر ملكه فله الدخول لأجله بأن‌يسقيه و يحرسه و يهذّبه و نحو ذلك، 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أن‌يدخل لغرض آخر غير ما يتعلّق بمصلحة الشجر و الثمر كالتفرّج؛ لأنّ الاستعارة وقعت لمنفعة معيّنة</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،ولكنّ الظاهر جواز التفرّج و ما يشبهه؛ لأنّه من لواحق اذن الغرس</w:t>
      </w:r>
      <w:r>
        <w:rPr>
          <w:rFonts w:eastAsia="Amiri" w:cs="Amiri" w:ascii="Amiri" w:hAnsi="Amiri"/>
          <w:color w:val="111111"/>
          <w:sz w:val="28"/>
          <w:szCs w:val="28"/>
          <w:rtl w:val="true"/>
          <w:lang w:bidi="ar-SA"/>
        </w:rPr>
        <w:t xml:space="preserve">. </w:t>
      </w:r>
      <w:bookmarkStart w:id="497" w:name="pg9674_84332"/>
    </w:p>
    <w:p>
      <w:pPr>
        <w:pStyle w:val="Heading2"/>
        <w:numPr>
          <w:ilvl w:val="1"/>
          <w:numId w:val="1"/>
        </w:numPr>
        <w:rPr/>
      </w:pPr>
      <w:bookmarkStart w:id="498" w:name="__RefHeading___Toc7971624_2870459653"/>
      <w:bookmarkStart w:id="499" w:name="_Toc174"/>
      <w:bookmarkEnd w:id="497"/>
      <w:bookmarkEnd w:id="498"/>
      <w:r>
        <w:rPr>
          <w:rtl w:val="true"/>
        </w:rPr>
        <w:t xml:space="preserve">فيما لو أعاره حائطا لطرح خشبة فطالبه بازالتها </w:t>
      </w:r>
      <w:r>
        <w:rPr>
          <w:rtl w:val="true"/>
        </w:rPr>
        <w:t xml:space="preserve">... </w:t>
      </w:r>
      <w:r>
        <w:rPr/>
        <w:t>243</w:t>
      </w:r>
      <w:bookmarkEnd w:id="499"/>
    </w:p>
    <w:p>
      <w:pPr>
        <w:pStyle w:val="BookText"/>
        <w:rPr/>
      </w:pPr>
      <w:r>
        <w:rPr>
          <w:rFonts w:ascii="Amiri" w:hAnsi="Amiri" w:eastAsia="Amiri" w:cs="Amiri"/>
          <w:color w:val="111111"/>
          <w:sz w:val="28"/>
          <w:sz w:val="28"/>
          <w:szCs w:val="28"/>
          <w:rtl w:val="true"/>
          <w:lang w:bidi="ar-SA"/>
        </w:rPr>
        <w:t>و لو أعاره حائطا لطرح خشبة فطالبه بازالتها كان له ذلك الاّ أن‌تكون أطرافها الأخر مثبتة في بناء المستعير فيؤدّي الى خرابه و اجباره على ازالة جذوعه عن ملكه، 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أعاره حائطا ليضع عليه جذوعه فوضعها عليه لم‌يكن له أن‌يطالبه بقلعها على أن‌يضمن له أرش النقصان؛ لأنّها موضوعة على حائط نفسه، فأحد الطرفين على أحدهما، و الطرف الآخر على الآخر، فلو أجبرناه على القلع على هذا الوجه كان ذلك اجبارا على قلع جذوعه من ملكه، و ليس كذلك الغرس؛ لأنّها في ملك غيره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ما ذكره الشيخ هو ما أشار اليه المصنّف من أنّ رجوع المستعير مستلزم للتصرّف في ملك الغير و تخريب بنائه الواقع في ملكه فيمنع منه؛ لأنّ الثابت له شرعا انّما هو تفريغ ملكه عن ملك الغير لا تخريب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تردّد المصنّف فيه ممّا ذكر و من أنّه عاريّة من لوازمها جواز الرجوع فيها، و ما ذكر لايصلح للمنع؛ لأنّ تفريغ مال المستعير مع المطالبة واجب فاذا توقّف على تخريب ملكه كان من باب المقدّمة التي لايتمّ الواجب الاّ بها، فيجب من هذه الحيثيّة، و المستعير أدخل الضرر على نفسه ببنائه في ملكه بناءا معرّضا للزوال بالرجوع في العارية التي هي مبنيّة على الجواز</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الجواز مع الأرش و هو جائز لضرر المستعير</w:t>
      </w:r>
      <w:r>
        <w:rPr>
          <w:rFonts w:eastAsia="Amiri" w:cs="Amiri" w:ascii="Amiri" w:hAnsi="Amiri"/>
          <w:color w:val="111111"/>
          <w:sz w:val="28"/>
          <w:szCs w:val="28"/>
          <w:rtl w:val="true"/>
          <w:lang w:bidi="ar-SA"/>
        </w:rPr>
        <w:t>».</w:t>
      </w:r>
      <w:r>
        <w:rPr>
          <w:rStyle w:val="FootnoteAnchor"/>
          <w:rtl w:val="true"/>
        </w:rPr>
        <w:footnoteReference w:id="278"/>
      </w:r>
      <w:bookmarkStart w:id="500" w:name="pg9674_84333"/>
    </w:p>
    <w:p>
      <w:pPr>
        <w:pStyle w:val="BookText"/>
        <w:rPr/>
      </w:pPr>
      <w:bookmarkEnd w:id="50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الجواز مع الأرش مطابق للقواعد في الطرفين</w:t>
      </w:r>
      <w:r>
        <w:rPr>
          <w:rFonts w:eastAsia="Amiri" w:cs="Amiri" w:ascii="Amiri" w:hAnsi="Amiri"/>
          <w:color w:val="111111"/>
          <w:sz w:val="28"/>
          <w:szCs w:val="28"/>
          <w:rtl w:val="true"/>
          <w:lang w:bidi="ar-SA"/>
        </w:rPr>
        <w:t>.</w:t>
      </w:r>
    </w:p>
    <w:p>
      <w:pPr>
        <w:pStyle w:val="Heading2"/>
        <w:numPr>
          <w:ilvl w:val="1"/>
          <w:numId w:val="1"/>
        </w:numPr>
        <w:rPr/>
      </w:pPr>
      <w:bookmarkStart w:id="501" w:name="__RefHeading___Toc7971626_2870459653"/>
      <w:bookmarkStart w:id="502" w:name="_Toc175"/>
      <w:bookmarkEnd w:id="501"/>
      <w:r>
        <w:rPr>
          <w:rtl w:val="true"/>
        </w:rPr>
        <w:t xml:space="preserve">فيما لو أذن له في غرس شجرة فانقلعت </w:t>
      </w:r>
      <w:r>
        <w:rPr>
          <w:rtl w:val="true"/>
        </w:rPr>
        <w:t xml:space="preserve">... </w:t>
      </w:r>
      <w:r>
        <w:rPr/>
        <w:t>244</w:t>
      </w:r>
      <w:bookmarkEnd w:id="502"/>
    </w:p>
    <w:p>
      <w:pPr>
        <w:pStyle w:val="BookText"/>
        <w:rPr/>
      </w:pPr>
      <w:r>
        <w:rPr>
          <w:rFonts w:ascii="Amiri" w:hAnsi="Amiri" w:eastAsia="Amiri" w:cs="Amiri"/>
          <w:color w:val="111111"/>
          <w:sz w:val="28"/>
          <w:sz w:val="28"/>
          <w:szCs w:val="28"/>
          <w:rtl w:val="true"/>
          <w:lang w:bidi="ar-SA"/>
        </w:rPr>
        <w:t>و لو أذن له في غرس شجرة فانقلعت جاز أن‌يغرس غيرها؛ استصحابا للاذن الأوّل،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يفتقر الى اذن مستأنف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أذن له في غرس شجرة في أرضه فغرسها ثمّ قلعها فهل يعيد أخرى أم لا؟ فالصحيح أنّه ليس له،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له ذلك؛ لأنّ الاذن قائم ما لم‌يرجع، و كذلك اذا أعاده حائطا ليضع عليه جذوعا ثمّ انكسر الجذع فهل له اعادة آخر بدله؟ على هذين الوجهين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المصنّف رحمه‌الله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أن‌يغرس غيرها؛ استصحابا للاذن الأوّل،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يفتقر الى اذن مستأنف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أشبه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الأوّل أنّ الاذن قائم ما لم‌يرجع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يضعّف بأنّه قائم فيما دلّ عليه لا في غيره، فعدم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باذن جديد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الزرع و البناء و وضع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انقلع الفسيل المأذون له في زرعه في غير وقته المعتاد، أو سقط الجذع كذلك و قصر الزمان جدّا، فالأولى أنّ له أن‌يعيده بغير تجديد الاذن</w:t>
      </w:r>
      <w:r>
        <w:rPr>
          <w:rFonts w:eastAsia="Amiri" w:cs="Amiri" w:ascii="Amiri" w:hAnsi="Amiri"/>
          <w:color w:val="111111"/>
          <w:sz w:val="28"/>
          <w:szCs w:val="28"/>
          <w:rtl w:val="true"/>
          <w:lang w:bidi="ar-SA"/>
        </w:rPr>
        <w:t>».».</w:t>
      </w:r>
      <w:r>
        <w:rPr>
          <w:rStyle w:val="FootnoteAnchor"/>
          <w:rtl w:val="true"/>
        </w:rPr>
        <w:footnoteReference w:id="280"/>
      </w:r>
      <w:bookmarkStart w:id="503" w:name="pg9674_84334"/>
    </w:p>
    <w:p>
      <w:pPr>
        <w:pStyle w:val="BookText"/>
        <w:rPr/>
      </w:pPr>
      <w:bookmarkEnd w:id="50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الشيخ و المصنّف و الشهيد هو الأقوى، و ما فرّع عليه العلاّمة في التذكرة فلايبعد صحّته الاّ أنّ الاحتياط الاذن؛ لما ذكر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اعارة العين المستعارة الاّ باذن المالك و لا اجارتها؛ لأنّ المنافع ليست مملوكة للمستعير و ان كان له استيفاؤها</w:t>
      </w:r>
      <w:r>
        <w:rPr>
          <w:rFonts w:eastAsia="Amiri" w:cs="Amiri" w:ascii="Amiri" w:hAnsi="Amiri"/>
          <w:color w:val="111111"/>
          <w:sz w:val="28"/>
          <w:szCs w:val="28"/>
          <w:rtl w:val="true"/>
          <w:lang w:bidi="ar-SA"/>
        </w:rPr>
        <w:t>.</w:t>
      </w:r>
    </w:p>
    <w:p>
      <w:pPr>
        <w:pStyle w:val="Heading2"/>
        <w:numPr>
          <w:ilvl w:val="1"/>
          <w:numId w:val="1"/>
        </w:numPr>
        <w:rPr/>
      </w:pPr>
      <w:bookmarkStart w:id="504" w:name="__RefHeading___Toc7971628_2870459653"/>
      <w:bookmarkStart w:id="505" w:name="_Toc176"/>
      <w:bookmarkEnd w:id="504"/>
      <w:r>
        <w:rPr>
          <w:rtl w:val="true"/>
        </w:rPr>
        <w:t xml:space="preserve">في اعارة العين المستعارة </w:t>
      </w:r>
      <w:r>
        <w:rPr>
          <w:rtl w:val="true"/>
        </w:rPr>
        <w:t xml:space="preserve">... </w:t>
      </w:r>
      <w:r>
        <w:rPr/>
        <w:t>245</w:t>
      </w:r>
      <w:bookmarkEnd w:id="505"/>
    </w:p>
    <w:p>
      <w:pPr>
        <w:pStyle w:val="BookText"/>
        <w:rPr/>
      </w:pPr>
      <w:r>
        <w:rPr>
          <w:rFonts w:ascii="Amiri" w:hAnsi="Amiri" w:eastAsia="Amiri" w:cs="Amiri"/>
          <w:color w:val="111111"/>
          <w:sz w:val="28"/>
          <w:sz w:val="28"/>
          <w:szCs w:val="28"/>
          <w:rtl w:val="true"/>
          <w:lang w:bidi="ar-SA"/>
        </w:rPr>
        <w:t>لايجوز اعارة العين المستعارة و لا اجارتها الاّ باذن المالك؛ لأنّه يشترط في المعير أن‌يكون مالكا للمنفعة، و لأنّ الأصل عصمة مال الغير و صيانته عن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للمستعير أن‌يستوفي المنفعة بنفسه و بوكيله، و لايعدّ ذلك اعارة؛ لأنّ المنفعة عائدة الى المستعير لا الى الوكيل، و هذا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يعير المستعير فللمالك الرجوع بأجرة المثل عن مدّة الاعارة الثانية على من شاء منهما، و ببدل العين لو تلفت، فان رجع على المعير لم‌يرجع على المستعير الجاهل بالحال، الاّ أن‌تكون العارية مضمونة فيرجع عليه ببدل العين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عالما استقرّ الضمان عليه كالغاصب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رجع على المستعير رجع على المعير ان كان جاهلاً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نظيره في السابق</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6" w:name="pg9674_84336"/>
      <w:bookmarkStart w:id="507" w:name="pg9674_84336"/>
      <w:bookmarkEnd w:id="507"/>
    </w:p>
    <w:p>
      <w:pPr>
        <w:pStyle w:val="Heading2"/>
        <w:numPr>
          <w:ilvl w:val="1"/>
          <w:numId w:val="1"/>
        </w:numPr>
        <w:rPr/>
      </w:pPr>
      <w:bookmarkStart w:id="508" w:name="pg9674_84336"/>
      <w:bookmarkStart w:id="509" w:name="__RefHeading___Toc7971630_2870459653"/>
      <w:bookmarkStart w:id="510" w:name="_Toc177"/>
      <w:bookmarkEnd w:id="508"/>
      <w:bookmarkEnd w:id="509"/>
      <w:r>
        <w:rPr>
          <w:rtl w:val="true"/>
        </w:rPr>
        <w:t xml:space="preserve">الفصل الرابع </w:t>
      </w:r>
      <w:r>
        <w:rPr>
          <w:rtl w:val="true"/>
        </w:rPr>
        <w:t xml:space="preserve">: </w:t>
      </w:r>
      <w:r>
        <w:rPr>
          <w:rtl w:val="true"/>
        </w:rPr>
        <w:t>في الأحكام المتعلّقة بها</w:t>
      </w:r>
      <w:bookmarkEnd w:id="510"/>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2"/>
        <w:numPr>
          <w:ilvl w:val="1"/>
          <w:numId w:val="1"/>
        </w:numPr>
        <w:rPr/>
      </w:pPr>
      <w:bookmarkStart w:id="511" w:name="__RefHeading___Toc7971632_2870459653"/>
      <w:bookmarkStart w:id="512" w:name="_Toc178"/>
      <w:bookmarkEnd w:id="511"/>
      <w:r>
        <w:rPr>
          <w:rtl w:val="true"/>
        </w:rPr>
        <w:t xml:space="preserve">في أنّ العارية أمانة </w:t>
      </w:r>
      <w:r>
        <w:rPr>
          <w:rtl w:val="true"/>
        </w:rPr>
        <w:t xml:space="preserve">... </w:t>
      </w:r>
      <w:r>
        <w:rPr/>
        <w:t>247</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أمانة لاتضمن الاّ بالتفريط في الحفظ أو التعدّي أو اشتراط الضمان، و تضمن اذا كانت ذهبا أو فضّة و ان لم‌يشترط الاّ أن‌يشترط سقوط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العارية أمانة بيد المستعير لايضمنها لو تلفت الاّ بالتعدّي أو التفريط كما تقدّم في البحث عن المستعير و قد تقدّم ما يدلّ على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الضمان ضمنها و ان لم‌يكن تعدٍّ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تضمن اذا كانت العارية ذهبا أو فضّة و ان لم‌يشترط كما في صحيحة عبداللّه بن سنان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لاتضمن العارية الاّ أن‌يكون قد اشترط فيها ضمان الاّ الدنانير فانّها مضمونة و ان لم‌يشترط فيها ضمانا</w:t>
      </w:r>
      <w:r>
        <w:rPr>
          <w:rFonts w:eastAsia="Amiri" w:cs="Amiri" w:ascii="Amiri" w:hAnsi="Amiri"/>
          <w:color w:val="111111"/>
          <w:sz w:val="28"/>
          <w:szCs w:val="28"/>
          <w:rtl w:val="true"/>
          <w:lang w:bidi="ar-SA"/>
        </w:rPr>
        <w:t>».</w:t>
      </w:r>
      <w:r>
        <w:rPr>
          <w:rStyle w:val="FootnoteAnchor"/>
          <w:rtl w:val="true"/>
        </w:rPr>
        <w:footnoteReference w:id="282"/>
      </w:r>
      <w:bookmarkStart w:id="513" w:name="pg9674_84337"/>
    </w:p>
    <w:p>
      <w:pPr>
        <w:pStyle w:val="BookText"/>
        <w:rPr/>
      </w:pPr>
      <w:bookmarkEnd w:id="513"/>
      <w:r>
        <w:rPr>
          <w:rFonts w:ascii="Amiri" w:hAnsi="Amiri" w:eastAsia="Amiri" w:cs="Amiri"/>
          <w:color w:val="111111"/>
          <w:sz w:val="28"/>
          <w:sz w:val="28"/>
          <w:szCs w:val="28"/>
          <w:rtl w:val="true"/>
          <w:lang w:bidi="ar-SA"/>
        </w:rPr>
        <w:t>الاّ أن‌يشترط عدم الضمان كما في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مضمونة؟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استعرته فتوي فلايلزمك تواه الاّ الذهب و الفضّة فانّهما يلزمان، الاّ أن‌تشترط عليه أنّه متى توي لم‌يلزمك تواه، و كذلك جميع ما استعرت فاشترط عليك لزمك، و الذهب و الفضّة لازم لك و ان لم‌يشترط عليك</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ثمّ انّه لا فرق في ذلك بين كون الذهب و الفضّة مصوغتين بالدرهم و الدينار أو لم‌يكن كذلك، و ان كان بعض الفقهاء ذهب الى أنّ المراد بالذهب و الفضّة في صحيحة زرارة هو الدينار و الدرهم الاّ أنّ ذلك جمع لايرضى به صاحبه كما أجاب عنه في الجواهر تفصيلاً فراجع</w:t>
      </w:r>
      <w:r>
        <w:rPr>
          <w:rFonts w:eastAsia="Amiri" w:cs="Amiri" w:ascii="Amiri" w:hAnsi="Amiri"/>
          <w:color w:val="111111"/>
          <w:sz w:val="28"/>
          <w:szCs w:val="28"/>
          <w:rtl w:val="true"/>
          <w:lang w:bidi="ar-SA"/>
        </w:rPr>
        <w:t>.</w:t>
      </w:r>
    </w:p>
    <w:p>
      <w:pPr>
        <w:pStyle w:val="Heading2"/>
        <w:numPr>
          <w:ilvl w:val="1"/>
          <w:numId w:val="1"/>
        </w:numPr>
        <w:rPr/>
      </w:pPr>
      <w:bookmarkStart w:id="514" w:name="__RefHeading___Toc7971634_2870459653"/>
      <w:bookmarkStart w:id="515" w:name="_Toc179"/>
      <w:bookmarkEnd w:id="514"/>
      <w:r>
        <w:rPr>
          <w:rtl w:val="true"/>
        </w:rPr>
        <w:t xml:space="preserve">في براءة الذمّة بردّ العارية الى المالك أو وكيله </w:t>
      </w:r>
      <w:r>
        <w:rPr>
          <w:rtl w:val="true"/>
        </w:rPr>
        <w:t xml:space="preserve">... </w:t>
      </w:r>
      <w:r>
        <w:rPr/>
        <w:t>248</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ردّ العارية الى المالك أو وكيله برئ و لو ردّها الى الحرز لم‌يبرأ، و لو استعار الدابّة الى مسافة فجاوزها ضمن و لو أعادها الى الأولى لم‌يبرأ</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ردّ العارية الى المالك أو وكيله برئ و لو ردّها الى حرز المالك من غير أن‌يصلها الى يده أو ما في حكمها لم‌يبرأ؛ و ذلك لأنّه لم‌يسلّمها الى المالك،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لم‌تكن العارية مضمونة صارت مضمونة بذلك لو تلفت؛ لتفريطه بوضعها في موضع لم‌يأذن المالك بالردّ اليه، كما لو ردّ الوديعة في دار صاحبها أو الدابّة المودعة في الاصطبل فتلفت قبل أن‌يتسلّمها </w:t>
      </w:r>
      <w:bookmarkStart w:id="516" w:name="pg9674_84338"/>
    </w:p>
    <w:p>
      <w:pPr>
        <w:pStyle w:val="BookText"/>
        <w:rPr/>
      </w:pPr>
      <w:bookmarkEnd w:id="516"/>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خلاف فيه عندنا كما في المسالك</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لو استعار الدابّة الى مسافة فجاوزها ضمن من حين الأخذ في التجاوز عن المأذون و يستمرّ الى أن‌يردّها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ضمان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في المسافة المتجاوزة ذهابا و عودا الى الموضع المأذون فيه خاصّة؛ لأنّه فيها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لاتبطل الاعارة بذلك فيكون استعمالها بعد عوده الى المأذون فيه جائزا و ان كان الأصل مضمونا بالتعدّي السابق</w:t>
      </w:r>
      <w:r>
        <w:rPr>
          <w:rFonts w:eastAsia="Amiri" w:cs="Amiri" w:ascii="Amiri" w:hAnsi="Amiri"/>
          <w:color w:val="111111"/>
          <w:sz w:val="28"/>
          <w:szCs w:val="28"/>
          <w:rtl w:val="true"/>
          <w:lang w:bidi="ar-SA"/>
        </w:rPr>
        <w:t>.</w:t>
      </w:r>
    </w:p>
    <w:p>
      <w:pPr>
        <w:pStyle w:val="Heading2"/>
        <w:numPr>
          <w:ilvl w:val="1"/>
          <w:numId w:val="1"/>
        </w:numPr>
        <w:rPr/>
      </w:pPr>
      <w:bookmarkStart w:id="517" w:name="__RefHeading___Toc7971636_2870459653"/>
      <w:bookmarkStart w:id="518" w:name="_Toc180"/>
      <w:bookmarkEnd w:id="517"/>
      <w:r>
        <w:rPr>
          <w:rtl w:val="true"/>
        </w:rPr>
        <w:t xml:space="preserve">في جواز بيع المستعير غروسه و أبنيته </w:t>
      </w:r>
      <w:r>
        <w:rPr>
          <w:rtl w:val="true"/>
        </w:rPr>
        <w:t xml:space="preserve">... </w:t>
      </w:r>
      <w:r>
        <w:rPr/>
        <w:t>249</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للمستعير بيع غروسه و أبنيته في الأرض المستعارة للمعير و لغيره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أنّه يجوز للمستعير بيع غروسه و أبنيته في الأرض المستعارة للمعير و انّما الخلاف في جواز بيعه لغير المعير و وجه المنع هو أنّه في معرض الهدم و النقص و أنّ ملكه عليه غير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مملوك له في حال بيعه غير ممنوع من التصرّف فيه، و كونه متزلزلاً لايمنع من جواز بيعه كما يجوز بيع الحيوان المشرف على التلف و هو في معرض الهلاك أو العبد المستحقّ للقتل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المشتري جاهلاً بالحال فله الفسخ؛ لأنّ ذلك عيب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حملت الأهوية أو السيول حبّا الى ملك انسان فنبت كان لصاحب الأرض ازالته و لايضمن الأرش كما في أغصان الشجرة البارزة الى ملكه</w:t>
      </w:r>
      <w:r>
        <w:rPr>
          <w:rFonts w:eastAsia="Amiri" w:cs="Amiri" w:ascii="Amiri" w:hAnsi="Amiri"/>
          <w:color w:val="111111"/>
          <w:sz w:val="28"/>
          <w:szCs w:val="28"/>
          <w:rtl w:val="true"/>
          <w:lang w:bidi="ar-SA"/>
        </w:rPr>
        <w:t xml:space="preserve">. </w:t>
      </w:r>
      <w:bookmarkStart w:id="519" w:name="pg9674_84339"/>
    </w:p>
    <w:p>
      <w:pPr>
        <w:pStyle w:val="Heading2"/>
        <w:numPr>
          <w:ilvl w:val="1"/>
          <w:numId w:val="1"/>
        </w:numPr>
        <w:rPr/>
      </w:pPr>
      <w:bookmarkStart w:id="520" w:name="__RefHeading___Toc7971638_2870459653"/>
      <w:bookmarkStart w:id="521" w:name="_Toc181"/>
      <w:bookmarkEnd w:id="519"/>
      <w:bookmarkEnd w:id="520"/>
      <w:r>
        <w:rPr>
          <w:rtl w:val="true"/>
        </w:rPr>
        <w:t xml:space="preserve">فيما اذا حملت الأهوية أو السيول حبّا الى ملك انسان فنبت </w:t>
      </w:r>
      <w:r>
        <w:rPr>
          <w:rtl w:val="true"/>
        </w:rPr>
        <w:t xml:space="preserve">... </w:t>
      </w:r>
      <w:r>
        <w:rPr/>
        <w:t>249</w:t>
      </w:r>
      <w:bookmarkEnd w:id="521"/>
    </w:p>
    <w:p>
      <w:pPr>
        <w:pStyle w:val="BookText"/>
        <w:rPr/>
      </w:pPr>
      <w:r>
        <w:rPr>
          <w:rFonts w:ascii="Amiri" w:hAnsi="Amiri" w:eastAsia="Amiri" w:cs="Amiri"/>
          <w:color w:val="111111"/>
          <w:sz w:val="28"/>
          <w:sz w:val="28"/>
          <w:szCs w:val="28"/>
          <w:rtl w:val="true"/>
          <w:lang w:bidi="ar-SA"/>
        </w:rPr>
        <w:t>اذا حملت الأهوية أو السيول حبّا مثلاً الى ملك انسان فنبت كان لصاحب الأرض ازالته بعد فرض امتناع المالك عنها من غير مراجعة الحاكم فيها و لايضمن له الأرش بل ربّما استحقّ عليه الأجرة كما في مسألة أغصان الشجرة البارزة الى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الحبّ لايخلو امّا أن‌يكون معرضا عنه، أو لا، و على التقديرين امّا أن‌يعلم المالك أو يجهل، في منحصر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فامّا أن‌يكون متموّلاً، أو قليلاً غير متموّل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الاعراض فلمالك الأرض و غيره تملّكه، و له طرحه من أرضه كغيره من المال المعرض عنه و ان كان كثيرا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أعرض المالك عنها و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فلصاحب الأرض تملّكها، و له طرحها من أرضه، كما يجوز تناول ما أعرض مالكه عنه من الثمار و السنبل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للمالك الرجوع فيها مادامت عينها باقية؛ لأنّ ذلك بمنزلة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الاّ أن‌يتصرّف فيها صاحب الأرض تصرّفا مالكيّا لازما بحيث لايمكن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لم‌يعرض عنها و كان مالكها معلوما فهي باقية على ملكه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اذا طالبه صاحب الأرض بالازالة فيجب عليه الازالة؛ لأنّ ملكه قد شغل أرض غيره بغير حقّ، فيجب تخليصه منها فاذا قلعه وجب عليه تسوية الأرض و طمّ الحفر؛ لأنّها حدثت بفعله لتخليص ملكه منها، فان امتنع أجبر عليه، و جاز </w:t>
      </w:r>
    </w:p>
    <w:p>
      <w:pPr>
        <w:pStyle w:val="BookText"/>
        <w:rPr/>
      </w:pPr>
      <w:r>
        <w:rPr>
          <w:rFonts w:ascii="Amiri" w:hAnsi="Amiri" w:eastAsia="Amiri" w:cs="Amiri"/>
          <w:color w:val="111111"/>
          <w:sz w:val="28"/>
          <w:sz w:val="28"/>
          <w:szCs w:val="28"/>
          <w:rtl w:val="true"/>
          <w:lang w:bidi="ar-SA"/>
        </w:rPr>
        <w:t>لصاحب الأرض نزعه منها، كما لو سرت أغصان شجرة الى ملكه كما فيالمسالك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لم‌يعرض عنها و لم‌يعلم المالك بعينه ولكن اشتبه في قوم منحصرين فذهب الشهيد الثاني رحمه‌الله طبقا للصورة السابقة الى وجوب التخلّص عليهم أجمع بالصلح أو التمليك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يجب على مالك الأرض أيضا مراجعتهم فيما يراجع فيه المالك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في الجواهر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الوجوب لا وجه له؛ لتمسّك كلّ منهم بأصل البراءة السالم عن معارضة باب المقدّمة في الفرض المعلوم عدمها فيه، فالمتّجه حينئذ ازالته نفسه عن ملكه بعد مراجعة الحاكم، أو بدونه، ولكن يسلّم المال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ذهب اليه صاحب الجواهر في هذه الصورة أقرب الى الصواب، و أنّه لايجب مالك الأرض مراجعتهم أجمع كما لايجب عليهم اجابته لو راجعهم، و ان كان الأحسن مراجعتهم و طلب الحلّيّة منهم أجمع ان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لم‌يعلم المالك و لم‌ينحصر في قوم فهل هي بمنزلة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تملّكه ان كان دون الدرهم حين التملّك، فلو تركه من غير نيّة التملّك حتّى بلغه وجب تعريفه كاللقطة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كمجهول المالك فيجوز التصدّق به عنه من غير تعريف؟</w:t>
      </w:r>
    </w:p>
    <w:p>
      <w:pPr>
        <w:pStyle w:val="BookText"/>
        <w:rPr/>
      </w:pPr>
      <w:r>
        <w:rPr>
          <w:rFonts w:ascii="Amiri" w:hAnsi="Amiri" w:eastAsia="Amiri" w:cs="Amiri"/>
          <w:color w:val="111111"/>
          <w:sz w:val="28"/>
          <w:sz w:val="28"/>
          <w:szCs w:val="28"/>
          <w:rtl w:val="true"/>
          <w:lang w:bidi="ar-SA"/>
        </w:rPr>
        <w:t xml:space="preserve">الظاهر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كونه مالاً ضائعا، و لو بقرينة، بل هو كالثوب الذي أطارته الريح</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ما تقدّم من الأحكام في الصور المختلفة جارٍ و لو كان الحبّ قليلاً لايتموّل كنواة واحدة و حبّة واحدة فنبتت فلايجوز تملّكه مطلقا، فيكون حكمه كما تقدّم فانّ أصول المذهب و قواعده مقتضية لوجوب ردّه الى صاحبه على </w:t>
      </w:r>
      <w:bookmarkStart w:id="522" w:name="pg9674_84341"/>
    </w:p>
    <w:p>
      <w:pPr>
        <w:pStyle w:val="BookText"/>
        <w:rPr/>
      </w:pPr>
      <w:bookmarkEnd w:id="522"/>
      <w:r>
        <w:rPr>
          <w:rFonts w:ascii="Amiri" w:hAnsi="Amiri" w:eastAsia="Amiri" w:cs="Amiri"/>
          <w:color w:val="111111"/>
          <w:sz w:val="28"/>
          <w:sz w:val="28"/>
          <w:szCs w:val="28"/>
          <w:rtl w:val="true"/>
          <w:lang w:bidi="ar-SA"/>
        </w:rPr>
        <w:t>حسب ما تقدّم كما في الجواهر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احتمله في المسالك من كونه لمالك الأرض ان قلنا لايجب ردّ مثله على مالكه؛ لانتفاء حقيقة الماليّة فيه، و التقويم انّما حصل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بقي شيء و هو أنّه لم‌أجد أحدا احتمل هنا وجوب الانتظار في الزرع الذي له أمد، و لا دفع الأرش فيه أو في الشجر كما ذكروه في العارية و نحوها، بل صريح بعضهم عدمه، مع أنّك قد سمعت أنّ بناء ذلك في العارية على تزاحم الحقوق و عدم كونه ظالما في عرقه، و الاّ فالاذن له يجوز له الرجوع فيها؛ لأنّها حصلت في ضمن عقد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اجراء قاعدة تزاحم الحقوق، و مراعاة الأكثر ضررا، و القرعة و نحوها في المقام ان لم‌يكن أولى من ذلك المقام، فهو مساوٍ له مثل دابّة وضعت رأسها في قدر شخص أو دخلت دار الغير فاحتاج اخراجها الى خراب الباب مثلاً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الفرق بين المقامين، و لعلّه قاعدة أخرى و هي وجوب تخليص ملك الغير عمّا اشتغل فيه من ملك آخر، و اللّه العالم</w:t>
      </w:r>
      <w:r>
        <w:rPr>
          <w:rFonts w:eastAsia="Amiri" w:cs="Amiri" w:ascii="Amiri" w:hAnsi="Amiri"/>
          <w:color w:val="111111"/>
          <w:sz w:val="28"/>
          <w:szCs w:val="28"/>
          <w:rtl w:val="true"/>
          <w:lang w:bidi="ar-SA"/>
        </w:rPr>
        <w:t>».</w:t>
      </w:r>
      <w:r>
        <w:rPr>
          <w:rStyle w:val="FootnoteAnchor"/>
          <w:rtl w:val="true"/>
        </w:rPr>
        <w:footnoteReference w:id="286"/>
      </w:r>
    </w:p>
    <w:p>
      <w:pPr>
        <w:pStyle w:val="Heading2"/>
        <w:numPr>
          <w:ilvl w:val="1"/>
          <w:numId w:val="1"/>
        </w:numPr>
        <w:rPr/>
      </w:pPr>
      <w:bookmarkStart w:id="523" w:name="__RefHeading___Toc7971640_2870459653"/>
      <w:bookmarkStart w:id="524" w:name="_Toc182"/>
      <w:bookmarkEnd w:id="523"/>
      <w:r>
        <w:rPr>
          <w:rtl w:val="true"/>
        </w:rPr>
        <w:t xml:space="preserve">فيما لو نقصت بالاستعمال ثمّ تلفت </w:t>
      </w:r>
      <w:r>
        <w:rPr>
          <w:rtl w:val="true"/>
        </w:rPr>
        <w:t xml:space="preserve">... </w:t>
      </w:r>
      <w:r>
        <w:rPr/>
        <w:t>252</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نقصت بالاستعمال ثمّ تلفت و قد شرط ضمانها ضمن قيمتها يوم تلفها؛ لأنّ النقصان المذكور غير مضمون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نقصت العين المستعارة بسبب الاستعمال المأذون فيه فلا ضمان بالنسبة الى المستعير؛ لأنّه أمين و النقص لم‌يحصل بالتعدّي و التفريط الاّ اذا شرط ضمان النقص و لو حصل بالاستعمال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نقصت ثمّ تلفت بسبب الاستعمال فان شرط ضمانها ضمن فان كان مثليّا فبالمثل و الاّ فبالقيمة و لا ضمان بالنسبة الى ما </w:t>
      </w:r>
      <w:bookmarkStart w:id="525" w:name="pg9674_84342"/>
    </w:p>
    <w:p>
      <w:pPr>
        <w:pStyle w:val="BookText"/>
        <w:rPr/>
      </w:pPr>
      <w:bookmarkEnd w:id="525"/>
      <w:r>
        <w:rPr>
          <w:rFonts w:ascii="Amiri" w:hAnsi="Amiri" w:eastAsia="Amiri" w:cs="Amiri"/>
          <w:color w:val="111111"/>
          <w:sz w:val="28"/>
          <w:sz w:val="28"/>
          <w:szCs w:val="28"/>
          <w:rtl w:val="true"/>
          <w:lang w:bidi="ar-SA"/>
        </w:rPr>
        <w:t>نقص؛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الظاهرأنّ عليه قيمتها يوم الأداء كما تقدّم في كتاب الغصب وغيره</w:t>
      </w:r>
      <w:r>
        <w:rPr>
          <w:rFonts w:eastAsia="Amiri" w:cs="Amiri" w:ascii="Amiri" w:hAnsi="Amiri"/>
          <w:color w:val="111111"/>
          <w:sz w:val="28"/>
          <w:szCs w:val="28"/>
          <w:rtl w:val="true"/>
          <w:lang w:bidi="ar-SA"/>
        </w:rPr>
        <w:t>.</w:t>
      </w:r>
    </w:p>
    <w:p>
      <w:pPr>
        <w:pStyle w:val="Heading2"/>
        <w:numPr>
          <w:ilvl w:val="1"/>
          <w:numId w:val="1"/>
        </w:numPr>
        <w:rPr/>
      </w:pPr>
      <w:bookmarkStart w:id="526" w:name="__RefHeading___Toc7971642_2870459653"/>
      <w:bookmarkStart w:id="527" w:name="_Toc183"/>
      <w:bookmarkEnd w:id="526"/>
      <w:r>
        <w:rPr>
          <w:rtl w:val="true"/>
        </w:rPr>
        <w:t>فيما اذا قال الراكب</w:t>
      </w:r>
      <w:r>
        <w:rPr>
          <w:rtl w:val="true"/>
        </w:rPr>
        <w:t>: «</w:t>
      </w:r>
      <w:r>
        <w:rPr>
          <w:rtl w:val="true"/>
        </w:rPr>
        <w:t>أعرتنيها</w:t>
      </w:r>
      <w:r>
        <w:rPr>
          <w:rtl w:val="true"/>
        </w:rPr>
        <w:t xml:space="preserve">»: </w:t>
      </w:r>
      <w:r>
        <w:rPr>
          <w:rtl w:val="true"/>
        </w:rPr>
        <w:t>و قال المالك</w:t>
      </w:r>
      <w:r>
        <w:rPr>
          <w:rtl w:val="true"/>
        </w:rPr>
        <w:t>: «</w:t>
      </w:r>
      <w:r>
        <w:rPr>
          <w:rtl w:val="true"/>
        </w:rPr>
        <w:t>آجرتكها</w:t>
      </w:r>
      <w:r>
        <w:rPr>
          <w:rtl w:val="true"/>
        </w:rPr>
        <w:t xml:space="preserve">» ... </w:t>
      </w:r>
      <w:r>
        <w:rPr/>
        <w:t>253</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الراكب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قول الراكب؛ لأنّ المالك مدّعي للأجرة،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المالك في عدم العارية فاذا حلف سقطت دعوى الراكب و يثبت عليه أجرة المثل لا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الاختلاف عقيب العقد من غير انتفاع كان القول قول الراكب؛ لأنّ المالك يدّعي عقدا و هذا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الراكب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لاتّفاقهما على أنّ تلف المنافع وقع على ملك المستعير، و انّما يختلفان في الأجرة، و الأصل براءة ذمّته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المنافع أموال كالأعيان فهي بالأصالة لمالك العين فادّعاء الراكب ملكيّتها بغير عوض على خلاف الأصل و أصالة براءة ذمّته انّما تصحّ من خصوص ما ادّعاه المالك، لا من مطلق الحقّ بعد استيفائه منفعة ملك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لايقبل قوله فيما يدّعيه من الأجرة؛ لأنّه فيها مدّع، كما أنّ الراكب بالنسبة الى العارية مدّع، بل يحلف على نفي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له 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 أنّ الراكب تصرّف في ملك غيره بغير تبرّع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المسمّى؛ لاعترافه بعدم استحقاقه 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حينئذ أنّهما يتحالفان؛ لأنّ كلاًّ منهما مدّع و مدّعى عليه فيحلف </w:t>
      </w:r>
      <w:bookmarkStart w:id="528" w:name="pg9674_84343"/>
    </w:p>
    <w:p>
      <w:pPr>
        <w:pStyle w:val="BookText"/>
        <w:rPr/>
      </w:pPr>
      <w:bookmarkEnd w:id="528"/>
      <w:r>
        <w:rPr>
          <w:rFonts w:ascii="Amiri" w:hAnsi="Amiri" w:eastAsia="Amiri" w:cs="Amiri"/>
          <w:color w:val="111111"/>
          <w:sz w:val="28"/>
          <w:sz w:val="28"/>
          <w:szCs w:val="28"/>
          <w:rtl w:val="true"/>
          <w:lang w:bidi="ar-SA"/>
        </w:rPr>
        <w:t>المالك على نفي الاعارة، و الراكب على نفي الاجارة و يثبت أقلّ الأمرين؛ لانتفاءالزائد من المسمّى بيمين المستعير، و الزائد عن أجرة المثل باعتراف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اختاره المصنّف في بعض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في المتن وجيه، و ما تذيّل به الشارح بالنسبة الى أقلّ الأمرين من المسمّى و أجرة المثل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الاختلاف عقيب العقد من غير انتفاع كان القول قول الراكب؛ لأنّ المالك يدّعي عقدا و هذا ينكره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استعار شيئا لينتفع به في شيء فانتفع به في غيره ضمن، و ان كان له أجرة لزمته أجرة مثله</w:t>
      </w:r>
    </w:p>
    <w:p>
      <w:pPr>
        <w:pStyle w:val="Heading2"/>
        <w:numPr>
          <w:ilvl w:val="1"/>
          <w:numId w:val="1"/>
        </w:numPr>
        <w:rPr/>
      </w:pPr>
      <w:bookmarkStart w:id="529" w:name="__RefHeading___Toc7971644_2870459653"/>
      <w:bookmarkStart w:id="530" w:name="_Toc184"/>
      <w:bookmarkEnd w:id="529"/>
      <w:r>
        <w:rPr>
          <w:rtl w:val="true"/>
        </w:rPr>
        <w:t xml:space="preserve">فيما اذا استعار شيئا لينتفع به في شيء فانتفع به في غيره </w:t>
      </w:r>
      <w:r>
        <w:rPr>
          <w:rtl w:val="true"/>
        </w:rPr>
        <w:t xml:space="preserve">... </w:t>
      </w:r>
      <w:r>
        <w:rPr/>
        <w:t>254</w:t>
      </w:r>
      <w:bookmarkEnd w:id="530"/>
    </w:p>
    <w:p>
      <w:pPr>
        <w:pStyle w:val="BookText"/>
        <w:rPr/>
      </w:pPr>
      <w:r>
        <w:rPr>
          <w:rFonts w:ascii="Amiri" w:hAnsi="Amiri" w:eastAsia="Amiri" w:cs="Amiri"/>
          <w:color w:val="111111"/>
          <w:sz w:val="28"/>
          <w:sz w:val="28"/>
          <w:szCs w:val="28"/>
          <w:rtl w:val="true"/>
          <w:lang w:bidi="ar-SA"/>
        </w:rPr>
        <w:t xml:space="preserve">اذا استعار شيئا لينتفع به في شيء معيّن فانتفع به في غيره أو تجاوز عنه ضمن، و ان كان له أجرة لزمته أجرة مثله، فلو أذن له المالك في تحميل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معيّنا فتجاوزه أو في ركوبها بنفسه فأردف غيره تعيّن اسقاط قدر المأذون؛ لأنّه بعض ما استوفي من المنفعة، و ان ضمن الدابّة أجمع</w:t>
      </w:r>
      <w:r>
        <w:rPr>
          <w:rFonts w:eastAsia="Amiri" w:cs="Amiri" w:ascii="Amiri" w:hAnsi="Amiri"/>
          <w:color w:val="111111"/>
          <w:sz w:val="28"/>
          <w:szCs w:val="28"/>
          <w:rtl w:val="true"/>
          <w:lang w:bidi="ar-SA"/>
        </w:rPr>
        <w:t>.</w:t>
      </w:r>
    </w:p>
    <w:p>
      <w:pPr>
        <w:pStyle w:val="Heading2"/>
        <w:numPr>
          <w:ilvl w:val="1"/>
          <w:numId w:val="1"/>
        </w:numPr>
        <w:rPr/>
      </w:pPr>
      <w:bookmarkStart w:id="531" w:name="__RefHeading___Toc7971646_2870459653"/>
      <w:bookmarkStart w:id="532" w:name="_Toc185"/>
      <w:bookmarkEnd w:id="531"/>
      <w:r>
        <w:rPr>
          <w:rtl w:val="true"/>
        </w:rPr>
        <w:t xml:space="preserve">فيما اذا جحد العارية </w:t>
      </w:r>
      <w:r>
        <w:rPr>
          <w:rtl w:val="true"/>
        </w:rPr>
        <w:t xml:space="preserve">... </w:t>
      </w:r>
      <w:r>
        <w:rPr/>
        <w:t>254</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جحد العارية بطل استيمانه و لزمه الضمان مع ثبوت الاعارة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جحد العارية بعد طلب المالك لها بطل استيمانه و لزمه الضمان؛ لأنّه مقتضى قاعدة اليد بعد بطلان استيمانه</w:t>
      </w:r>
      <w:r>
        <w:rPr>
          <w:rFonts w:eastAsia="Amiri" w:cs="Amiri" w:ascii="Amiri" w:hAnsi="Amiri"/>
          <w:color w:val="111111"/>
          <w:sz w:val="28"/>
          <w:szCs w:val="28"/>
          <w:rtl w:val="true"/>
          <w:lang w:bidi="ar-SA"/>
        </w:rPr>
        <w:t xml:space="preserve">. </w:t>
      </w:r>
      <w:bookmarkStart w:id="533" w:name="pg9674_84344"/>
    </w:p>
    <w:p>
      <w:pPr>
        <w:pStyle w:val="Heading2"/>
        <w:numPr>
          <w:ilvl w:val="1"/>
          <w:numId w:val="1"/>
        </w:numPr>
        <w:rPr/>
      </w:pPr>
      <w:bookmarkStart w:id="534" w:name="__RefHeading___Toc7971648_2870459653"/>
      <w:bookmarkStart w:id="535" w:name="_Toc186"/>
      <w:bookmarkEnd w:id="533"/>
      <w:bookmarkEnd w:id="534"/>
      <w:r>
        <w:rPr>
          <w:rtl w:val="true"/>
        </w:rPr>
        <w:t xml:space="preserve">فيما اذا ادّعى التلف </w:t>
      </w:r>
      <w:r>
        <w:rPr>
          <w:rtl w:val="true"/>
        </w:rPr>
        <w:t xml:space="preserve">... </w:t>
      </w:r>
      <w:r>
        <w:rPr/>
        <w:t>255</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التلف فالقول قوله مع يمينه، و لو ادّعى الردّ فالقول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ادّعى التلف فالقول قوله مع يمينه؛ لأنّ ذلك مقتضى ايتمانه، و أمّا لو ادّعى الردّ فالقول قول المالك مع يمينه؛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الايتمان لايقتضي تصديقه في الردّ و قبول قوله في الوديعة للنصّ المفقود هنا</w:t>
      </w:r>
      <w:r>
        <w:rPr>
          <w:rFonts w:eastAsia="Amiri" w:cs="Amiri" w:ascii="Amiri" w:hAnsi="Amiri"/>
          <w:color w:val="111111"/>
          <w:sz w:val="28"/>
          <w:szCs w:val="28"/>
          <w:rtl w:val="true"/>
          <w:lang w:bidi="ar-SA"/>
        </w:rPr>
        <w:t>.</w:t>
      </w:r>
    </w:p>
    <w:p>
      <w:pPr>
        <w:pStyle w:val="Heading2"/>
        <w:numPr>
          <w:ilvl w:val="1"/>
          <w:numId w:val="1"/>
        </w:numPr>
        <w:rPr/>
      </w:pPr>
      <w:bookmarkStart w:id="536" w:name="__RefHeading___Toc7971650_2870459653"/>
      <w:bookmarkStart w:id="537" w:name="_Toc187"/>
      <w:bookmarkEnd w:id="536"/>
      <w:r>
        <w:rPr>
          <w:rtl w:val="true"/>
        </w:rPr>
        <w:t xml:space="preserve">فيما لو فرّط في العارية </w:t>
      </w:r>
      <w:r>
        <w:rPr>
          <w:rtl w:val="true"/>
        </w:rPr>
        <w:t xml:space="preserve">... </w:t>
      </w:r>
      <w:r>
        <w:rPr/>
        <w:t>255</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فرّط في العارية كان عليه قيمتها عند التلف اذا لم‌يكن لها مثل،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القيم من حين التفريط الى وقت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أشبه، و لو اختلفا في القيمة كان القول قول المستعير،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فرّط أو تعدّى في العارية و تلفت فان كانت مثليّا فعليه المثل و ان كانت قيميّا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 قيمتها عند التلف؛ لأنّه وقت اشتغال الذمّة بالعوض الذي هو بدل العين و ردّه قائم مقام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الأشبه أنّ عليه قيمته يوم الأداء و قد فصّلنا ذلك في موارد متعدّدة عند البحث عن الغصب و غيره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اختلفا في القيمة كان القول قول المستعير مع يمينه في نفي الزائد الموافق لأصالة البراءة،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المالك؛ أخذا له بأشقّ الأحوال و تحصيلاً للبراءة اليقينيّة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الأوّل أشبه بأصول المذهب و قواعده؛ لعدم الدليل على أخذه بأشقّ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الكلام في شرح كتاب العارية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يتلوه شرح كتاب الوكالة و الحمد للّه أوّلاً و آخرا </w:t>
      </w:r>
      <w:bookmarkStart w:id="538" w:name="pg9674_84346"/>
    </w:p>
    <w:p>
      <w:pPr>
        <w:pStyle w:val="Heading2"/>
        <w:numPr>
          <w:ilvl w:val="1"/>
          <w:numId w:val="1"/>
        </w:numPr>
        <w:rPr/>
      </w:pPr>
      <w:bookmarkStart w:id="539" w:name="__RefHeading___Toc7971652_2870459653"/>
      <w:bookmarkStart w:id="540" w:name="_Toc188"/>
      <w:bookmarkEnd w:id="538"/>
      <w:bookmarkEnd w:id="539"/>
      <w:r>
        <w:rPr>
          <w:rtl w:val="true"/>
        </w:rPr>
        <w:t>كتاب الوكالة</w:t>
      </w:r>
      <w:bookmarkEnd w:id="540"/>
    </w:p>
    <w:p>
      <w:pPr>
        <w:pStyle w:val="BookText"/>
        <w:rPr/>
      </w:pPr>
      <w:r>
        <w:rPr>
          <w:rFonts w:ascii="Amiri" w:hAnsi="Amiri" w:eastAsia="Amiri" w:cs="Amiri"/>
          <w:color w:val="111111"/>
          <w:sz w:val="28"/>
          <w:sz w:val="28"/>
          <w:szCs w:val="28"/>
          <w:rtl w:val="true"/>
          <w:lang w:bidi="ar-SA"/>
        </w:rPr>
        <w:t>و هو يستدعي بيان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العقد</w:t>
      </w:r>
    </w:p>
    <w:p>
      <w:pPr>
        <w:pStyle w:val="BookText"/>
        <w:rPr/>
      </w:pPr>
      <w:r>
        <w:rPr>
          <w:rFonts w:ascii="Amiri" w:hAnsi="Amiri" w:eastAsia="Amiri" w:cs="Amiri"/>
          <w:color w:val="111111"/>
          <w:sz w:val="28"/>
          <w:sz w:val="28"/>
          <w:szCs w:val="28"/>
          <w:rtl w:val="true"/>
          <w:lang w:bidi="ar-SA"/>
        </w:rPr>
        <w:t>الفصل الثاني فيما لاتصحّ فيه النيابة و ما تصحّ فيه</w:t>
      </w:r>
    </w:p>
    <w:p>
      <w:pPr>
        <w:pStyle w:val="BookText"/>
        <w:rPr/>
      </w:pPr>
      <w:r>
        <w:rPr>
          <w:rFonts w:ascii="Amiri" w:hAnsi="Amiri" w:eastAsia="Amiri" w:cs="Amiri"/>
          <w:color w:val="111111"/>
          <w:sz w:val="28"/>
          <w:sz w:val="28"/>
          <w:szCs w:val="28"/>
          <w:rtl w:val="true"/>
          <w:lang w:bidi="ar-SA"/>
        </w:rPr>
        <w:t>الفصل الثالث في الموكّل</w:t>
      </w:r>
    </w:p>
    <w:p>
      <w:pPr>
        <w:pStyle w:val="BookText"/>
        <w:rPr/>
      </w:pPr>
      <w:r>
        <w:rPr>
          <w:rFonts w:ascii="Amiri" w:hAnsi="Amiri" w:eastAsia="Amiri" w:cs="Amiri"/>
          <w:color w:val="111111"/>
          <w:sz w:val="28"/>
          <w:sz w:val="28"/>
          <w:szCs w:val="28"/>
          <w:rtl w:val="true"/>
          <w:lang w:bidi="ar-SA"/>
        </w:rPr>
        <w:t>الفصل الرابع في الوكيل</w:t>
      </w:r>
    </w:p>
    <w:p>
      <w:pPr>
        <w:pStyle w:val="BookText"/>
        <w:rPr/>
      </w:pPr>
      <w:r>
        <w:rPr>
          <w:rFonts w:ascii="Amiri" w:hAnsi="Amiri" w:eastAsia="Amiri" w:cs="Amiri"/>
          <w:color w:val="111111"/>
          <w:sz w:val="28"/>
          <w:sz w:val="28"/>
          <w:szCs w:val="28"/>
          <w:rtl w:val="true"/>
          <w:lang w:bidi="ar-SA"/>
        </w:rPr>
        <w:t>الفصل الخامس فيما به تثبت الوكالة</w:t>
      </w:r>
    </w:p>
    <w:p>
      <w:pPr>
        <w:pStyle w:val="BookText"/>
        <w:rPr/>
      </w:pPr>
      <w:r>
        <w:rPr>
          <w:rFonts w:ascii="Amiri" w:hAnsi="Amiri" w:eastAsia="Amiri" w:cs="Amiri"/>
          <w:color w:val="111111"/>
          <w:sz w:val="28"/>
          <w:sz w:val="28"/>
          <w:szCs w:val="28"/>
          <w:rtl w:val="true"/>
          <w:lang w:bidi="ar-SA"/>
        </w:rPr>
        <w:t>الفصل السادس في اللواحق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السابع في التنازع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9674_84348"/>
      <w:bookmarkStart w:id="542" w:name="pg9674_84348"/>
      <w:bookmarkEnd w:id="542"/>
    </w:p>
    <w:p>
      <w:pPr>
        <w:pStyle w:val="Heading2"/>
        <w:numPr>
          <w:ilvl w:val="1"/>
          <w:numId w:val="1"/>
        </w:numPr>
        <w:rPr/>
      </w:pPr>
      <w:bookmarkStart w:id="543" w:name="pg9674_84348"/>
      <w:bookmarkStart w:id="544" w:name="__RefHeading___Toc7971654_2870459653"/>
      <w:bookmarkStart w:id="545" w:name="_Toc189"/>
      <w:bookmarkEnd w:id="543"/>
      <w:bookmarkEnd w:id="544"/>
      <w:r>
        <w:rPr>
          <w:rtl w:val="true"/>
        </w:rPr>
        <w:t xml:space="preserve">الفصل الأوّل </w:t>
      </w:r>
      <w:r>
        <w:rPr>
          <w:rtl w:val="true"/>
        </w:rPr>
        <w:t xml:space="preserve">: </w:t>
      </w:r>
      <w:r>
        <w:rPr>
          <w:rtl w:val="true"/>
        </w:rPr>
        <w:t>في العقد</w:t>
      </w:r>
      <w:bookmarkEnd w:id="545"/>
    </w:p>
    <w:p>
      <w:pPr>
        <w:pStyle w:val="BookText"/>
        <w:rPr/>
      </w:pPr>
      <w:r>
        <w:rPr>
          <w:rFonts w:ascii="Amiri" w:hAnsi="Amiri" w:eastAsia="Amiri" w:cs="Amiri"/>
          <w:color w:val="111111"/>
          <w:sz w:val="28"/>
          <w:sz w:val="28"/>
          <w:szCs w:val="28"/>
          <w:rtl w:val="true"/>
          <w:lang w:bidi="ar-SA"/>
        </w:rPr>
        <w:t>و هو استنابة في التصرّف و لا بدّ في تحقّقه من ايجاب دالّ على القصد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أشار بما يدلّ على الاجابة كفى في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القبول فيقع باللفظ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شابهه، و قد يكون بالفعل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تأخّر القبول عن الايجاب لم‌يقدح في الصحّة؛ لأنّ الغائب يوكّل و القبول 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شرطها أن‌تقع منجّزة، فلو علّقت بشرط متوقّع أو وقت متجدّد لم‌تصحّ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نجّز الوكالة و شرط تأخير التصرّف جاز</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وكّله في شراء عبد افتقر الى وصفه لينتفي الغرر، و لو وكّله مطلقا لم‌يصحّ على قول، و الوجه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بمعنى التفويض، و شرعا الاستنابة </w:t>
      </w:r>
    </w:p>
    <w:p>
      <w:pPr>
        <w:pStyle w:val="BookText"/>
        <w:rPr/>
      </w:pPr>
      <w:r>
        <w:rPr>
          <w:rFonts w:ascii="Amiri" w:hAnsi="Amiri" w:eastAsia="Amiri" w:cs="Amiri"/>
          <w:color w:val="111111"/>
          <w:sz w:val="28"/>
          <w:sz w:val="28"/>
          <w:szCs w:val="28"/>
          <w:rtl w:val="true"/>
          <w:lang w:bidi="ar-SA"/>
        </w:rPr>
        <w:t>المخصوصة، و لا ريب في مشروعيّتها بل لعلّه من ضروريّات الدين كما في الجواهر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الوكالة استنابة في التصرّف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بقيد التصرّف الوديعة، فانّها استنابة في الحفظ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الوصيّة احداث ولاية لا استنابة، فهي خارجة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نحو القراض و المزارعة و المساقاة مندرجا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بقيد التصرّف بالذات تخرج المذكورات؛ لأنّ الاستنابة فيها ضمنيّة أو التزاميّة، و المقصود بالذات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ثمّ انّ الوكالة على الأصحّ من العقود الجائزة و لمّا لم‌يعيّن الشارع له لفظا خاصّا، صحّ بكلّ لفظ يدلّ على الاستنابة في التصرّف، و ان لم‌يكن على نهج الألفاظ المعتبرة في العقود، كقول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و اشتر و أعتق، و أذنت لك في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وكّلتني في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نائبة مناب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الاشارة الدالّة على المراد الواقعة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القبول فيقع باللفظ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شابهه، و قد يكون بالفعل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تأخّر القبول عن الايجاب لم‌يقدح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 الوكالة بالمعاطاة أيضا؛ لما قلنا من صحّتها في البيع، و طريقها بأن‌سلّم اليه متاعا ليبيعه فتسلّمه لذلك، فيحصل الفعل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أحدهما التسليم و من الآخر التسلّم، و هما فعلان في قبال الايجاب و القبول القوليّين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يصحّ عقد الوكالة بالكتابة من طرف الموكّل و الرضا بما فيها من طرف </w:t>
      </w:r>
      <w:bookmarkStart w:id="546" w:name="pg9674_84350"/>
    </w:p>
    <w:p>
      <w:pPr>
        <w:pStyle w:val="BookText"/>
        <w:rPr/>
      </w:pPr>
      <w:bookmarkEnd w:id="546"/>
      <w:r>
        <w:rPr>
          <w:rFonts w:ascii="Amiri" w:hAnsi="Amiri" w:eastAsia="Amiri" w:cs="Amiri"/>
          <w:color w:val="111111"/>
          <w:sz w:val="28"/>
          <w:sz w:val="28"/>
          <w:szCs w:val="28"/>
          <w:rtl w:val="true"/>
          <w:lang w:bidi="ar-SA"/>
        </w:rPr>
        <w:t>الوكيل؛ لأنّ الطرفين قصدا الوكالة بهذا العنوان المبرز عنها في الخارج و لم‌يرد تحديد خاصّ شرعي للعنوان المبرز للوكالة فيصحّ بكلّ ما حصل ما لم‌ينه الشارع عنه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أن‌يقال بأنّه نوع من المعاطاة، و لذا لايعتبر في عقدها الموالاة بين ايجابها و قبولها سواء كان باللفظ أو الفعل أو الكتابة</w:t>
      </w:r>
      <w:r>
        <w:rPr>
          <w:rFonts w:eastAsia="Amiri" w:cs="Amiri" w:ascii="Amiri" w:hAnsi="Amiri"/>
          <w:color w:val="111111"/>
          <w:sz w:val="28"/>
          <w:szCs w:val="28"/>
          <w:rtl w:val="true"/>
          <w:lang w:bidi="ar-SA"/>
        </w:rPr>
        <w:t>.</w:t>
      </w:r>
    </w:p>
    <w:p>
      <w:pPr>
        <w:pStyle w:val="Heading2"/>
        <w:numPr>
          <w:ilvl w:val="1"/>
          <w:numId w:val="1"/>
        </w:numPr>
        <w:rPr/>
      </w:pPr>
      <w:bookmarkStart w:id="547" w:name="__RefHeading___Toc7971656_2870459653"/>
      <w:bookmarkStart w:id="548" w:name="_Toc190"/>
      <w:bookmarkEnd w:id="547"/>
      <w:r>
        <w:rPr>
          <w:rtl w:val="true"/>
        </w:rPr>
        <w:t xml:space="preserve">فرع </w:t>
      </w:r>
      <w:r>
        <w:rPr>
          <w:rtl w:val="true"/>
        </w:rPr>
        <w:t xml:space="preserve">: </w:t>
      </w:r>
      <w:r>
        <w:rPr>
          <w:rtl w:val="true"/>
        </w:rPr>
        <w:t>في اشتراط تنجيز عقد الوكالة</w:t>
      </w:r>
      <w:bookmarkEnd w:id="548"/>
    </w:p>
    <w:p>
      <w:pPr>
        <w:pStyle w:val="BookText"/>
        <w:rPr/>
      </w:pPr>
      <w:r>
        <w:rPr>
          <w:rFonts w:ascii="Amiri" w:hAnsi="Amiri" w:eastAsia="Amiri" w:cs="Amiri"/>
          <w:color w:val="111111"/>
          <w:sz w:val="28"/>
          <w:sz w:val="28"/>
          <w:szCs w:val="28"/>
          <w:rtl w:val="true"/>
          <w:lang w:bidi="ar-SA"/>
        </w:rPr>
        <w:t>يشترط في عقد الوكالة التنجيز بمعنى عدم تعليق أصل الوكالة على شيء كأن‌يقول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قدم زيد، أو جاء رأس الشهر وكّلتك في 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بتعليق متعلّق الوكالة أي التصرّف الذي استنابه فيه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أن‌تبيع داري اذا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 شراء شيء كذا في وقت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الوكالة وقوعها منجّزة عند علمائنا، فلو علّقها على شرط متوقّع و هو ما يمكن وقوعه و عدمه، أو صفة و هي ما كان وجوده في المستقبل محقّقا كطلوع الشمس لايصحّ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قرنها بشرط لايقتضي التعليق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كذا، و شرطت عليك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مانع منه، فانّه جائز</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لو نجّز الوكالة و شرط تأخير التصرّف جاز كأن‌يقول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كذا و لاتتصرّف الاّ بعد شهر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يجوز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زائد على أصل الوكالة المنجّزة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وكّله في شراء عبد افتقر الى وصفه لينتفي الغرر، كذا قال المصنّف، و </w:t>
      </w:r>
      <w:bookmarkStart w:id="549" w:name="pg9674_84351"/>
    </w:p>
    <w:p>
      <w:pPr>
        <w:pStyle w:val="BookText"/>
        <w:rPr/>
      </w:pPr>
      <w:bookmarkEnd w:id="549"/>
      <w:r>
        <w:rPr>
          <w:rFonts w:ascii="Amiri" w:hAnsi="Amiri" w:eastAsia="Amiri" w:cs="Amiri"/>
          <w:color w:val="111111"/>
          <w:sz w:val="28"/>
          <w:sz w:val="28"/>
          <w:szCs w:val="28"/>
          <w:rtl w:val="true"/>
          <w:lang w:bidi="ar-SA"/>
        </w:rPr>
        <w:t xml:space="preserve">يمكن أن‌يقال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الغرر يندفع بمراعاة الوكيل المصلحة في شرائه؛ فانّ الاطلاق محمول شرعا على الاستنابة في شراء عبد يكون شراؤه مشتملاً على مصلحة للموكّل، فيتخيّر الوكيل حيث توجد المصلحة في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قال المصنّف في انتهاء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وكّله مطلقا لم‌يصحّ على قول، و الوجه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عقد جائز من طرفيه فللوكيل أن‌يعزل نفسه مع حضور الموكّل و مع غيبته و للموكّل أن‌يعزله بشرط أن‌يعلمه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لم‌يعلمه لم‌ينعزل بالعزل،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تعذّر اعلامه فأشهد انعزل بالعزل و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تصرّف الوكيل قبل الاعلام مضى تصرّفه على الموكّل، فلو وكّله في استيفاء القصاص ثمّ عزله فاقتصّ قبل العلم بالعزل وقع الاقتصاص موقعه</w:t>
      </w:r>
      <w:r>
        <w:rPr>
          <w:rFonts w:eastAsia="Amiri" w:cs="Amiri" w:ascii="Amiri" w:hAnsi="Amiri"/>
          <w:color w:val="111111"/>
          <w:sz w:val="28"/>
          <w:szCs w:val="28"/>
          <w:rtl w:val="true"/>
          <w:lang w:bidi="ar-SA"/>
        </w:rPr>
        <w:t>.</w:t>
      </w:r>
    </w:p>
    <w:p>
      <w:pPr>
        <w:pStyle w:val="Heading2"/>
        <w:numPr>
          <w:ilvl w:val="1"/>
          <w:numId w:val="1"/>
        </w:numPr>
        <w:rPr/>
      </w:pPr>
      <w:bookmarkStart w:id="550" w:name="__RefHeading___Toc7971658_2870459653"/>
      <w:bookmarkStart w:id="551" w:name="_Toc191"/>
      <w:bookmarkEnd w:id="550"/>
      <w:r>
        <w:rPr>
          <w:rtl w:val="true"/>
        </w:rPr>
        <w:t xml:space="preserve">في أنّها من العقود الجائزة </w:t>
      </w:r>
      <w:r>
        <w:rPr>
          <w:rtl w:val="true"/>
        </w:rPr>
        <w:t xml:space="preserve">... </w:t>
      </w:r>
      <w:r>
        <w:rPr/>
        <w:t>262</w:t>
      </w:r>
      <w:bookmarkEnd w:id="551"/>
    </w:p>
    <w:p>
      <w:pPr>
        <w:pStyle w:val="BookText"/>
        <w:rPr/>
      </w:pPr>
      <w:r>
        <w:rPr>
          <w:rFonts w:ascii="Amiri" w:hAnsi="Amiri" w:eastAsia="Amiri" w:cs="Amiri"/>
          <w:color w:val="111111"/>
          <w:sz w:val="28"/>
          <w:sz w:val="28"/>
          <w:szCs w:val="28"/>
          <w:rtl w:val="true"/>
          <w:lang w:bidi="ar-SA"/>
        </w:rPr>
        <w:t>الوكالة عقد جائز من الطرفين فللوكيل أن‌يعزل نفسه مع حضور الموكّل و مع غيبته، و كذا للموكّل أن‌يعزله لكن انعزاله بعزله مشروط ببلوغه ايّاه، فلو أنشأ عزله</w:t>
      </w:r>
    </w:p>
    <w:p>
      <w:pPr>
        <w:pStyle w:val="BookText"/>
        <w:rPr/>
      </w:pPr>
      <w:r>
        <w:rPr>
          <w:rFonts w:ascii="Amiri" w:hAnsi="Amiri" w:eastAsia="Amiri" w:cs="Amiri"/>
          <w:color w:val="111111"/>
          <w:sz w:val="28"/>
          <w:sz w:val="28"/>
          <w:szCs w:val="28"/>
          <w:rtl w:val="true"/>
          <w:lang w:bidi="ar-SA"/>
        </w:rPr>
        <w:t>ولكن لم‌يطّلع عليه الوكيل لم‌ينعزل و على هذا فلو أمضى أمرا قبل أن‌يبلغه العزل كان ماضيا نافذا؛ تدلّ على ذلك صحيحة معاوية بن وهب و جابر بن يزيد جميعا عن أبي عبداللّه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على امضاء أمر من الأمور فالوكالة ثابتة أبدا حتّى يعلمه بالخروج منها كما أعلمه بالدخول فيها</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هشام بن سالم عن أبي عبداللّه عليه‌السلام في رجل وكّل آخر على وكالةفي أمر من الأمور و أشهد له بذلك شاهدين فقام الوكيل فخرج لامضاء الأمر،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عزلت فلانا عن الوكالة،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الوكيل أمضى الأمر الذي وكّل فيه قبل العزل فانّ الأمر واقع ماضٍ على ما أمضاه الوكيل كره الموكّل أم رضي،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الوكيل أمضى الأمر قبل أن‌يعلم العزل أو يبلغه أنّه قد عزل عن الوكالة فالأمر على ما أمضاه؟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فان‌بلغه العزل قبل أن‌يمضي الأمر ثمّ ذهب حتّى أمضاه لم‌يكن ذلك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الوكيل اذا وكّل ثمّ قام عن المجلس فأمره ماضٍ أبدا و الوكالة ثابتة حتّى يبلغه العزل عن الوكالة بثقة يبلّغه أو يشافه بالعزل عن‌الوكالة</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رواية العلاء بن سيّابة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امرأة وكّلت رجلاً بأن‌يزوّجها من رجل فقبل الوكالة فأشهدت له بذلك فذهب الوكيل فزوّجها ثمّ انّها أنكرت ذلك الوكيل و زعمت أنّها عزلته عن الوكالة فأقامت شاهدين أنّها عزلته،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ذلك فان كانت عزلته قبل أن‌يزوّج فالوكالة باطلة و التزويج باطل، و ان عزلته و قد زوّجها فالتزويج ثابت على ما زوّج الوكيل و على ما اتّفق معها من الوكالة اذا لم‌يتعدّ شيئا ممّا أمرت به و اشترطت عليه في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يعزلون الوكيل عن وكالتها و لم‌تعلمه بالعزل؟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يزعمون أنّها لو وكّلت رجلاً و أشهدت في الملأ، و قالت في الخلأ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قد عزلته، أبطلت وكالته بلا أن‌يعلم في العزل و ينقضون جميع ما فعلالوكيل في النكاح خاصّة، و في غيره لايبطلون الوكالة الاّ أن‌يعلم الوكيل </w:t>
      </w:r>
    </w:p>
    <w:p>
      <w:pPr>
        <w:pStyle w:val="BookText"/>
        <w:rPr/>
      </w:pPr>
      <w:r>
        <w:rPr>
          <w:rFonts w:ascii="Amiri" w:hAnsi="Amiri" w:eastAsia="Amiri" w:cs="Amiri"/>
          <w:color w:val="111111"/>
          <w:sz w:val="28"/>
          <w:sz w:val="28"/>
          <w:szCs w:val="28"/>
          <w:rtl w:val="true"/>
          <w:lang w:bidi="ar-SA"/>
        </w:rPr>
        <w:t>بالعزل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منه عوض لصاحبه و الفرج ليس منه عوض اذا وقع منه ولد،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أجور هذا الحكم و أفسده؛ انّ النكاح أحرى، و أحرى أن‌يحتاط فيه و هو فرج و منه يكون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عليه‌السلام أتته امرأة تستعديه على أخيها،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انّي وكّلت أخي هذا بأن‌يزوّجني رجلاً و أشهدت له ثمّ عزلته من ساعته تلك فذهب فزوّجني و لي بيّنة أنّي قد عزلته قبل أن‌يزوّجني فأقامت البيّنة، فقال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انّها وكّلتني و لم‌تعلمني أنّها عزلتني عن الوكالة حتّى زوّجتها كما أمرتني،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أعلمته يا أميرالمؤمنين،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شهودي يشهدون،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عزلت أخي فلانا عن الوكالة بتزويجي فلانا و أنّي مالكة لأمري قبل أن‌يزوّجني،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أشهدتكم على ذلك بعلم منه و محضر؟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أنّها أعلمته بالعزل كما أعلمته الوكالة؟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الوكالة ثابتة و النكاح واقعا، أين الزوج؟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بارك اللّه لك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أحلفه أنّي لم‌أعلمه العزل و لم‌يعلم بعزلي ايّاه قبل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 فحلف فأثبت وكالته و أجاز النكاح</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تبطل الوكالة بالموت و الجنون و الاغماء من كلّ واحد منهما، و تبطلوكالة الوكيل بالحجر على الموكّل فيما يمنع الحجر من التصرّف فيه، و </w:t>
      </w:r>
      <w:bookmarkStart w:id="552" w:name="pg9674_84354"/>
    </w:p>
    <w:p>
      <w:pPr>
        <w:pStyle w:val="BookText"/>
        <w:rPr/>
      </w:pPr>
      <w:bookmarkEnd w:id="552"/>
      <w:r>
        <w:rPr>
          <w:rFonts w:ascii="Amiri" w:hAnsi="Amiri" w:eastAsia="Amiri" w:cs="Amiri"/>
          <w:color w:val="111111"/>
          <w:sz w:val="28"/>
          <w:sz w:val="28"/>
          <w:szCs w:val="28"/>
          <w:rtl w:val="true"/>
          <w:lang w:bidi="ar-SA"/>
        </w:rPr>
        <w:t>لاتبطل الوكالة بالنوم و ان 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تبطل الوكالة بتلف ما تعلّقت الوكالة به كموت العبد الموكّل في بيعه و بموت المرأة الموكّل بطلاقها، و كذا لو فعل الموكّل ما تعلّقت الوكالة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عن العزل 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أزلت نيابتك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مجرى ذلك</w:t>
      </w:r>
      <w:r>
        <w:rPr>
          <w:rFonts w:eastAsia="Amiri" w:cs="Amiri" w:ascii="Amiri" w:hAnsi="Amiri"/>
          <w:color w:val="111111"/>
          <w:sz w:val="28"/>
          <w:szCs w:val="28"/>
          <w:rtl w:val="true"/>
          <w:lang w:bidi="ar-SA"/>
        </w:rPr>
        <w:t>.</w:t>
      </w:r>
    </w:p>
    <w:p>
      <w:pPr>
        <w:pStyle w:val="Heading2"/>
        <w:numPr>
          <w:ilvl w:val="1"/>
          <w:numId w:val="1"/>
        </w:numPr>
        <w:rPr/>
      </w:pPr>
      <w:bookmarkStart w:id="553" w:name="__RefHeading___Toc7971660_2870459653"/>
      <w:bookmarkStart w:id="554" w:name="_Toc192"/>
      <w:bookmarkEnd w:id="553"/>
      <w:r>
        <w:rPr>
          <w:rtl w:val="true"/>
        </w:rPr>
        <w:t xml:space="preserve">في بطلان الوكالة بالموت و الجنون و الاغماء </w:t>
      </w:r>
      <w:r>
        <w:rPr>
          <w:rtl w:val="true"/>
        </w:rPr>
        <w:t xml:space="preserve">... </w:t>
      </w:r>
      <w:r>
        <w:rPr/>
        <w:t>264</w:t>
      </w:r>
      <w:bookmarkEnd w:id="554"/>
    </w:p>
    <w:p>
      <w:pPr>
        <w:pStyle w:val="BookText"/>
        <w:rPr/>
      </w:pPr>
      <w:r>
        <w:rPr>
          <w:rFonts w:ascii="Amiri" w:hAnsi="Amiri" w:eastAsia="Amiri" w:cs="Amiri"/>
          <w:color w:val="111111"/>
          <w:sz w:val="28"/>
          <w:sz w:val="28"/>
          <w:szCs w:val="28"/>
          <w:rtl w:val="true"/>
          <w:lang w:bidi="ar-SA"/>
        </w:rPr>
        <w:t>تبطل الوكالة بموت الوكيل و كذا بموت الموكّل و ان لم‌يعلم الوكيل بموته؛ لزوال موضوعها بموت أحدهما و عدم اعتبار علم الوكيل بالنسبة الى موت الموكّل، و كذا تبطل بعروض الجنون و الاغماء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الحجر على الموكّل فتبطل الوكالة أيضا ان كان موردها التصرّفات الماليّة في مال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تبطل الوكالة بتلف ما تعلّقت به الوكالة كتوكيله في تزويج امرأة فماتت أو عتق عبد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تبطل بفعل الموكّل ما تعلّقت به الوكالة كما لو وكّله في بيع سلعة ثمّ باعها أو فعل ما ينافيه كما لو وكّله في بيع عبد ثمّ أعتقه؛ كلّ ذلك لانتفاء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تبطل الوكالة بالموت أي موت كلّ من الوكيل و الموكّل؛ أمّا موت الوكيل فظاهر، و أمّا موت الموكّل فتبطل به وكالة الوكيل، فيكون تصرّفه بعد الموت باطلاً و ان لم‌يعلم بموته؛ لأنّ ذلك هو الأصل، و انّما خرجت مسألة العزل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لاتبطل الأمانة ببطلان الوكالة هنا، فلو تلفت العين الموكّل فيها في يده بغير تفريط لم‌يضمن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وكيلاً في قبض حقّ فقبضه بعد موت الموكّل قبل العلم به و تلف في يده بغير تفريط، لكن يجب عليه المبادرة الى ايصال العين الى الوارث، فان أخّر ضمن كالوديعة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تبطل وكالة الوكيل بالجنون و الاغماء من كلّ واحد منهما، هذا موضع وفاق، </w:t>
      </w:r>
    </w:p>
    <w:p>
      <w:pPr>
        <w:pStyle w:val="BookText"/>
        <w:rPr/>
      </w:pPr>
      <w:r>
        <w:rPr>
          <w:rFonts w:ascii="Amiri" w:hAnsi="Amiri" w:eastAsia="Amiri" w:cs="Amiri"/>
          <w:color w:val="111111"/>
          <w:sz w:val="28"/>
          <w:sz w:val="28"/>
          <w:szCs w:val="28"/>
          <w:rtl w:val="true"/>
          <w:lang w:bidi="ar-SA"/>
        </w:rPr>
        <w:t>و لأنّه من أحكام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عندنا بين طول زمان الاغماء و قصره، و لا بين الجنون المطبق و الأدوار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فرق بين أن‌يعلم الموكّل بعروض المبطل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تبطل وكالة الوكيل بالحجر على الموكّل فيما يمنع الحجر من التصرّف فيه؛ لأنّه اذا منع من مباشرته فمن التوكيل فيه أولى، و لسلب الحجر للسفه و الفلس أهليّة التصرّف المالي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لاتبطل الوكالة بالنوم؛ لبقاء أهليّة التصرّف، و من ثمّ لاتثبت عليه به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السكر الاّ أن‌يشترط في الوكيل العدالة، كوكيل ولي اليتيم و ولي الوقف العامّ و وكيل الوكيل مطلقا، فتبطل وكالته بالسكر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عن العزل 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أزلت نيابتك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جرى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العزل القولي، أمّا الفعلي فقد تقدّم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الوكالة يقتضي الابتياع بثمن المثل بنقد البلد حالاًّ، و أن‌يبتاع الصحيح دون المعيب، و لو خالف لم‌يصحّ و وقف على اجازة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الوكيل بثمن فأنكر المالك الاذن في ذلك القدر كان القول قوله مع يمينه ثمّ تستعاد العين ان كانت باقية و مثلها أو قيمتها ان كانت تالفة،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الدلاّل اتمام ما حلف عليه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بعيد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تصادق الوكيل و المشتري على الثمن و دفع الوكيل الى المشتري السلعة فتلفت في يده كان للموكّل الرجوع على أيّهما شاء بقيمته، لكن انرجع على المشتري لايرجع المشتري على الوكيل؛ لتصديقه له في الاذن، و </w:t>
      </w:r>
      <w:bookmarkStart w:id="555" w:name="pg9674_84356"/>
    </w:p>
    <w:p>
      <w:pPr>
        <w:pStyle w:val="BookText"/>
        <w:rPr/>
      </w:pPr>
      <w:bookmarkEnd w:id="555"/>
      <w:r>
        <w:rPr>
          <w:rFonts w:ascii="Amiri" w:hAnsi="Amiri" w:eastAsia="Amiri" w:cs="Amiri"/>
          <w:color w:val="111111"/>
          <w:sz w:val="28"/>
          <w:sz w:val="28"/>
          <w:szCs w:val="28"/>
          <w:rtl w:val="true"/>
          <w:lang w:bidi="ar-SA"/>
        </w:rPr>
        <w:t>ان رجع على الوكيل رجع الوكيل على المشتري بأقلّ الأمرين من ثمنه و ما اغترمه</w:t>
      </w:r>
      <w:r>
        <w:rPr>
          <w:rFonts w:eastAsia="Amiri" w:cs="Amiri" w:ascii="Amiri" w:hAnsi="Amiri"/>
          <w:color w:val="111111"/>
          <w:sz w:val="28"/>
          <w:szCs w:val="28"/>
          <w:rtl w:val="true"/>
          <w:lang w:bidi="ar-SA"/>
        </w:rPr>
        <w:t>.</w:t>
      </w:r>
    </w:p>
    <w:p>
      <w:pPr>
        <w:pStyle w:val="Heading2"/>
        <w:numPr>
          <w:ilvl w:val="1"/>
          <w:numId w:val="1"/>
        </w:numPr>
        <w:rPr/>
      </w:pPr>
      <w:bookmarkStart w:id="556" w:name="__RefHeading___Toc7971662_2870459653"/>
      <w:bookmarkStart w:id="557" w:name="_Toc193"/>
      <w:bookmarkEnd w:id="556"/>
      <w:r>
        <w:rPr>
          <w:rtl w:val="true"/>
        </w:rPr>
        <w:t xml:space="preserve">في ذكر بعض مسائل الوكالة </w:t>
      </w:r>
      <w:r>
        <w:rPr>
          <w:rtl w:val="true"/>
        </w:rPr>
        <w:t xml:space="preserve">... </w:t>
      </w:r>
      <w:r>
        <w:rPr/>
        <w:t>266</w:t>
      </w:r>
      <w:bookmarkEnd w:id="557"/>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558" w:name="__RefHeading___Toc7971664_2870459653"/>
      <w:bookmarkStart w:id="559" w:name="_Toc194"/>
      <w:bookmarkEnd w:id="558"/>
      <w:r>
        <w:rPr>
          <w:rtl w:val="true"/>
        </w:rPr>
        <w:t xml:space="preserve">الفرع الأوّل </w:t>
      </w:r>
      <w:r>
        <w:rPr>
          <w:rtl w:val="true"/>
        </w:rPr>
        <w:t xml:space="preserve">: </w:t>
      </w:r>
      <w:r>
        <w:rPr>
          <w:rtl w:val="true"/>
        </w:rPr>
        <w:t>فيما يقتضيه اطلاق الوكالة</w:t>
      </w:r>
      <w:bookmarkEnd w:id="559"/>
    </w:p>
    <w:p>
      <w:pPr>
        <w:pStyle w:val="BookText"/>
        <w:rPr/>
      </w:pPr>
      <w:r>
        <w:rPr>
          <w:rFonts w:ascii="Amiri" w:hAnsi="Amiri" w:eastAsia="Amiri" w:cs="Amiri"/>
          <w:color w:val="111111"/>
          <w:sz w:val="28"/>
          <w:sz w:val="28"/>
          <w:szCs w:val="28"/>
          <w:rtl w:val="true"/>
          <w:lang w:bidi="ar-SA"/>
        </w:rPr>
        <w:t>اطلاق الوكالة في البيع يقتضي أن لايبيع بأقلّ من ثمن المثل، و في الشراء أن لايشتري بأكثر من ثمن المثل، بنقد البلد حالاًّ، و أن‌يبتاع الصحيح دون المعيب، و لو خالف في شيء من ذلك وقف على اجازة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 و كلّ تصرّف من الوكيل يقع على خلاف مصلحة الموكّل كالبيع بدون ثمن المثل أو به مع وجود الباذل أو شراء المعيب يكون فضوليّا</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عندنا في أنّ اطلاق الوكالة بالشراء يقتضي شراء الصحيح دون المعيب، و لأنّه المعهود عرفا، فاذا خالف الوكيل فاشترى المعيب عالما كان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العيب و الغبن ان كانا ممّا يخفى غالبا وقع الشراء عن الموكّل مع الجهل بهما، و الاّ وقف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6"/>
      </w:r>
      <w:bookmarkStart w:id="560" w:name="pg9674_84357"/>
    </w:p>
    <w:p>
      <w:pPr>
        <w:pStyle w:val="Heading2"/>
        <w:numPr>
          <w:ilvl w:val="1"/>
          <w:numId w:val="1"/>
        </w:numPr>
        <w:rPr/>
      </w:pPr>
      <w:bookmarkStart w:id="561" w:name="__RefHeading___Toc7971666_2870459653"/>
      <w:bookmarkStart w:id="562" w:name="_Toc195"/>
      <w:bookmarkEnd w:id="560"/>
      <w:bookmarkEnd w:id="561"/>
      <w:r>
        <w:rPr>
          <w:rtl w:val="true"/>
        </w:rPr>
        <w:t xml:space="preserve">الفرع الثاني </w:t>
      </w:r>
      <w:r>
        <w:rPr>
          <w:rtl w:val="true"/>
        </w:rPr>
        <w:t xml:space="preserve">: </w:t>
      </w:r>
      <w:r>
        <w:rPr>
          <w:rtl w:val="true"/>
        </w:rPr>
        <w:t>في اختلاف الوكيل و المالك في الثمن</w:t>
      </w:r>
      <w:bookmarkEnd w:id="562"/>
    </w:p>
    <w:p>
      <w:pPr>
        <w:pStyle w:val="BookText"/>
        <w:rPr/>
      </w:pPr>
      <w:r>
        <w:rPr>
          <w:rFonts w:ascii="Amiri" w:hAnsi="Amiri" w:eastAsia="Amiri" w:cs="Amiri"/>
          <w:color w:val="111111"/>
          <w:sz w:val="28"/>
          <w:sz w:val="28"/>
          <w:szCs w:val="28"/>
          <w:rtl w:val="true"/>
          <w:lang w:bidi="ar-SA"/>
        </w:rPr>
        <w:t>اذا وكّله في شراء شيء و اختلفا في قدر الثمن فقال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الوكيل؛ لأنّه أمين و أعرف بما فعله الاّ أن‌يثبت المدّعي خلافه بالبيّنة، و لا وجه لاجراء أصالة عدم الزيادة مع ما دلّ على عدم تضمين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اتّفقا في أصل الوكالة و اختلفا فيما هو راجع الى صفة الوكالة، كما لو اختلفا في ما هو دائر بين المتباينين أو بين الأقلّ و الأكثر أو بين المطلق و المقيّد يقدّم قول الموكّل؛ لأصالة عدم تعلّق الوكالة بما يدّعيه الوكيل الاّ بعد اتيانه بالبيّنة، و لأنّ الموكّل أعرف بمورد الوكالة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ما قاله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باع الوكيل بثمن فأنكر المالك الاذن في ذلك القدر كان 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بقدر ثمن المثل أو أزيد أو أنقص، و سواء كان مستند دعواه الاذن بالخصوص أو الاطلاق المنصرف الى ثمن المثل فما فوق؛ لأنّه اختلاف في صفة الوكالة التي يقبل قوله في أصلها فكذا صفتها؛ لأنّها فعله، و هو أعرف به، و لأنّ الأصل عدم صدور التوكيل على الوجه الذي يدّعيه الوكيل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يلحق به صورة اختلافهما في عين الموكّل فيه، كالعبد و الفرس، و في جنس الثمن الموكّل على البيع به، أو زمانه أو مكانه؛ فانّ القول في الجميع قول الموكّل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63" w:name="pg9674_84358"/>
    </w:p>
    <w:p>
      <w:pPr>
        <w:pStyle w:val="BookText"/>
        <w:rPr/>
      </w:pPr>
      <w:bookmarkEnd w:id="563"/>
      <w:r>
        <w:rPr>
          <w:rFonts w:ascii="Amiri" w:hAnsi="Amiri" w:eastAsia="Amiri" w:cs="Amiri"/>
          <w:color w:val="111111"/>
          <w:sz w:val="28"/>
          <w:sz w:val="28"/>
          <w:szCs w:val="28"/>
          <w:rtl w:val="true"/>
          <w:lang w:bidi="ar-SA"/>
        </w:rPr>
        <w:t>ثمّ انّه بعد حلف المالك تستعاد العين من المشتري بعد فرض اعترافه بالوكالة أو حلف المالك له اليمين المردودة اذا ادّعى عليه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كانت العين باقية، و ان كانت تالفة يستعاد مثلها أو قيمتها</w:t>
      </w:r>
      <w:r>
        <w:rPr>
          <w:rFonts w:eastAsia="Amiri" w:cs="Amiri" w:ascii="Amiri" w:hAnsi="Amiri"/>
          <w:color w:val="111111"/>
          <w:sz w:val="28"/>
          <w:szCs w:val="28"/>
          <w:rtl w:val="true"/>
          <w:lang w:bidi="ar-SA"/>
        </w:rPr>
        <w:t>.</w:t>
      </w:r>
    </w:p>
    <w:p>
      <w:pPr>
        <w:pStyle w:val="Heading2"/>
        <w:numPr>
          <w:ilvl w:val="1"/>
          <w:numId w:val="1"/>
        </w:numPr>
        <w:rPr/>
      </w:pPr>
      <w:bookmarkStart w:id="564" w:name="__RefHeading___Toc7971668_2870459653"/>
      <w:bookmarkStart w:id="565" w:name="_Toc196"/>
      <w:bookmarkEnd w:id="564"/>
      <w:r>
        <w:rPr>
          <w:rtl w:val="true"/>
        </w:rPr>
        <w:t xml:space="preserve">الفرع الثالث </w:t>
      </w:r>
      <w:r>
        <w:rPr>
          <w:rtl w:val="true"/>
        </w:rPr>
        <w:t xml:space="preserve">: </w:t>
      </w:r>
      <w:r>
        <w:rPr>
          <w:rtl w:val="true"/>
        </w:rPr>
        <w:t>فيما لو تصادق الوكيل و المشتري على الثمن فتلفت العين</w:t>
      </w:r>
      <w:bookmarkEnd w:id="565"/>
    </w:p>
    <w:p>
      <w:pPr>
        <w:pStyle w:val="BookText"/>
        <w:rPr/>
      </w:pPr>
      <w:r>
        <w:rPr>
          <w:rFonts w:ascii="Amiri" w:hAnsi="Amiri" w:eastAsia="Amiri" w:cs="Amiri"/>
          <w:color w:val="111111"/>
          <w:sz w:val="28"/>
          <w:sz w:val="28"/>
          <w:szCs w:val="28"/>
          <w:rtl w:val="true"/>
          <w:lang w:bidi="ar-SA"/>
        </w:rPr>
        <w:t>ثمّ انّه بعد حلف المالك في الفرع السابق ففرّع عليه المصنّف و لقد أجاد في شرحه في الجواهر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قد تصادق الوكيل و المشتري على الثمن الذي قد ادّعى الوكيل الاذن فيه، و كان قد دفع الوكيل الى المشتري السلعة فتلفت في يده كان للموكّل الرجوع على أيّهما شاء بمثلها ان كانت مثليّة و بقيمتها ان كانت قيميّة؛ لثبوت عدوانهما معا بظاهر الشرع، لكن ان رجع على المشتري لايرجع المشتري على الوكيل اذا لم‌يكن قد دفع اليه الثمن؛ لتصديقه له في الاذن و في أنّ الموكّل ظالم له برجوعه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رجع المالك على الوكيل بقيمة ماله رجع الوكيل على المشتري بأقلّ الأمرين من ثمنه و ما اغترمه؛ لأن الثمن ان كان أقلّ فهو يزعم أنّ الموكّل لايستحقّ سواه، و أنّه ظالم بأخذ الزائد من القيمة، فلايرجع به على المشتري، و ان كانت القيمة أقلّ لم‌يغرم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7"/>
      </w:r>
    </w:p>
    <w:p>
      <w:pPr>
        <w:pStyle w:val="Heading2"/>
        <w:numPr>
          <w:ilvl w:val="1"/>
          <w:numId w:val="1"/>
        </w:numPr>
        <w:rPr/>
      </w:pPr>
      <w:bookmarkStart w:id="566" w:name="__RefHeading___Toc7971670_2870459653"/>
      <w:bookmarkStart w:id="567" w:name="_Toc197"/>
      <w:bookmarkEnd w:id="566"/>
      <w:r>
        <w:rPr>
          <w:rtl w:val="true"/>
        </w:rPr>
        <w:t xml:space="preserve">في أنّ اطلاق الوكالة في البيع يقتضي تسليم المبيع </w:t>
      </w:r>
      <w:r>
        <w:rPr>
          <w:rtl w:val="true"/>
        </w:rPr>
        <w:t xml:space="preserve">... </w:t>
      </w:r>
      <w:r>
        <w:rPr/>
        <w:t>269</w:t>
      </w:r>
      <w:bookmarkEnd w:id="56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اطلاق الوكالة في البيع يقتضي تسليم المبيع؛ لأنّه من واجباته، و كذااطلاق الوكالة في الشراء يقتضي الاذن في تسليم الثمن، لكن لايقتضي الاذن </w:t>
      </w:r>
    </w:p>
    <w:p>
      <w:pPr>
        <w:pStyle w:val="BookText"/>
        <w:rPr/>
      </w:pPr>
      <w:r>
        <w:rPr>
          <w:rFonts w:ascii="Amiri" w:hAnsi="Amiri" w:eastAsia="Amiri" w:cs="Amiri"/>
          <w:color w:val="111111"/>
          <w:sz w:val="28"/>
          <w:sz w:val="28"/>
          <w:szCs w:val="28"/>
          <w:rtl w:val="true"/>
          <w:lang w:bidi="ar-SA"/>
        </w:rPr>
        <w:t>في البيع قبض الثمن؛ لأنّه قد لايؤمن على القبض، و للوكيل أن‌يردّ بالعيب؛ لأنّه من مصلحة العقد مع حضور الموكّل و غيبته، و لو منعه الموكّل لم‌يكن له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اطلاق الوكالة في البيع يقتضي الاذن في تسليم المبيع، لم‌يكن في ذلك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اطلاق الوكالة في الشراء يقتضي الاذن في تسليم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أنّ اطلاق الاذن في البيع يقتضي الاذن في قبض الثمن كما أنّ اطلاق الاذن في الشراء يقتضي الاذن في قبض المبيع الاّ اذا قامت قرائن حاليّة أو مقاليّة على عدم الرضا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ذكره المصنّف خلاف المتفاهم العرفي من الوكالة في البيع و الشراء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الوكالة في البيع يقتضي تسليم المبيع؛ لأنّه من واجباته؛ و ذلك لأنّ البيع يقتضي ازالة ملك البائع عن المبيع و دخوله في ملك المشتري، فيجب على مدخل الملك التسليم؛ لأنّه من حقوقه، لكن لايسلّمه حتّى يقبض الثمن؛ رعاية لمصلحة الموكّل، فلو سلّم المبيع قبله فتعذّر أخذه من المشتري ضمن؛ لتضييعه ايّاه بالتسليم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المبيع فيه كقبض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9"/>
      </w:r>
      <w:bookmarkStart w:id="568" w:name="pg9674_84360"/>
    </w:p>
    <w:p>
      <w:pPr>
        <w:pStyle w:val="Heading2"/>
        <w:numPr>
          <w:ilvl w:val="1"/>
          <w:numId w:val="1"/>
        </w:numPr>
        <w:rPr/>
      </w:pPr>
      <w:bookmarkStart w:id="569" w:name="__RefHeading___Toc7971672_2870459653"/>
      <w:bookmarkStart w:id="570" w:name="_Toc198"/>
      <w:bookmarkEnd w:id="568"/>
      <w:bookmarkEnd w:id="569"/>
      <w:r>
        <w:rPr>
          <w:rtl w:val="true"/>
        </w:rPr>
        <w:t>فرع</w:t>
      </w:r>
      <w:r>
        <w:rPr>
          <w:rtl w:val="true"/>
        </w:rPr>
        <w:t xml:space="preserve">: </w:t>
      </w:r>
      <w:r>
        <w:rPr>
          <w:rtl w:val="true"/>
        </w:rPr>
        <w:t>في أنّ للوكيل أن‌يردّ بالعيب</w:t>
      </w:r>
      <w:bookmarkEnd w:id="570"/>
    </w:p>
    <w:p>
      <w:pPr>
        <w:pStyle w:val="BookText"/>
        <w:rPr/>
      </w:pPr>
      <w:r>
        <w:rPr>
          <w:rFonts w:ascii="Amiri" w:hAnsi="Amiri" w:eastAsia="Amiri" w:cs="Amiri"/>
          <w:color w:val="111111"/>
          <w:sz w:val="28"/>
          <w:sz w:val="28"/>
          <w:szCs w:val="28"/>
          <w:rtl w:val="true"/>
          <w:lang w:bidi="ar-SA"/>
        </w:rPr>
        <w:t>الوكيل في الابتياع مثلاً له أن‌يردّ بالعيب؛ لأنّه من مصلحة العقد الموكّل فيه، سواء في ذلك حضور الموكّل و غيبته، ولكن لو منعه الموكّل لم‌يكن له مخالفته؛ لأنّ الحقّ له و انّما كان ثبوت الردّ بالعيب للوكيل باطلاق الوكالة في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المسألة من فرض صحّة العقد عليه باعتبار خفاء العيب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للوكيل أن‌يردّ بالعيب؛ لأنّ الموكّل قد أقامه مقام نفسه في هذا العقد، و الردّ بالعيب من لوازمه، و لأنّ التوكيل لمّا لم‌ينزّل الاّ على شراء الصحيح، فاذا ظهر العيب كان له الردّ و شراء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منعه الموكّل لم‌يكن له مخالفته؛ لأنّه ابطال للوكالة فيما تضمّنته و عزل له فيه، و اذا جاز عزله عن الوكالة فعن بعض مقتضياتها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اظهاره الرضا بالمعيب؛ فانّه في معنى النهي عن الردّ</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9674_84362"/>
      <w:bookmarkStart w:id="572" w:name="pg9674_84362"/>
      <w:bookmarkEnd w:id="572"/>
    </w:p>
    <w:p>
      <w:pPr>
        <w:pStyle w:val="Heading2"/>
        <w:numPr>
          <w:ilvl w:val="1"/>
          <w:numId w:val="1"/>
        </w:numPr>
        <w:rPr/>
      </w:pPr>
      <w:bookmarkStart w:id="573" w:name="pg9674_84362"/>
      <w:bookmarkStart w:id="574" w:name="__RefHeading___Toc7971674_2870459653"/>
      <w:bookmarkStart w:id="575" w:name="_Toc199"/>
      <w:bookmarkEnd w:id="573"/>
      <w:bookmarkEnd w:id="574"/>
      <w:r>
        <w:rPr>
          <w:rtl w:val="true"/>
        </w:rPr>
        <w:t xml:space="preserve">الفصل الثاني </w:t>
      </w:r>
      <w:r>
        <w:rPr>
          <w:rtl w:val="true"/>
        </w:rPr>
        <w:t xml:space="preserve">: </w:t>
      </w:r>
      <w:r>
        <w:rPr>
          <w:rtl w:val="true"/>
        </w:rPr>
        <w:t>في ما لاتصحّ فيه النيابة و ما تصحّ فيه</w:t>
      </w:r>
      <w:bookmarkEnd w:id="575"/>
    </w:p>
    <w:p>
      <w:pPr>
        <w:pStyle w:val="BookText"/>
        <w:rPr/>
      </w:pPr>
      <w:r>
        <w:rPr>
          <w:rFonts w:ascii="Amiri" w:hAnsi="Amiri" w:eastAsia="Amiri" w:cs="Amiri"/>
          <w:color w:val="111111"/>
          <w:sz w:val="28"/>
          <w:sz w:val="28"/>
          <w:szCs w:val="28"/>
          <w:rtl w:val="true"/>
          <w:lang w:bidi="ar-SA"/>
        </w:rPr>
        <w:t>أمّا ما لاتدخله النيابة، فضابطه ما تعلّق قصد الشارع بايقاعه من المكلّف مباشرة كالطهارة مع القدرة و ان جازت النيابة في غسل الأعضاء عند الضرورة، و الصلاة الواجبة مادام حيّا، و كذا الصوم و الاعتكاف و الحجّ الواجب مع القدرة، و الأيمان و النذور و الغصب و القسم بين الزوجات؛ لأنّه يتضمّن استمتاعا، و الظهار و اللعان و قضاء العدّة و الجناية و الالتقاط و الاحتطاب و الاحتشاش و اقامة الشهادة الاّ على وجه الشهادة على الشهادة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الموكّل فيه أن‌يكون قابلاً للنيابة بأن‌لم‌يعتبر في مشروعيّة وقوعه عن الانسان ايقاعه مباشرة كالعبادات البدنيّة من الطهارات الثلاث مع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جازت النيابة في الاستعانة فيها عند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و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فرضها و نفلها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الماليّة منها كالزكاة و الخمس و الكفّارات؛ فانّها لاتعتبر فيها المباشرة فيصحّ التوكيل و النيابة فيها اخراجا و ايصالاً الى مستحقّيها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تدخله النيابة فضابطه ما جعل ذريعة الى غرض لايختصّ بالمباشرة كالبيع و قبض الثمن و الرهن و الصلح و الحوالة و الضمان و الشركة و الوكالة و العارية، و في الأخذ بالشفعة و الابراء و الوديعة و قسم الصدقات و عقد النكاح و فرض الصداق و الخلع و الطلاق و استيفاء القصاص و قبض الديات، و في الجهاد على وجه، و في استيفاء الحدود مطلقا، و في اثبات حدود الآدميّين، أمّا حدود اللّه سبحانه فلا، و في عقد السبق و الرماية و العتق و الكتابة و التدبير، و في الدعوى، و في اثبات الحجج و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يصحّ التوكيل في جميع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الأصل جواز الوكالة في كلّ شيء الاّ ما دلّ دليل على عدمها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الصلح و الاجارة و الهبة و العارية و الوديعة و المضاربة و المزارعة و المساقاة و القرض و الرهن و الشركة و الضمان و الحوالة و الكفالة و الوكالة و النكاح ايجابا و قبولاً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الوصيّة و الوقف و في الطلاق و العتق و الابراء و الأخذ بالشفعة و اسقاطها، و فسخ العقد في موارد ثبوت الخيار و اسقاطه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التوكيل أيضا في القبض و الاقباض في موارد لزومهما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الرهن و القرض و الصرف بالنسبة الى العوضين و السلم بالنسبة الى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ابقاء الديون و استيفائها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التوكيل في الطلاق غائبا كان الزوج أم حاضرا بل يجوز توكيل الزوجة في أن‌تطلّق نفسها أو توكّل الغير فيه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أيضا في استيفاء القصاص و قبض الديات و في الجهاد ان لم‌يتعيّنعليه و في استيفاء الحدود سواء كانت حدود الآدميّين كحدّ السرقة و القذف أم </w:t>
      </w:r>
    </w:p>
    <w:p>
      <w:pPr>
        <w:pStyle w:val="BookText"/>
        <w:rPr/>
      </w:pPr>
      <w:r>
        <w:rPr>
          <w:rFonts w:ascii="Amiri" w:hAnsi="Amiri" w:eastAsia="Amiri" w:cs="Amiri"/>
          <w:color w:val="111111"/>
          <w:sz w:val="28"/>
          <w:sz w:val="28"/>
          <w:szCs w:val="28"/>
          <w:rtl w:val="true"/>
          <w:lang w:bidi="ar-SA"/>
        </w:rPr>
        <w:t>حدود اللّه تعالى كحدّ الزنا بعد ثبوتها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التوكيل في اثبات حدود الآدميّين و في الدعوى و هو التوكيل في الخصومة و المرافعة فيجوز لكلّ من المدّعي و المدّعى عليه أن‌يوكّل شخصا عن نفسه، فمن كان وكيلاً عن المدّعي فوظيفته بثّ الدعوى على المدّعى عليه عند الحاكم و اقامة البيّنة و تعديلها و تحليف المنكر و طلب الحكم على الخصم و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فوظيفته اقامة كلّ ما يقع وسيلة الى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الوكيل عن المدّعى عليه فوظيفته الانكار و الطعن على الشهود و اقامة بيّنة الجرح و مطالبة الحاكم بسماعها و الحكم بها و عليه السعي في الدفع ما أمكنه ما لم‌يخرج عن الحقّ بحسب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تجوز النيابة في الحجّ المندوب مطلقا، و الواجب عند العجز عنه على ما تقدّم تفصيله في كتاب الحجّ</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تجوز النيابة في صلاة الزيارة و ركعتي الطواف حيث يجوز استنابة الحيّ في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يجوز فيه الوكالة تولية الامام غيره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تولية منصوبه الخاصّ لغيره مع الاذن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قيّدنا تولية القضاء بالامام أو نائبه الخاصّ لعدم امكان تولية منصوبه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الفقيه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فيه؛ لما اتّفق عليه الأصحاب من اشتراط جمع القاضي لشرائط الفتوى</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فصّلنا البحث عن ذلك في كتاب القضاء فراجع</w:t>
      </w:r>
      <w:r>
        <w:rPr>
          <w:rFonts w:eastAsia="Amiri" w:cs="Amiri" w:ascii="Amiri" w:hAnsi="Amiri"/>
          <w:color w:val="111111"/>
          <w:sz w:val="28"/>
          <w:szCs w:val="28"/>
          <w:rtl w:val="true"/>
          <w:lang w:bidi="ar-SA"/>
        </w:rPr>
        <w:t>.</w:t>
      </w:r>
      <w:r>
        <w:rPr>
          <w:rStyle w:val="FootnoteAnchor"/>
          <w:rtl w:val="true"/>
        </w:rPr>
        <w:footnoteReference w:id="303"/>
      </w:r>
      <w:bookmarkStart w:id="576" w:name="pg9674_84365"/>
    </w:p>
    <w:p>
      <w:pPr>
        <w:pStyle w:val="Heading2"/>
        <w:numPr>
          <w:ilvl w:val="1"/>
          <w:numId w:val="1"/>
        </w:numPr>
        <w:rPr/>
      </w:pPr>
      <w:bookmarkStart w:id="577" w:name="__RefHeading___Toc7971676_2870459653"/>
      <w:bookmarkStart w:id="578" w:name="_Toc200"/>
      <w:bookmarkEnd w:id="576"/>
      <w:bookmarkEnd w:id="577"/>
      <w:r>
        <w:rPr>
          <w:rtl w:val="true"/>
        </w:rPr>
        <w:t xml:space="preserve">فيما لو وكّل على كلّ قليل و كثير </w:t>
      </w:r>
      <w:r>
        <w:rPr>
          <w:rtl w:val="true"/>
        </w:rPr>
        <w:t xml:space="preserve">... </w:t>
      </w:r>
      <w:r>
        <w:rPr/>
        <w:t>276</w:t>
      </w:r>
      <w:bookmarkEnd w:id="578"/>
    </w:p>
    <w:p>
      <w:pPr>
        <w:pStyle w:val="BookText"/>
        <w:rPr/>
      </w:pPr>
      <w:r>
        <w:rPr>
          <w:rFonts w:ascii="Amiri" w:hAnsi="Amiri" w:eastAsia="Amiri" w:cs="Amiri"/>
          <w:color w:val="111111"/>
          <w:sz w:val="28"/>
          <w:sz w:val="28"/>
          <w:szCs w:val="28"/>
          <w:rtl w:val="true"/>
          <w:lang w:bidi="ar-SA"/>
        </w:rPr>
        <w:t>و لو وكّل على كلّ قليل و كثير،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لايصحّ؛ لما يتطرّق من احتمال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و يندفع الحال باعتبار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بعيد عن موضع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وكّله على كلّ ما يملكه صحّ؛ لأنّه يناط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القولان للشيخ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الجواز مذهب الأكثر؛ لانتفاء الغرر، و اندفاع الضرر بمراعاة المصلحة في فعل الوكيل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رحمه‌اللهردّ هذا القيد بأنّه بعيد عن موضع الفرض؛ فانّ الفرض كونه وكيلاً في كلّ شيء فيدخل فيه عتق عبيده و تطليق نسائه و هبة أملاكه و نحو ذلك ممّا يوجب الضرر، و التقييد خروج عن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أنّ القيد معتبر و ان لم‌يصرّح بهذا العموم، حتّى لو خصّص بفرد واحد تقيّد بالمصلحة، فكيف بمثل هذا العامّ 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المصنف بين هذا العامّ و بين ما لو خصّصه بوجه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على ما أملك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لاندفاع معظم الغرر نظرا الى أنّ رعاية المصلحة في الأمور المنتشرة أمر خفي جدّا، فاذا خصّص متعلّقها سهلت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واضح؛ لأنّ رعاية المصلحة تضبط الأمرين، و انتشار الأمور لايمنع من ذلك؛ فانّ مرجع المصلحة الى نظر الوكيل، فما علم فيه المصلحة يفعله و ما اشتبه يمتنع فعله، و لأنّه لو فصّل ذلك العامّ المنتشر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عتق عبدي و تطليق زوجاتي و بيع أملاكي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لأن كلّ واحد منها منضبط برعاية المصلحة على ما اعترفوا به، و ذلك مشترك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الجواز مطلقا</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الوكالة امّا خاصّة و امّا عامّة و امّا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الوكالة الخاصّة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الوسيلة</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تعلّقت بتصرّف معيّن في شخص معيّن، كما اذا وكّله في شراء عبد شخصي معيّن، و هذا ممّا لا اشكال و لا خلاف في صحّته، بل جعلها في المهذّب من ضرورة المذهب ان لم‌يكن من 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الوكالة العامّة فتارة تكون عامّة من جهة التصرّف و خاصّة من جهة متعلّقه، كما اذا وكّله في جميع التصرّفات الممكنة في داره المعيّنة من بيعها و هبتها و اجارتها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تكون بالعكس كما اذا وكّله في بيع جميع 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تكون عامّة من كلتا الجهتين، كما اذا وكّله في جميع التصرّفات الممكنة في جميع ما يملكه، أو في ايقاع جميع ما كان له فيما يتعلّق به؛ بحيث يشمل التزويج له و طلاق زوجته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تكون تقسيمات الوكالة المطلقة فانّها قد تكون مطلقة من جهة التصرّف خاصّة من جهة متعلّقه، كما إذا وكّله في أنّه امّا يبيع داره المعيّنة بيعاً لازماً أو خياريّاً أو يرهنها أو يؤرها، و أوكل التعيين الى نظره، و قد تكون بالعكس كما اذا احتاج الى بيع أحد أملاكه من داره أو عقاره أو دوابّه أو غيرها، فوكّل شخصاً في أن‌يبيع أحدها و فوّض الأمر في تعيينه بنظره و مصلحته، و قد تكون مطلقة من كلتا الجهتين، كما اذا وكّله في ايقاع أحد العقود المعاوضيّة من البيع أو الصلح أو الاجارة مثلاً على أحد أملاكه؛ من داره أو دكّانه أو خانه مثلاً و أوكل التعيين من الجهتين الى نظره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مثّل به السيّد الاصفهاني رحمه‌الله في وسيلة النجاة للوكالة العامّة و المطلقة، و قد يناقش في بعض أمثلته الامام الخميني رحمه‌الله و مثّل للوكالة المطلقة بالتوكيل في بيع داره بلا قيد في مقابل المقيّدة بثمن معيّن أو شخص معيّن، و قال بأنّ بعض ما مثّل به السيّد الاصفهاني رحمه‌الله من الوكالة المخيّرة، الاّ أنّ الأمر سهل و ذلك لأنّ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السيّد الاصفهاني و الامام الخميني و السيّد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الجميع، سواء كانت الوكالة عامّة أو مطلقة أو مخيّرة، كلّ ذلك لما تقدّم في أوّل هذا الفصل من أنّ الأصل صحّة الوكالة في كلّ شيء الاّ ما خرج بالدليل و لا دليل على الخروج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السيّد الاصفهاني قال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صحّة الجميع و ان كان بعضها لايخلو من مناقشة لكنّها مندفعة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 المناقشة و دفعها في المهذّب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المناقشة فهي احتمال الجهالة في صورة الترديد و احتمال الضرر في صورة الاطلاق، و الأولى مندفعة بتحمّل الوكالة للجهالة بما لايتحمّله سائر العقود، و أمّا الأخيرة فاطمئنان الموكّل بالوكيل و أنّه لايفعل له الاّ ما فيه المصلحة يدفع هذا الاحتمال</w:t>
      </w:r>
      <w:r>
        <w:rPr>
          <w:rFonts w:eastAsia="Amiri" w:cs="Amiri" w:ascii="Amiri" w:hAnsi="Amiri"/>
          <w:color w:val="111111"/>
          <w:sz w:val="28"/>
          <w:szCs w:val="28"/>
          <w:rtl w:val="true"/>
          <w:lang w:bidi="ar-SA"/>
        </w:rPr>
        <w:t>».</w:t>
      </w:r>
      <w:r>
        <w:rPr>
          <w:rStyle w:val="FootnoteAnchor"/>
          <w:rtl w:val="true"/>
        </w:rPr>
        <w:footnoteReference w:id="306"/>
      </w:r>
      <w:bookmarkStart w:id="579" w:name="pg9674_84368"/>
    </w:p>
    <w:p>
      <w:pPr>
        <w:pStyle w:val="Heading2"/>
        <w:numPr>
          <w:ilvl w:val="1"/>
          <w:numId w:val="1"/>
        </w:numPr>
        <w:rPr/>
      </w:pPr>
      <w:bookmarkStart w:id="580" w:name="__RefHeading___Toc7971678_2870459653"/>
      <w:bookmarkStart w:id="581" w:name="_Toc201"/>
      <w:bookmarkEnd w:id="579"/>
      <w:bookmarkEnd w:id="580"/>
      <w:r>
        <w:rPr>
          <w:rtl w:val="true"/>
        </w:rPr>
        <w:t xml:space="preserve">الفصل الثالث </w:t>
      </w:r>
      <w:r>
        <w:rPr>
          <w:rtl w:val="true"/>
        </w:rPr>
        <w:t xml:space="preserve">: </w:t>
      </w:r>
      <w:r>
        <w:rPr>
          <w:rtl w:val="true"/>
        </w:rPr>
        <w:t>في الموكّل</w:t>
      </w:r>
      <w:bookmarkEnd w:id="581"/>
    </w:p>
    <w:p>
      <w:pPr>
        <w:pStyle w:val="BookText"/>
        <w:rPr/>
      </w:pPr>
      <w:r>
        <w:rPr>
          <w:rFonts w:ascii="Amiri" w:hAnsi="Amiri" w:eastAsia="Amiri" w:cs="Amiri"/>
          <w:color w:val="111111"/>
          <w:sz w:val="28"/>
          <w:sz w:val="28"/>
          <w:szCs w:val="28"/>
          <w:rtl w:val="true"/>
          <w:lang w:bidi="ar-SA"/>
        </w:rPr>
        <w:t>يعتبر فيه البلوغ و كمال العقل و أن‌يكون جائز التصرّف فيما وكّل فيه ممّا تصحّ فيه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فلاتصحّ وكالة الصبي مميّزا كان أو لم‌يكن، و لو بلغ عشرا جاز أن‌يوكّل فيما له التصرّف فيه كالوصيّة و الصدقة و الطلاق على رواية، و كذا يجوز أن‌يتوكّل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لاتصحّ وكالة المجنون و لو عرض ذلك بعد التوكيل أبطل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للمكاتب أن‌يوكّل؛ لأنّه يملك التصرّف في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للعبد القنّ أن‌يوكّل الاّ باذن مولاه، و لو وكّله انسان في شراء نفسه من مولاه صحّ</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للوكيل أن‌يوكّل الاّ باذن من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المملوك مأذونا له في التجارة جاز أن‌يوكّل فيما جرت العادة بالتوكيل فيه؛ لأنّه كالمأذون فيه، و لايجوز أن‌يوكّل في غير ذلك؛ لأنّه يتوقّف على صريح الاذن من مولاه، و له أن‌يوكّل فيما يجوز أن‌يتصرّف فيه من غير اذن مولاه ممّا تصحّ فيه النيابة كالطلاق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للمحجور عليه أن‌يوكّل فيما له التصرّف فيه من طلاق و خلع و ما </w:t>
      </w:r>
      <w:bookmarkStart w:id="582" w:name="pg9674_84369"/>
    </w:p>
    <w:p>
      <w:pPr>
        <w:pStyle w:val="BookText"/>
        <w:rPr/>
      </w:pPr>
      <w:bookmarkEnd w:id="582"/>
      <w:r>
        <w:rPr>
          <w:rFonts w:ascii="Amiri" w:hAnsi="Amiri" w:eastAsia="Amiri" w:cs="Amiri"/>
          <w:color w:val="111111"/>
          <w:sz w:val="28"/>
          <w:sz w:val="28"/>
          <w:szCs w:val="28"/>
          <w:rtl w:val="true"/>
          <w:lang w:bidi="ar-SA"/>
        </w:rPr>
        <w:t>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لايوكّل المحرم في عقد النكاح و لا ابتياع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للأب و الجدّ أن‌يوكّلا عن الولد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الوكالة في الطلاق للغائب اجماعا و للحاضر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دالاًّ على الاذن في التوكيل؛ لأنّه تسليط على ما يتعلّق به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أن‌يكون الوكيل تامّ البصيرة فيما وكّل فيه عارفا باللغة التي يحاور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للحاكم أن‌يوكّل عن السفهاء من يتولّى الحكومة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لذوي المروءات أن‌يتولّوا المنازعة بنفوسهم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المصنّف رحمه‌الله قد ذكر هنا البحث عن الموكّل و عقد الفصل الآتي للبحث عن شرائط الوكيل، و لمّا كان البحثان متداخلين شرحنا بعض شرائط الوكيل في هذا الفصل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583" w:name="__RefHeading___Toc7971680_2870459653"/>
      <w:bookmarkStart w:id="584" w:name="_Toc202"/>
      <w:bookmarkEnd w:id="583"/>
      <w:r>
        <w:rPr>
          <w:rtl w:val="true"/>
        </w:rPr>
        <w:t xml:space="preserve">الفرع الأوّل </w:t>
      </w:r>
      <w:r>
        <w:rPr>
          <w:rtl w:val="true"/>
        </w:rPr>
        <w:t xml:space="preserve">: </w:t>
      </w:r>
      <w:r>
        <w:rPr>
          <w:rtl w:val="true"/>
        </w:rPr>
        <w:t>فيما يشترط في الوكيل و الموكّل</w:t>
      </w:r>
      <w:bookmarkEnd w:id="584"/>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كمال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فلايوكّل و لايتوكّل الصبي، و المجنون مطلقا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باذن من الولي أم لا، بلغ الصبي عشر سنين أم لا، كان جنونه أدواريّا أم 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أنّه ليست عبارات الصبي المميّز ملغاة كما قلنا ذلك في البيع؛ و لذلك صحّ وكالته في اجراء صيغ العقود في المعاملات و غيرها و كذا اجراء صيغة الايقاعات، و الاحتياط أن‌يكون قد بلغ عشرا و كذا يجوز أن‌يوكّل غيره فيما يجوز له التصرّف فيه كالعتق و الوصيّة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الطلاق فقد اختلف في صحّة ايقاعه من الصبي الذي 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على عدم جواز الصبي قبل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البحث عن طلاق الصبي في كتاب الطلاق و قلنا هناك بعدم جواز طلاقه و ان بلغ عشر سنين ترجيحا لروايات المنع و وفقا لمتأخّري الأصحاب بل لأكثر الأمّة كما في المسالك، فلمّا لم‌يجز طلاقه بنفسه لايجوز له توكيل غيره في الطلاق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قول من جوّز طلاقه فيجوز له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جامع المقاصد نسبة القول بجواز وكالة الصبي اذا بلغ عشرا في الوصيّة و الصدقة و العتق الى الشيخ و جماعة، بل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القول به و ان كان مشهورا الاّ أنّ مستنده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في كتاب الوصيّة أنّ الأقوى جوازها فيه، اذا كانت بالمعروف لأرحامه و غيرهم، وفاقا للمشهور</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 كذا لايصحّ توكيل المجنون غيره مطبقا و أدوارا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فيما تقدّم أنّه لو عرض ذلك بعد التوكيل يبطل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لايجوز وكالته عن غيره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للوكيل أن‌يوكّل الاّ باذن من الموكّل كما سيأتي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الموكّل أن‌لايكون محجورا فلايصحّ توكيل المحجور عليه لسفه أو فلس فيما حجر عليه فيه دون ما لم‌يحجر عليه فيه كالطلاق و الخلع و ما شابهه</w:t>
      </w:r>
      <w:r>
        <w:rPr>
          <w:rFonts w:eastAsia="Amiri" w:cs="Amiri" w:ascii="Amiri" w:hAnsi="Amiri"/>
          <w:color w:val="111111"/>
          <w:sz w:val="28"/>
          <w:szCs w:val="28"/>
          <w:rtl w:val="true"/>
          <w:lang w:bidi="ar-SA"/>
        </w:rPr>
        <w:t xml:space="preserve">. </w:t>
      </w:r>
      <w:bookmarkStart w:id="585" w:name="pg9674_84371"/>
    </w:p>
    <w:p>
      <w:pPr>
        <w:pStyle w:val="BookText"/>
        <w:rPr/>
      </w:pPr>
      <w:bookmarkEnd w:id="585"/>
      <w:r>
        <w:rPr>
          <w:rFonts w:ascii="Amiri" w:hAnsi="Amiri" w:eastAsia="Amiri" w:cs="Amiri"/>
          <w:color w:val="111111"/>
          <w:sz w:val="28"/>
          <w:sz w:val="28"/>
          <w:szCs w:val="28"/>
          <w:rtl w:val="true"/>
          <w:lang w:bidi="ar-SA"/>
        </w:rPr>
        <w:t>و تصحّ وكالة المحجور عليه لسفه أو فلس عن غيرهما ممّن لا 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الموكّل أن‌يكون متمكّنا عقلاً و شرعا من مباشرة ما يوكّل فيه فلاتصحّ وكالة المحرم فيما لايجوز له كابتياع الصيد و امساكه و ايقاع عقد النكاح، و الظاهر عدم الخلاف في ذلك كما في الجواهر، و ذلك لعدم جواز أصل الفعل من الموكّل فلاتجوز وكالته فيه</w:t>
      </w:r>
      <w:r>
        <w:rPr>
          <w:rFonts w:eastAsia="Amiri" w:cs="Amiri" w:ascii="Amiri" w:hAnsi="Amiri"/>
          <w:color w:val="111111"/>
          <w:sz w:val="28"/>
          <w:szCs w:val="28"/>
          <w:rtl w:val="true"/>
          <w:lang w:bidi="ar-SA"/>
        </w:rPr>
        <w:t>.</w:t>
      </w:r>
    </w:p>
    <w:p>
      <w:pPr>
        <w:pStyle w:val="Heading2"/>
        <w:numPr>
          <w:ilvl w:val="1"/>
          <w:numId w:val="1"/>
        </w:numPr>
        <w:rPr/>
      </w:pPr>
      <w:bookmarkStart w:id="586" w:name="__RefHeading___Toc7971682_2870459653"/>
      <w:bookmarkStart w:id="587" w:name="_Toc203"/>
      <w:bookmarkEnd w:id="586"/>
      <w:r>
        <w:rPr>
          <w:rtl w:val="true"/>
        </w:rPr>
        <w:t xml:space="preserve">الفرع الثاني </w:t>
      </w:r>
      <w:r>
        <w:rPr>
          <w:rtl w:val="true"/>
        </w:rPr>
        <w:t xml:space="preserve">: </w:t>
      </w:r>
      <w:r>
        <w:rPr>
          <w:rtl w:val="true"/>
        </w:rPr>
        <w:t>في التوكيل في الطلاق</w:t>
      </w:r>
      <w:bookmarkEnd w:id="587"/>
    </w:p>
    <w:p>
      <w:pPr>
        <w:pStyle w:val="BookText"/>
        <w:rPr/>
      </w:pPr>
      <w:r>
        <w:rPr>
          <w:rFonts w:ascii="Amiri" w:hAnsi="Amiri" w:eastAsia="Amiri" w:cs="Amiri"/>
          <w:color w:val="111111"/>
          <w:sz w:val="28"/>
          <w:sz w:val="28"/>
          <w:szCs w:val="28"/>
          <w:rtl w:val="true"/>
          <w:lang w:bidi="ar-SA"/>
        </w:rPr>
        <w:t>يجوز التوكيل في الطلاق غائبا كان الزوج أم حاضرا، بل يجوز توكيل الزوجة في أن‌تطلّق نفسها بنفسها، أو بأن‌توكّل الغير عن الزوج أو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جواز التوكيل في الطلاق غائبا كان الزوج أم حاضرا صحيحة سعيد الأعرج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أمر امرأته الى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جعلت أمر فلانة الى فلان، أ يجوز ذلك للرجل؟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حيث انّ الامام عليه‌السلام لم‌يستفصل فتدلّ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زرارة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لاتجوز الوكالة في الطلاق</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فانّها و ان استدلّ بها الشيخ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أنّها ضعيفة سندا و دلالة على ما سيأتي من الجواهر</w:t>
      </w:r>
      <w:r>
        <w:rPr>
          <w:rFonts w:eastAsia="Amiri" w:cs="Amiri" w:ascii="Amiri" w:hAnsi="Amiri"/>
          <w:color w:val="111111"/>
          <w:sz w:val="28"/>
          <w:szCs w:val="28"/>
          <w:rtl w:val="true"/>
          <w:lang w:bidi="ar-SA"/>
        </w:rPr>
        <w:t xml:space="preserve">. </w:t>
      </w:r>
      <w:bookmarkStart w:id="588" w:name="pg9674_84372"/>
    </w:p>
    <w:p>
      <w:pPr>
        <w:pStyle w:val="BookText"/>
        <w:rPr/>
      </w:pPr>
      <w:bookmarkEnd w:id="588"/>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الوكالة في الطلاق للغائب اجماعا أو ضرورة؛ لوجود المقتضي و عدم المانع، و للحاضر على الأظهر الأشهر بل المشهور، بل عن ابن ادريس نفي الخلاف فيه بين المسلمين؛ لعموم الوكالة و خصوص ترك الاستفصال في صحيح الأعرج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الشيخ و القاضي و التقي فمنعوها في الثاني؛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بقرينة معلوميّة جواز الوكالة في الغائب أنّ أمره اليه مباشرة أو وكالة، و اطلاق خبر زرارة 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لاتجوز الوكالة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المقتصر في تقييده على الغائب عن البلد؛ جمعا بينه و بين النصوص المذكورة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أنّه 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 سنده و منافاة اطلاقه الاجماع و ان حكي عن ابن سماعة من الخلاف في ذلك و لاينبغي الالتفات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لايقاوم ما سمعت من الأدلّة من وجوه، خصوصا مع عدم التعرّض في شيء من النصوص لغيبة و لا حضور، و ان صرّح بعضها بالجواز في الأوّل، الاّ أنّ اثباته لاينفي ما عداه</w:t>
      </w:r>
      <w:r>
        <w:rPr>
          <w:rFonts w:eastAsia="Amiri" w:cs="Amiri" w:ascii="Amiri" w:hAnsi="Amiri"/>
          <w:color w:val="111111"/>
          <w:sz w:val="28"/>
          <w:szCs w:val="28"/>
          <w:rtl w:val="true"/>
          <w:lang w:bidi="ar-SA"/>
        </w:rPr>
        <w:t>».</w:t>
      </w:r>
      <w:r>
        <w:rPr>
          <w:rStyle w:val="FootnoteAnchor"/>
          <w:rtl w:val="true"/>
        </w:rPr>
        <w:footnoteReference w:id="311"/>
      </w:r>
    </w:p>
    <w:p>
      <w:pPr>
        <w:pStyle w:val="Heading2"/>
        <w:numPr>
          <w:ilvl w:val="1"/>
          <w:numId w:val="1"/>
        </w:numPr>
        <w:rPr/>
      </w:pPr>
      <w:bookmarkStart w:id="589" w:name="__RefHeading___Toc7971684_2870459653"/>
      <w:bookmarkStart w:id="590" w:name="_Toc204"/>
      <w:bookmarkEnd w:id="589"/>
      <w:r>
        <w:rPr>
          <w:rtl w:val="true"/>
        </w:rPr>
        <w:t xml:space="preserve">الفرع الثالث </w:t>
      </w:r>
      <w:r>
        <w:rPr>
          <w:rtl w:val="true"/>
        </w:rPr>
        <w:t xml:space="preserve">: </w:t>
      </w:r>
      <w:r>
        <w:rPr>
          <w:rtl w:val="true"/>
        </w:rPr>
        <w:t>فيما لو قال الموكّل</w:t>
      </w:r>
      <w:r>
        <w:rPr>
          <w:rtl w:val="true"/>
        </w:rPr>
        <w:t>: «</w:t>
      </w:r>
      <w:r>
        <w:rPr>
          <w:rtl w:val="true"/>
        </w:rPr>
        <w:t>اصنع ما شئت</w:t>
      </w:r>
      <w:r>
        <w:rPr>
          <w:rtl w:val="true"/>
        </w:rPr>
        <w:t>»</w:t>
      </w:r>
      <w:bookmarkEnd w:id="590"/>
    </w:p>
    <w:p>
      <w:pPr>
        <w:pStyle w:val="BookText"/>
        <w:rPr/>
      </w:pPr>
      <w:r>
        <w:rPr>
          <w:rFonts w:ascii="Amiri" w:hAnsi="Amiri" w:eastAsia="Amiri" w:cs="Amiri"/>
          <w:color w:val="111111"/>
          <w:sz w:val="28"/>
          <w:sz w:val="28"/>
          <w:szCs w:val="28"/>
          <w:rtl w:val="true"/>
          <w:lang w:bidi="ar-SA"/>
        </w:rPr>
        <w:t>لو قال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دالاًّ على الاذن في التوكيل؛ لأنّه تسليط على ما يتعلّق به المشيئة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تقرير الاستدلال على جواز توكيل الوكيل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 و قد أذن له في أن‌يفعل كلّ ما شاء، فاذا شاء أن‌يوكّل فقد دخلفي عموم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 ذلك العلاّمة في التذكرة </w:t>
      </w:r>
      <w:bookmarkStart w:id="591" w:name="pg9674_84373"/>
    </w:p>
    <w:p>
      <w:pPr>
        <w:pStyle w:val="BookText"/>
        <w:rPr/>
      </w:pPr>
      <w:bookmarkEnd w:id="591"/>
      <w:r>
        <w:rPr>
          <w:rFonts w:ascii="Amiri" w:hAnsi="Amiri" w:eastAsia="Amiri" w:cs="Amiri"/>
          <w:color w:val="111111"/>
          <w:sz w:val="28"/>
          <w:sz w:val="28"/>
          <w:szCs w:val="28"/>
          <w:rtl w:val="true"/>
          <w:lang w:bidi="ar-SA"/>
        </w:rPr>
        <w:t>محتجّا بأنّه انّما يستلزم التعميم فيما يفعله بنفسه، فلايتناول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يعلم من التقرير؛ فانّ العموم تناول فعله بنفسه و بنائبه حيث يشاء النيابة، و في الحقيقة مدلول العامّ كمدلول الخاصّ في الحجّيّة و ان اختلفا في القوّة و الضعف، فهذا اذن له في التوكيل من حيث العموم فيدخل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دلّ اللفظ باطلاقه أو عمومه على ذلك كاصنع ما شئت</w:t>
      </w:r>
      <w:r>
        <w:rPr>
          <w:rFonts w:eastAsia="Amiri" w:cs="Amiri" w:ascii="Amiri" w:hAnsi="Amiri"/>
          <w:color w:val="111111"/>
          <w:sz w:val="28"/>
          <w:szCs w:val="28"/>
          <w:rtl w:val="true"/>
          <w:lang w:bidi="ar-SA"/>
        </w:rPr>
        <w:t>)».</w:t>
      </w:r>
      <w:r>
        <w:rPr>
          <w:rStyle w:val="FootnoteAnchor"/>
          <w:rtl w:val="true"/>
        </w:rPr>
        <w:footnoteReference w:id="312"/>
      </w:r>
    </w:p>
    <w:p>
      <w:pPr>
        <w:pStyle w:val="Heading2"/>
        <w:numPr>
          <w:ilvl w:val="1"/>
          <w:numId w:val="1"/>
        </w:numPr>
        <w:rPr/>
      </w:pPr>
      <w:bookmarkStart w:id="592" w:name="__RefHeading___Toc7971686_2870459653"/>
      <w:bookmarkStart w:id="593" w:name="_Toc205"/>
      <w:bookmarkEnd w:id="592"/>
      <w:r>
        <w:rPr>
          <w:rtl w:val="true"/>
        </w:rPr>
        <w:t xml:space="preserve">الفرع الرابع </w:t>
      </w:r>
      <w:r>
        <w:rPr>
          <w:rtl w:val="true"/>
        </w:rPr>
        <w:t xml:space="preserve">: </w:t>
      </w:r>
      <w:r>
        <w:rPr>
          <w:rtl w:val="true"/>
        </w:rPr>
        <w:t>فيما يستحبّ و يكره في الوكالة</w:t>
      </w:r>
      <w:bookmarkEnd w:id="593"/>
    </w:p>
    <w:p>
      <w:pPr>
        <w:pStyle w:val="BookText"/>
        <w:rPr/>
      </w:pPr>
      <w:r>
        <w:rPr>
          <w:rFonts w:ascii="Amiri" w:hAnsi="Amiri" w:eastAsia="Amiri" w:cs="Amiri"/>
          <w:color w:val="111111"/>
          <w:sz w:val="28"/>
          <w:sz w:val="28"/>
          <w:szCs w:val="28"/>
          <w:rtl w:val="true"/>
          <w:lang w:bidi="ar-SA"/>
        </w:rPr>
        <w:t>يستحبّ أن‌يكون للوكيل بصيرة تامّة و معرفة باللغة التي تتعلّق بعين ما وكّل فيه؛ ليكون مليّا بتحقيق مراد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للحاكم أن‌يوكّل عن السفهاء من يتولّى الحكومة عنهم، و كذا يوكّل من يباشر عنهم جميع ما يقتضيه الحال من التصرّف الذي يمنعون منه، و كذا غير السفهاء ممّن للحاكم عليه ولاية كالصبيان و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الحكم في الوصي الاّ أن‌ينصّ له الموصي على عدم التوكيل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لذوي المروّات أن‌يتولّوا المنازعة بنفوسهم،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أهل الشرف و المناصب الجليلة الذين لايليق بهم الامتهان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عليّا عليه‌السلام وكّل عقيلاً في خصومة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للخصومة قحما و انّ الشيطان ليحضرها، و انّي لأكره أن‌أحضرها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 و للخصومة قحمأي أنّها تقحم بصاحبها على ما لايريده</w:t>
      </w:r>
      <w:r>
        <w:rPr>
          <w:rFonts w:eastAsia="Amiri" w:cs="Amiri" w:ascii="Amiri" w:hAnsi="Amiri"/>
          <w:color w:val="111111"/>
          <w:sz w:val="28"/>
          <w:szCs w:val="28"/>
          <w:rtl w:val="true"/>
          <w:lang w:bidi="ar-SA"/>
        </w:rPr>
        <w:t>».».</w:t>
      </w:r>
      <w:r>
        <w:rPr>
          <w:rStyle w:val="FootnoteAnchor"/>
          <w:rtl w:val="true"/>
        </w:rPr>
        <w:footnoteReference w:id="313"/>
      </w:r>
      <w:bookmarkStart w:id="594" w:name="pg9674_84374"/>
    </w:p>
    <w:p>
      <w:pPr>
        <w:pStyle w:val="Heading2"/>
        <w:numPr>
          <w:ilvl w:val="1"/>
          <w:numId w:val="1"/>
        </w:numPr>
        <w:rPr/>
      </w:pPr>
      <w:bookmarkStart w:id="595" w:name="__RefHeading___Toc7971688_2870459653"/>
      <w:bookmarkStart w:id="596" w:name="_Toc206"/>
      <w:bookmarkEnd w:id="594"/>
      <w:bookmarkEnd w:id="595"/>
      <w:r>
        <w:rPr>
          <w:rtl w:val="true"/>
        </w:rPr>
        <w:t xml:space="preserve">الفصل الرابع </w:t>
      </w:r>
      <w:r>
        <w:rPr>
          <w:rtl w:val="true"/>
        </w:rPr>
        <w:t xml:space="preserve">: </w:t>
      </w:r>
      <w:r>
        <w:rPr>
          <w:rtl w:val="true"/>
        </w:rPr>
        <w:t>في الوكيل</w:t>
      </w:r>
      <w:bookmarkEnd w:id="596"/>
    </w:p>
    <w:p>
      <w:pPr>
        <w:pStyle w:val="BookText"/>
        <w:rPr/>
      </w:pPr>
      <w:r>
        <w:rPr>
          <w:rFonts w:ascii="Amiri" w:hAnsi="Amiri" w:eastAsia="Amiri" w:cs="Amiri"/>
          <w:color w:val="111111"/>
          <w:sz w:val="28"/>
          <w:sz w:val="28"/>
          <w:szCs w:val="28"/>
          <w:rtl w:val="true"/>
          <w:lang w:bidi="ar-SA"/>
        </w:rPr>
        <w:t>الوكيل يعتبر فيه البلوغ و كمال العقل و لو كان فاسقا أو كافرا أو مرتدّا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ارتدّ المسلم لم‌تبطل وكالته؛ لأنّ الارتداد لايمنع الوكالة ابتداءً و كذلك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له أن‌يليه بنفسه و تصحّ النيابة فيه صحّ أن‌يكون فيه وكيلاً فتصحّ وكالة المحجور عليه لتبذير أو فلس، و لاتصحّ نيابة المحرم فيما ليس للمحرم أن‌يفعله كابتياع الصيد و امساكه و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أن‌تتوكّل المرأة في طلاق غيرها، و هل تصحّ في طلاق نفسها؟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وكالتها في عقد النكاح؛ لأنّ عبارتها فيه معتبرة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وكالة العبد اذا أذن مولاه و يجوز أن‌يوكّله مولاه في اعتاق نفسه، و لاتشترط عدالة الولي و لا الوكيل في عقد النكاح</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قد شرحنا شرائط الوكيل المذكورة هنا في ضمن شرح الفصل السابق لمكان المناسبة، نكتفي هنا بنقل ما ذكره صاحب الجواهر ملخّصا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يعتبر في الوكيل البلوغ و كمال العقل بلا خلاف و لا اشكال، فلاتصحّ وكالة </w:t>
      </w:r>
    </w:p>
    <w:p>
      <w:pPr>
        <w:pStyle w:val="BookText"/>
        <w:rPr/>
      </w:pPr>
      <w:r>
        <w:rPr>
          <w:rFonts w:ascii="Amiri" w:hAnsi="Amiri" w:eastAsia="Amiri" w:cs="Amiri"/>
          <w:color w:val="111111"/>
          <w:sz w:val="28"/>
          <w:sz w:val="28"/>
          <w:szCs w:val="28"/>
          <w:rtl w:val="true"/>
          <w:lang w:bidi="ar-SA"/>
        </w:rPr>
        <w:t>الصبي الاّ فيما عرفت، و المجنون بعد سلب عبارتهما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فتجوز وكالة البالغ العاقل و لو كان فاسقا أو كافرا أو مرتدّا للعموم، و الامتناع في بعض الأفراد لأمر آخر لاينافي صحّتها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ارتدّ المسلم لم‌تبطل الوكالة لما عرفت من أنّ الارتداد لايمنع الوكالة ابتداء، فكذا استدامة بل هي أولى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تبطل وكالة الكافر من حيث كونها على مسلم، كما ستعرف، و هو شيء غير ما نحن فيه من صحّة أصل وكالته، و ظاهرهم كما اعترف به في جامع المقاصد و المسالك عدم الفرق بين المرتدّ الفطري و الملّي في ذلك، و دعوى خروج الأوّل عن القابليّة ممنوعة، و المسلّم منها بالنسبة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فالضابط في الوكيل هو أنّ كلّ ما له أن‌يليه بنفسه بمعنى جواز أصل الفعل له، و لو لعدم دليل الحرمة و تصحّ النيابة فيه، صحّ أن‌يكون وكيلاً فيه فتخرج العبادات و ما شابهها و ان جاز أن‌يليها بنفسه الاّ أنّه لاتصحّ النيابة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وكالة المحجور عليه لتبذير أو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لأنّهما كما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أن‌يليا لأنفسهما بعض الأفعال، فتصحّ وكالتهما فيها بل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كما ترى، خصوصا اضرابه،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لهما مباشرة ذلك بأنفسهما، ضرورة معلوميّة عدم حرمة ذلك عليهما، و انّما هما ممنوعان من التصرّف في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تصحّ نيابة المحرم فيما ليس للمحرم أن‌يفعله، كابتياع الصيد و امساكه و عقد النكاح لما عرفت في الضابط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له أن‌يليه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ضابط للوكيل نفيا و اثباتا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فلا اشكال و لا خلاف في أنّه يجوز وكالة العبد اذا أذن له مولاه للعمومات، فهو مندرج في الضابط المزبور، فيجوز أن‌يوكّله مولاه في اعتاق نفسه كما جاز وكالته في بيعها و شرائها، و ليس في الأدلّة ما يقتضي أزيد من المغايرة الاعتباريّة بين المعتق و البائع و المشتري و محلّ الصيغة كما عرفته سابقا و اللّه </w:t>
      </w:r>
      <w:bookmarkStart w:id="597" w:name="pg9674_84376"/>
    </w:p>
    <w:p>
      <w:pPr>
        <w:pStyle w:val="BookText"/>
        <w:rPr/>
      </w:pPr>
      <w:bookmarkEnd w:id="597"/>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عدالة الولي و لا الوكيل في عقد النكاح بلا خلاف فيه بيننا، بل و لا اشكال، فيجوز للأب و الجدّ ذلك و ان كانا فاسقين، كما يجوز الوكالة للفاسق فيه ايجابا و قبولاً،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قد شرحنا بعض ما ذكره في الفصل السابق و فصّلنا بعضها في موضعه ككتاب النكاح و الحجّ و غيرهما فراجع</w:t>
      </w:r>
      <w:r>
        <w:rPr>
          <w:rFonts w:eastAsia="Amiri" w:cs="Amiri" w:ascii="Amiri" w:hAnsi="Amiri"/>
          <w:color w:val="111111"/>
          <w:sz w:val="28"/>
          <w:szCs w:val="28"/>
          <w:rtl w:val="true"/>
          <w:lang w:bidi="ar-SA"/>
        </w:rPr>
        <w:t>.</w:t>
      </w:r>
    </w:p>
    <w:p>
      <w:pPr>
        <w:pStyle w:val="Heading2"/>
        <w:numPr>
          <w:ilvl w:val="1"/>
          <w:numId w:val="1"/>
        </w:numPr>
        <w:rPr/>
      </w:pPr>
      <w:bookmarkStart w:id="598" w:name="__RefHeading___Toc7971690_2870459653"/>
      <w:bookmarkStart w:id="599" w:name="_Toc207"/>
      <w:bookmarkEnd w:id="598"/>
      <w:r>
        <w:rPr>
          <w:rtl w:val="true"/>
        </w:rPr>
        <w:t xml:space="preserve">في صور وكالة الذمّي عن المسلم و بالعكس </w:t>
      </w:r>
      <w:r>
        <w:rPr>
          <w:rtl w:val="true"/>
        </w:rPr>
        <w:t xml:space="preserve">... </w:t>
      </w:r>
      <w:r>
        <w:rPr/>
        <w:t>287</w:t>
      </w:r>
      <w:bookmarkEnd w:id="599"/>
    </w:p>
    <w:p>
      <w:pPr>
        <w:pStyle w:val="BookText"/>
        <w:rPr/>
      </w:pPr>
      <w:r>
        <w:rPr>
          <w:rFonts w:ascii="Amiri" w:hAnsi="Amiri" w:eastAsia="Amiri" w:cs="Amiri"/>
          <w:color w:val="111111"/>
          <w:sz w:val="28"/>
          <w:sz w:val="28"/>
          <w:szCs w:val="28"/>
          <w:rtl w:val="true"/>
          <w:lang w:bidi="ar-SA"/>
        </w:rPr>
        <w:t>و لايتوكّل الذمّي على المسلم للذمّي و لا للمسلم على القول المشهور، و هل يتوكّل المسلم للذمّي على المسلم؟ فيه تردّد، و الوجه الجواز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أن‌يتوكّل الذمّي على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لايتوكّل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ذمّيّا كان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للكافر و لا للمسلم، و وجهه كما لايخفى، استلزام السبيل للكافر على المسلم، المنفي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لن‌يجعل اللّه للكافرين على المؤمنين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وكالة المسلم للكافر على المسلم ففيه خلاف أظهره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 الوكالة بالنسبة الى اسلام الوكيل و الموكّل و الموكّل عليه و كفرهم، و التفريق ثمانية؛ فانّ الموكّل امّا مسلم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فالوكيل امّا مسلم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 الأربعة فالموكّل عليه امّا مسلم أو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صورتان لاتصحّ الوكالة فيهما عندنا، و هما ما نسب المصنّف الحكم فيهما الى المشهور، و في التذكرة ادّعى الاجماع عليهما، و هما وكالة الكافر على المسلم لكافر أو مسلم؛ لاستلزامه السبيل للكافر على المسلم المنفي بالآية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باقي الصور تصحّ الوكالة فيها من غير كراهة الاّ في صورة واحدة، و هي </w:t>
      </w:r>
      <w:bookmarkStart w:id="600" w:name="pg9674_84377"/>
    </w:p>
    <w:p>
      <w:pPr>
        <w:pStyle w:val="BookText"/>
        <w:rPr/>
      </w:pPr>
      <w:bookmarkEnd w:id="600"/>
      <w:r>
        <w:rPr>
          <w:rFonts w:ascii="Amiri" w:hAnsi="Amiri" w:eastAsia="Amiri" w:cs="Amiri"/>
          <w:color w:val="111111"/>
          <w:sz w:val="28"/>
          <w:sz w:val="28"/>
          <w:szCs w:val="28"/>
          <w:rtl w:val="true"/>
          <w:lang w:bidi="ar-SA"/>
        </w:rPr>
        <w:t>وكالة المسلم للكافر على المسلم؛ فانّ المشهور فيها الكراهة، بل ادّعى في التذكرة الاجماع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تردّد فيها ثمّ 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الشيخ في النهاية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المصنّف و الجماعة عبّروا عن الكافر بالذمّي، و لا فرق من حيث الحكم، بل اذا ثبت المنع في الذمّي ثبت في غيره بطريق أولى، و كذا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الجواز مشتركة من غير أولويّة، فلذلك عدلنا الى التعبير بالعامّ</w:t>
      </w:r>
      <w:r>
        <w:rPr>
          <w:rFonts w:eastAsia="Amiri" w:cs="Amiri" w:ascii="Amiri" w:hAnsi="Amiri"/>
          <w:color w:val="111111"/>
          <w:sz w:val="28"/>
          <w:szCs w:val="28"/>
          <w:rtl w:val="true"/>
          <w:lang w:bidi="ar-SA"/>
        </w:rPr>
        <w:t>».</w:t>
      </w:r>
      <w:r>
        <w:rPr>
          <w:rStyle w:val="FootnoteAnchor"/>
          <w:rtl w:val="true"/>
        </w:rPr>
        <w:footnoteReference w:id="315"/>
      </w:r>
    </w:p>
    <w:p>
      <w:pPr>
        <w:pStyle w:val="Heading2"/>
        <w:numPr>
          <w:ilvl w:val="1"/>
          <w:numId w:val="1"/>
        </w:numPr>
        <w:rPr/>
      </w:pPr>
      <w:bookmarkStart w:id="601" w:name="__RefHeading___Toc7971692_2870459653"/>
      <w:bookmarkStart w:id="602" w:name="_Toc208"/>
      <w:bookmarkEnd w:id="601"/>
      <w:r>
        <w:rPr>
          <w:rtl w:val="true"/>
        </w:rPr>
        <w:t xml:space="preserve">في اقتصار الوكيل على ما أذن له فيه </w:t>
      </w:r>
      <w:r>
        <w:rPr>
          <w:rtl w:val="true"/>
        </w:rPr>
        <w:t xml:space="preserve">... </w:t>
      </w:r>
      <w:r>
        <w:rPr/>
        <w:t>288</w:t>
      </w:r>
      <w:bookmarkEnd w:id="602"/>
    </w:p>
    <w:p>
      <w:pPr>
        <w:pStyle w:val="BookText"/>
        <w:rPr/>
      </w:pPr>
      <w:r>
        <w:rPr>
          <w:rFonts w:ascii="Amiri" w:hAnsi="Amiri" w:eastAsia="Amiri" w:cs="Amiri"/>
          <w:color w:val="111111"/>
          <w:sz w:val="28"/>
          <w:sz w:val="28"/>
          <w:szCs w:val="28"/>
          <w:rtl w:val="true"/>
          <w:lang w:bidi="ar-SA"/>
        </w:rPr>
        <w:t>و يقتصر الوكيل من التصرّف على ما أذن له فيه و ما تشهد العادة بالاذن فيه فلو أمره ببيع السلعة بدينار نسيئة فباعها بدينارين نقدا صحّ، و كذا لو باعها بدينار نقدا الاّ أن‌يكون هناك غرض صحيح يتعلّق بالتأجيل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أمره ببيعه حالاًّ فباع مؤجّلاً لم‌يصحّ و لو كان بأكثر ممّا عيّن؛ لأنّ الأغراض تتعلّق بالتعجيل، و لو أمره ببيعه في سوق مخصوصة فباع في غيرها بالثمن الذي عيّن له أو مع الاطلاق بثمن المثل صحّ؛ اذ الغرض تحصيل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فباعه من غيره لم‌يصحّ و لو تضاعف الثمن؛ لأنّ الأغراض في الغرماء تتفاوت، و كذا لو أمره أن‌يشتري بعين المال فاشترى في الذمّة، أو في الذمّة فاشترى بالعين؛ لأنّه تصرّف لم‌يؤذن فيه و هو ممّا تتفاوت فيه المقاصد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خالف الوكيل عمّا عيّن له و أتى بالعمل على نحو لم‌يشمله عقد الوكالة فان كان ممّا يجري فيه الفضوليّة كالعقود توقّفت صحّته على اجازة الموكّل؛ لأنّ التصرّف وقع بغير اذن من له الاذن فصحّته تحتاج الى اجازته و الاّ بطل تصرّفه </w:t>
      </w:r>
    </w:p>
    <w:p>
      <w:pPr>
        <w:pStyle w:val="BookText"/>
        <w:rPr/>
      </w:pPr>
      <w:r>
        <w:rPr>
          <w:rFonts w:ascii="Amiri" w:hAnsi="Amiri" w:eastAsia="Amiri" w:cs="Amiri"/>
          <w:color w:val="111111"/>
          <w:sz w:val="28"/>
          <w:sz w:val="28"/>
          <w:szCs w:val="28"/>
          <w:rtl w:val="true"/>
          <w:lang w:bidi="ar-SA"/>
        </w:rPr>
        <w:t>فيما يتعلّق بالغير بدون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أن‌يكون التخالف بالمباينة كما اذا وكّله في بيع داره فاستأجرها، أو ببعض الخصوصيّات كما اذا وكّله في أن‌يبيع نقدا فباع نسيئة أو يبيع بخيار فباع بدونه أو يبيعه من فلان فباعه من غيره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شمول التوكيل لفاقد الخصوصيّة أيضا صحّ كما اذا وكّله في أن‌يبيع السلعة بدينار فباعها بدينارين من حيث انّ الظاهر عرفا بل المعلوم أنّ تحديد الثمن بالدينار انّما هو من طرف النقيصة فقط لا من طرف النقيصة و الزيادة معا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لاتبعها بأقلّ من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ما قال المصنّف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يقتصر الوكيل من التصرّف على ما أذن له فيه و ما تشهد العادة بالاذن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وجود غرض صحيح في التحديد به زيادة و نقيصة كان بيعها بالزيادة كبيعها بالنقيصة فضوليّا يحتاج الى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ما اذا وكّله في أن‌يبيعها في سوق مخصوص بثمن معيّن فباعها في غيرها بذلك الثمن فربّما يفهم عرفا أنّه ليس الغرض الاّ تحصيل الثمن فيكون ذكر السوق المخصوص من باب المثال، و لو فرض وجود غرض عقلائي في تعيينها احتمالاً معتدّا به لم‌يجز التعدّي عنه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اقتصاره على ما أذن فيه فلا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تجاوزه الى ما تشهد العادة بالاذن فيه فهو جائز مع اطّرادها أو دلالة القرائن على ما 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تقييد ذلك كلّه بعدم الغرض فيما عيّن، و الاّ لم‌يجز التعدّي و ان لم‌يصرّح بالنهي؛ فانّ الأغراض تختلف و المصالح لاتنضبط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من غيره، لم‌يصحّ و لو تضاعف الثمن؛ لأنّ الأغراض في الغرماء تتفاوت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التخطّي مع الاطلاق قطعا، سواء علم الغرض أم جهل الحال أم علم انتفاء الغرض على ما يظهر من اطلاقهم؛ لندور الفرض و وقوفا مع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w:t>
      </w:r>
      <w:bookmarkStart w:id="603" w:name="pg9674_84379"/>
    </w:p>
    <w:p>
      <w:pPr>
        <w:pStyle w:val="BookText"/>
        <w:rPr/>
      </w:pPr>
      <w:bookmarkEnd w:id="603"/>
      <w:r>
        <w:rPr>
          <w:rFonts w:ascii="Amiri" w:hAnsi="Amiri" w:eastAsia="Amiri" w:cs="Amiri"/>
          <w:color w:val="111111"/>
          <w:sz w:val="28"/>
          <w:sz w:val="28"/>
          <w:szCs w:val="28"/>
          <w:rtl w:val="true"/>
          <w:lang w:bidi="ar-SA"/>
        </w:rPr>
        <w:t>أمره أن‌يشتري بعين المال فاشترى في الذمّة، أو في الذمّة فاشترى بالعين؛ لأنّه تصرّف لم‌يؤذن فيه، و هو ممّا تتفاوت فيه المقاصد، فلايصحّ التعدّي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انتفاء الغرض و أنّ غرض الموكّل بيع هذا الشيء و أنّ ذكر المشتري الخاصّ من باب المثال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الى الاشتراء بعين المال فيجوز المخالفة الاّ أنّ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الفرض لو باع من غير المشتري الذي ذكره أو بغير المال الذي ذكره، فادّعى الموكّل بعد ذلك أنّ غرضه قد تعلّق بذلك المشتري الخاصّ أو الاشتراء بذلك المال الفلاني، فالقول قول الموكّل كما لايخفى</w:t>
      </w:r>
      <w:r>
        <w:rPr>
          <w:rFonts w:eastAsia="Amiri" w:cs="Amiri" w:ascii="Amiri" w:hAnsi="Amiri"/>
          <w:color w:val="111111"/>
          <w:sz w:val="28"/>
          <w:szCs w:val="28"/>
          <w:rtl w:val="true"/>
          <w:lang w:bidi="ar-SA"/>
        </w:rPr>
        <w:t>.</w:t>
      </w:r>
    </w:p>
    <w:p>
      <w:pPr>
        <w:pStyle w:val="Heading2"/>
        <w:numPr>
          <w:ilvl w:val="1"/>
          <w:numId w:val="1"/>
        </w:numPr>
        <w:rPr/>
      </w:pPr>
      <w:bookmarkStart w:id="604" w:name="__RefHeading___Toc7971694_2870459653"/>
      <w:bookmarkStart w:id="605" w:name="_Toc209"/>
      <w:bookmarkEnd w:id="604"/>
      <w:r>
        <w:rPr>
          <w:rtl w:val="true"/>
        </w:rPr>
        <w:t xml:space="preserve">في وقوع الشراء عن الموكّل اذا ابتاع الوكيل </w:t>
      </w:r>
      <w:r>
        <w:rPr>
          <w:rtl w:val="true"/>
        </w:rPr>
        <w:t xml:space="preserve">... </w:t>
      </w:r>
      <w:r>
        <w:rPr/>
        <w:t>290</w:t>
      </w:r>
      <w:bookmarkEnd w:id="605"/>
    </w:p>
    <w:p>
      <w:pPr>
        <w:pStyle w:val="BookText"/>
        <w:rPr/>
      </w:pPr>
      <w:r>
        <w:rPr>
          <w:rFonts w:ascii="Amiri" w:hAnsi="Amiri" w:eastAsia="Amiri" w:cs="Amiri"/>
          <w:color w:val="111111"/>
          <w:sz w:val="28"/>
          <w:sz w:val="28"/>
          <w:szCs w:val="28"/>
          <w:rtl w:val="true"/>
          <w:lang w:bidi="ar-SA"/>
        </w:rPr>
        <w:t>و اذا ابتاع الوكيل وقع الشراء عن الموكّل و لايدخل في ملك الوكيل؛ لأنّه لو دخل في ملكه لزم أن‌ينعتق عليه أبوه و ولده لو اشتراهما كما ينعتق أبو الموكّل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وكّل مسلم ذمّيّا في ابتياع خمر لم‌يصحّ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ابتاع الوكيل وقع الشراء عن الموكّل الذي قصد الوكيل الشراء له و لايدخل في ملك الوكيل خصوصا اذا كان الشراء بعين مال الموكّل؛ لعدم القصد و لعدم ملكه العوض</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ابتاع الوكيل وقع الشراء عن الموكّل، و لايدخل في ملك الوكيل، فانّ هذا موضع وفاق، و وجهه مع ما ذكره المصنّف أنّ الوكيل انّما قبل </w:t>
      </w:r>
      <w:bookmarkStart w:id="606" w:name="pg9674_84380"/>
    </w:p>
    <w:p>
      <w:pPr>
        <w:pStyle w:val="BookText"/>
        <w:rPr/>
      </w:pPr>
      <w:bookmarkEnd w:id="606"/>
      <w:r>
        <w:rPr>
          <w:rFonts w:ascii="Amiri" w:hAnsi="Amiri" w:eastAsia="Amiri" w:cs="Amiri"/>
          <w:color w:val="111111"/>
          <w:sz w:val="28"/>
          <w:sz w:val="28"/>
          <w:szCs w:val="28"/>
          <w:rtl w:val="true"/>
          <w:lang w:bidi="ar-SA"/>
        </w:rPr>
        <w:t>لغيره فوجب أن‌ينتقل الملك الى ذلك الغير دونه؛ عملاً بالقصد، كما لو اشترى الأب و الوصي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بذلك على خلاف أبي حنيفة حيث حكم بأنّه ينتقل أوّلاً الى الوكيل ثمّ ينتقل الى الموكّل، محتجّا بأنّ حقوق العقد تتعلّق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بأنّ قصد الوكيل في شرائه هو الموكّل و أنّه نائب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ثمّ انّه لو وكّل مسلم ذمّيّا في ابتياع خمر لم‌يصحّ؛ و ذلك لأنّه كما يشترط كون الوكيل قادرا على أن‌يلي الفعل لنفسه يشترط كون الموكّل كذلك، فلايكفي جواز تصرّف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فلايصحّ توكيل المسلم الذمّي في بيع الخمر و ابتياعه و ان كان الذمّي يملك ذلك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موضع يبطل الشراء للموكّل فان كان سمّاه عند العقد لم‌يقع عن أحدهما و ان لم‌يكن سمّاه قضي به على الوكيل في الظاهر، و كذا لو أنكر الموكّل الوكالة لكن ان كان الوكيل مبطلاً فالملك له ظاهرا و باطنا، و ان كان محقّا كان الشراء للموكّل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التخلّص أن‌يقول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لي فقد بعته من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البيع، و لايكون هذا تعليقا للبيع على الشرط، و يتقاصّان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امتنع الموكّل من البيع جاز أن‌يستوفي عوض ما أدّاه الى البائع عن موكّله من هذه السلعة و يردّ ما يفضل عليه أو يرجع بما يفضل له</w:t>
      </w:r>
      <w:r>
        <w:rPr>
          <w:rFonts w:eastAsia="Amiri" w:cs="Amiri" w:ascii="Amiri" w:hAnsi="Amiri"/>
          <w:color w:val="111111"/>
          <w:sz w:val="28"/>
          <w:szCs w:val="28"/>
          <w:rtl w:val="true"/>
          <w:lang w:bidi="ar-SA"/>
        </w:rPr>
        <w:t>.</w:t>
      </w:r>
    </w:p>
    <w:p>
      <w:pPr>
        <w:pStyle w:val="Heading2"/>
        <w:numPr>
          <w:ilvl w:val="1"/>
          <w:numId w:val="1"/>
        </w:numPr>
        <w:rPr/>
      </w:pPr>
      <w:bookmarkStart w:id="607" w:name="__RefHeading___Toc7971696_2870459653"/>
      <w:bookmarkStart w:id="608" w:name="_Toc210"/>
      <w:bookmarkEnd w:id="607"/>
      <w:r>
        <w:rPr>
          <w:rtl w:val="true"/>
        </w:rPr>
        <w:t xml:space="preserve">في حكم كلّ موضع يبطل الشراء للموكّل </w:t>
      </w:r>
      <w:r>
        <w:rPr>
          <w:rtl w:val="true"/>
        </w:rPr>
        <w:t xml:space="preserve">... </w:t>
      </w:r>
      <w:r>
        <w:rPr/>
        <w:t>291</w:t>
      </w:r>
      <w:bookmarkEnd w:id="60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موضع يبطل فيه الشراء للموكّل للمخالفة أو لغيرها فان كان سمّاه عند العقد لفظا و نيّة لم‌يقع عن أحدهما، أمّا عن الوكيل فلأنّ المفروض قصد غيره و أمّا عن الموكّل فلفرض مخالفته فلم‌يكن وكيلاً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العقد حينئذٍ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لم‌يكن سمّاه لفظا ولكن قصده في نيّته قضي به على الوكيل في الظاهر </w:t>
      </w:r>
    </w:p>
    <w:p>
      <w:pPr>
        <w:pStyle w:val="BookText"/>
        <w:rPr/>
      </w:pPr>
      <w:r>
        <w:rPr>
          <w:rFonts w:ascii="Amiri" w:hAnsi="Amiri" w:eastAsia="Amiri" w:cs="Amiri"/>
          <w:color w:val="111111"/>
          <w:sz w:val="28"/>
          <w:sz w:val="28"/>
          <w:szCs w:val="28"/>
          <w:rtl w:val="true"/>
          <w:lang w:bidi="ar-SA"/>
        </w:rPr>
        <w:t>لمقتضى مباشرة الشراء له باعتبار كون الخطاب معه، و أمّا في نفس الأمر فمع عدم اجازة الموكّل تخلّص بتجديد العقد مع البائع فان لم‌يتمكّن أخذ المبيع مقاصّة، فلو فرض زيادته توصّل لايصال الزائد الى البائع، و ذلك لأنّ المعاملة باطلة في نفس الأمر و الوكيل أخذ المبيع مقاصّة لا بالبيع فلايجوز له أخذ أكثر من حقّه و يجب عليه ردّ الزائد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لم‌يكن الشراء بعين مال الموكّل، و الاّ بطل العقد مع عدم اجازته و ان لم‌يذكره؛ لأنّه يصير كظهور استحقاق أحد العوضين المعيّنين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نفس الأمر، و أمّا بحسب الظاهر فان صدّق البائع أنّ المال مال الموكّل و قد تخلّف الوكيل و لم‌يجز الموكّل هذا العقد أو قامت البيّنة بهذا، ثبت البطلان ظاهرا و باطنا و وجب على البائع ردّ ما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لم‌يصدّقه البائع و لم‌تقم بيّنة على ذلك ثبت البطلان ظاهرا بالنسبة الى الوكيل و وجب عليه ردّ عوض المدفوع الى الموكّل؛ لتعذّر تحصيله شرعا؛ لاعترافه بالتفريط بسبب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ادّعى الوكيل على البائع العلم بالحال حلف على نفي العلم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الكلام هنا بالنسبة الى حكم الوكيل و الموكّل و البائع و قد فصّل الشهيد الثاني في بيان هذه المسألة و شقوقها و نحن نذكر كلامه رحمه‌الله و ان كان لايخلو من مناقشة في ذكر حكم بعض الأقسام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قد تقدّمت في مواضع جزئيّة كثيرا، و هنا أتى فيها بضابط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 اذا اشترى و لم‌تثبت وكالته في ذلك امّا لدعوى المخالفة، أو لانكار أصل الوكالة فلايخلو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أن‌يكون قد اشترى بعين مال الموكّل و لو بحسب الدعوى، أو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أن‌يكون البائع عالما بكون الثمن لمالكه، أو تقوم البيّنة بذلك،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أن‌يصرّح بكون الشراء للموكّل، أو ينوي ذلك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امّا أن‌يكون الوكيل </w:t>
      </w:r>
    </w:p>
    <w:p>
      <w:pPr>
        <w:pStyle w:val="BookText"/>
        <w:rPr/>
      </w:pPr>
      <w:r>
        <w:rPr>
          <w:rFonts w:ascii="Amiri" w:hAnsi="Amiri" w:eastAsia="Amiri" w:cs="Amiri"/>
          <w:color w:val="111111"/>
          <w:sz w:val="28"/>
          <w:sz w:val="28"/>
          <w:szCs w:val="28"/>
          <w:rtl w:val="true"/>
          <w:lang w:bidi="ar-SA"/>
        </w:rPr>
        <w:t>صادقا بحسب الواقع أو كاذبا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كان الشراء بالعين فهو فضولي، سواء ذكر الموكّل أم لا، و سواء نوى الشراء للموكّل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لم‌يجز المالك و قد ذكره صريحا أو كان له بيّنة أنّ العين له أو البائع عالما بذلك، فان كان الوكيل صادقا فالعقد صحيح باطنا فاسد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رجع المالك في العين و أخذها من البائع رجع اليه مبيعه، و ان رجع بالعين على الوكيل لتعذّر أخذها من البائع أخذ الوكيل المبيع قصاصا، و توصّل الى ردّ ما فضل منه عن حقّه ان كان هناك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تلفت تخيّر في الرجوع، فان رجع على البائع رجع على الوكيل، و ان رجع على الوكيل لم‌يرجع على البائع؛ لاعترافه بظلم الموكّل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لم‌يعلم البائع بالحال و لم‌يحصل الوصفان الآخران لم‌يجب عليه الدفع، بل يحلف على نفي العلم ان ادّعي عليه، ثمّ يغرم الوكيل و يأخذ العين قصاصا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الوكيل كاذبا بحسب الواقع بطل الشراء بالعين مطلقا، و أتى فيه التفصيل، لكن ان كانت العين قد تلفت عند البائع وجب على الوكيل ردّ المبيع اليه، و ان كانت باقية عنده فخلاص الوكيل أن‌يصالح الموكّل عليها بما دفعه من المثل أو القيمة ثمّ يصالح البائع على العين ان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الشراء في الذمّة و ذكر الموكّل وقع له باطنا ان كان محقّا و بطل ظاهرا فيأخذه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لم‌يذكره لفظا و لا نيّة فالشراء للوكيل ظاهرا و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مبطلاً و ذكر الموكّل بطل البيع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نواه خاصّة فالسلعة للبائع باطنا، فيشتريها منه بالثمن ان كان باقيا، و الاّ دفعها اليه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لم‌ينوه وقع الشراء للوكيل</w:t>
      </w:r>
      <w:r>
        <w:rPr>
          <w:rFonts w:eastAsia="Amiri" w:cs="Amiri" w:ascii="Amiri" w:hAnsi="Amiri"/>
          <w:color w:val="111111"/>
          <w:sz w:val="28"/>
          <w:szCs w:val="28"/>
          <w:rtl w:val="true"/>
          <w:lang w:bidi="ar-SA"/>
        </w:rPr>
        <w:t>».</w:t>
      </w:r>
      <w:r>
        <w:rPr>
          <w:rStyle w:val="FootnoteAnchor"/>
          <w:rtl w:val="true"/>
        </w:rPr>
        <w:footnoteReference w:id="318"/>
      </w:r>
      <w:bookmarkStart w:id="609" w:name="pg9674_84383"/>
    </w:p>
    <w:p>
      <w:pPr>
        <w:pStyle w:val="Heading2"/>
        <w:numPr>
          <w:ilvl w:val="1"/>
          <w:numId w:val="1"/>
        </w:numPr>
        <w:rPr/>
      </w:pPr>
      <w:bookmarkStart w:id="610" w:name="__RefHeading___Toc7971698_2870459653"/>
      <w:bookmarkStart w:id="611" w:name="_Toc211"/>
      <w:bookmarkEnd w:id="609"/>
      <w:bookmarkEnd w:id="610"/>
      <w:r>
        <w:rPr>
          <w:rtl w:val="true"/>
        </w:rPr>
        <w:t xml:space="preserve">فيما لو وكّل اثنين </w:t>
      </w:r>
      <w:r>
        <w:rPr>
          <w:rtl w:val="true"/>
        </w:rPr>
        <w:t xml:space="preserve">... </w:t>
      </w:r>
      <w:r>
        <w:rPr/>
        <w:t>294</w:t>
      </w:r>
      <w:bookmarkEnd w:id="611"/>
    </w:p>
    <w:p>
      <w:pPr>
        <w:pStyle w:val="BookText"/>
        <w:rPr/>
      </w:pPr>
      <w:r>
        <w:rPr>
          <w:rFonts w:ascii="Amiri" w:hAnsi="Amiri" w:eastAsia="Amiri" w:cs="Amiri"/>
          <w:color w:val="111111"/>
          <w:sz w:val="28"/>
          <w:sz w:val="28"/>
          <w:szCs w:val="28"/>
          <w:rtl w:val="true"/>
          <w:lang w:bidi="ar-SA"/>
        </w:rPr>
        <w:t>و لو وكّل اثنين فان شرط الاجتماع لم‌يجز لأحدهما أن‌ينفرد بشيء من التصرّف و كذا 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أحدهما بطلت الوكالة و ليس للحاكم أن‌يضمّ اليه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شرط الانفراد جاز لكلّ منهما أن‌يتصرّف غير مستصحب رأي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للانسان أن‌يوكّل اثنين فصاعدا في أمر واحد؛ للأصل و اطلاق الروايات، فان صرّح بانفرادهما جاز لكلّ منهما الاستقلال في التصرّف من دون مراجعة الآخر و الاّ لم‌يجز الانفراد لأحدهما و لو مع غيبة صاحبه أو عجزه، سواء صرّح بالانضمام و الاجتماع أو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وكّلتكما، أو أنتما وكيلاي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للانصراف الاّ مع وجود القرينة الواضحة على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مات أحدهما بطلت الوكالة رأسا مع شرط الاجتماع أو الاطلاق المنزّل منزلته، أمّا لو صرّح بالانفراد بقي وكالة الباقي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للحاكم في صورة لزوم الاجتماع و موت أحدهما أن‌ينضمّ اليه أمينا؛ لعدم الولاية له هنا على الموكّل بخلاف ضمّ الوصي فيما لو كانا اثنين و مات أحدهما</w:t>
      </w:r>
      <w:r>
        <w:rPr>
          <w:rFonts w:eastAsia="Amiri" w:cs="Amiri" w:ascii="Amiri" w:hAnsi="Amiri"/>
          <w:color w:val="111111"/>
          <w:sz w:val="28"/>
          <w:szCs w:val="28"/>
          <w:rtl w:val="true"/>
          <w:lang w:bidi="ar-SA"/>
        </w:rPr>
        <w:t>.</w:t>
      </w:r>
    </w:p>
    <w:p>
      <w:pPr>
        <w:pStyle w:val="Heading2"/>
        <w:numPr>
          <w:ilvl w:val="1"/>
          <w:numId w:val="1"/>
        </w:numPr>
        <w:rPr/>
      </w:pPr>
      <w:bookmarkStart w:id="612" w:name="__RefHeading___Toc7971700_2870459653"/>
      <w:bookmarkStart w:id="613" w:name="_Toc212"/>
      <w:bookmarkEnd w:id="612"/>
      <w:r>
        <w:rPr>
          <w:rtl w:val="true"/>
        </w:rPr>
        <w:t xml:space="preserve">فيما لو وكّل زوجته ثمّ طلّقها </w:t>
      </w:r>
      <w:r>
        <w:rPr>
          <w:rtl w:val="true"/>
        </w:rPr>
        <w:t xml:space="preserve">... </w:t>
      </w:r>
      <w:r>
        <w:rPr/>
        <w:t>294</w:t>
      </w:r>
      <w:bookmarkEnd w:id="613"/>
    </w:p>
    <w:p>
      <w:pPr>
        <w:pStyle w:val="BookText"/>
        <w:rPr/>
      </w:pPr>
      <w:r>
        <w:rPr>
          <w:rFonts w:ascii="Amiri" w:hAnsi="Amiri" w:eastAsia="Amiri" w:cs="Amiri"/>
          <w:color w:val="111111"/>
          <w:sz w:val="28"/>
          <w:sz w:val="28"/>
          <w:szCs w:val="28"/>
          <w:rtl w:val="true"/>
          <w:lang w:bidi="ar-SA"/>
        </w:rPr>
        <w:t>و لو وكّل زوجته أو عبد غيره ثمّ طلّق الزوجة و أعتق العبد لم‌تبطل الوكالة، أمّا لو أذن لعبده في التصرّف في ماله ثمّ أعتقه بطل الاذن؛ لأنّه ليس على حدّ الوكالة بل هو اذن تابع للملك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وكّل زوجته أو عبد غيره ثمّ طلّق الزوجة و أعتق العبد لم‌تبطل الوكالة؛ اذ لا مدخل للزوجيّة و العبوديّة في صحّة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 مالك العبد عبده، توقّف بقاء وكالته على اذن المشتري كما لو وكّل عبد غيره ابتداءً، حتّى لو ردّ الوكالة بطلت</w:t>
      </w:r>
      <w:r>
        <w:rPr>
          <w:rFonts w:eastAsia="Amiri" w:cs="Amiri" w:ascii="Amiri" w:hAnsi="Amiri"/>
          <w:color w:val="111111"/>
          <w:sz w:val="28"/>
          <w:szCs w:val="28"/>
          <w:rtl w:val="true"/>
          <w:lang w:bidi="ar-SA"/>
        </w:rPr>
        <w:t xml:space="preserve">. </w:t>
      </w:r>
      <w:bookmarkStart w:id="614" w:name="pg9674_84384"/>
    </w:p>
    <w:p>
      <w:pPr>
        <w:pStyle w:val="BookText"/>
        <w:rPr/>
      </w:pPr>
      <w:bookmarkEnd w:id="614"/>
      <w:r>
        <w:rPr>
          <w:rFonts w:ascii="Amiri" w:hAnsi="Amiri" w:eastAsia="Amiri" w:cs="Amiri"/>
          <w:color w:val="111111"/>
          <w:sz w:val="28"/>
          <w:sz w:val="28"/>
          <w:szCs w:val="28"/>
          <w:rtl w:val="true"/>
          <w:lang w:bidi="ar-SA"/>
        </w:rPr>
        <w:t>أمّا لو أذن لعبده في التصرّف في ماله ثمّ أعتقه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 الاذن؛ لأنّه ليس على حدّ الوكالة بل هو اذن تابع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أنّ صيغة الوكالة لاتنحصر في لفظ، بل تصحّ بكلّ ما دلّ على الاذن في التصرّف، فحينئذ يشكل الفرق بين توكيل العبد و الاذن له في التصرّف حيث لاتبطل الوكالة بعتقه و تبطل الاذن، الاّ أن‌يستفاد ذلك من القرائن الخارجيّة الدالّة على أنّ مراده من الاذن مادام في رقّه و مراده من الوكالة كونه مأذونا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مراد المصنّف هو ما ذهب اليه الشهيد الثاني و على كلّ حال فكلام الشهيد وجيه،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وكّل انسانا في الحكومة لم‌يكن اذنا في قبض الحقّ؛ اذ قد يوكّل من لايستأمن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وكّله في قبض المال فأنكر الغريم لم‌يكن ذلك اذنا في محاكمته؛ لأنّه قد لايرتضي للخصومة</w:t>
      </w:r>
      <w:r>
        <w:rPr>
          <w:rFonts w:eastAsia="Amiri" w:cs="Amiri" w:ascii="Amiri" w:hAnsi="Amiri"/>
          <w:color w:val="111111"/>
          <w:sz w:val="28"/>
          <w:szCs w:val="28"/>
          <w:rtl w:val="true"/>
          <w:lang w:bidi="ar-SA"/>
        </w:rPr>
        <w:t>.</w:t>
      </w:r>
    </w:p>
    <w:p>
      <w:pPr>
        <w:pStyle w:val="Heading2"/>
        <w:numPr>
          <w:ilvl w:val="1"/>
          <w:numId w:val="1"/>
        </w:numPr>
        <w:rPr/>
      </w:pPr>
      <w:bookmarkStart w:id="615" w:name="__RefHeading___Toc7971702_2870459653"/>
      <w:bookmarkStart w:id="616" w:name="_Toc213"/>
      <w:bookmarkEnd w:id="615"/>
      <w:r>
        <w:rPr>
          <w:rtl w:val="true"/>
        </w:rPr>
        <w:t xml:space="preserve">فيما اذا وكّل انسانا في الحكومة </w:t>
      </w:r>
      <w:r>
        <w:rPr>
          <w:rtl w:val="true"/>
        </w:rPr>
        <w:t xml:space="preserve">... </w:t>
      </w:r>
      <w:r>
        <w:rPr/>
        <w:t>295</w:t>
      </w:r>
      <w:bookmarkEnd w:id="616"/>
    </w:p>
    <w:p>
      <w:pPr>
        <w:pStyle w:val="BookText"/>
        <w:rPr/>
      </w:pPr>
      <w:r>
        <w:rPr>
          <w:rFonts w:ascii="Amiri" w:hAnsi="Amiri" w:eastAsia="Amiri" w:cs="Amiri"/>
          <w:color w:val="111111"/>
          <w:sz w:val="28"/>
          <w:sz w:val="28"/>
          <w:szCs w:val="28"/>
          <w:rtl w:val="true"/>
          <w:lang w:bidi="ar-SA"/>
        </w:rPr>
        <w:t>اذا وكّل انسانا في الحكومة لم‌يكن اذنا في قبض الحقّ؛ اذ قد يوكّل من لايستأمن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وكّله في قبض المال فأنكر الغريم، لم‌يكن ذلك اذنا في محاكمته؛ لأنّه قد لايرتضي للخصومة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اطلاق الاذن مقتضيا لفعل ما دلّ عليه من غير أن‌يتجاوز الاّ مع دلالة خارجيّة على التجاوز كما مرّ كان اطلاق الاذن في كلّ من الخصومة و الاستيفاء غير متناول للآخر؛ اذ لايدلّ الاذن في أحدهما على الآخر </w:t>
      </w:r>
      <w:bookmarkStart w:id="617" w:name="pg9674_84385"/>
    </w:p>
    <w:p>
      <w:pPr>
        <w:pStyle w:val="BookText"/>
        <w:rPr/>
      </w:pPr>
      <w:bookmarkEnd w:id="617"/>
      <w:r>
        <w:rPr>
          <w:rFonts w:ascii="Amiri" w:hAnsi="Amiri" w:eastAsia="Amiri" w:cs="Amiri"/>
          <w:color w:val="111111"/>
          <w:sz w:val="28"/>
          <w:sz w:val="28"/>
          <w:szCs w:val="28"/>
          <w:rtl w:val="true"/>
          <w:lang w:bidi="ar-SA"/>
        </w:rPr>
        <w:t>باحدى الدلالات، أمّا المطابقة و التضمّن فظاهر، و أمّا الالتزام فلما ذكره المصنّف من التعليل، فانّه لايلزم من الاذن في الخصومة الاذن في القبض؛ لجواز أن‌يكون المأذون عارفا بأحكام الخصومة و دقائقها و ليس بأمين على المال، كما هو واقع في كثير، و لا بالعكس؛ لجواز كونه أمينا و ليس بعارف في أحكام المنازعات، كما هو الأغلب في كثير من الصالحين الذين يستأمنون على المال و لايصلحون للحكومة</w:t>
      </w:r>
      <w:r>
        <w:rPr>
          <w:rFonts w:eastAsia="Amiri" w:cs="Amiri" w:ascii="Amiri" w:hAnsi="Amiri"/>
          <w:color w:val="111111"/>
          <w:sz w:val="28"/>
          <w:szCs w:val="28"/>
          <w:rtl w:val="true"/>
          <w:lang w:bidi="ar-SA"/>
        </w:rPr>
        <w:t>».</w:t>
      </w:r>
      <w:r>
        <w:rPr>
          <w:rStyle w:val="FootnoteAnchor"/>
          <w:rtl w:val="true"/>
        </w:rPr>
        <w:footnoteReference w:id="320"/>
      </w:r>
    </w:p>
    <w:p>
      <w:pPr>
        <w:pStyle w:val="Heading2"/>
        <w:numPr>
          <w:ilvl w:val="1"/>
          <w:numId w:val="1"/>
        </w:numPr>
        <w:rPr/>
      </w:pPr>
      <w:bookmarkStart w:id="618" w:name="__RefHeading___Toc7971704_2870459653"/>
      <w:bookmarkStart w:id="619" w:name="_Toc214"/>
      <w:bookmarkEnd w:id="618"/>
      <w:r>
        <w:rPr>
          <w:rtl w:val="true"/>
        </w:rPr>
        <w:t>فيما لو قال</w:t>
      </w:r>
      <w:r>
        <w:rPr>
          <w:rtl w:val="true"/>
        </w:rPr>
        <w:t>: «</w:t>
      </w:r>
      <w:r>
        <w:rPr>
          <w:rtl w:val="true"/>
        </w:rPr>
        <w:t>وكّلتك في قبض حقّي من فلان</w:t>
      </w:r>
      <w:r>
        <w:rPr>
          <w:rtl w:val="true"/>
        </w:rPr>
        <w:t xml:space="preserve">» </w:t>
      </w:r>
      <w:r>
        <w:rPr>
          <w:rtl w:val="true"/>
        </w:rPr>
        <w:t xml:space="preserve">فمات </w:t>
      </w:r>
      <w:r>
        <w:rPr>
          <w:rtl w:val="true"/>
        </w:rPr>
        <w:t xml:space="preserve">... </w:t>
      </w:r>
      <w:r>
        <w:rPr/>
        <w:t>296</w:t>
      </w:r>
      <w:bookmarkEnd w:id="619"/>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قبض حقّي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لم‌يكن له مطالبة الورثة،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قبض حقّي الذي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وكّله في بيع فاسد لم‌يملك الصحيح و كذا لو وكّله في ابتياع 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لانسان على غيره دين فوكّله أن‌يبتاع له به متاعا جاز و يبرأ بالتسليم الى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قبض حقّي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لم‌يكن له مطالبة الورثة؛ لعدم اندراجه في عبارة الوكالة،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قبض حقّي الذي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 لعدم تعيين المقبوض منه فيدخل الوارث بل المتبرّع بخلاف الأوّل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بيع فاسد لم‌يملك الصحيح،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كذا الى ادراك الغلاّت أو مقدم الحاجّ أو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بين أن‌يكونا عالمين بالفساد أو جاهلين و بالتفريق؛ و انّما لم‌يملك الصحيح لعدم </w:t>
      </w:r>
    </w:p>
    <w:p>
      <w:pPr>
        <w:pStyle w:val="BookText"/>
        <w:rPr/>
      </w:pPr>
      <w:r>
        <w:rPr>
          <w:rFonts w:ascii="Amiri" w:hAnsi="Amiri" w:eastAsia="Amiri" w:cs="Amiri"/>
          <w:color w:val="111111"/>
          <w:sz w:val="28"/>
          <w:sz w:val="28"/>
          <w:szCs w:val="28"/>
          <w:rtl w:val="true"/>
          <w:lang w:bidi="ar-SA"/>
        </w:rPr>
        <w:t>التوكيل فيه فيقع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لايملك الصحيح لايملك الفاسد أيضا؛ لأنّ اللّه تعالى لم‌يأذن فيه و الموكّل لم‌يملكه فالوكيل أولى، فلو اشترى به و سلّم الثمن أو باع كذلك و سلّم المبيع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ابتياع معيب لايملك ابتياع الصحيح؛ وقوفا على الاذن، لكن هنا يفارق الأمر الثاني في أنّ له أن‌يشتري المعيب؛ لأنّه أمر مشروع و الأغراض تتعلّق به كما تتعلّق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عيّن المعيب لم‌يجز التخطّي الى غيره سواء ساواه أو قصر أو زاد عليه، و ان أطلق صحّ شراء ما يطلق عليه اسم المعيب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لانسان على غيره دين فوكّل الدائن المديون في أن‌يبتاع له بالدين متاعا جاز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لايبرأ ذمّة المديون الاّ بتسليم دين الموكّل الى البائع بعنوان ثمن المتاع؛ ضرورة عدم تشخّص الدين الاّ بقبض من هو له أو من يقوم مقامه و ليس هنا الاّ قبض البائع؛ لأنّ مالكه لم‌يعيّنه الاّ على تقدير جعله ثمنا؛ لأنّ الباء تقتضي المقابلة، و لايصير ثمنا مع كونه في الذمّة فيبرأ ذمّته بالتسليم الى البائع</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9674_84388"/>
      <w:bookmarkStart w:id="621" w:name="pg9674_84388"/>
      <w:bookmarkEnd w:id="621"/>
    </w:p>
    <w:p>
      <w:pPr>
        <w:pStyle w:val="Heading2"/>
        <w:numPr>
          <w:ilvl w:val="1"/>
          <w:numId w:val="1"/>
        </w:numPr>
        <w:rPr/>
      </w:pPr>
      <w:bookmarkStart w:id="622" w:name="pg9674_84388"/>
      <w:bookmarkStart w:id="623" w:name="__RefHeading___Toc7971706_2870459653"/>
      <w:bookmarkStart w:id="624" w:name="_Toc215"/>
      <w:bookmarkEnd w:id="622"/>
      <w:bookmarkEnd w:id="623"/>
      <w:r>
        <w:rPr>
          <w:rtl w:val="true"/>
        </w:rPr>
        <w:t xml:space="preserve">الفصل الخامس </w:t>
      </w:r>
      <w:r>
        <w:rPr>
          <w:rtl w:val="true"/>
        </w:rPr>
        <w:t xml:space="preserve">: </w:t>
      </w:r>
      <w:r>
        <w:rPr>
          <w:rtl w:val="true"/>
        </w:rPr>
        <w:t>في ما به تثبت الوكالة</w:t>
      </w:r>
      <w:bookmarkEnd w:id="62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لايحكم بالوكالة بدعوى الوكيل و لا بموافقة الغريم ما لم‌يقم بذلك بيّنة و هي شاهدان و لاتثبت بشهادة النساء و لا بشاهد واحد و امرأتين و لا بشاهد و يمين على قول مشهور، و لو شهد أحدهما بالوكالة في تاريخ و الآخر في تاريخ آخر قبلت شهادتهما؛ نظرا الى العادة في الاشهاد؛ اذ جمع الشهود لذلك في الموضع الواحد قد يعسر، و كذا لو شهد أحدهما أنّه وكّله بالعجميّة و الآخر بالعربيّة؛ لأنّ ذلك يكون اشارة الى المعنى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اختلفا في لفظ العقد بأن‌يشهد أحدهما أنّ الموكّل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الآخر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لم‌تقبل لأنّها شهادة على عقدين؛ اذ صيغة كلّ واحد منهما مخالفة للأخرى، و فيه تردّد؛ اذ مرجعه الى أنّهما شهدا في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عدلا عن حكاية لفظ الموكّل و اقتصرا على ايراد المعنى جاز و ان اختلفت عبارتهما، و اذا علم الحاكم بالوكالة حكم فيها بعلمه</w:t>
      </w:r>
      <w:r>
        <w:rPr>
          <w:rFonts w:eastAsia="Amiri" w:cs="Amiri" w:ascii="Amiri" w:hAnsi="Amiri"/>
          <w:color w:val="111111"/>
          <w:sz w:val="28"/>
          <w:szCs w:val="28"/>
          <w:rtl w:val="true"/>
          <w:lang w:bidi="ar-SA"/>
        </w:rPr>
        <w:t xml:space="preserve">. </w:t>
      </w:r>
      <w:bookmarkStart w:id="625" w:name="pg9674_84389"/>
    </w:p>
    <w:p>
      <w:pPr>
        <w:pStyle w:val="BookText"/>
        <w:rPr/>
      </w:pPr>
      <w:bookmarkEnd w:id="625"/>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626" w:name="__RefHeading___Toc7971708_2870459653"/>
      <w:bookmarkStart w:id="627" w:name="_Toc216"/>
      <w:bookmarkEnd w:id="626"/>
      <w:r>
        <w:rPr>
          <w:rtl w:val="true"/>
        </w:rPr>
        <w:t xml:space="preserve">الفرع الأوّل </w:t>
      </w:r>
      <w:r>
        <w:rPr>
          <w:rtl w:val="true"/>
        </w:rPr>
        <w:t xml:space="preserve">: </w:t>
      </w:r>
      <w:r>
        <w:rPr>
          <w:rtl w:val="true"/>
        </w:rPr>
        <w:t>فيما تثبت به الوكالة</w:t>
      </w:r>
      <w:bookmarkEnd w:id="627"/>
    </w:p>
    <w:p>
      <w:pPr>
        <w:pStyle w:val="BookText"/>
        <w:rPr/>
      </w:pPr>
      <w:r>
        <w:rPr>
          <w:rFonts w:ascii="Amiri" w:hAnsi="Amiri" w:eastAsia="Amiri" w:cs="Amiri"/>
          <w:color w:val="111111"/>
          <w:sz w:val="28"/>
          <w:sz w:val="28"/>
          <w:szCs w:val="28"/>
          <w:rtl w:val="true"/>
          <w:lang w:bidi="ar-SA"/>
        </w:rPr>
        <w:t xml:space="preserve">لايحكم بثبوت الوكالة بدعوى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جاز الأخذ من يده مع عدم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بموافقة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ألزم باقراره الاّ أنّه ليس اثباتا شرعيّا على الموكّل لو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لم‌يقم بذلك بيّنة، و هي شاهدان جامعان للشرائط و عليه فلاتثبت بشهادة النساء و لا بشاهد واحد و امرأتين و لا بشاهد و يمين على قول مشهور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بشاهد واحد و امرأتين، و لا بشاهد و يمين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هذا هو المذهب و لانعلم فيه مخالفا، و لأنّ متعلّق الشاهد و اليمين و الشاهد و المرأتين الحقوق الماليّة، و الغرض من الوكالة الولاية على التصرّف، و المال قد يترتّب عليها لكنّه غير مقصود بالذات من 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الحكم فيما لو اشتملت الدعوى على الجهتين، كما لو ادّعى شخص على آخر وكالة بجعل و أقام شاهدا و امرأتين أو شاهدا و حلف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حينئذ أنّه يثبت المال لا الوكالة، و لايقدح في ذلك تبعّض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أقام ذلك بالسرقة، فانّه يثبت المال لا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2"/>
      </w:r>
      <w:bookmarkStart w:id="628" w:name="pg9674_84390"/>
    </w:p>
    <w:p>
      <w:pPr>
        <w:pStyle w:val="Heading2"/>
        <w:numPr>
          <w:ilvl w:val="1"/>
          <w:numId w:val="1"/>
        </w:numPr>
        <w:rPr/>
      </w:pPr>
      <w:bookmarkStart w:id="629" w:name="__RefHeading___Toc7971710_2870459653"/>
      <w:bookmarkStart w:id="630" w:name="_Toc217"/>
      <w:bookmarkEnd w:id="628"/>
      <w:bookmarkEnd w:id="629"/>
      <w:r>
        <w:rPr>
          <w:rtl w:val="true"/>
        </w:rPr>
        <w:t xml:space="preserve">الفرع الثاني </w:t>
      </w:r>
      <w:r>
        <w:rPr>
          <w:rtl w:val="true"/>
        </w:rPr>
        <w:t xml:space="preserve">: </w:t>
      </w:r>
      <w:r>
        <w:rPr>
          <w:rtl w:val="true"/>
        </w:rPr>
        <w:t>فيما لو اختلف الشاهدان على الوكالة</w:t>
      </w:r>
      <w:bookmarkEnd w:id="630"/>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في عبارات الأصحاب و غيرهم أنّ الشاهدين بالوكالة اذا اختلف تاريخ ما شهدا به لم‌يثبت الوكالة بذلك؛ لأنّ كلّ صيغة واقعة في وقت منهما لم‌يقم بها شاهدان، و احداهما غير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شهدا باقراره بها في وقتين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رحمه‌الله لم‌يفرّق في اطلاق كلامه بينهما، بل ظاهره في الأوّل أنّ شهادتهما بنفس الوكالة في تاريخين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تعليله بعسر جمع الشهود في الوقت الواحد قد يستفاد منه أنّ المتأخّر وقع على جهة الاقرار؛ لأنّ الصيغة اذا وقعت مرّة بقي ما بعدها اقرارا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فيكفي شهادة أحدهما بالانشاء و الآخر بالاقرار في وقتين، كما يقبل لو شهدا معا بالاقرار في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اختلفا في لفظ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في انشاء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اختلاف العبارة يقتضي تعدّد الانشاء كما لو تعدّد الوقت و ان اتّفقت العبارة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الشهيد رحمه‌الله في المسالك صحيح و هو أنّ ما يظهر من عبارات المشهور من الأصحاب و غيرهم أنّ الشاهدين بالوكالة اذا اختلف تاريخ ما شهدا به لم‌تثبت الوكالة بذلك؛ لأنّ كلّ صيغة في وقت منهما لم‌يقم بها شاهدان و احداهما غير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شهدا باقراره بها في وقتين قبلت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شهد احداهما بانشاء الوكالة و الأخرى بالاقرار بها، فثبوت الوكالة مشكل، و ذلك لأنّ كلاًّ من انشاء الوكالة و الاقرار بها يحتاج في الثبوت الى </w:t>
      </w:r>
      <w:bookmarkStart w:id="631" w:name="pg9674_84391"/>
    </w:p>
    <w:p>
      <w:pPr>
        <w:pStyle w:val="BookText"/>
        <w:rPr/>
      </w:pPr>
      <w:bookmarkEnd w:id="631"/>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صاحب الجواهر رحمه‌الله استشكل على الشهيد بأنّ ايراده على عبارة المصنّف في غير محلّه؛ اذ عبارته بعد التأمّل موافق للمشهور فراجع</w:t>
      </w:r>
      <w:r>
        <w:rPr>
          <w:rFonts w:eastAsia="Amiri" w:cs="Amiri" w:ascii="Amiri" w:hAnsi="Amiri"/>
          <w:color w:val="111111"/>
          <w:sz w:val="28"/>
          <w:szCs w:val="28"/>
          <w:rtl w:val="true"/>
          <w:lang w:bidi="ar-SA"/>
        </w:rPr>
        <w:t>.</w:t>
      </w:r>
      <w:r>
        <w:rPr>
          <w:rStyle w:val="FootnoteAnchor"/>
          <w:rtl w:val="true"/>
        </w:rPr>
        <w:footnoteReference w:id="324"/>
      </w:r>
    </w:p>
    <w:p>
      <w:pPr>
        <w:pStyle w:val="Heading2"/>
        <w:numPr>
          <w:ilvl w:val="1"/>
          <w:numId w:val="1"/>
        </w:numPr>
        <w:rPr/>
      </w:pPr>
      <w:bookmarkStart w:id="632" w:name="__RefHeading___Toc7971712_2870459653"/>
      <w:bookmarkStart w:id="633" w:name="_Toc218"/>
      <w:bookmarkEnd w:id="632"/>
      <w:r>
        <w:rPr>
          <w:rtl w:val="true"/>
        </w:rPr>
        <w:t xml:space="preserve">الفرع الثالث </w:t>
      </w:r>
      <w:r>
        <w:rPr>
          <w:rtl w:val="true"/>
        </w:rPr>
        <w:t xml:space="preserve">: </w:t>
      </w:r>
      <w:r>
        <w:rPr>
          <w:rtl w:val="true"/>
        </w:rPr>
        <w:t>فيما لو اختلفا في لفظ العقد</w:t>
      </w:r>
      <w:bookmarkEnd w:id="633"/>
    </w:p>
    <w:p>
      <w:pPr>
        <w:pStyle w:val="BookText"/>
        <w:rPr/>
      </w:pPr>
      <w:r>
        <w:rPr>
          <w:rFonts w:ascii="Amiri" w:hAnsi="Amiri" w:eastAsia="Amiri" w:cs="Amiri"/>
          <w:color w:val="111111"/>
          <w:sz w:val="28"/>
          <w:sz w:val="28"/>
          <w:szCs w:val="28"/>
          <w:rtl w:val="true"/>
          <w:lang w:bidi="ar-SA"/>
        </w:rPr>
        <w:t>لو اختلفا في لفظ العقد بأن‌يشهد أحدهما أنّ الموكّل قال في عقده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الآخر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لم‌تقبل في المشهور؛ لأنّهما شهادتان على عقدين؛ اذ صيغة كلّ واحد منهما مخالفة للأخرى و الفرض عدم ثبوت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عدلا عن حكاية لفظ الموكّل و اقتصرا على ايراد المعنى الذي هو كونه وكيلاً جاز و ان اختلفت عبارتهما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خلاف و لا اشكال في أنّه اذا علم الحاكم بالوكالة حكم فيها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كغيرها من حقوق الناس و حقوق اللّه تعالى بل عن الانتصار و الخلاف و الغنية و السرائر الاجماع عليه</w:t>
      </w:r>
      <w:r>
        <w:rPr>
          <w:rFonts w:eastAsia="Amiri" w:cs="Amiri" w:ascii="Amiri" w:hAnsi="Amiri"/>
          <w:color w:val="111111"/>
          <w:sz w:val="28"/>
          <w:szCs w:val="28"/>
          <w:rtl w:val="true"/>
          <w:lang w:bidi="ar-SA"/>
        </w:rPr>
        <w:t>».</w:t>
      </w:r>
    </w:p>
    <w:p>
      <w:pPr>
        <w:pStyle w:val="Heading2"/>
        <w:numPr>
          <w:ilvl w:val="1"/>
          <w:numId w:val="1"/>
        </w:numPr>
        <w:rPr/>
      </w:pPr>
      <w:bookmarkStart w:id="634" w:name="__RefHeading___Toc7971714_2870459653"/>
      <w:bookmarkStart w:id="635" w:name="_Toc219"/>
      <w:bookmarkEnd w:id="634"/>
      <w:r>
        <w:rPr>
          <w:rtl w:val="true"/>
        </w:rPr>
        <w:t xml:space="preserve">فيما لو ادّعى الوكالة عن غائب في قبض ماله </w:t>
      </w:r>
      <w:r>
        <w:rPr>
          <w:rtl w:val="true"/>
        </w:rPr>
        <w:t xml:space="preserve">... </w:t>
      </w:r>
      <w:r>
        <w:rPr/>
        <w:t>302</w:t>
      </w:r>
      <w:bookmarkEnd w:id="63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الوكالة عن غائب في قبض ماله من غريم فان أنكر الغريم فلا يمين عليه، و ان صدّقه فان كانت عينا لم‌يؤمر بالتسليم و لو دفع اليه كان للمالك استعادتها، فان تلفت كان له الزام أيّهما شاء مع انكاره الوكالة و لايرجع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الحقّ دينا و فيه تردّد لكن في </w:t>
      </w:r>
      <w:bookmarkStart w:id="636" w:name="pg9674_84392"/>
    </w:p>
    <w:p>
      <w:pPr>
        <w:pStyle w:val="BookText"/>
        <w:rPr/>
      </w:pPr>
      <w:bookmarkEnd w:id="636"/>
      <w:r>
        <w:rPr>
          <w:rFonts w:ascii="Amiri" w:hAnsi="Amiri" w:eastAsia="Amiri" w:cs="Amiri"/>
          <w:color w:val="111111"/>
          <w:sz w:val="28"/>
          <w:sz w:val="28"/>
          <w:szCs w:val="28"/>
          <w:rtl w:val="true"/>
          <w:lang w:bidi="ar-SA"/>
        </w:rPr>
        <w:t>هذا لو دفع لم‌يكن للمالك مطالبة الوكيل؛ لأنّه لم‌ينزع عين ماله؛ اذ لايتعيّن الاّ بقبضه أو قبض وكيله و هو ينفي كلّ واحد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للغريم أن‌يعود على الوكيل ان كانت العين باقية أو تلفت بتفريط منه و لا درك عليه لو تلفت بغير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موضع يلزم الغريم التسليم لو أقرّ به يلزمه اليمين اذا أنكر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637" w:name="__RefHeading___Toc7971716_2870459653"/>
      <w:bookmarkStart w:id="638" w:name="_Toc220"/>
      <w:bookmarkEnd w:id="637"/>
      <w:r>
        <w:rPr>
          <w:rtl w:val="true"/>
        </w:rPr>
        <w:t xml:space="preserve">الفرع الأوّل </w:t>
      </w:r>
      <w:r>
        <w:rPr>
          <w:rtl w:val="true"/>
        </w:rPr>
        <w:t xml:space="preserve">: </w:t>
      </w:r>
      <w:r>
        <w:rPr>
          <w:rtl w:val="true"/>
        </w:rPr>
        <w:t>فيما لو ادّعى الوكالة عن غائب في قبض ماله و كان عينا</w:t>
      </w:r>
      <w:bookmarkEnd w:id="638"/>
    </w:p>
    <w:p>
      <w:pPr>
        <w:pStyle w:val="BookText"/>
        <w:rPr/>
      </w:pPr>
      <w:r>
        <w:rPr>
          <w:rFonts w:ascii="Amiri" w:hAnsi="Amiri" w:eastAsia="Amiri" w:cs="Amiri"/>
          <w:color w:val="111111"/>
          <w:sz w:val="28"/>
          <w:sz w:val="28"/>
          <w:szCs w:val="28"/>
          <w:rtl w:val="true"/>
          <w:lang w:bidi="ar-SA"/>
        </w:rPr>
        <w:t>اذا ادّعى الوكالة عن غائب في قبض ماله فان صدّقه الغريم في ادّعائه الوكالة و كان الحقّ عينا لم‌يؤمر بالتسليم اليه قطعا؛ لأنّ اقرار الغريم متعلّق بحقّ المالك فلايلزم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حينئذٍ تسليمها؛ اذ لا منازع غيرهما الآن و يبقى المالك على حجّته فاذا حضر و صدّق الوكيل برئ الدافع، و ان كذّبه فالقول قوله مع يمينه فحينئذ فان كانت العين موجودة أخذها و له مطالبة من شاء منهما بردّها؛ لترتّب أيديهما على ماله، و للدافع مطالبة الوكيل باحضارها لو طلب المالك منه دون العكس أي لو رجع المالك على الوكيل لم‌يرجع هو على الدافع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تعذّر ردّها لتلف أو غيره تخيّر في الرجوع على من شاء منهما فان رجع على الوكيل لم‌يرجع على الغريم مطلقا سواء تلفت بتفريط أو بغيره؛ لاعترافه ببراءته بدفعها اليه و ان رجع على الغريم لم‌يرجع على الوكيل ان تلفت في يده بغير تفريط؛ لأنّه أمين بتصديقه له، و ان تلفت بتفريط رجع الغريم عليه</w:t>
      </w:r>
      <w:r>
        <w:rPr>
          <w:rFonts w:eastAsia="Amiri" w:cs="Amiri" w:ascii="Amiri" w:hAnsi="Amiri"/>
          <w:color w:val="111111"/>
          <w:sz w:val="28"/>
          <w:szCs w:val="28"/>
          <w:rtl w:val="true"/>
          <w:lang w:bidi="ar-SA"/>
        </w:rPr>
        <w:t xml:space="preserve">. </w:t>
      </w:r>
      <w:bookmarkStart w:id="639" w:name="pg9674_84393"/>
    </w:p>
    <w:p>
      <w:pPr>
        <w:pStyle w:val="Heading2"/>
        <w:numPr>
          <w:ilvl w:val="1"/>
          <w:numId w:val="1"/>
        </w:numPr>
        <w:rPr/>
      </w:pPr>
      <w:bookmarkStart w:id="640" w:name="__RefHeading___Toc7971718_2870459653"/>
      <w:bookmarkStart w:id="641" w:name="_Toc221"/>
      <w:bookmarkEnd w:id="639"/>
      <w:bookmarkEnd w:id="640"/>
      <w:r>
        <w:rPr>
          <w:rtl w:val="true"/>
        </w:rPr>
        <w:t xml:space="preserve">الفرع الثاني </w:t>
      </w:r>
      <w:r>
        <w:rPr>
          <w:rtl w:val="true"/>
        </w:rPr>
        <w:t xml:space="preserve">: </w:t>
      </w:r>
      <w:r>
        <w:rPr>
          <w:rtl w:val="true"/>
        </w:rPr>
        <w:t>فيما لو ادّعى الوكالة عن غائب في قبض ماله و كان دينا</w:t>
      </w:r>
      <w:bookmarkEnd w:id="641"/>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الحقّ دينا ففي وجوب التسليم اليه مع تصديقه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مساواته للعين، لأنّ تسليمه انّما يكون عن الموكّل، و لايثبت باقرار الغريم عليه استحقاق غيره لقبض حقّه، و لأنّ التسليم لايؤمر به الاّ اذا كان مبرئا للذمّة، و من ثمّ يجوز لمن عليه الحقّ الامتناع من تسليمه لمالكه حتّى يشهد عليه، و ليس هنا كذلك؛ لأنّ الغائب يبقى على حجّته، و له مطالبة الغريم بالحقّ لو أنكر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وجوب الدفع هنا؛ لأنّ هذا التصديق انّما اقتضى وجوب التسليم من مال نفسه و انكار الغائب لايؤثّر في ذلك، فلا مانع من نفوذه؛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اقرار العقلاء</w:t>
      </w:r>
    </w:p>
    <w:p>
      <w:pPr>
        <w:pStyle w:val="BookText"/>
        <w:rPr/>
      </w:pPr>
      <w:r>
        <w:rPr>
          <w:rFonts w:ascii="Amiri" w:hAnsi="Amiri" w:eastAsia="Amiri" w:cs="Amiri"/>
          <w:color w:val="111111"/>
          <w:sz w:val="28"/>
          <w:sz w:val="28"/>
          <w:szCs w:val="28"/>
          <w:rtl w:val="true"/>
          <w:lang w:bidi="ar-SA"/>
        </w:rPr>
        <w:t>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توقّف وجوب التسليم على كونه مبرئا مطلقا ممنوع، و البراءة بزعمه هنا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الاحتجاج بجواز الامتناع للاشهاد انّما يقتضيه على المدفوع اليه و هو ممكن بالنسبة الى مدّعي الوكالة، فوجوب الدفع هنا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حضر المالك و أنكر، طالب الغريم لا الوكيل و ان كانت العين باقية؛ لأنّه لم‌يقبض ماله؛ اذ لايتعيّن الدين الاّ بتعيين مستحقّه أو من يقوم مقامه، و قد انتفى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للغريم العود على الوكيل مع بقاء العين أو تلفها بتفريط لا بدونهما؛ لبراءة القابض من عهدتها بزعم الغريم؛ لمصادقته على كونه وكيلاً فيكون أمينا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ذلك أنّ الغريم اذا أنكر وكالة المدّعي لها و كان الحقّ دينا يتوجّه عليه اليمين على نفي العلم مع ادّعائه عليه؛ لأنّه لو أقرّ لزمه التسليم، بخلاف ما لو كان عينا؛ عملاً بمقتضى القاعدة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كلّ من لو أقرّ بشيء يلزمه لو </w:t>
      </w:r>
    </w:p>
    <w:p>
      <w:pPr>
        <w:pStyle w:val="BookText"/>
        <w:rPr/>
      </w:pPr>
      <w:r>
        <w:rPr>
          <w:rFonts w:ascii="Amiri" w:hAnsi="Amiri" w:eastAsia="Amiri" w:cs="Amiri"/>
          <w:color w:val="111111"/>
          <w:sz w:val="28"/>
          <w:sz w:val="28"/>
          <w:szCs w:val="28"/>
          <w:rtl w:val="true"/>
          <w:lang w:bidi="ar-SA"/>
        </w:rPr>
        <w:t>أنكره يتوجّه عليه اليمين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الأقوى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الحقّ الذي ادّعى الوكالة عليه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يؤمر بالتسليم وفاقا للمحقّق الثاني و الشهيد الثاني و الخراساني و عن الحلّي، و خلافا للمحكي عن الشيخ و يحيى بن سعيد، و الفاضل في الارشاد و والده و الكاشاني، من مساواته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عمدة ما استدلّ به لوجوب التسليم في المقام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الغريم مقرّ بالدين من جهة و بوكالة الوكيل من جهة أخرى، فينتج وجوب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جريان ما ذكر في العين هنا أيضا، فانّ الدائن اذا جاء كان على حجّته و له مطالبة الغريم بالدين و على الغريم التدارك له اذا أنكر الوكالة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ما استدلّ به في المسالك و الجواهر لوجوب التسليم في الدين غير واضح الدلالة، و الظاهر أنّه لا فرق في الدين و العين الاّ أنّ أداء الدين موافق للاحتياط</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9674_84396"/>
      <w:bookmarkStart w:id="643" w:name="pg9674_84396"/>
      <w:bookmarkEnd w:id="643"/>
    </w:p>
    <w:p>
      <w:pPr>
        <w:pStyle w:val="Heading2"/>
        <w:numPr>
          <w:ilvl w:val="1"/>
          <w:numId w:val="1"/>
        </w:numPr>
        <w:rPr/>
      </w:pPr>
      <w:bookmarkStart w:id="644" w:name="pg9674_84396"/>
      <w:bookmarkStart w:id="645" w:name="__RefHeading___Toc7971720_2870459653"/>
      <w:bookmarkStart w:id="646" w:name="_Toc222"/>
      <w:bookmarkEnd w:id="644"/>
      <w:bookmarkEnd w:id="645"/>
      <w:r>
        <w:rPr>
          <w:rtl w:val="true"/>
        </w:rPr>
        <w:t xml:space="preserve">الفصل السادس </w:t>
      </w:r>
      <w:r>
        <w:rPr>
          <w:rtl w:val="true"/>
        </w:rPr>
        <w:t xml:space="preserve">: </w:t>
      </w:r>
      <w:r>
        <w:rPr>
          <w:rtl w:val="true"/>
        </w:rPr>
        <w:t>في اللواحق</w:t>
      </w:r>
      <w:bookmarkEnd w:id="646"/>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2"/>
        <w:numPr>
          <w:ilvl w:val="1"/>
          <w:numId w:val="1"/>
        </w:numPr>
        <w:rPr/>
      </w:pPr>
      <w:bookmarkStart w:id="647" w:name="__RefHeading___Toc7971722_2870459653"/>
      <w:bookmarkStart w:id="648" w:name="_Toc223"/>
      <w:bookmarkEnd w:id="647"/>
      <w:r>
        <w:rPr>
          <w:rtl w:val="true"/>
        </w:rPr>
        <w:t xml:space="preserve">في أنّ الوكيل أمين </w:t>
      </w:r>
      <w:r>
        <w:rPr>
          <w:rtl w:val="true"/>
        </w:rPr>
        <w:t xml:space="preserve">... </w:t>
      </w:r>
      <w:r>
        <w:rPr/>
        <w:t>307</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أمين لايضمن ما تلف في يده الاّ مع التفريط أو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الوكيل أمين لايضمن ما تلف في يده الاّ مع التفريط أو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عدم ضمان الأمين هو الروايات الواردة في الأبواب المختلفة كالوديعة و العارية و غيرهما، و هي شاملة لكلّ أمين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المسلمين و لا اشكال في أنّ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بجعل أو غيره كما هو صريح بعض و ظاهر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بالنسبة الى أنّه لايضمن ما تلف في يده الاّ مع التفريط أو التعدّي كغيره من الأمناء الذين قد عرفت الدليل على عدم ضمانهم من النصّ و الاجماع فيما مضى من الكتب السابقة، و كذا بالنسبة الى تصديقه بدعوى التلف</w:t>
      </w:r>
      <w:r>
        <w:rPr>
          <w:rFonts w:eastAsia="Amiri" w:cs="Amiri" w:ascii="Amiri" w:hAnsi="Amiri"/>
          <w:color w:val="111111"/>
          <w:sz w:val="28"/>
          <w:szCs w:val="28"/>
          <w:rtl w:val="true"/>
          <w:lang w:bidi="ar-SA"/>
        </w:rPr>
        <w:t>».</w:t>
      </w:r>
      <w:r>
        <w:rPr>
          <w:rStyle w:val="FootnoteAnchor"/>
          <w:rtl w:val="true"/>
        </w:rPr>
        <w:footnoteReference w:id="328"/>
      </w:r>
      <w:bookmarkStart w:id="649" w:name="pg9674_84397"/>
    </w:p>
    <w:p>
      <w:pPr>
        <w:pStyle w:val="Heading2"/>
        <w:numPr>
          <w:ilvl w:val="1"/>
          <w:numId w:val="1"/>
        </w:numPr>
        <w:rPr/>
      </w:pPr>
      <w:bookmarkStart w:id="650" w:name="__RefHeading___Toc7971724_2870459653"/>
      <w:bookmarkStart w:id="651" w:name="_Toc224"/>
      <w:bookmarkEnd w:id="649"/>
      <w:bookmarkEnd w:id="650"/>
      <w:r>
        <w:rPr>
          <w:rtl w:val="true"/>
        </w:rPr>
        <w:t xml:space="preserve">فيما لو أذن لوكيله أن‌يوكّل </w:t>
      </w:r>
      <w:r>
        <w:rPr>
          <w:rtl w:val="true"/>
        </w:rPr>
        <w:t xml:space="preserve">... </w:t>
      </w:r>
      <w:r>
        <w:rPr/>
        <w:t>308</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أذن لوكيله أن‌يوكّل فان وكّل عن موكّله كانا وكيلين له تبطل وكالتهما بموته، و لاتبطل بموت أحدهما و لا بعزل أحدهما صاحبه، و ان وكّله عن نفسه كان له عزله، فان مات الموكّل بطلت وكالتهما، و كذا ان مات وكيل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لايجوز للوكيل أن‌يوكّل غيره في ايقاع ما توكّل فيه لا عن نفسه و لا عن الموكّل الاّ باذن الموكّل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باذنه بكلا النحوين، فلو أذن له في أن‌يوكّل غيره عن الموكّل فهو المتّبع فلايجوز أن‌يوكّله عن نفسه، و لو أذن له في أن‌يوكّل غيره عن الموكّل أو عن نفسه فهو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الوكيل الثاني وكيلاً عن الموكّل كان في عرض الوكيل الأوّل فليس له أن‌يعزله و لاينعزل بانعزاله بل لو مات الوكيل الأوّل يبقى الثاني على وكالته، و أمّا لو كان وكيلاً عن الوكيل كان له أن‌يعزله و كانت وكالته تبعا لوكالته فينعزل بانعزاله أو موته، و هل للموكّل أن‌يعزله حتّى من دون أن‌يعزل الوكيل الأوّل؟ الظاهر ذلك؛ لأنّه الأصل في ذلك</w:t>
      </w:r>
      <w:r>
        <w:rPr>
          <w:rFonts w:eastAsia="Amiri" w:cs="Amiri" w:ascii="Amiri" w:hAnsi="Amiri"/>
          <w:color w:val="111111"/>
          <w:sz w:val="28"/>
          <w:szCs w:val="28"/>
          <w:rtl w:val="true"/>
          <w:lang w:bidi="ar-SA"/>
        </w:rPr>
        <w:t>.</w:t>
      </w:r>
    </w:p>
    <w:p>
      <w:pPr>
        <w:pStyle w:val="Heading2"/>
        <w:numPr>
          <w:ilvl w:val="1"/>
          <w:numId w:val="1"/>
        </w:numPr>
        <w:rPr/>
      </w:pPr>
      <w:bookmarkStart w:id="652" w:name="__RefHeading___Toc7971726_2870459653"/>
      <w:bookmarkStart w:id="653" w:name="_Toc225"/>
      <w:bookmarkEnd w:id="652"/>
      <w:r>
        <w:rPr>
          <w:rtl w:val="true"/>
        </w:rPr>
        <w:t xml:space="preserve">في أنّ على الوكيل تسليم ما في يده الى الموكّل مع المطالبة </w:t>
      </w:r>
      <w:r>
        <w:rPr>
          <w:rtl w:val="true"/>
        </w:rPr>
        <w:t xml:space="preserve">... </w:t>
      </w:r>
      <w:r>
        <w:rPr/>
        <w:t>308</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الوكيل تسليم ما في يده الى الموكّل مع المطالبة و عدم العذر، فان امتنع من غير عذر ضمن، و ان كان هناك عذر لم‌يضمن، و لو زال العذر فأخّر التسليم ضمن، و لو ادّعى بعد ذلك أنّ تلف المال قبل الامتناع أو ادّعى الردّ قبل المطالبة،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لاتقبل دعواه و لو أقام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أنّها تقبل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الوكيل تسليم ما في يده الى الموكّل أو وكيله مع المطالبة و عدم </w:t>
      </w:r>
      <w:bookmarkStart w:id="654" w:name="pg9674_84398"/>
    </w:p>
    <w:p>
      <w:pPr>
        <w:pStyle w:val="BookText"/>
        <w:rPr/>
      </w:pPr>
      <w:bookmarkEnd w:id="654"/>
      <w:r>
        <w:rPr>
          <w:rFonts w:ascii="Amiri" w:hAnsi="Amiri" w:eastAsia="Amiri" w:cs="Amiri"/>
          <w:color w:val="111111"/>
          <w:sz w:val="28"/>
          <w:sz w:val="28"/>
          <w:szCs w:val="28"/>
          <w:rtl w:val="true"/>
          <w:lang w:bidi="ar-SA"/>
        </w:rPr>
        <w:t xml:space="preserve">العذر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امتنع حينئذٍ من غير عذر ضمن؛ لانقطاع الاذن في ذلك بالمطالبة و صارت يده يد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عذر شرعا كما في ضيق وقت الصلاة، أو عرفا كما في وقت نزول المطر و غيره فلايضرّ التأخير، فاذا زال العذر فلو أخّر التسليم ضمن بلا خلاف و لا اشكال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من الردّ بعد المطالبة به مع الاعتراف بوجود المال ثمّ ادّعى بعد ذلك أنّ المال قد تلف قبل الامتناع أو ادّعى الردّ قبل المطالبة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لاتقبل دعواه و ان أقام بيّنة؛ لتكذيبه لها بالاقرار المفروض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أنّها تقبل؛ لعموم البيّنة على المدّعي اذا أظهر لاقراره الأوّل وجها ممكنا كنسيان أو اعتماد على كتابة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البيّنة على المدّعي معارض بما دلّ على حجّيّة 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لم‌يكن حال امتناعه من الردّ معترفا بوجود المال و كان ذلك مماطلة اتّجه سماع بيّنته، بل قد يقال حينئذٍ بسماع قوله في التلف أو الردّ بناءً على القول به، و المطلّ المزبور يمكن أن‌يكون حياءً من المالك أو لغير ذلك من الوجوه الصحيحة، لكن في القواعد و محكي التذكرة و السرائر التصريح بعدم قبول غير البيّنة منه في الفرض المزبور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0"/>
      </w:r>
    </w:p>
    <w:p>
      <w:pPr>
        <w:pStyle w:val="Heading2"/>
        <w:numPr>
          <w:ilvl w:val="1"/>
          <w:numId w:val="1"/>
        </w:numPr>
        <w:rPr/>
      </w:pPr>
      <w:bookmarkStart w:id="655" w:name="__RefHeading___Toc7971728_2870459653"/>
      <w:bookmarkStart w:id="656" w:name="_Toc226"/>
      <w:bookmarkEnd w:id="655"/>
      <w:r>
        <w:rPr>
          <w:rtl w:val="true"/>
        </w:rPr>
        <w:t xml:space="preserve">في جواز الامتناع عن التسليم حتّى يشهد صاحب الحقّ </w:t>
      </w:r>
      <w:r>
        <w:rPr>
          <w:rtl w:val="true"/>
        </w:rPr>
        <w:t xml:space="preserve">... </w:t>
      </w:r>
      <w:r>
        <w:rPr/>
        <w:t>309</w:t>
      </w:r>
      <w:bookmarkEnd w:id="65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يده مال لغيره أو في ذمّته فله أن‌يمتنع من التسليمحتّى يشهد صاحب الحقّ بالقبض، و يستوي في ذلك ما يقبل قوله في ردّه و </w:t>
      </w:r>
      <w:bookmarkStart w:id="657" w:name="pg9674_84399"/>
    </w:p>
    <w:p>
      <w:pPr>
        <w:pStyle w:val="BookText"/>
        <w:rPr/>
      </w:pPr>
      <w:bookmarkEnd w:id="657"/>
      <w:r>
        <w:rPr>
          <w:rFonts w:ascii="Amiri" w:hAnsi="Amiri" w:eastAsia="Amiri" w:cs="Amiri"/>
          <w:color w:val="111111"/>
          <w:sz w:val="28"/>
          <w:sz w:val="28"/>
          <w:szCs w:val="28"/>
          <w:rtl w:val="true"/>
          <w:lang w:bidi="ar-SA"/>
        </w:rPr>
        <w:t>بين ما لايقبل الاّ ببيّنة؛ هربا من الجحود المفضي الى الدرك أو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آخرون بين ما يقبل قوله في ردّه و ما لايقبل فأوجبوا التسليم في الأوّل و أجازوا الامتناع في الثاني الاّ مع الاشهاد و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في يده مال لغيره ممّن تتوجّه له الدعوى به و لو غصبا لا مثل الزكاة و الخمس أو في ذمّته كذلك فله أن‌يمتنع من التسليم حتّى يشهد صاحب الحقّ بالقبض حال وقوعه و يستوي في ذلك ما يقبل قوله في ردّه كالوديعة، و مالا يقبل الاّ ببيّنة كالعاريّة؛ هربا من الجحود المفضي الى الدرك أو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آخرون بين ما يقبل قوله في ردّه فأوجبوا فيه التسليم و ان لم‌يشهد و بين ما لايقبل فأجازوا الامتناع الاّ مع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الاشهاد من جانب من عليه الحقّ على الاقباض لا بأس به مطلقا اذا لم‌يكن في تأخيره ضرر على المحقّ و الاّ يجب ردّ مال الغير اذا كان ممّا يقبل قوله في ردّه كالوديعة، و فيما لايقبل الاّ ببيّنته فان كان في تأخير الاقباض الى احضار الشهود عند القبض ضرر فاحش على المحقّ فعليه الدفع و يتشبّث بعد ذلك في صورة انكار المحقّ القبض الى الأمور الأخر كانكار أصل المال عنده مثلاً ان لم‌يكن للمحقّ بيّنة على ذلك</w:t>
      </w:r>
      <w:r>
        <w:rPr>
          <w:rFonts w:eastAsia="Amiri" w:cs="Amiri" w:ascii="Amiri" w:hAnsi="Amiri"/>
          <w:color w:val="111111"/>
          <w:sz w:val="28"/>
          <w:szCs w:val="28"/>
          <w:rtl w:val="true"/>
          <w:lang w:bidi="ar-SA"/>
        </w:rPr>
        <w:t>.</w:t>
      </w:r>
    </w:p>
    <w:p>
      <w:pPr>
        <w:pStyle w:val="Heading2"/>
        <w:numPr>
          <w:ilvl w:val="1"/>
          <w:numId w:val="1"/>
        </w:numPr>
        <w:rPr/>
      </w:pPr>
      <w:bookmarkStart w:id="658" w:name="__RefHeading___Toc7971730_2870459653"/>
      <w:bookmarkStart w:id="659" w:name="_Toc227"/>
      <w:bookmarkEnd w:id="658"/>
      <w:r>
        <w:rPr>
          <w:rtl w:val="true"/>
        </w:rPr>
        <w:t xml:space="preserve">فيما اذا لم‌يشهد الوكيل في الايداع على الودعي </w:t>
      </w:r>
      <w:r>
        <w:rPr>
          <w:rtl w:val="true"/>
        </w:rPr>
        <w:t xml:space="preserve">... </w:t>
      </w:r>
      <w:r>
        <w:rPr/>
        <w:t>310</w:t>
      </w:r>
      <w:bookmarkEnd w:id="65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الايداع اذا لم‌يشهد على الودعي لم‌يضمن، و لوكان وكيلاً في قضاء الدين فلم‌يشهد بالقبض ضمن، و فيه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الوكيل في أن‌يودع مال الموكّل عند آخر اذا لم‌يشهد على الودعي لم‌يضمن اذا أنكر الودعي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أوّلاً لأنّ الوديعة مبنيّة على الاخفاء غالبا و هو منافٍ للاشهاد فلايكون الوكيل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لأنّ الودعي قوله مقبول في الردّ و التلف فلايؤثّر الاشهاد في تغريمه، كما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المالك الدفع الى الودعي فالقول قول الوكيل الذي هو أمين على ذلك، و في صورة النزاع فليس على الأمين الاّ اليمين لرفع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وكيلاً في قضاء الدين فلم‌يشهد بالقبض فحكم المصنّف ابتداءً بالضمان ثمّ 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الشيخ و الفاضل في جملة من كتبه، و ولده و الشهيدين و المحقّق الثاني؛ للتفريط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القواعد، بل كأنّه قال به في محكي المختلف، بل عن الأردبيلي الجزم بذلك؛ و لعلّه لعدم صدق التفريط عرفا، لا أقلّ من الشكّ، و الأصل عدم الضمان، مضافا الى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التردّد في الحكم هو ما ذكر من أنّ الوكيل في الايداع اذا لم‌يشهد على الودعي لم‌يضمن؛ لأنّ الايداع مبني على الاخفاء و هو فيها أمر مطلوب، بخلاف قضاء الدين، و لأنّ الودعي قوله مقبول في الردّ و التلف فلايؤثّر الاشهاد في تغريمه، بخلاف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جهة أخرى عدم دلالة مطلق الأمر بأداء الدين على الاشهاد، فيحصل الامتثال بدونه، فلايحتاج الى الاشهاد و </w:t>
      </w:r>
      <w:bookmarkStart w:id="660" w:name="pg9674_84401"/>
    </w:p>
    <w:p>
      <w:pPr>
        <w:pStyle w:val="BookText"/>
        <w:rPr/>
      </w:pPr>
      <w:bookmarkEnd w:id="660"/>
      <w:r>
        <w:rPr>
          <w:rFonts w:ascii="Amiri" w:hAnsi="Amiri" w:eastAsia="Amiri" w:cs="Amiri"/>
          <w:color w:val="111111"/>
          <w:sz w:val="28"/>
          <w:sz w:val="28"/>
          <w:szCs w:val="28"/>
          <w:rtl w:val="true"/>
          <w:lang w:bidi="ar-SA"/>
        </w:rPr>
        <w:t>لايضمن الوكيل لو أنكر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عدم ضمان الوكيل في قضاء الدين موافق للقاعدة؛ و ذلك أوّلاً لما ذكره الشهيد من عدم دلالة مطلق الأمر بأداء الدين على الاشهاد، و ثانيا لأنّ ضمان الوكيل يكون فيما لو ثبت أنّه في عدم الاشهاد مفرّط و صدقه غير معلوم و لا أقلّ من الشكّ فالأصل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تعدّى الوكيل في مال الموكّل ضمنه و لاتبطل وكالته؛ لعدم التنافي، و لو باع الوكيل ما تعدّى فيه و سلّمه الى المشتري برئ من ضمانه؛ لأنّه تسليم مأذون فيه فجرى مجرى قبض المالك</w:t>
      </w:r>
      <w:r>
        <w:rPr>
          <w:rFonts w:eastAsia="Amiri" w:cs="Amiri" w:ascii="Amiri" w:hAnsi="Amiri"/>
          <w:color w:val="111111"/>
          <w:sz w:val="28"/>
          <w:szCs w:val="28"/>
          <w:rtl w:val="true"/>
          <w:lang w:bidi="ar-SA"/>
        </w:rPr>
        <w:t>.</w:t>
      </w:r>
    </w:p>
    <w:p>
      <w:pPr>
        <w:pStyle w:val="Heading2"/>
        <w:numPr>
          <w:ilvl w:val="1"/>
          <w:numId w:val="1"/>
        </w:numPr>
        <w:rPr/>
      </w:pPr>
      <w:bookmarkStart w:id="661" w:name="__RefHeading___Toc7971732_2870459653"/>
      <w:bookmarkStart w:id="662" w:name="_Toc228"/>
      <w:bookmarkEnd w:id="661"/>
      <w:r>
        <w:rPr>
          <w:rtl w:val="true"/>
        </w:rPr>
        <w:t xml:space="preserve">فيما اذا تعدّى الوكيل في مال الموكّل </w:t>
      </w:r>
      <w:r>
        <w:rPr>
          <w:rtl w:val="true"/>
        </w:rPr>
        <w:t xml:space="preserve">... </w:t>
      </w:r>
      <w:r>
        <w:rPr/>
        <w:t>312</w:t>
      </w:r>
      <w:bookmarkEnd w:id="66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تعدّى الوكيل في مال الموكّل بلبس و نحوه ضمنه قطعا كما تقدّم ولكن لاتبطل وكالته على بيعه مثلاً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التنافي بين الضمان بسببه الشرعي و بقاء الوكالة المستصحب المحتاج رفعه الى فاسخ شرعي أو انشاء عزل المالك كما هو كذلك في الرهن و مال القراض و العارية و الوديعة، و حينئذٍ فلو باع الوكيل ما تعدّى فيه و سلّمه الى المشتري برئ من ضمانه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تسليم مأذون فيه فجرى مجرى قبض المالك المعلوم انقطاع الضمان به، و لايكون الثمن مضمونا لعدم التعدّي فيه بعد</w:t>
      </w:r>
      <w:r>
        <w:rPr>
          <w:rFonts w:eastAsia="Amiri" w:cs="Amiri" w:ascii="Amiri" w:hAnsi="Amiri"/>
          <w:color w:val="111111"/>
          <w:sz w:val="28"/>
          <w:szCs w:val="28"/>
          <w:rtl w:val="true"/>
          <w:lang w:bidi="ar-SA"/>
        </w:rPr>
        <w:t xml:space="preserve">. </w:t>
      </w:r>
      <w:bookmarkStart w:id="663" w:name="pg9674_84402"/>
    </w:p>
    <w:p>
      <w:pPr>
        <w:pStyle w:val="Heading2"/>
        <w:numPr>
          <w:ilvl w:val="1"/>
          <w:numId w:val="1"/>
        </w:numPr>
        <w:rPr/>
      </w:pPr>
      <w:bookmarkStart w:id="664" w:name="__RefHeading___Toc7971734_2870459653"/>
      <w:bookmarkStart w:id="665" w:name="_Toc229"/>
      <w:bookmarkEnd w:id="663"/>
      <w:bookmarkEnd w:id="664"/>
      <w:r>
        <w:rPr>
          <w:rtl w:val="true"/>
        </w:rPr>
        <w:t xml:space="preserve">فيما اذا أذن الموكّل لوكيله في بيع ماله من نفسه </w:t>
      </w:r>
      <w:r>
        <w:rPr>
          <w:rtl w:val="true"/>
        </w:rPr>
        <w:t xml:space="preserve">... </w:t>
      </w:r>
      <w:r>
        <w:rPr/>
        <w:t>313</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الموكّل لوكيله في بيع ماله من نفسه فباع جاز، و فيه تردّد، و كذا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أذن الموكّل لوكيله في بيع ماله من نفسه فباع جاز؛ و ذلك لوجود المقتضي للصحّة و عدم المانع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بالجواز للأكثر، و ذهب الشيخ و جماعة الى المنع منه للتهمة، و لأنّه يصير موجبا و قابلاً، كما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في المسالك بأنّه نمنع التهمة مع الاذن و يجوز تولّي الواحد الطرفين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أطلق له الاذن ففي جواز بيعه من نفسه قولان، و المنع أرجح؛ لأنّ المفهوم من الاستنابة في البيع البيع على غيره، فلايتناوله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لورود روايات تدلّ على المنع من شراء الوكيل من نفسه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الروايات هي صحيحة هشام بن الحكم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فلاتعطه من عندك و ان كان الذي عندك خيرا منه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موثّقة اسحاق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يبعث الى الرجل،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ثوبا، فيطلب له في السوق فيكون عنده مثل ما يجد له في السوق فيعطيه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لايقربنّ هذا و لايدنّس نفسه؛ انّ اللّه </w:t>
      </w:r>
    </w:p>
    <w:p>
      <w:pPr>
        <w:pStyle w:val="BookText"/>
        <w:rPr/>
      </w:pPr>
      <w:r>
        <w:rPr>
          <w:rFonts w:ascii="Amiri" w:hAnsi="Amiri" w:eastAsia="Amiri" w:cs="Amiri"/>
          <w:color w:val="111111"/>
          <w:sz w:val="28"/>
          <w:sz w:val="28"/>
          <w:szCs w:val="28"/>
          <w:rtl w:val="true"/>
          <w:lang w:bidi="ar-SA"/>
        </w:rPr>
        <w:t>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عرضنا الأمانة على السماوات و الأرض والجبال فأبين أن‌يحملنها و أشفقن منها و حملها الانسان انّه كان ظلوما جهولاً</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 ان كان عنده خير ممّا يجد له في السوق فلايعطيه من عنده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لايعارضها رواية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الرجل بدينار يريد منّي دراهم، فأعطيه أرخص ممّا أبيع؟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أرخص ممّا تجد له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لأنّها تحمل على اعلامه أو عدم التهمة؛ لصحيحة ميسّر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 لي؟ و يكون ما عندي خيرا من متاع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أمنت أن لايتّهمك فأعطه من عندك و ان خفت أن‌يتّهمك فاشتر له من السوق</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هذا في البيع و و أمّا في النكاح فقد تكلّمنا فيه في كتاب النكاح و قلنا هناك بأنّه تارة أذنت بأن‌ينكحها و ان كان لنفسه بأن‌تصرّح بأنّه مأذون في النكاح حتّى لنفسه ففي هذه الصورة لا اشكال في جواز نكاحها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تطلق الاذن بمعنى أنّها لم‌تصرّح بشيء من العموم أو التعيين، كما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تزويجي أو في تزويجي لرجل أو لكفؤ</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ان لم‌يكن هناك قرينة على أنّ الزوج غيره فيجوز له التزويج من نفسه، الاّ أنّ الاحتياط في الاجازة منها لايترك؛ لاحتمال وجود الانصراف بنظر </w:t>
      </w:r>
    </w:p>
    <w:p>
      <w:pPr>
        <w:pStyle w:val="BookText"/>
        <w:rPr/>
      </w:pPr>
      <w:r>
        <w:rPr>
          <w:rFonts w:ascii="Amiri" w:hAnsi="Amiri" w:eastAsia="Amiri" w:cs="Amiri"/>
          <w:color w:val="111111"/>
          <w:sz w:val="28"/>
          <w:sz w:val="28"/>
          <w:szCs w:val="28"/>
          <w:rtl w:val="true"/>
          <w:lang w:bidi="ar-SA"/>
        </w:rPr>
        <w:t>العرف، و ان استشكل بعض في الجواز هنا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 تعمّم الاذن كما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ممّن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تنظّر فيه بعض و الظاهر أنّ الاشكال هنا أضعف و احتمال الانصراف بعيد و عليه فالقول بالجواز قريب الاّ أن‌يكون هناك قرينة على غيره</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9674_84406"/>
      <w:bookmarkStart w:id="667" w:name="pg9674_84406"/>
      <w:bookmarkEnd w:id="667"/>
    </w:p>
    <w:p>
      <w:pPr>
        <w:pStyle w:val="Heading2"/>
        <w:numPr>
          <w:ilvl w:val="1"/>
          <w:numId w:val="1"/>
        </w:numPr>
        <w:rPr/>
      </w:pPr>
      <w:bookmarkStart w:id="668" w:name="pg9674_84406"/>
      <w:bookmarkStart w:id="669" w:name="__RefHeading___Toc7971736_2870459653"/>
      <w:bookmarkStart w:id="670" w:name="_Toc230"/>
      <w:bookmarkEnd w:id="668"/>
      <w:bookmarkEnd w:id="669"/>
      <w:r>
        <w:rPr>
          <w:rtl w:val="true"/>
        </w:rPr>
        <w:t xml:space="preserve">الفصل السابع </w:t>
      </w:r>
      <w:r>
        <w:rPr>
          <w:rtl w:val="true"/>
        </w:rPr>
        <w:t xml:space="preserve">: </w:t>
      </w:r>
      <w:r>
        <w:rPr>
          <w:rtl w:val="true"/>
        </w:rPr>
        <w:t>في التنازع</w:t>
      </w:r>
      <w:bookmarkEnd w:id="670"/>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2"/>
        <w:numPr>
          <w:ilvl w:val="1"/>
          <w:numId w:val="1"/>
        </w:numPr>
        <w:rPr/>
      </w:pPr>
      <w:bookmarkStart w:id="671" w:name="__RefHeading___Toc7971738_2870459653"/>
      <w:bookmarkStart w:id="672" w:name="_Toc231"/>
      <w:bookmarkEnd w:id="671"/>
      <w:r>
        <w:rPr>
          <w:rtl w:val="true"/>
        </w:rPr>
        <w:t xml:space="preserve">فيما اذا اختلفا في الوكالة </w:t>
      </w:r>
      <w:r>
        <w:rPr>
          <w:rtl w:val="true"/>
        </w:rPr>
        <w:t xml:space="preserve">... </w:t>
      </w:r>
      <w:r>
        <w:rPr/>
        <w:t>317</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اختلفا في الوكالة فالقول قول المنكر؛ لأنّه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اختلفا في التلف فالقول قول الوكيل؛ لأنّه أمين، و قد يتعذّر اقامة البيّنة بالتلف غالبا فاقتنع بقوله؛ دفعا لالتزام ما تعذّر غالبا، و لو اختلفا في التفريط فالقول قول منكره؛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اختلفا في الوكالة فالقول قول منكرها؛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اختلفا في التلف أو في تفريط الوكيل فالقول قول الوكيل؛ لأنّه أمين مع أصالة الصحّة في عمل المسلم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اختلفا في الوكالة، فالقول قول المنكر؛ لأنّه الموافق للأصل المقتضي لاندراجه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المنكر الموكّل، أو الوكيل الذي قد يدّعي غيره وكالته لغرض منالأغراض كما لو كان قد اشترى شيئا ادّعى الموكّل أنّه اشترى له بالوكالة عنه، </w:t>
      </w:r>
      <w:bookmarkStart w:id="673" w:name="pg9674_84407"/>
    </w:p>
    <w:p>
      <w:pPr>
        <w:pStyle w:val="BookText"/>
        <w:rPr/>
      </w:pPr>
      <w:bookmarkEnd w:id="673"/>
      <w:r>
        <w:rPr>
          <w:rFonts w:ascii="Amiri" w:hAnsi="Amiri" w:eastAsia="Amiri" w:cs="Amiri"/>
          <w:color w:val="111111"/>
          <w:sz w:val="28"/>
          <w:sz w:val="28"/>
          <w:szCs w:val="28"/>
          <w:rtl w:val="true"/>
          <w:lang w:bidi="ar-SA"/>
        </w:rPr>
        <w:t>فأنكر المشتري أصل الوكالة،</w:t>
      </w:r>
    </w:p>
    <w:p>
      <w:pPr>
        <w:pStyle w:val="BookText"/>
        <w:rPr/>
      </w:pPr>
      <w:r>
        <w:rPr>
          <w:rFonts w:ascii="Amiri" w:hAnsi="Amiri" w:eastAsia="Amiri" w:cs="Amiri"/>
          <w:color w:val="111111"/>
          <w:sz w:val="28"/>
          <w:sz w:val="28"/>
          <w:szCs w:val="28"/>
          <w:rtl w:val="true"/>
          <w:lang w:bidi="ar-SA"/>
        </w:rPr>
        <w:t>و لو اختلفا في التلف و عدمه فالقول قول الوكيل و ان كان مخالفا للأصل؛ لأنّه أمين بالنسبة الى ذلك، بمعنى كونه مقبول القول فيه، بلا خلاف أجده بل لعلّه كذلك بين المسلمين، فضلاً عن صريح الاجماع في المبسوط و السرائر و جامع المقاصد و المسالك على ما حكي عن بعضها، و لأنّه قد يتعذّر اقامة البيّنة بالتلف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دفعا لالتزام الأمين المحسن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تعذّر غالبا؛ لقاعدة العسر و الحرج و الاحسان و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يمكن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قاعدة كلّيّة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أمر يتعذّر اقامة البيّنة عليه غالبا أو يتعسّر، يقبل قول مدّعيه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ذكره المصنّف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اختلفا في التفريط فالقول قول منكره</w:t>
      </w:r>
      <w:r>
        <w:rPr>
          <w:rFonts w:eastAsia="Amiri" w:cs="Amiri" w:ascii="Amiri" w:hAnsi="Amiri"/>
          <w:color w:val="111111"/>
          <w:sz w:val="28"/>
          <w:szCs w:val="28"/>
          <w:rtl w:val="true"/>
          <w:lang w:bidi="ar-SA"/>
        </w:rPr>
        <w:t>».».</w:t>
      </w:r>
      <w:r>
        <w:rPr>
          <w:rStyle w:val="FootnoteAnchor"/>
          <w:rtl w:val="true"/>
        </w:rPr>
        <w:footnoteReference w:id="341"/>
      </w:r>
    </w:p>
    <w:p>
      <w:pPr>
        <w:pStyle w:val="Heading2"/>
        <w:numPr>
          <w:ilvl w:val="1"/>
          <w:numId w:val="1"/>
        </w:numPr>
        <w:rPr/>
      </w:pPr>
      <w:bookmarkStart w:id="674" w:name="__RefHeading___Toc7971740_2870459653"/>
      <w:bookmarkStart w:id="675" w:name="_Toc232"/>
      <w:bookmarkEnd w:id="674"/>
      <w:r>
        <w:rPr>
          <w:rtl w:val="true"/>
        </w:rPr>
        <w:t xml:space="preserve">فيما اذا اختلفا في دفع المال </w:t>
      </w:r>
      <w:r>
        <w:rPr>
          <w:rtl w:val="true"/>
        </w:rPr>
        <w:t xml:space="preserve">... </w:t>
      </w:r>
      <w:r>
        <w:rPr/>
        <w:t>318</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اختلفا في دفع المال الى الموكّل فان كان بجعل كلّف البيّنة؛ لأنّه مدّعٍ، و ان كان بغير جعل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قوله كالوديعة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مشهور،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الوصي فالقول قوله في الانفاق؛ لتعذّر البيّنة فيه دون تسليم المال الى الموصى له، و كذا القول في الأب و الجدّ و الحاكم و أمينه مع اليتيم اذا أنكر القبض عند بلوغه و رشده، و كذا الشريك و المضارب و من حصل في يده ضالّة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bookmarkStart w:id="676" w:name="pg9674_84408"/>
    </w:p>
    <w:p>
      <w:pPr>
        <w:pStyle w:val="Heading2"/>
        <w:numPr>
          <w:ilvl w:val="1"/>
          <w:numId w:val="1"/>
        </w:numPr>
        <w:rPr/>
      </w:pPr>
      <w:bookmarkStart w:id="677" w:name="__RefHeading___Toc7971742_2870459653"/>
      <w:bookmarkStart w:id="678" w:name="_Toc233"/>
      <w:bookmarkEnd w:id="676"/>
      <w:bookmarkEnd w:id="677"/>
      <w:r>
        <w:rPr>
          <w:rtl w:val="true"/>
        </w:rPr>
        <w:t xml:space="preserve">الفرع الأوّل </w:t>
      </w:r>
      <w:r>
        <w:rPr>
          <w:rtl w:val="true"/>
        </w:rPr>
        <w:t xml:space="preserve">: </w:t>
      </w:r>
      <w:r>
        <w:rPr>
          <w:rtl w:val="true"/>
        </w:rPr>
        <w:t>فيما اذا اختلفا في دفع المال الى الموكّل</w:t>
      </w:r>
      <w:bookmarkEnd w:id="678"/>
    </w:p>
    <w:p>
      <w:pPr>
        <w:pStyle w:val="BookText"/>
        <w:rPr/>
      </w:pPr>
      <w:r>
        <w:rPr>
          <w:rFonts w:ascii="Amiri" w:hAnsi="Amiri" w:eastAsia="Amiri" w:cs="Amiri"/>
          <w:color w:val="111111"/>
          <w:sz w:val="28"/>
          <w:sz w:val="28"/>
          <w:szCs w:val="28"/>
          <w:rtl w:val="true"/>
          <w:lang w:bidi="ar-SA"/>
        </w:rPr>
        <w:t>اذا اختلفا في دفع المال الى الموكّل فالظاهر أنّ القول قول الموكّل؛ لأصالة عدم الدفع خصوصا اذا كانت بجعل؛ لأنّه في هذه الحالة قد أخذ لمصلحة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اختلفا في دفع المال الذي هو في يد الوكيل من حيث وكالته الى الموكّل فان كانت الوكالة بجعل كلّف البيّنة؛ لأنّه مدّعٍ و قابض لمصلحة نفسه، فلايساوي الوديعة و ان كانت بغير جعل،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قوله كالوديعة في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الأشبه بأصول المذهب و قواعده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أصالة عدم الردّ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2"/>
      </w:r>
    </w:p>
    <w:p>
      <w:pPr>
        <w:pStyle w:val="Heading2"/>
        <w:numPr>
          <w:ilvl w:val="1"/>
          <w:numId w:val="1"/>
        </w:numPr>
        <w:rPr/>
      </w:pPr>
      <w:bookmarkStart w:id="679" w:name="__RefHeading___Toc7971744_2870459653"/>
      <w:bookmarkStart w:id="680" w:name="_Toc234"/>
      <w:bookmarkEnd w:id="679"/>
      <w:r>
        <w:rPr>
          <w:rtl w:val="true"/>
        </w:rPr>
        <w:t xml:space="preserve">الفرع الثاني </w:t>
      </w:r>
      <w:r>
        <w:rPr>
          <w:rtl w:val="true"/>
        </w:rPr>
        <w:t xml:space="preserve">: </w:t>
      </w:r>
      <w:r>
        <w:rPr>
          <w:rtl w:val="true"/>
        </w:rPr>
        <w:t>فيما اذا اختلف الوصي و الموصى له، أو الأولياء و المولّى عليهم</w:t>
      </w:r>
      <w:bookmarkEnd w:id="680"/>
    </w:p>
    <w:p>
      <w:pPr>
        <w:pStyle w:val="BookText"/>
        <w:rPr/>
      </w:pPr>
      <w:r>
        <w:rPr>
          <w:rFonts w:ascii="Amiri" w:hAnsi="Amiri" w:eastAsia="Amiri" w:cs="Amiri"/>
          <w:color w:val="111111"/>
          <w:sz w:val="28"/>
          <w:sz w:val="28"/>
          <w:szCs w:val="28"/>
          <w:rtl w:val="true"/>
          <w:lang w:bidi="ar-SA"/>
        </w:rPr>
        <w:t>اذا اختلف الوصي و الموصى له في دفع المال الموصى به اليه فانّ القول قول المنكر؛ لما ذكر و لأصالة عدم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اختلف الأولياء حتّى الأب و الجدّ اذا اختلفوا مع المولّى عليه بعد زوال الولاية عليه في دفع ماله اليه فانّ القول قول المنكر؛ لما تقدّم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اختلف الأولياء مع المولّى عليهم في الانفاق عليهم أو على ما يتعلّقبهم في زمان ولايتهم فالظاهر أنّ القول قول الأولياء بيمينهم؛ لظاهر الحال و لأنّهم </w:t>
      </w:r>
      <w:bookmarkStart w:id="681" w:name="pg9674_84409"/>
    </w:p>
    <w:p>
      <w:pPr>
        <w:pStyle w:val="BookText"/>
        <w:rPr/>
      </w:pPr>
      <w:bookmarkEnd w:id="681"/>
      <w:r>
        <w:rPr>
          <w:rFonts w:ascii="Amiri" w:hAnsi="Amiri" w:eastAsia="Amiri" w:cs="Amiri"/>
          <w:color w:val="111111"/>
          <w:sz w:val="28"/>
          <w:sz w:val="28"/>
          <w:szCs w:val="28"/>
          <w:rtl w:val="true"/>
          <w:lang w:bidi="ar-SA"/>
        </w:rPr>
        <w:t>مؤتمنون من اللّه تعالى، و هكذا الحال في قبول قول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الوصي فالقول قوله في الانفاق على الطفل أو على دوابّه أو على عقاره فضلاً عن دعوى التلف من غير تعدّ و لا تفريط بلا خلاف أجده فيه؛ لأنّه أمين بالنسبة الى ذلك و لتعذّر البيّنة فيه، بل و البيع للمصلحة و القرض لها و نحو ذلك ممّا ادّعاه حال أمانته دون دعوى تسليم المال الى الموصى له بعد بلوغه و رشده الذي هو كدعوى الردّ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الأب و الجدّ و من حصل في يده ضالّة أو لقطة؛ لاتّحاد المدرك في الجميع و هو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اقتضاء الأمانة و قاعدة الاحسان القبول في ذلك و بعد حرمة القياس على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3"/>
      </w:r>
    </w:p>
    <w:p>
      <w:pPr>
        <w:pStyle w:val="Heading2"/>
        <w:numPr>
          <w:ilvl w:val="1"/>
          <w:numId w:val="1"/>
        </w:numPr>
        <w:rPr/>
      </w:pPr>
      <w:bookmarkStart w:id="682" w:name="__RefHeading___Toc7971746_2870459653"/>
      <w:bookmarkStart w:id="683" w:name="_Toc235"/>
      <w:bookmarkEnd w:id="682"/>
      <w:r>
        <w:rPr>
          <w:rtl w:val="true"/>
        </w:rPr>
        <w:t xml:space="preserve">فيما اذا ادّعى الوكيل التصرّف و أنكر الموكّل </w:t>
      </w:r>
      <w:r>
        <w:rPr>
          <w:rtl w:val="true"/>
        </w:rPr>
        <w:t xml:space="preserve">... </w:t>
      </w:r>
      <w:r>
        <w:rPr/>
        <w:t>320</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الوكيل التصرّف و أنكر الموكّل مثل 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أو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الوكيل؛ لأنّه أقرّ بما له أن‌يفعله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أمكن لكنّ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ادّعى الوكيل وقوع التصرّف الذي وكّل فيه و أنكر ذلك الموكّل مثل 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المتاع و تلف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 المبيع لك و تلف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ذلك الموكّل ليترتّب على الأوّل غرامة الوكيل المبيع عينا أو قيمة، و في الثاني عدم غرامة الثمن من الموكّل لكون المبيع قد تلف قبل قبضه فلا ثمن عليه فانّ القول قول الوكيل؛ لأنّه أقرّ بما له أن‌يفعله و لأنّه أمين و محسن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الأشبه في كلام المصنّف هو أنّه أمين، و قادر علىالانشاء و التصرّف اليه، و مرجع الاختلاف الى فعله و هو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تقديم </w:t>
      </w:r>
      <w:bookmarkStart w:id="684" w:name="pg9674_84410"/>
    </w:p>
    <w:p>
      <w:pPr>
        <w:pStyle w:val="BookText"/>
        <w:rPr/>
      </w:pPr>
      <w:bookmarkEnd w:id="684"/>
      <w:r>
        <w:rPr>
          <w:rFonts w:ascii="Amiri" w:hAnsi="Amiri" w:eastAsia="Amiri" w:cs="Amiri"/>
          <w:color w:val="111111"/>
          <w:sz w:val="28"/>
          <w:sz w:val="28"/>
          <w:szCs w:val="28"/>
          <w:rtl w:val="true"/>
          <w:lang w:bidi="ar-SA"/>
        </w:rPr>
        <w:t>قول الموكّل ظاهر؛ لأصالة عدم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 كلام العلاّمة رحمه‌الله في هذه المسألة، فجزم في الارشاد بتقديم قول الوكيل، و قرّبه في القواعد، و جزم في التذكرة بتقديم قول الموكّل ان كان النزاع بعد عزل الوكيل، و استقرب كون الحكم قبل العزل مثله؛ لأصالة عدم التصرّف، و أصالة بقاء الملك على مالكه، و توقّف في التحرير، و الأجود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تقديم قول الوكيل</w:t>
      </w:r>
      <w:r>
        <w:rPr>
          <w:rFonts w:eastAsia="Amiri" w:cs="Amiri" w:ascii="Amiri" w:hAnsi="Amiri"/>
          <w:color w:val="111111"/>
          <w:sz w:val="28"/>
          <w:szCs w:val="28"/>
          <w:rtl w:val="true"/>
          <w:lang w:bidi="ar-SA"/>
        </w:rPr>
        <w:t>)».</w:t>
      </w:r>
      <w:r>
        <w:rPr>
          <w:rStyle w:val="FootnoteAnchor"/>
          <w:rtl w:val="true"/>
        </w:rPr>
        <w:footnoteReference w:id="344"/>
      </w:r>
    </w:p>
    <w:p>
      <w:pPr>
        <w:pStyle w:val="Heading2"/>
        <w:numPr>
          <w:ilvl w:val="1"/>
          <w:numId w:val="1"/>
        </w:numPr>
        <w:rPr/>
      </w:pPr>
      <w:bookmarkStart w:id="685" w:name="__RefHeading___Toc7971748_2870459653"/>
      <w:bookmarkStart w:id="686" w:name="_Toc236"/>
      <w:bookmarkEnd w:id="685"/>
      <w:r>
        <w:rPr>
          <w:rtl w:val="true"/>
        </w:rPr>
        <w:t xml:space="preserve">فيما اذا اشترى انسان سلعة و ادّعى الوكالة لانسان فأنكر </w:t>
      </w:r>
      <w:r>
        <w:rPr>
          <w:rtl w:val="true"/>
        </w:rPr>
        <w:t xml:space="preserve">... </w:t>
      </w:r>
      <w:r>
        <w:rPr/>
        <w:t>321</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انسان سلعة و ادّعى أنّه وكيل لانسان فأنكر كان القول قوله مع يمينه و يقضى على المشتري بالثمن، سواء اشترى بعين أو في الذمّة الاّ أن‌يكون ذكر أنّه يبتاع له في حالة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الموكّل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الوكيل لأنّه أبصر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اشترى انسان سلعة و ادّعى بعد ذلك أنّه وكيل لآخر 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زيد وكالته كان القول قول زيد مع يمينه؛ لأنّ الأصل عدم الوكالة و يقضى بالثمن على المشتري؛ لأنّ مباشرته للعقد يقتضي أنّ الشراء له، سواء اشترى بعين أو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ابتعت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الموكّل فالقول قول الوكيل بيمينه؛ لأنّه أبصر بنيّته،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ابتعت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الوكيل مع يمينه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 لا اشكال، مع فرض كون الاختلاف في النيّة التي لاتعلم الاّ من قبله</w:t>
      </w:r>
      <w:r>
        <w:rPr>
          <w:rFonts w:eastAsia="Amiri" w:cs="Amiri" w:ascii="Amiri" w:hAnsi="Amiri"/>
          <w:color w:val="111111"/>
          <w:sz w:val="28"/>
          <w:szCs w:val="28"/>
          <w:rtl w:val="true"/>
          <w:lang w:bidi="ar-SA"/>
        </w:rPr>
        <w:t>».</w:t>
      </w:r>
      <w:r>
        <w:rPr>
          <w:rStyle w:val="FootnoteAnchor"/>
          <w:rtl w:val="true"/>
        </w:rPr>
        <w:footnoteReference w:id="345"/>
      </w:r>
      <w:bookmarkStart w:id="687" w:name="pg9674_84411"/>
    </w:p>
    <w:p>
      <w:pPr>
        <w:pStyle w:val="Heading2"/>
        <w:numPr>
          <w:ilvl w:val="1"/>
          <w:numId w:val="1"/>
        </w:numPr>
        <w:rPr/>
      </w:pPr>
      <w:bookmarkStart w:id="688" w:name="__RefHeading___Toc7971750_2870459653"/>
      <w:bookmarkStart w:id="689" w:name="_Toc237"/>
      <w:bookmarkEnd w:id="687"/>
      <w:bookmarkEnd w:id="688"/>
      <w:r>
        <w:rPr>
          <w:rtl w:val="true"/>
        </w:rPr>
        <w:t xml:space="preserve">فيما اذا زوّجه امرأة فأنكر الوكالة </w:t>
      </w:r>
      <w:r>
        <w:rPr>
          <w:rtl w:val="true"/>
        </w:rPr>
        <w:t xml:space="preserve">... </w:t>
      </w:r>
      <w:r>
        <w:rPr/>
        <w:t>322</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زوّجه امرأة فأنكر الوكالة و لا بيّنة كان القول قول الموكّل مع يمينه و يلزم الوكيل مهرها، و روي نصف مهرها،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ببطلان العقد في الظاهر و يجب على الموكّل أن‌يطلّقها ان كان يعلم صدق الوكيل و أن‌يسوق لها نصف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أمر رجل رجلاً أن‌يزوّجه امرأة بعنوان الوكيل أو مطلقا و بعد التزويج أنكر الوكالة و لا بيّنة هناك كان القول قول الموكّل مع يمينه؛ لأنّه منكر و يلزم الوكيل</w:t>
      </w:r>
    </w:p>
    <w:p>
      <w:pPr>
        <w:pStyle w:val="BookText"/>
        <w:rPr/>
      </w:pPr>
      <w:r>
        <w:rPr>
          <w:rFonts w:ascii="Amiri" w:hAnsi="Amiri" w:eastAsia="Amiri" w:cs="Amiri"/>
          <w:color w:val="111111"/>
          <w:sz w:val="28"/>
          <w:sz w:val="28"/>
          <w:szCs w:val="28"/>
          <w:rtl w:val="true"/>
          <w:lang w:bidi="ar-SA"/>
        </w:rPr>
        <w:t xml:space="preserve">مهرها؛ و الدليل على ذلك روايات فمن جملتها صحيحة أبي عبيدة عن أبي عبداللّه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أمر رجلاً أن‌يزوّجه امرأة من أهل البصرة من بني تميم فزوّجه امرأة من أهل الكوفة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أمره و على المأمور نصف الصداق لأهل المرأة و لا عدّة عليها و لا ميراث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أمره أن‌يزوّجه امرأة و لم‌يسمّ أرضا و لا قبيلة ثمّ جحد الآمر أن‌يكون أمره بذلك بعد ما زوّجه؟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للمأمور بيّنة أنّه كان أمره أن‌يزوّجه كان الصداق على الآمر وان لم‌يكن له بيّنة كان الصداق على المأمور لأهل المرأة و لا ميراث بينهما و لا عدّة عليها، و لها نصف الصداق ان كان فرض لها صداقا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الظاهر أنّ على الوكيل نصف المهر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على الموكّل أن‌يطلّقها فيما بينه و بين اللّه تعالى ان كان يعلم صدقالوكيل و أن‌يسوق اليها نصف المهر ان لم‌يرسله الوكيل اليها و الاّ فيعطيه الوكيل</w:t>
      </w:r>
      <w:r>
        <w:rPr>
          <w:rFonts w:eastAsia="Amiri" w:cs="Amiri" w:ascii="Amiri" w:hAnsi="Amiri"/>
          <w:color w:val="111111"/>
          <w:sz w:val="28"/>
          <w:szCs w:val="28"/>
          <w:rtl w:val="true"/>
          <w:lang w:bidi="ar-SA"/>
        </w:rPr>
        <w:t xml:space="preserve">. </w:t>
      </w:r>
      <w:bookmarkStart w:id="690" w:name="pg9674_84412"/>
    </w:p>
    <w:p>
      <w:pPr>
        <w:pStyle w:val="BookText"/>
        <w:rPr/>
      </w:pPr>
      <w:bookmarkEnd w:id="690"/>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وجوب الطلاق عليه فيما بينه و بين اللّه تعالى اذا علم صدق الوكيل ممّا لا خلاف فيه، و أمّا بالنسبة الى سوق المهر اليها فمال اليه جماعة منهم الفاضل و ولده و ثاني الشهيدين، بل جزم ثاني المحقّقين بأنّه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7"/>
      </w:r>
    </w:p>
    <w:p>
      <w:pPr>
        <w:pStyle w:val="Heading2"/>
        <w:numPr>
          <w:ilvl w:val="1"/>
          <w:numId w:val="1"/>
        </w:numPr>
        <w:rPr/>
      </w:pPr>
      <w:bookmarkStart w:id="691" w:name="__RefHeading___Toc7971752_2870459653"/>
      <w:bookmarkStart w:id="692" w:name="_Toc238"/>
      <w:bookmarkEnd w:id="691"/>
      <w:r>
        <w:rPr>
          <w:rtl w:val="true"/>
        </w:rPr>
        <w:t xml:space="preserve">فيما اذا وكّله في ابتياع عبد فاختلفا في الثمن </w:t>
      </w:r>
      <w:r>
        <w:rPr>
          <w:rtl w:val="true"/>
        </w:rPr>
        <w:t xml:space="preserve">... </w:t>
      </w:r>
      <w:r>
        <w:rPr/>
        <w:t>323</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وكّله في ابتياع عبد فاشتراه بمائة فقال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الوكيل؛ لأنّه مؤتمن، 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 لأنّه 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وكّله في ابتياع عبد فاشتراه بمائة فقال الموكّل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الوكيل؛ لأنّه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التداعي ان كان بين الموكّل و الوكيل كان القول قول الوكيل؛ لأنّه مؤتمن و الفعل فعله من غير فرق بين كون الثمن من مال الموكّل أو في ذمّته، و ان كان التداعي بين الموكّل و البائع فالقول قول الموكّل كما ستسمع في المسألة العاشرة</w:t>
      </w:r>
      <w:r>
        <w:rPr>
          <w:rFonts w:eastAsia="Amiri" w:cs="Amiri" w:ascii="Amiri" w:hAnsi="Amiri"/>
          <w:color w:val="111111"/>
          <w:sz w:val="28"/>
          <w:szCs w:val="28"/>
          <w:rtl w:val="true"/>
          <w:lang w:bidi="ar-SA"/>
        </w:rPr>
        <w:t>.</w:t>
      </w:r>
    </w:p>
    <w:p>
      <w:pPr>
        <w:pStyle w:val="Heading2"/>
        <w:numPr>
          <w:ilvl w:val="1"/>
          <w:numId w:val="1"/>
        </w:numPr>
        <w:rPr/>
      </w:pPr>
      <w:bookmarkStart w:id="693" w:name="__RefHeading___Toc7971754_2870459653"/>
      <w:bookmarkStart w:id="694" w:name="_Toc239"/>
      <w:bookmarkEnd w:id="693"/>
      <w:r>
        <w:rPr>
          <w:rtl w:val="true"/>
        </w:rPr>
        <w:t xml:space="preserve">في أنّ البائع بالخيار في مطالبة الوكيل و الموكّل </w:t>
      </w:r>
      <w:r>
        <w:rPr>
          <w:rtl w:val="true"/>
        </w:rPr>
        <w:t xml:space="preserve">... </w:t>
      </w:r>
      <w:r>
        <w:rPr/>
        <w:t>323</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لموكّله كان البائع بالخيار ان شاء طالب الوكيل و ان شاء طالب الموكّل، و الوجه اختصاص المطالبة بالموكّل مع العلم بالوكالة و اختصاص مطالبة الوكيل مع الجهل بذلك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في المسألة هو ما قاله في المسالك من التفصيل و التفريع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w:t>
      </w:r>
      <w:bookmarkStart w:id="695" w:name="pg9674_84413"/>
    </w:p>
    <w:p>
      <w:pPr>
        <w:pStyle w:val="BookText"/>
        <w:rPr/>
      </w:pPr>
      <w:bookmarkEnd w:id="695"/>
      <w:r>
        <w:rPr>
          <w:rFonts w:ascii="Amiri" w:hAnsi="Amiri" w:eastAsia="Amiri" w:cs="Amiri"/>
          <w:color w:val="111111"/>
          <w:sz w:val="28"/>
          <w:sz w:val="28"/>
          <w:szCs w:val="28"/>
          <w:rtl w:val="true"/>
          <w:lang w:bidi="ar-SA"/>
        </w:rPr>
        <w:t>كان الثمن معيّنا فالمطالب به من هو في يده، سواء في ذلك الوكيل و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الذمّة و دفعه الموكّل الى الوكيل تخيّر البائع في مطالبة أيّهما شاء مع علمه بالوكالة، أمّا الوكيل فلأنّ الثمن في يده، و أمّا الموكّل فلأنّ الشراء له، و ما دفع لم‌ينحصر في الثمن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لم‌يكن دفعه الى الوكيل فله مطالبة الوكيل مع جهله بكونه وكيلاً و عدم البيّنة عليها، و الموكّل مع علمه</w:t>
      </w:r>
      <w:r>
        <w:rPr>
          <w:rFonts w:eastAsia="Amiri" w:cs="Amiri" w:ascii="Amiri" w:hAnsi="Amiri"/>
          <w:color w:val="111111"/>
          <w:sz w:val="28"/>
          <w:szCs w:val="28"/>
          <w:rtl w:val="true"/>
          <w:lang w:bidi="ar-SA"/>
        </w:rPr>
        <w:t>».</w:t>
      </w:r>
      <w:r>
        <w:rPr>
          <w:rStyle w:val="FootnoteAnchor"/>
          <w:rtl w:val="true"/>
        </w:rPr>
        <w:footnoteReference w:id="348"/>
      </w:r>
    </w:p>
    <w:p>
      <w:pPr>
        <w:pStyle w:val="Heading2"/>
        <w:numPr>
          <w:ilvl w:val="1"/>
          <w:numId w:val="1"/>
        </w:numPr>
        <w:rPr/>
      </w:pPr>
      <w:bookmarkStart w:id="696" w:name="__RefHeading___Toc7971756_2870459653"/>
      <w:bookmarkStart w:id="697" w:name="_Toc240"/>
      <w:bookmarkEnd w:id="696"/>
      <w:r>
        <w:rPr>
          <w:rtl w:val="true"/>
        </w:rPr>
        <w:t>فيما اذا طالب الوكيل فقال الذي عليه الحقّ</w:t>
      </w:r>
      <w:r>
        <w:rPr>
          <w:rtl w:val="true"/>
        </w:rPr>
        <w:t>: «</w:t>
      </w:r>
      <w:r>
        <w:rPr>
          <w:rtl w:val="true"/>
        </w:rPr>
        <w:t>لاتستحقّ المطالبة</w:t>
      </w:r>
      <w:r>
        <w:rPr>
          <w:rtl w:val="true"/>
        </w:rPr>
        <w:t xml:space="preserve">» ... </w:t>
      </w:r>
      <w:r>
        <w:rPr/>
        <w:t>324</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طالب الوكيل فقال الذي عليه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لاتستحقّ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لم‌يلتفت الى قوله؛ لأنّه مكذّب لبيّنة الوكالة،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عزلك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لم‌يتوجّه على الوكيل اليمين الاّ أن‌يدّعي عليه العلم، و كذا لو ادّعى أنّ الموكّل أبرأه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طالب الوكيل الثابتة وكالته بما وكّل عليه فقال الذي عليه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لاتستحقّ المطالبة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لم‌يذكر أزيد من ذلك لم‌يلتفت الى قوله كما عن المبسوط و غيره؛ لأنّه مكذّب لبيّنة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ممّا عرفت، و من أعمّيّة ذلك من التكذيب؛ ضرورة امكان كونه لابراء أو لطروّ عزل أو أداء الى الموكّل أو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عزلك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بالبيّنة مثلاً؛ لأنّها دعوى شرعيّة لكن لم‌يتوجّه على الوكيل اليمين الاّ أن‌يدّعي عليه العلم؛ ضرورة أنّ العزل فعل الغير و اليمين عليه انّما هو على نفي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ادّعى أنّ الموكّل أبرأه من الحقّ أو أدّاه اليه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98" w:name="pg9674_84414"/>
    </w:p>
    <w:p>
      <w:pPr>
        <w:pStyle w:val="BookText"/>
        <w:rPr/>
      </w:pPr>
      <w:bookmarkEnd w:id="69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الاشكال في الفرع الأوّل قوي و الكلام في الفرع الثاني كما قال هو، و لا بأس به</w:t>
      </w:r>
      <w:r>
        <w:rPr>
          <w:rFonts w:eastAsia="Amiri" w:cs="Amiri" w:ascii="Amiri" w:hAnsi="Amiri"/>
          <w:color w:val="111111"/>
          <w:sz w:val="28"/>
          <w:szCs w:val="28"/>
          <w:rtl w:val="true"/>
          <w:lang w:bidi="ar-SA"/>
        </w:rPr>
        <w:t>.</w:t>
      </w:r>
    </w:p>
    <w:p>
      <w:pPr>
        <w:pStyle w:val="Heading2"/>
        <w:numPr>
          <w:ilvl w:val="1"/>
          <w:numId w:val="1"/>
        </w:numPr>
        <w:rPr/>
      </w:pPr>
      <w:bookmarkStart w:id="699" w:name="__RefHeading___Toc7971758_2870459653"/>
      <w:bookmarkStart w:id="700" w:name="_Toc241"/>
      <w:bookmarkEnd w:id="699"/>
      <w:r>
        <w:rPr>
          <w:rtl w:val="true"/>
        </w:rPr>
        <w:t xml:space="preserve">في قبول شهادة الوكيل لموكّله فيما لا ولاية له فيه </w:t>
      </w:r>
      <w:r>
        <w:rPr>
          <w:rtl w:val="true"/>
        </w:rPr>
        <w:t xml:space="preserve">... </w:t>
      </w:r>
      <w:r>
        <w:rPr/>
        <w:t>235</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الوكيل لموكّله فيما لا ولاية له فيه، و لو عزل قبلت في الجميع ما لم‌يكن أقام بها أو شرع في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الوكيل فيما ليس فيه وكيلاً و لا ولاية له عليه، مقبول لعموم أدلّة قبول شهادة العدل، و أمّا فيما هو فيه وكيل و له عليه ولاية فالظاهر عدم قبول شهادته لمكان التهمة التي تكلّمنا عن مانعيّتها عن قبول الشهادة في كتاب الشهادات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بيننا بل و بين كافّة المسلمين و لا اشكال في أنّه تقبل شهادة الوكيل لموكّله فيما لا ولاية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كما تقبل شهادته على الموكّل؛ لعموم ما دلّ على قبول خبر العدل بخلاف ما هو وكيل فيه، فانّها لاتقبل فيه؛ للتهمة كما عن الشيخ و الحلّي و الفاضل و غيرهم التصريح به بل هو المشهور بل لم‌أجد فيه خلافا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صرّحوا أيضا بعدم قبول شهادته في جرح شهود المدّعي على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عزل قبلت عندنا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شهد الوكيل لموكّله بمال نظر، فان لم‌يكن وكيلاً في ذلك المال قبلت شهادته؛ لأنّ هذا المال اذا ثبت بشهادته لم‌يثبت له فيه تصرّففلايجرّ بها نفعا و لايدفع بها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وكيلاً في ذلك المال لاتقبل شهادته؛ </w:t>
      </w:r>
      <w:bookmarkStart w:id="701" w:name="pg9674_84415"/>
    </w:p>
    <w:p>
      <w:pPr>
        <w:pStyle w:val="BookText"/>
        <w:rPr/>
      </w:pPr>
      <w:bookmarkEnd w:id="701"/>
      <w:r>
        <w:rPr>
          <w:rFonts w:ascii="Amiri" w:hAnsi="Amiri" w:eastAsia="Amiri" w:cs="Amiri"/>
          <w:color w:val="111111"/>
          <w:sz w:val="28"/>
          <w:sz w:val="28"/>
          <w:szCs w:val="28"/>
          <w:rtl w:val="true"/>
          <w:lang w:bidi="ar-SA"/>
        </w:rPr>
        <w:t>لأنّه يثبت له التصرّف فيه اذا ثبت لموكّله فهو متّهم في تلك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شهد بعد العزل بذلك المال لموكّله نظر، فان كان قد شرع في الخصومة عليه لم‌يقبل شهادته؛ لأنّه كان خصما في ذلك لموكّله و هو يشهد لموكّله به فلم‌يقبل؛ لأنّ شهادة الخصم لاتقبل، و ان كان لم‌يشرع الخصومة فيه فتقبل؛ لأنّه لم‌يكن خصما في ذلك و لايثبت له التصرّف فيه ان ثبت للمدّعي؛ لأنّه 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0"/>
      </w:r>
    </w:p>
    <w:p>
      <w:pPr>
        <w:pStyle w:val="Heading2"/>
        <w:numPr>
          <w:ilvl w:val="1"/>
          <w:numId w:val="1"/>
        </w:numPr>
        <w:rPr/>
      </w:pPr>
      <w:bookmarkStart w:id="702" w:name="__RefHeading___Toc7971760_2870459653"/>
      <w:bookmarkStart w:id="703" w:name="_Toc242"/>
      <w:bookmarkEnd w:id="702"/>
      <w:r>
        <w:rPr>
          <w:rtl w:val="true"/>
        </w:rPr>
        <w:t xml:space="preserve">فيما لو وكّله بقبض دينه من غريم و ما لو أمره ببيع سلعة </w:t>
      </w:r>
      <w:r>
        <w:rPr>
          <w:rtl w:val="true"/>
        </w:rPr>
        <w:t xml:space="preserve">... </w:t>
      </w:r>
      <w:r>
        <w:rPr/>
        <w:t>326</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بقبض دينه من غريم له فأقرّ الوكيل بالقبض و صدّقه الغريم و أنكر الموكّل فالقول قول الموكّل 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أمره ببيع سلعة و تسليمها و قبض ثمنها فتلف من غير تفريط فأقرّ الوكيل بالقبض و صدّقه المشتري و أنكر الموكّل فالقول قول الوكيل؛ لأنّ الدعوى هنا على الوكيل من حيث انّه سلّم المبيع و لم‌يتسلّم الثمن فكأنّه يدّعي ما يوجب الضمان و هناك الدعوى على الغريم، و في الفرق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ظهر في المبيع عيب ردّه على الوكيل دون الموكّل؛ لأنّه لم‌يثبت وصول الثمن اليه، و لو قيل بردّ المبيع على الموكّل كان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704" w:name="__RefHeading___Toc7971762_2870459653"/>
      <w:bookmarkStart w:id="705" w:name="_Toc243"/>
      <w:bookmarkEnd w:id="704"/>
      <w:r>
        <w:rPr>
          <w:rtl w:val="true"/>
        </w:rPr>
        <w:t xml:space="preserve">الفرع الأوّل </w:t>
      </w:r>
      <w:r>
        <w:rPr>
          <w:rtl w:val="true"/>
        </w:rPr>
        <w:t xml:space="preserve">: </w:t>
      </w:r>
      <w:r>
        <w:rPr>
          <w:rtl w:val="true"/>
        </w:rPr>
        <w:t>فيما لو وكّله بقبض دينه من غريم</w:t>
      </w:r>
      <w:bookmarkEnd w:id="70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وكّل الموكّل الوكيل بقبض دينه من غريم له فأقرّ الوكيل بالقبض و صدّقهالغريم و أنّه تلف في يده و أنكر الموكّل القبض منه فقال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قول </w:t>
      </w:r>
      <w:bookmarkStart w:id="706" w:name="pg9674_84416"/>
    </w:p>
    <w:p>
      <w:pPr>
        <w:pStyle w:val="BookText"/>
        <w:rPr/>
      </w:pPr>
      <w:bookmarkEnd w:id="706"/>
      <w:r>
        <w:rPr>
          <w:rFonts w:ascii="Amiri" w:hAnsi="Amiri" w:eastAsia="Amiri" w:cs="Amiri"/>
          <w:color w:val="111111"/>
          <w:sz w:val="28"/>
          <w:sz w:val="28"/>
          <w:szCs w:val="28"/>
          <w:rtl w:val="true"/>
          <w:lang w:bidi="ar-SA"/>
        </w:rPr>
        <w:t>الموكّل وفاقا للمبسوط و التذكرة و القواعد و غيرها، بل في شرح الصيمري نسبته الى فتوى الأصحاب الاّ الفخر؛ لأنّ الدعوى انّما هي بين المالك و الغريم، و لا نزاع بينه و بين الوكيل، و ليس في الأدلّة ما يقتضي الزام الموكّل باقرار الوكيل فيما وكّل فيه مع عدم الخصومة معه، و ما تقدّم في المسألة الثالثة من تقديم قول الوكيل انّما هو مع كون التداعي معه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ولكن المصنّف رحمه‌الله تردّد في المسألة، و منشؤ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الاختلاف في فعل الوكيل فيقدّم قوله فيه، و لأنّه أمين، و من أصالة بقاء حقّ الموكّل عند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تقديم قول الوكيل؛ لأنّ الدعوى في الحقيقة ترجع الى فعل الوكيل فيقدّم قوله</w:t>
      </w:r>
      <w:r>
        <w:rPr>
          <w:rFonts w:eastAsia="Amiri" w:cs="Amiri" w:ascii="Amiri" w:hAnsi="Amiri"/>
          <w:color w:val="111111"/>
          <w:sz w:val="28"/>
          <w:szCs w:val="28"/>
          <w:rtl w:val="true"/>
          <w:lang w:bidi="ar-SA"/>
        </w:rPr>
        <w:t>.</w:t>
      </w:r>
    </w:p>
    <w:p>
      <w:pPr>
        <w:pStyle w:val="Heading2"/>
        <w:numPr>
          <w:ilvl w:val="1"/>
          <w:numId w:val="1"/>
        </w:numPr>
        <w:rPr/>
      </w:pPr>
      <w:bookmarkStart w:id="707" w:name="__RefHeading___Toc7971764_2870459653"/>
      <w:bookmarkStart w:id="708" w:name="_Toc244"/>
      <w:bookmarkEnd w:id="707"/>
      <w:r>
        <w:rPr>
          <w:rtl w:val="true"/>
        </w:rPr>
        <w:t xml:space="preserve">الفرع الثاني </w:t>
      </w:r>
      <w:r>
        <w:rPr>
          <w:rtl w:val="true"/>
        </w:rPr>
        <w:t xml:space="preserve">: </w:t>
      </w:r>
      <w:r>
        <w:rPr>
          <w:rtl w:val="true"/>
        </w:rPr>
        <w:t>فيما لو أمره ببيع سلعة و تسليمها و قبض ثمنها</w:t>
      </w:r>
      <w:bookmarkEnd w:id="708"/>
    </w:p>
    <w:p>
      <w:pPr>
        <w:pStyle w:val="BookText"/>
        <w:rPr/>
      </w:pPr>
      <w:r>
        <w:rPr>
          <w:rFonts w:ascii="Amiri" w:hAnsi="Amiri" w:eastAsia="Amiri" w:cs="Amiri"/>
          <w:color w:val="111111"/>
          <w:sz w:val="28"/>
          <w:sz w:val="28"/>
          <w:szCs w:val="28"/>
          <w:rtl w:val="true"/>
          <w:lang w:bidi="ar-SA"/>
        </w:rPr>
        <w:t xml:space="preserve">لو أمر الموكّل الوكيل ببيع سلعة و تسليمها و قبض ثمنها فتلف الثمن من غير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دعوى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الوكيل بالقبض و صدّقه المشتري و أنكر الموكّل فالقول قول الوكيل هنا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الدعوى هنا على الوكيل و كأنّه يدّعي الموكّل ما يوجب الضمان على الوكيل من حيث انّه سلّم المبيع و لم‌يتسلّم الثمن فيكون مفرّطا و الأصل براءة ذمّته مع أنّه أمين بالنسبة اليه و قوله مقبول فيما اؤتمن عليه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ظهر في المبيع عيب ردّه على الوكيل دون الموكّل؛ لأنّه </w:t>
      </w:r>
    </w:p>
    <w:p>
      <w:pPr>
        <w:pStyle w:val="BookText"/>
        <w:rPr/>
      </w:pPr>
      <w:r>
        <w:rPr>
          <w:rFonts w:ascii="Amiri" w:hAnsi="Amiri" w:eastAsia="Amiri" w:cs="Amiri"/>
          <w:color w:val="111111"/>
          <w:sz w:val="28"/>
          <w:sz w:val="28"/>
          <w:szCs w:val="28"/>
          <w:rtl w:val="true"/>
          <w:lang w:bidi="ar-SA"/>
        </w:rPr>
        <w:t>لم‌يثبت وصول الثمن اليه، و لو قيل بردّ المبيع على الموكّل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الأوّل للشيخ رحمه‌الله معلّلاً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الخلاف ما اذا علم كونه وكيلاً كما يرشد اليه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ما اختاره المصنّف رحمه‌الله؛ لأنّ الملك له و الوكيل نائب عنه، و البائع في الحقيقة هو الموكّل، و وصول الثمن اليه و عدمه لا مدخل له في هذا الحكم أصلاً، بل لايجوز ردّه على الوكيل؛ لأنّه ينعزل بالبيع ان لم‌يكن وكيلاً في قبض المبيع على تقدير ردّه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فقول الشيخ ضعيف، و كذا تعليله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الأشبه هو الردّ الى الموكّل؛ لما ذكره في المسالك، و أمّا اذا لم‌يعلم المشتري بأنّ البائع وكيل فالظاهر أنّه يجوز الردّ الى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هنا تمّ ما أردنا</w:t>
      </w:r>
    </w:p>
    <w:p>
      <w:pPr>
        <w:pStyle w:val="BookText"/>
        <w:rPr/>
      </w:pPr>
      <w:r>
        <w:rPr>
          <w:rFonts w:ascii="Amiri" w:hAnsi="Amiri" w:eastAsia="Amiri" w:cs="Amiri"/>
          <w:color w:val="111111"/>
          <w:sz w:val="28"/>
          <w:sz w:val="28"/>
          <w:szCs w:val="28"/>
          <w:rtl w:val="true"/>
          <w:lang w:bidi="ar-SA"/>
        </w:rPr>
        <w:t>بيانه من مسائل الوكالة</w:t>
      </w:r>
    </w:p>
    <w:p>
      <w:pPr>
        <w:pStyle w:val="BookText"/>
        <w:rPr/>
      </w:pPr>
      <w:r>
        <w:rPr>
          <w:rFonts w:ascii="Amiri" w:hAnsi="Amiri" w:eastAsia="Amiri" w:cs="Amiri"/>
          <w:color w:val="111111"/>
          <w:sz w:val="28"/>
          <w:sz w:val="28"/>
          <w:szCs w:val="28"/>
          <w:rtl w:val="true"/>
          <w:lang w:bidi="ar-SA"/>
        </w:rPr>
        <w:t>و يتلوه شرح كتاب الهبات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w:t>
      </w:r>
      <w:bookmarkStart w:id="709" w:name="pg9674_84418"/>
    </w:p>
    <w:p>
      <w:pPr>
        <w:pStyle w:val="Heading2"/>
        <w:numPr>
          <w:ilvl w:val="1"/>
          <w:numId w:val="1"/>
        </w:numPr>
        <w:rPr/>
      </w:pPr>
      <w:bookmarkStart w:id="710" w:name="__RefHeading___Toc7971766_2870459653"/>
      <w:bookmarkStart w:id="711" w:name="_Toc245"/>
      <w:bookmarkEnd w:id="709"/>
      <w:bookmarkEnd w:id="710"/>
      <w:r>
        <w:rPr>
          <w:rtl w:val="true"/>
        </w:rPr>
        <w:t>كتاب الهبات</w:t>
      </w:r>
      <w:bookmarkEnd w:id="711"/>
    </w:p>
    <w:p>
      <w:pPr>
        <w:pStyle w:val="BookText"/>
        <w:rPr/>
      </w:pPr>
      <w:r>
        <w:rPr>
          <w:rFonts w:ascii="Amiri" w:hAnsi="Amiri" w:eastAsia="Amiri" w:cs="Amiri"/>
          <w:color w:val="111111"/>
          <w:sz w:val="28"/>
          <w:sz w:val="28"/>
          <w:szCs w:val="28"/>
          <w:rtl w:val="true"/>
          <w:lang w:bidi="ar-SA"/>
        </w:rPr>
        <w:t>و النظر في الحقيقة و الحكم</w:t>
      </w:r>
      <w:r>
        <w:rPr>
          <w:rFonts w:eastAsia="Amiri" w:cs="Amiri" w:ascii="Amiri" w:hAnsi="Amiri"/>
          <w:color w:val="111111"/>
          <w:sz w:val="28"/>
          <w:szCs w:val="28"/>
          <w:rtl w:val="true"/>
          <w:lang w:bidi="ar-SA"/>
        </w:rPr>
        <w:t>:</w:t>
      </w:r>
    </w:p>
    <w:p>
      <w:pPr>
        <w:pStyle w:val="Heading2"/>
        <w:numPr>
          <w:ilvl w:val="1"/>
          <w:numId w:val="1"/>
        </w:numPr>
        <w:rPr/>
      </w:pPr>
      <w:bookmarkStart w:id="712" w:name="__RefHeading___Toc7971768_2870459653"/>
      <w:bookmarkStart w:id="713" w:name="_Toc246"/>
      <w:bookmarkEnd w:id="712"/>
      <w:r>
        <w:rPr>
          <w:rtl w:val="true"/>
        </w:rPr>
        <w:t xml:space="preserve">النظر الأوّل </w:t>
      </w:r>
      <w:r>
        <w:rPr>
          <w:rtl w:val="true"/>
        </w:rPr>
        <w:t xml:space="preserve">: </w:t>
      </w:r>
      <w:r>
        <w:rPr>
          <w:rtl w:val="true"/>
        </w:rPr>
        <w:t>في الحقيقة</w:t>
      </w:r>
      <w:bookmarkEnd w:id="713"/>
    </w:p>
    <w:p>
      <w:pPr>
        <w:pStyle w:val="BookText"/>
        <w:rPr/>
      </w:pPr>
      <w:r>
        <w:rPr>
          <w:rFonts w:ascii="Amiri" w:hAnsi="Amiri" w:eastAsia="Amiri" w:cs="Amiri"/>
          <w:color w:val="111111"/>
          <w:sz w:val="28"/>
          <w:sz w:val="28"/>
          <w:szCs w:val="28"/>
          <w:rtl w:val="true"/>
          <w:lang w:bidi="ar-SA"/>
        </w:rPr>
        <w:t>الهبة هي العقد المقتضي لتمليك العين من غير عوض تمليكا منجّزا مجرّدا عن القربة و قد يعبّر عنها بالنحلة و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تفتقر الى الايجاب و القبول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فالايجاب كلّ لفظ قصد به التمليك المذكور كقوله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و ملّكتك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أفرادها المختلفة في الحكم، كالهبة المقبوضة و غيرها، و المعوّض عنها و غيرها، و المتصرّف فيها و غيرها، و الواقعة للرحم و غيره، و نحو ذلك، و الاّ فهي حقيقة واحدة و ان اختلفت خواصّها، و من ثمّ عبّر الأكثر بها موحّدة</w:t>
      </w:r>
      <w:r>
        <w:rPr>
          <w:rFonts w:eastAsia="Amiri" w:cs="Amiri" w:ascii="Amiri" w:hAnsi="Amiri"/>
          <w:color w:val="111111"/>
          <w:sz w:val="28"/>
          <w:szCs w:val="28"/>
          <w:rtl w:val="true"/>
          <w:lang w:bidi="ar-SA"/>
        </w:rPr>
        <w:t>».</w:t>
      </w:r>
      <w:r>
        <w:rPr>
          <w:rStyle w:val="FootnoteAnchor"/>
          <w:rtl w:val="true"/>
        </w:rPr>
        <w:footnoteReference w:id="354"/>
      </w:r>
      <w:bookmarkStart w:id="714" w:name="pg9674_84419"/>
    </w:p>
    <w:p>
      <w:pPr>
        <w:pStyle w:val="BookText"/>
        <w:rPr/>
      </w:pPr>
      <w:bookmarkEnd w:id="714"/>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715" w:name="__RefHeading___Toc7971770_2870459653"/>
      <w:bookmarkStart w:id="716" w:name="_Toc247"/>
      <w:bookmarkEnd w:id="715"/>
      <w:r>
        <w:rPr>
          <w:rtl w:val="true"/>
        </w:rPr>
        <w:t xml:space="preserve">الفرع الأوّل </w:t>
      </w:r>
      <w:r>
        <w:rPr>
          <w:rtl w:val="true"/>
        </w:rPr>
        <w:t xml:space="preserve">: </w:t>
      </w:r>
      <w:r>
        <w:rPr>
          <w:rtl w:val="true"/>
        </w:rPr>
        <w:t>في تعريف الهبة</w:t>
      </w:r>
      <w:bookmarkEnd w:id="716"/>
    </w:p>
    <w:p>
      <w:pPr>
        <w:pStyle w:val="BookText"/>
        <w:rPr/>
      </w:pPr>
      <w:r>
        <w:rPr>
          <w:rFonts w:ascii="Amiri" w:hAnsi="Amiri" w:eastAsia="Amiri" w:cs="Amiri"/>
          <w:color w:val="111111"/>
          <w:sz w:val="28"/>
          <w:sz w:val="28"/>
          <w:szCs w:val="28"/>
          <w:rtl w:val="true"/>
          <w:lang w:bidi="ar-SA"/>
        </w:rPr>
        <w:t>الهبة هي العقد المقتضي لتمليك العين من غير عوض، تمليكا منجّزا مجرّدا عن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بمنزلة الجنس يشمل سائر العقود و خرج به الفعل الدالّ على ذلك كنثار العرس و احضار الطعام بين يدي الضيف؛ فانّه لايسمّى هبة بل اباحة، و الموت المقتضي لتملّك الأعيان بالارث، و حيازة المباحات كالاحتطاب و الاحتشاش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لتمليك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نحو العارية و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نحو البيع و الصلح الواقع على الأعيان بعوض، و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الوصيّة بالأعيان؛ فانّ ملكها يتوقّف على الموت، و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الصدقة</w:t>
      </w:r>
      <w:r>
        <w:rPr>
          <w:rFonts w:eastAsia="Amiri" w:cs="Amiri" w:ascii="Amiri" w:hAnsi="Amiri"/>
          <w:color w:val="111111"/>
          <w:sz w:val="28"/>
          <w:szCs w:val="28"/>
          <w:rtl w:val="true"/>
          <w:lang w:bidi="ar-SA"/>
        </w:rPr>
        <w:t>.</w:t>
      </w:r>
    </w:p>
    <w:p>
      <w:pPr>
        <w:pStyle w:val="Heading2"/>
        <w:numPr>
          <w:ilvl w:val="1"/>
          <w:numId w:val="1"/>
        </w:numPr>
        <w:rPr/>
      </w:pPr>
      <w:bookmarkStart w:id="717" w:name="__RefHeading___Toc7971772_2870459653"/>
      <w:bookmarkStart w:id="718" w:name="_Toc248"/>
      <w:bookmarkEnd w:id="717"/>
      <w:r>
        <w:rPr>
          <w:rtl w:val="true"/>
        </w:rPr>
        <w:t xml:space="preserve">الفرع الثاني </w:t>
      </w:r>
      <w:r>
        <w:rPr>
          <w:rtl w:val="true"/>
        </w:rPr>
        <w:t xml:space="preserve">: </w:t>
      </w:r>
      <w:r>
        <w:rPr>
          <w:rtl w:val="true"/>
        </w:rPr>
        <w:t>في التعبير عن الهبة بالنحلة و العطيّة</w:t>
      </w:r>
      <w:bookmarkEnd w:id="718"/>
    </w:p>
    <w:p>
      <w:pPr>
        <w:pStyle w:val="BookText"/>
        <w:rPr/>
      </w:pPr>
      <w:r>
        <w:rPr>
          <w:rFonts w:ascii="Amiri" w:hAnsi="Amiri" w:eastAsia="Amiri" w:cs="Amiri"/>
          <w:color w:val="111111"/>
          <w:sz w:val="28"/>
          <w:sz w:val="28"/>
          <w:szCs w:val="28"/>
          <w:rtl w:val="true"/>
          <w:lang w:bidi="ar-SA"/>
        </w:rPr>
        <w:t>قد يعبّر عن الهبة بالنحلة و العطيّة، 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للعطيّة، و المصدر النحل بالضمّ،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نحلته أنحله 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العطيّة تطلق على مطلق الاعطاء المتبرّع به، فيشمل الوقف و الصدقة و الهبة و الهديّة و السكنى، و من ثمّ أطلق بعض الفقهاء عليها اسم العطايا و عنونها بكتاب، فتكون أعمّ منالهبة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النحلة في معناها، فيكون اطلاقها على الهبة كاطلاق الجنس على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الهبة أعمّ من الصدقة؛ لاشتراطها بالقربة دونها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الهديّة فهي أخصّ من الهبة أيضا؛ لأنّها تفتقر الى قيد آخر مضافا الى ما </w:t>
      </w:r>
      <w:bookmarkStart w:id="719" w:name="pg9674_84420"/>
    </w:p>
    <w:p>
      <w:pPr>
        <w:pStyle w:val="BookText"/>
        <w:rPr/>
      </w:pPr>
      <w:bookmarkEnd w:id="719"/>
      <w:r>
        <w:rPr>
          <w:rFonts w:ascii="Amiri" w:hAnsi="Amiri" w:eastAsia="Amiri" w:cs="Amiri"/>
          <w:color w:val="111111"/>
          <w:sz w:val="28"/>
          <w:sz w:val="28"/>
          <w:szCs w:val="28"/>
          <w:rtl w:val="true"/>
          <w:lang w:bidi="ar-SA"/>
        </w:rPr>
        <w:t>ذكر في تعريف الهبة، و هو أن‌يحمل الموهوب من مكان الى مكان الموهوب منه اعظاما له و توقيرا، فامتازت عن مطلق الهبة بذلك، و لهذا لايطلق لفظها على العقارات الممتنع نقلها، فلايقال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أهدى اليه دارا و لا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فصارت الهبة أعمّ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يتفرّع أنّه لو نذر الهبة برئ بالهديّة و الصدقة، دون العكس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لايهب، فتصدّق أو أهدى حنث، دون العكس بتقدير فعله فردا منها خارجا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و الهديّة و الصدقة بمعنى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علّله بمسألة الحلف، و هي لاتدلّ على مطلوبه كما لايخفى، بل التحقيق ما ذكرناه</w:t>
      </w:r>
      <w:r>
        <w:rPr>
          <w:rFonts w:eastAsia="Amiri" w:cs="Amiri" w:ascii="Amiri" w:hAnsi="Amiri"/>
          <w:color w:val="111111"/>
          <w:sz w:val="28"/>
          <w:szCs w:val="28"/>
          <w:rtl w:val="true"/>
          <w:lang w:bidi="ar-SA"/>
        </w:rPr>
        <w:t>».</w:t>
      </w:r>
      <w:r>
        <w:rPr>
          <w:rStyle w:val="FootnoteAnchor"/>
          <w:rtl w:val="true"/>
        </w:rPr>
        <w:footnoteReference w:id="355"/>
      </w:r>
    </w:p>
    <w:p>
      <w:pPr>
        <w:pStyle w:val="Heading2"/>
        <w:numPr>
          <w:ilvl w:val="1"/>
          <w:numId w:val="1"/>
        </w:numPr>
        <w:rPr/>
      </w:pPr>
      <w:bookmarkStart w:id="720" w:name="__RefHeading___Toc7971774_2870459653"/>
      <w:bookmarkStart w:id="721" w:name="_Toc249"/>
      <w:bookmarkEnd w:id="720"/>
      <w:r>
        <w:rPr>
          <w:rtl w:val="true"/>
        </w:rPr>
        <w:t xml:space="preserve">الفرع الثالث </w:t>
      </w:r>
      <w:r>
        <w:rPr>
          <w:rtl w:val="true"/>
        </w:rPr>
        <w:t xml:space="preserve">: </w:t>
      </w:r>
      <w:r>
        <w:rPr>
          <w:rtl w:val="true"/>
        </w:rPr>
        <w:t>في احتياج الهبة الى الايجاب و القبول</w:t>
      </w:r>
      <w:bookmarkEnd w:id="721"/>
    </w:p>
    <w:p>
      <w:pPr>
        <w:pStyle w:val="BookText"/>
        <w:rPr/>
      </w:pPr>
      <w:r>
        <w:rPr>
          <w:rFonts w:ascii="Amiri" w:hAnsi="Amiri" w:eastAsia="Amiri" w:cs="Amiri"/>
          <w:color w:val="111111"/>
          <w:sz w:val="28"/>
          <w:sz w:val="28"/>
          <w:szCs w:val="28"/>
          <w:rtl w:val="true"/>
          <w:lang w:bidi="ar-SA"/>
        </w:rPr>
        <w:t xml:space="preserve">الهبة عقد تفتقر الى الايجاب و القبول و القبض بالنسبة الى صحّتها و ترتّب الأثر عليها، فالايجاب كلّ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قام مقامه نحو اشارة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به التمليك المذكور و كان صالحا للدلالة عليه كقوله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أو 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من غير فرق بين صيغة الماضي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فيه العربيّة؛ لاطلاقالأدلّة الشامل لغير العربيّة من غير ما يصلح لتقييدها من نصّ أو اجماع معتبر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وقوعها بالمعاطاة أيضا؛ لما ذكر في أوّل البيع في شرح المكاسب من أنّها موافقة للقاعدة و هي تحصل بتسليم العين و تسلّمها بعنوان التمليك و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الهديّة أيضا عقد مثل الهبة و تقع بالمعاطاة أيضا</w:t>
      </w:r>
      <w:r>
        <w:rPr>
          <w:rFonts w:eastAsia="Amiri" w:cs="Amiri" w:ascii="Amiri" w:hAnsi="Amiri"/>
          <w:color w:val="111111"/>
          <w:sz w:val="28"/>
          <w:szCs w:val="28"/>
          <w:rtl w:val="true"/>
          <w:lang w:bidi="ar-SA"/>
        </w:rPr>
        <w:t xml:space="preserve">. </w:t>
      </w:r>
      <w:bookmarkStart w:id="722" w:name="pg9674_84421"/>
    </w:p>
    <w:p>
      <w:pPr>
        <w:pStyle w:val="BookText"/>
        <w:rPr/>
      </w:pPr>
      <w:bookmarkEnd w:id="722"/>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التذكرة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البعث من المهدي كالايجاب، و القبض من المهدى اليه كالقبول؛ لأنّ الهدايا كانت تحمل الى رسول‌اللّه صلى‌الله‌عليه‌و‌آله من كسرى و قيصر و سائر الملوك فيقبلها، و لا لفظ هناك و تصرّف فيها تصرّف المالك، و استمرّ الحال من عهده الى هذا الوقت من سائر الأصقاع، و لهذا كانوا يبعثون على أيدي الصبيان الذين لايعتدّ بعباراتهم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6"/>
      </w:r>
    </w:p>
    <w:p>
      <w:pPr>
        <w:pStyle w:val="Heading2"/>
        <w:numPr>
          <w:ilvl w:val="1"/>
          <w:numId w:val="1"/>
        </w:numPr>
        <w:rPr/>
      </w:pPr>
      <w:bookmarkStart w:id="723" w:name="__RefHeading___Toc7971776_2870459653"/>
      <w:bookmarkStart w:id="724" w:name="_Toc250"/>
      <w:bookmarkEnd w:id="723"/>
      <w:r>
        <w:rPr>
          <w:rtl w:val="true"/>
        </w:rPr>
        <w:t xml:space="preserve">فيما يعتبر في العاقد </w:t>
      </w:r>
      <w:r>
        <w:rPr>
          <w:rtl w:val="true"/>
        </w:rPr>
        <w:t xml:space="preserve">... </w:t>
      </w:r>
      <w:r>
        <w:rPr/>
        <w:t>332</w:t>
      </w:r>
      <w:bookmarkEnd w:id="724"/>
    </w:p>
    <w:p>
      <w:pPr>
        <w:pStyle w:val="BookText"/>
        <w:rPr/>
      </w:pPr>
      <w:r>
        <w:rPr>
          <w:rFonts w:ascii="Amiri" w:hAnsi="Amiri" w:eastAsia="Amiri" w:cs="Amiri"/>
          <w:color w:val="111111"/>
          <w:sz w:val="28"/>
          <w:sz w:val="28"/>
          <w:szCs w:val="28"/>
          <w:rtl w:val="true"/>
          <w:lang w:bidi="ar-SA"/>
        </w:rPr>
        <w:t>و لايصحّ العقد الاّ من بالغ كامل العقل جائز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كلّ من الواهب و الموهوب له البلوغ و العقل و القصد و الاختيار؛ فانّ هذه القيود من الشرائط العامّة لكلّ عقد بل لكلّ انشاء عقدا كان أو ايقاعا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ذكرنا غير مرّة في خلال مباحث المعاملات أنّ معاملات الصبي في الأمور غير الخطيرة، صحيحة باذن الولي و هكذا الكلام في هبته فانّ هبة ماله باذن وليّه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الواهب مضافا الى ما مرّ عدم الحجر عليه بسفه أو فلس؛ لأنّ الهبة تصرّف مالي و هما ممنوعان عن التصرّفات الماليّة، و تصحّ في المفلّس باذن الغرماء أو اجازتهم كما تصحّ باذن الولي في السفيه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اطلاق العقد شامل لمتولّي الايجاب و القبول، فكمالايصحّ ايجاب الهبة من الصبي و المجنون و العبد و المحجور عليه لايصحّ قبولها منهم، لكن تولّي الايجاب منتف منهم و من الولي؛ اذ لا غبطة لهم في هبة مالهم الاّ على وجه نادر، و أمّا القبول فيمكن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الصبي بين من بلغ </w:t>
      </w:r>
      <w:bookmarkStart w:id="725" w:name="pg9674_84422"/>
    </w:p>
    <w:p>
      <w:pPr>
        <w:pStyle w:val="BookText"/>
        <w:rPr/>
      </w:pPr>
      <w:bookmarkEnd w:id="725"/>
      <w:r>
        <w:rPr>
          <w:rFonts w:ascii="Amiri" w:hAnsi="Amiri" w:eastAsia="Amiri" w:cs="Amiri"/>
          <w:color w:val="111111"/>
          <w:sz w:val="28"/>
          <w:sz w:val="28"/>
          <w:szCs w:val="28"/>
          <w:rtl w:val="true"/>
          <w:lang w:bidi="ar-SA"/>
        </w:rPr>
        <w:t>عشرا و غيره خلافا لبعض الأصحاب حيث جوّز هبة و صدقة من بلغ عشرا</w:t>
      </w:r>
      <w:r>
        <w:rPr>
          <w:rFonts w:eastAsia="Amiri" w:cs="Amiri" w:ascii="Amiri" w:hAnsi="Amiri"/>
          <w:color w:val="111111"/>
          <w:sz w:val="28"/>
          <w:szCs w:val="28"/>
          <w:rtl w:val="true"/>
          <w:lang w:bidi="ar-SA"/>
        </w:rPr>
        <w:t>».</w:t>
      </w:r>
      <w:r>
        <w:rPr>
          <w:rStyle w:val="FootnoteAnchor"/>
          <w:rtl w:val="true"/>
        </w:rPr>
        <w:footnoteReference w:id="357"/>
      </w:r>
    </w:p>
    <w:p>
      <w:pPr>
        <w:pStyle w:val="Heading2"/>
        <w:numPr>
          <w:ilvl w:val="1"/>
          <w:numId w:val="1"/>
        </w:numPr>
        <w:rPr/>
      </w:pPr>
      <w:bookmarkStart w:id="726" w:name="__RefHeading___Toc7971778_2870459653"/>
      <w:bookmarkStart w:id="727" w:name="_Toc251"/>
      <w:bookmarkEnd w:id="726"/>
      <w:r>
        <w:rPr>
          <w:rtl w:val="true"/>
        </w:rPr>
        <w:t xml:space="preserve">فيما لو وهب ما في الذمّة </w:t>
      </w:r>
      <w:r>
        <w:rPr>
          <w:rtl w:val="true"/>
        </w:rPr>
        <w:t xml:space="preserve">... </w:t>
      </w:r>
      <w:r>
        <w:rPr/>
        <w:t>333</w:t>
      </w:r>
      <w:bookmarkEnd w:id="727"/>
    </w:p>
    <w:p>
      <w:pPr>
        <w:pStyle w:val="BookText"/>
        <w:rPr/>
      </w:pPr>
      <w:r>
        <w:rPr>
          <w:rFonts w:ascii="Amiri" w:hAnsi="Amiri" w:eastAsia="Amiri" w:cs="Amiri"/>
          <w:color w:val="111111"/>
          <w:sz w:val="28"/>
          <w:sz w:val="28"/>
          <w:szCs w:val="28"/>
          <w:rtl w:val="true"/>
          <w:lang w:bidi="ar-SA"/>
        </w:rPr>
        <w:t>و لو وهب ما في الذمّة فان كانت لغير من عليه الحقّ لم‌يصحّ على الأشبه؛ لأنّها مشروطة بالقبض، و ان كانت له صحّ و صرفت الى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في الابراء القبول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وهب الدين فان كانت لمن عليه الحقّ صحّت و أفادت فائدة الابراء و يعتبر فيها القبول و ان لم‌يعتبر في الابراء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هذه الهبة و الابراء أنّ الثاني اسقاط لما في ذمّة المديون و هذه تمليك له و ان كان يترتّب عليه السقوط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لغير من عليه الحقّ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وهب الدين لمن هو عليه فقد قطع المصنّف و غيره بصحّته في الجملة و نزّل الهبة منزلة الابراء؛ فانّه اسقاط لما في الذمّة فلايفتقر الى قبض، و لايجري فيه الشبهة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 على وقوع الابراء هنا بلفظ الهبة صحيحة معاوية بن عمّار 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على الرجل الدراهم فيهبها له أ له أن‌يرجع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لو لم‌يجعل ابراءً بل هبة لما أمكن اطلاق القول بعدم جواز الرجوع</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ظاهر كلام المصنّف رحمه‌الله أنّه لايشترط هنا القبول كما لايشترط فى الابراء القبول على الأصحّ و ذهب ابن زهرة</w:t>
      </w:r>
      <w:r>
        <w:rPr>
          <w:rStyle w:val="FootnoteAnchor"/>
          <w:rtl w:val="true"/>
        </w:rPr>
        <w:footnoteReference w:id="359"/>
      </w:r>
      <w:r>
        <w:rPr>
          <w:rFonts w:ascii="Amiri" w:hAnsi="Amiri" w:eastAsia="Amiri" w:cs="Amiri"/>
          <w:color w:val="111111"/>
          <w:sz w:val="28"/>
          <w:sz w:val="28"/>
          <w:szCs w:val="28"/>
          <w:rtl w:val="true"/>
          <w:lang w:bidi="ar-SA"/>
        </w:rPr>
        <w:t>و ابن ادريس</w:t>
      </w:r>
      <w:r>
        <w:rPr>
          <w:rStyle w:val="FootnoteAnchor"/>
          <w:rtl w:val="true"/>
        </w:rPr>
        <w:footnoteReference w:id="360"/>
      </w:r>
      <w:r>
        <w:rPr>
          <w:rFonts w:ascii="IRNazanin" w:hAnsi="IRNazanin" w:eastAsia="IRNazanin"/>
          <w:color w:val="111111"/>
          <w:sz w:val="28"/>
          <w:sz w:val="28"/>
          <w:szCs w:val="28"/>
          <w:rtl w:val="true"/>
          <w:lang w:bidi="fa-IR"/>
        </w:rPr>
        <w:t xml:space="preserve">الى اشتراط القبول </w:t>
      </w:r>
      <w:bookmarkStart w:id="728" w:name="pg9674_84423"/>
    </w:p>
    <w:p>
      <w:pPr>
        <w:pStyle w:val="BookText"/>
        <w:rPr/>
      </w:pPr>
      <w:bookmarkEnd w:id="728"/>
      <w:r>
        <w:rPr>
          <w:rFonts w:ascii="Amiri" w:hAnsi="Amiri" w:eastAsia="Amiri" w:cs="Amiri"/>
          <w:color w:val="111111"/>
          <w:sz w:val="28"/>
          <w:sz w:val="28"/>
          <w:szCs w:val="28"/>
          <w:rtl w:val="true"/>
          <w:lang w:bidi="ar-SA"/>
        </w:rPr>
        <w:t>و اختلف كلام الشيخ في المبسوط</w:t>
      </w:r>
      <w:r>
        <w:rPr>
          <w:rStyle w:val="FootnoteAnchor"/>
          <w:rtl w:val="true"/>
        </w:rPr>
        <w:footnoteReference w:id="361"/>
      </w:r>
      <w:r>
        <w:rPr>
          <w:rFonts w:ascii="Amiri" w:hAnsi="Amiri" w:eastAsia="Amiri" w:cs="Amiri"/>
          <w:color w:val="111111"/>
          <w:sz w:val="28"/>
          <w:sz w:val="28"/>
          <w:szCs w:val="28"/>
          <w:rtl w:val="true"/>
          <w:lang w:bidi="ar-SA"/>
        </w:rPr>
        <w:t>، 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عدم الاشتراط أقوى</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المقام من العقود التي لا بدّ فيها من القبول و ان هي بعد تمامها تفيد مفاد الابراء</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يشترط فيها القبول؛ لأنّها كما تقدّم تمليك له و ان كان يترتّب عليها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وهب الدين لغير من هو عليه،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صحّته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عليه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القبض شرط في صحّة الهبة، و ما في الذمّة يمتنع قبضه؛ لأنّه ماهيّة كليّة لا وجود 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ذهب اليه الشيخ و ابن ادريس و العلاّمة في المختلف؛ لأنّه يصحّ بيعه و المعاوضة عليه فصحّت هبته للغير</w:t>
      </w:r>
      <w:r>
        <w:rPr>
          <w:rFonts w:eastAsia="Amiri" w:cs="Amiri" w:ascii="Amiri" w:hAnsi="Amiri"/>
          <w:color w:val="111111"/>
          <w:sz w:val="28"/>
          <w:szCs w:val="28"/>
          <w:rtl w:val="true"/>
          <w:lang w:bidi="ar-SA"/>
        </w:rPr>
        <w:t>».</w:t>
      </w:r>
      <w:r>
        <w:rPr>
          <w:rStyle w:val="FootnoteAnchor"/>
          <w:rtl w:val="true"/>
        </w:rPr>
        <w:footnoteReference w:id="364"/>
      </w:r>
    </w:p>
    <w:p>
      <w:pPr>
        <w:pStyle w:val="Heading2"/>
        <w:numPr>
          <w:ilvl w:val="1"/>
          <w:numId w:val="1"/>
        </w:numPr>
        <w:rPr/>
      </w:pPr>
      <w:bookmarkStart w:id="729" w:name="__RefHeading___Toc7971780_2870459653"/>
      <w:bookmarkStart w:id="730" w:name="_Toc252"/>
      <w:bookmarkEnd w:id="729"/>
      <w:r>
        <w:rPr>
          <w:rtl w:val="true"/>
        </w:rPr>
        <w:t xml:space="preserve">في أنّه لا حكم للهبة ما لم‌تقبض </w:t>
      </w:r>
      <w:r>
        <w:rPr>
          <w:rtl w:val="true"/>
        </w:rPr>
        <w:t xml:space="preserve">... </w:t>
      </w:r>
      <w:r>
        <w:rPr/>
        <w:t>334</w:t>
      </w:r>
      <w:bookmarkEnd w:id="73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حكم للهبة ما لم‌تقبض، و لو أقرّ بالهبة و الاقباض حكم عليه باقراره و لو كانت في يد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أنكر بعد ذلك لم‌يقبل، و لو مات الواهب بعدالعقد و قبل القبض كانت ميراثا</w:t>
      </w:r>
      <w:r>
        <w:rPr>
          <w:rFonts w:eastAsia="Amiri" w:cs="Amiri" w:ascii="Amiri" w:hAnsi="Amiri"/>
          <w:color w:val="111111"/>
          <w:sz w:val="28"/>
          <w:szCs w:val="28"/>
          <w:rtl w:val="true"/>
          <w:lang w:bidi="ar-SA"/>
        </w:rPr>
        <w:t xml:space="preserve">. </w:t>
      </w:r>
      <w:bookmarkStart w:id="731" w:name="pg9674_84424"/>
    </w:p>
    <w:p>
      <w:pPr>
        <w:pStyle w:val="BookText"/>
        <w:rPr/>
      </w:pPr>
      <w:bookmarkEnd w:id="731"/>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732" w:name="__RefHeading___Toc7971782_2870459653"/>
      <w:bookmarkStart w:id="733" w:name="_Toc253"/>
      <w:bookmarkEnd w:id="732"/>
      <w:r>
        <w:rPr>
          <w:rtl w:val="true"/>
        </w:rPr>
        <w:t xml:space="preserve">الفرع الأوّل </w:t>
      </w:r>
      <w:r>
        <w:rPr>
          <w:rtl w:val="true"/>
        </w:rPr>
        <w:t xml:space="preserve">: </w:t>
      </w:r>
      <w:r>
        <w:rPr>
          <w:rtl w:val="true"/>
        </w:rPr>
        <w:t>في شرطيّة القبض في الهبة</w:t>
      </w:r>
      <w:bookmarkEnd w:id="733"/>
    </w:p>
    <w:p>
      <w:pPr>
        <w:pStyle w:val="BookText"/>
        <w:rPr/>
      </w:pPr>
      <w:r>
        <w:rPr>
          <w:rFonts w:ascii="Amiri" w:hAnsi="Amiri" w:eastAsia="Amiri" w:cs="Amiri"/>
          <w:color w:val="111111"/>
          <w:sz w:val="28"/>
          <w:sz w:val="28"/>
          <w:szCs w:val="28"/>
          <w:rtl w:val="true"/>
          <w:lang w:bidi="ar-SA"/>
        </w:rPr>
        <w:t>يشترط في لزوم الهبة قبض الموهوب له و على هذا فلو مات الواهب قبل القبض كانت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الأصحاب في أنّ القبض شرط في الهبة في الجملة، ولكن اختلفوا في أنّه هل هو شرط لصحّتها أو للزومها؟</w:t>
      </w:r>
    </w:p>
    <w:p>
      <w:pPr>
        <w:pStyle w:val="BookText"/>
        <w:rPr/>
      </w:pPr>
      <w:r>
        <w:rPr>
          <w:rFonts w:ascii="Amiri" w:hAnsi="Amiri" w:eastAsia="Amiri" w:cs="Amiri"/>
          <w:color w:val="111111"/>
          <w:sz w:val="28"/>
          <w:sz w:val="28"/>
          <w:szCs w:val="28"/>
          <w:rtl w:val="true"/>
          <w:lang w:bidi="ar-SA"/>
        </w:rPr>
        <w:t>فمعظم المتأخّرين على الأوّل و هو مقتضى كلام المصنّف؛ فانّ الحكم المنفي للهبة بدونه يقتضي رفع جميع الأحكام؛ لأنّه وقع نكرة منفيّة و ذلك يقتضي عدم انعقادها بدونه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الصلاح و العلاّمة في المختلف، و نقله ابن ادريس عن المعظم مع اختياره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فلنذكر الروايات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داود بن الحصين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و النحلة ما لم‌تقبض حتّى يموت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رواية أبي بصير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لاتكون أبدا هبة حتّى يقبضها و الصدقة جائزة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منها مرسلة أبان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 و الهبة ما لم‌تقبض حتّى يموت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الميراث، و ان كان لصبي في حجره و أشهد عليه فهو جائز</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بازائها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عبدالرحمن بن سيّابة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تصدّق الرجل بصدقة أو هبة قبضها صاحبها أو لم‌يقبضها علمت أو لم‌تعلم فهي جائزة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منها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جائزة قبضت أو لم‌تقبض، قسمت أو لم‌تقسم، و النحل لايجوز حتّى تقبض، و انّما أراد الناس ذلك فأخطأوا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منها رواية ابراهيم بن عبدالحميد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بالخيار في الهبة مادامت في يدك فاذا خرجت الى صاحبها فليس لك أن‌ترجع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محمّد بن عيسى بن عبيد قال</w:t>
      </w:r>
      <w:r>
        <w:rPr>
          <w:rFonts w:eastAsia="Amiri" w:cs="Amiri" w:ascii="Amiri" w:hAnsi="Amiri"/>
          <w:color w:val="111111"/>
          <w:sz w:val="28"/>
          <w:szCs w:val="28"/>
          <w:rtl w:val="true"/>
          <w:lang w:bidi="ar-SA"/>
        </w:rPr>
        <w:t xml:space="preserve">: </w:t>
      </w:r>
      <w:bookmarkStart w:id="734" w:name="pg9674_84426"/>
    </w:p>
    <w:p>
      <w:pPr>
        <w:pStyle w:val="BookText"/>
        <w:rPr/>
      </w:pPr>
      <w:bookmarkEnd w:id="7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علي بن محمّد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لك شيئا من ماله ثمّ احتاج اليه أ يأخذه لنفسه أم يبعث به 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في ذلك ما لم‌يخرجه عن يده و لو وصل الينا لرأينا أن‌نواسيه و قد احتاج اليه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فانّ الظاهر من الروايات في الطائفة الثانية أنّ القبض في الهبة شرط في لزومها، و قوله عليه‌السلام في رواية أبي بصير في الطائفة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لاتكون أبدا هبة حتّى يقبضها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يؤوّل الى أنّ الهبة لاتكون هبة لازمة، هذا مع أنّ الروايات الواردة في الطائفة الثانية مقدّمة على الأولى من حيث اعتبار السند و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كلاًّ من الفريقين من الفقهاء قد ادّعى الاجماع لما ذهب اليه، و الظاهر أنّ الصحيح هو القول بعدم اللزوم فيما لم‌يقبضها</w:t>
      </w:r>
      <w:r>
        <w:rPr>
          <w:rFonts w:eastAsia="Amiri" w:cs="Amiri" w:ascii="Amiri" w:hAnsi="Amiri"/>
          <w:color w:val="111111"/>
          <w:sz w:val="28"/>
          <w:szCs w:val="28"/>
          <w:rtl w:val="true"/>
          <w:lang w:bidi="ar-SA"/>
        </w:rPr>
        <w:t>.</w:t>
      </w:r>
    </w:p>
    <w:p>
      <w:pPr>
        <w:pStyle w:val="Heading2"/>
        <w:numPr>
          <w:ilvl w:val="1"/>
          <w:numId w:val="1"/>
        </w:numPr>
        <w:rPr/>
      </w:pPr>
      <w:bookmarkStart w:id="735" w:name="__RefHeading___Toc7971784_2870459653"/>
      <w:bookmarkStart w:id="736" w:name="_Toc254"/>
      <w:bookmarkEnd w:id="735"/>
      <w:r>
        <w:rPr>
          <w:rtl w:val="true"/>
        </w:rPr>
        <w:t xml:space="preserve">الفرع الثاني </w:t>
      </w:r>
      <w:r>
        <w:rPr>
          <w:rtl w:val="true"/>
        </w:rPr>
        <w:t xml:space="preserve">: </w:t>
      </w:r>
      <w:r>
        <w:rPr>
          <w:rtl w:val="true"/>
        </w:rPr>
        <w:t>فيما لو مات الواهب أو الموهوب له</w:t>
      </w:r>
      <w:bookmarkEnd w:id="736"/>
    </w:p>
    <w:p>
      <w:pPr>
        <w:pStyle w:val="BookText"/>
        <w:rPr/>
      </w:pPr>
      <w:r>
        <w:rPr>
          <w:rFonts w:ascii="Amiri" w:hAnsi="Amiri" w:eastAsia="Amiri" w:cs="Amiri"/>
          <w:color w:val="111111"/>
          <w:sz w:val="28"/>
          <w:sz w:val="28"/>
          <w:szCs w:val="28"/>
          <w:rtl w:val="true"/>
          <w:lang w:bidi="ar-SA"/>
        </w:rPr>
        <w:t>لو مات الواهب أو الموهوب له بعد العقد و قبل القبض كان ميراثا كما دلّ عليه موثّقة داود بن الحصين و مرسلة أبان المتقدّمتان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مات الواهب أو الموهوب بعد العقد و قبل القبض كانت ميراثا على المشهور بل في محكي التذكرة نسبته الى علمائنا؛ لعدم اجتماع شرائط الصحّة، مضافا الى ما سمعته من الخبرين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 وأبان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فيهما بكونها ميراثا الاّ أنّه مع ذلك كلّه حكي عن الشيخ و ابن </w:t>
      </w:r>
      <w:bookmarkStart w:id="737" w:name="pg9674_84427"/>
    </w:p>
    <w:p>
      <w:pPr>
        <w:pStyle w:val="BookText"/>
        <w:rPr/>
      </w:pPr>
      <w:bookmarkEnd w:id="737"/>
      <w:r>
        <w:rPr>
          <w:rFonts w:ascii="Amiri" w:hAnsi="Amiri" w:eastAsia="Amiri" w:cs="Amiri"/>
          <w:color w:val="111111"/>
          <w:sz w:val="28"/>
          <w:sz w:val="28"/>
          <w:szCs w:val="28"/>
          <w:rtl w:val="true"/>
          <w:lang w:bidi="ar-SA"/>
        </w:rPr>
        <w:t>البرّاج القول بعدم بطلانها بموت الواهب و كأنّه اجتهاد في مقابلة النصّ</w:t>
      </w:r>
      <w:r>
        <w:rPr>
          <w:rFonts w:eastAsia="Amiri" w:cs="Amiri" w:ascii="Amiri" w:hAnsi="Amiri"/>
          <w:color w:val="111111"/>
          <w:sz w:val="28"/>
          <w:szCs w:val="28"/>
          <w:rtl w:val="true"/>
          <w:lang w:bidi="ar-SA"/>
        </w:rPr>
        <w:t>».</w:t>
      </w:r>
      <w:r>
        <w:rPr>
          <w:rStyle w:val="FootnoteAnchor"/>
          <w:rtl w:val="true"/>
        </w:rPr>
        <w:footnoteReference w:id="373"/>
      </w:r>
    </w:p>
    <w:p>
      <w:pPr>
        <w:pStyle w:val="Heading2"/>
        <w:numPr>
          <w:ilvl w:val="1"/>
          <w:numId w:val="1"/>
        </w:numPr>
        <w:rPr/>
      </w:pPr>
      <w:bookmarkStart w:id="738" w:name="__RefHeading___Toc7971786_2870459653"/>
      <w:bookmarkStart w:id="739" w:name="_Toc255"/>
      <w:bookmarkEnd w:id="738"/>
      <w:r>
        <w:rPr>
          <w:rtl w:val="true"/>
        </w:rPr>
        <w:t xml:space="preserve">الفرع الثالث </w:t>
      </w:r>
      <w:r>
        <w:rPr>
          <w:rtl w:val="true"/>
        </w:rPr>
        <w:t xml:space="preserve">: </w:t>
      </w:r>
      <w:r>
        <w:rPr>
          <w:rtl w:val="true"/>
        </w:rPr>
        <w:t>فيما لو أقرّ الواهب بالهبة و الاقباض</w:t>
      </w:r>
      <w:bookmarkEnd w:id="739"/>
    </w:p>
    <w:p>
      <w:pPr>
        <w:pStyle w:val="BookText"/>
        <w:rPr/>
      </w:pPr>
      <w:r>
        <w:rPr>
          <w:rFonts w:ascii="Amiri" w:hAnsi="Amiri" w:eastAsia="Amiri" w:cs="Amiri"/>
          <w:color w:val="111111"/>
          <w:sz w:val="28"/>
          <w:sz w:val="28"/>
          <w:szCs w:val="28"/>
          <w:rtl w:val="true"/>
          <w:lang w:bidi="ar-SA"/>
        </w:rPr>
        <w:t xml:space="preserve">لو أقرّ الواهب بالهبة و الاقباض، حكم عليه باقراره؛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 ان كانت في يد الواهب؛ لعدم المنافاة بعد جواز اقباضه ايّاها ثمّ ردّها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بعد ذلك لم‌يقبل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اشكال و لا خلاف بل ليس له اليمين على الموهوب له، لأنّ الغرض ثبوت الهبة و الاقباض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المواطاة على الاقرار، و أنّ ما أخبر به لم‌يكن واقعا توجّه له اليمين عليه على المتّهب على حصول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5"/>
      </w:r>
    </w:p>
    <w:p>
      <w:pPr>
        <w:pStyle w:val="Heading2"/>
        <w:numPr>
          <w:ilvl w:val="1"/>
          <w:numId w:val="1"/>
        </w:numPr>
        <w:rPr/>
      </w:pPr>
      <w:bookmarkStart w:id="740" w:name="__RefHeading___Toc7971788_2870459653"/>
      <w:bookmarkStart w:id="741" w:name="_Toc256"/>
      <w:bookmarkEnd w:id="740"/>
      <w:r>
        <w:rPr>
          <w:rtl w:val="true"/>
        </w:rPr>
        <w:t xml:space="preserve">في اشتراط اذن الواهب في صحّة القبض </w:t>
      </w:r>
      <w:r>
        <w:rPr>
          <w:rtl w:val="true"/>
        </w:rPr>
        <w:t xml:space="preserve">... </w:t>
      </w:r>
      <w:r>
        <w:rPr/>
        <w:t>338</w:t>
      </w:r>
      <w:bookmarkEnd w:id="74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صحّة القبض اذن الواهب، فلو قبض الموهوب من غير اذنه لم‌ينتقل الى الموهوب له، و لو وهب ما هو في يد الموهوب له صحّ و لم‌يفتقر الى اذن الواهب في القبض و لا أن‌يمضي زمان يمكن فيه القبض و ربّما صار الى ذلك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وهب الأب أو الجدّ للولدالصغير لزم بالعقد؛ لأنّ قبض الولي قبض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وهبه غير الأب أو الجدّ </w:t>
      </w:r>
    </w:p>
    <w:p>
      <w:pPr>
        <w:pStyle w:val="BookText"/>
        <w:rPr/>
      </w:pPr>
      <w:r>
        <w:rPr>
          <w:rFonts w:ascii="Amiri" w:hAnsi="Amiri" w:eastAsia="Amiri" w:cs="Amiri"/>
          <w:color w:val="111111"/>
          <w:sz w:val="28"/>
          <w:sz w:val="28"/>
          <w:szCs w:val="28"/>
          <w:rtl w:val="true"/>
          <w:lang w:bidi="ar-SA"/>
        </w:rPr>
        <w:t>لم‌يكن له بدّ من القبض عنه سواء كان له ولاية أو لم‌تكن و يتولّى ذلك الولي أو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صحّة القبض اذن الواهب، فلو قبض الموهوب من غير اذنه لم‌ينتقل الى الموهوب له؛ لعدم حصول الشرط الاّ مع الاذن من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وهب ما في يد الموهوب له صحّ و لم‌يفتقر الى اذن الواهب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صحّة القبض الذي هو شرط في صحّة الهبة على ما عرفت، اذن الواهب كما في غيره ممّا اعتبر فيه القبض بلا خلاف أجده فيه بل الاجماع بقسميه عليه، مضافا الى أنّه مقتضى أصل عدم ترتّب الأثر، و أصل عدم الانتقال مع عدم اطلاق يوثق به في تناوله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قبض الموهوب من غير اذنه لم‌ينتقل الى الموهوب له؛ لعدم حصول الشرط الاّ مع الاجازة بناءً على جريانها في مثله، و لا فرق في ذلك عندنا بين المجلس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وهب ما هو في يد الموهوب له صحّ، و لم‌يفتقر الى اذن الواهب في القبض، و لا أن‌يمضي زمان يمكن فيه القبض بلا خلاف أجده بين من تأخّر عن المصنّف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لو وهب الأب أو الجدّ للولد الصغير و لو أنثى ما هو في يده لزم بالعقد بلا خلاف أجده فيه كما في موثّقة داود بن الحصين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كانت لصبي في حجره و أشهد عليه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أنّه لو كان الواهب وليّا على الموهوب له كالأب و الجدّ للولدالصغير و قد وهبه ما في يده صحّ بمجرّد العقد؛ لأنّ قبض الولي قبض عن المولّى </w:t>
      </w:r>
      <w:bookmarkStart w:id="742" w:name="pg9674_84429"/>
    </w:p>
    <w:p>
      <w:pPr>
        <w:pStyle w:val="BookText"/>
        <w:rPr/>
      </w:pPr>
      <w:bookmarkEnd w:id="742"/>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وهبه غير الولي فلا بدّ من القبض و يتولاّه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أن‌يكون الصغير آلة للايصال الى الولي و وقع ذلك باذن الولي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بالولي الأب و الجدّ و ان لم‌يكونا فالحاكم</w:t>
      </w:r>
      <w:r>
        <w:rPr>
          <w:rFonts w:eastAsia="Amiri" w:cs="Amiri" w:ascii="Amiri" w:hAnsi="Amiri"/>
          <w:color w:val="111111"/>
          <w:sz w:val="28"/>
          <w:szCs w:val="28"/>
          <w:rtl w:val="true"/>
          <w:lang w:bidi="ar-SA"/>
        </w:rPr>
        <w:t>.</w:t>
      </w:r>
    </w:p>
    <w:p>
      <w:pPr>
        <w:pStyle w:val="Heading2"/>
        <w:numPr>
          <w:ilvl w:val="1"/>
          <w:numId w:val="1"/>
        </w:numPr>
        <w:rPr/>
      </w:pPr>
      <w:bookmarkStart w:id="743" w:name="__RefHeading___Toc7971790_2870459653"/>
      <w:bookmarkStart w:id="744" w:name="_Toc257"/>
      <w:bookmarkEnd w:id="743"/>
      <w:r>
        <w:rPr>
          <w:rtl w:val="true"/>
        </w:rPr>
        <w:t xml:space="preserve">في جواز هبة المشاع </w:t>
      </w:r>
      <w:r>
        <w:rPr>
          <w:rtl w:val="true"/>
        </w:rPr>
        <w:t xml:space="preserve">... </w:t>
      </w:r>
      <w:r>
        <w:rPr/>
        <w:t>340</w:t>
      </w:r>
      <w:bookmarkEnd w:id="744"/>
    </w:p>
    <w:p>
      <w:pPr>
        <w:pStyle w:val="BookText"/>
        <w:rPr/>
      </w:pPr>
      <w:r>
        <w:rPr>
          <w:rFonts w:ascii="Amiri" w:hAnsi="Amiri" w:eastAsia="Amiri" w:cs="Amiri"/>
          <w:color w:val="111111"/>
          <w:sz w:val="28"/>
          <w:sz w:val="28"/>
          <w:szCs w:val="28"/>
          <w:rtl w:val="true"/>
          <w:lang w:bidi="ar-SA"/>
        </w:rPr>
        <w:t>و هبة المشاع جائزة و قبضه كقبضه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جواز هبة المشاع كغيره؛ لامكان قبضه بتسليم الجميع</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هبة المشاع جائزة عندنا بل عن الغنية و نهج الحقّ الاجماع عليه، بل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أصحابنا في صحّة هبة كلّ ما صحّ بيعه من الأعيان سواء كان مشاعا أو مقسوما من الشريك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هبة المشاع كما يصحّ بيعه على الحدّ الذي يجوز بيعه عند علمائنا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الحجّة مضافا الى العمومات، و فحوى ما دلّ عليه من النصوص الكثيرة التي يمكن دعوى تواترها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موثّقة أحمد بن عمر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دار لم‌تقسم فتصدّق بعض أهل الدار بنصيبه من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كان هبة؟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صحيحة أبي بصير عن أبي عبداللّه عليه‌السلام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الهبة جائزة قبضت أو لم‌تقبض، قسّمت أو لم‌تقسم، و النحل </w:t>
      </w:r>
    </w:p>
    <w:p>
      <w:pPr>
        <w:pStyle w:val="BookText"/>
        <w:rPr/>
      </w:pPr>
      <w:r>
        <w:rPr>
          <w:rFonts w:ascii="Amiri" w:hAnsi="Amiri" w:eastAsia="Amiri" w:cs="Amiri"/>
          <w:color w:val="111111"/>
          <w:sz w:val="28"/>
          <w:sz w:val="28"/>
          <w:szCs w:val="28"/>
          <w:rtl w:val="true"/>
          <w:lang w:bidi="ar-SA"/>
        </w:rPr>
        <w:t>لاتجوز حتّى تقبض و انّما أراد الناس ذلك فأخطأوا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ثمّ قال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قبضه فهو كقبضه في البيع فيجري فيه حينئذ القولان، و هما الاكتفاء بالتخلية مطلقا كما هو المختار، و التفصيل بالتخلية في غير المنقول، و بالنقل و ما في معناه فيه 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حينئذ لا بحث على المختار من تحقّق القبض بالتخلية مطلقا، أمّا على التفصيل فيتحقّق في المنقول بتسليم الموهوب الجميع، كما اذا كان الباقي من الحصّة للواهب أو لغيره و قد أذن، فان امتنع وكّله الموهوب له على القبض عنه، فان امتنع مثلاً رفع الأمر الى الحاكم ليقبضه بنفسه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هبة المشاع؛ لامكان قبضه، و لو بقبض المجموع باذن الشريك أو بتوكيل المتّهب ايّاه في قبض الحصّة الموهوبة عنه، بل الظاهر تحقّق القبض الذي هو شرط للصحّة في المشاع باستيلاء المتّهب عليه من دون اذن الشريك أيضا، و ترتّب الأثر عليه و ان كان تعدّيا بالنسبة اليه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القبض في هبة المشاع كالقبض في البيع، و هو في غير المنقول كالدار و البستان يكون بالتخلية برفع يده عنه و رفع المنافيات و الاذن للموهوب له في التصرّف بحيث صار تحت استيلائه، و في المنقول يكون بالاستقلال و الاستيلاء باليد عليه أو ما هو بمنزلتها باذن الشريك، و لو لم‌يأذن و لو بتوكيل الموهوب لهايّاه رفع الأمر الى الحاكم ليقبضه بنفسه أو بنائبه</w:t>
      </w:r>
      <w:r>
        <w:rPr>
          <w:rFonts w:eastAsia="Amiri" w:cs="Amiri" w:ascii="Amiri" w:hAnsi="Amiri"/>
          <w:color w:val="111111"/>
          <w:sz w:val="28"/>
          <w:szCs w:val="28"/>
          <w:rtl w:val="true"/>
          <w:lang w:bidi="ar-SA"/>
        </w:rPr>
        <w:t xml:space="preserve">. </w:t>
      </w:r>
      <w:bookmarkStart w:id="745" w:name="pg9674_84431"/>
    </w:p>
    <w:p>
      <w:pPr>
        <w:pStyle w:val="Heading2"/>
        <w:numPr>
          <w:ilvl w:val="1"/>
          <w:numId w:val="1"/>
        </w:numPr>
        <w:rPr/>
      </w:pPr>
      <w:bookmarkStart w:id="746" w:name="__RefHeading___Toc7971792_2870459653"/>
      <w:bookmarkStart w:id="747" w:name="_Toc258"/>
      <w:bookmarkEnd w:id="745"/>
      <w:bookmarkEnd w:id="746"/>
      <w:r>
        <w:rPr>
          <w:rtl w:val="true"/>
        </w:rPr>
        <w:t xml:space="preserve">فيما لو وهب لاثنين شيئا </w:t>
      </w:r>
      <w:r>
        <w:rPr>
          <w:rtl w:val="true"/>
        </w:rPr>
        <w:t xml:space="preserve">... </w:t>
      </w:r>
      <w:r>
        <w:rPr/>
        <w:t>342</w:t>
      </w:r>
      <w:bookmarkEnd w:id="747"/>
    </w:p>
    <w:p>
      <w:pPr>
        <w:pStyle w:val="BookText"/>
        <w:rPr/>
      </w:pPr>
      <w:r>
        <w:rPr>
          <w:rFonts w:ascii="Amiri" w:hAnsi="Amiri" w:eastAsia="Amiri" w:cs="Amiri"/>
          <w:color w:val="111111"/>
          <w:sz w:val="28"/>
          <w:sz w:val="28"/>
          <w:szCs w:val="28"/>
          <w:rtl w:val="true"/>
          <w:lang w:bidi="ar-SA"/>
        </w:rPr>
        <w:t>و لو وهب لاثنين شيئا فقبلا و قبضا ملك كلّ واحد منهما ما وهب له فان قبل أحدهما و قبض و امتنع الآخر صحّت الهبة للقابض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تفضيل بعض الولد على بعض في العطيّة على كراهية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2"/>
        <w:numPr>
          <w:ilvl w:val="1"/>
          <w:numId w:val="1"/>
        </w:numPr>
        <w:rPr/>
      </w:pPr>
      <w:bookmarkStart w:id="748" w:name="__RefHeading___Toc7971794_2870459653"/>
      <w:bookmarkStart w:id="749" w:name="_Toc259"/>
      <w:bookmarkEnd w:id="748"/>
      <w:r>
        <w:rPr>
          <w:rtl w:val="true"/>
        </w:rPr>
        <w:t xml:space="preserve">الفرع الأوّل </w:t>
      </w:r>
      <w:r>
        <w:rPr>
          <w:rtl w:val="true"/>
        </w:rPr>
        <w:t xml:space="preserve">: </w:t>
      </w:r>
      <w:r>
        <w:rPr>
          <w:rtl w:val="true"/>
        </w:rPr>
        <w:t>فيما لو وهب شيئين أو شيئا واحدا لاثنين</w:t>
      </w:r>
      <w:bookmarkEnd w:id="749"/>
    </w:p>
    <w:p>
      <w:pPr>
        <w:pStyle w:val="BookText"/>
        <w:rPr/>
      </w:pPr>
      <w:r>
        <w:rPr>
          <w:rFonts w:ascii="Amiri" w:hAnsi="Amiri" w:eastAsia="Amiri" w:cs="Amiri"/>
          <w:color w:val="111111"/>
          <w:sz w:val="28"/>
          <w:sz w:val="28"/>
          <w:szCs w:val="28"/>
          <w:rtl w:val="true"/>
          <w:lang w:bidi="ar-SA"/>
        </w:rPr>
        <w:t>لو وهب شيئين لشخصين فقبلا و قبضا كان لكلّ واحد منهما أحدهما، و كذا لو وهب لاثنين شيئا واحدا فقبلا و قبضا صحّ على سبيل الاشاعة؛ لوجود المقتضي من العمومات و ارتفاع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قبل أحدهما و قبض و امتنع الآخر صحّت الهبة للقابض منهما في النصف؛ لاجتماع شرائط صحّتها فيه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ذا من تبعيض العقد؛ فانّه باعتبار تعدّد القابل كان بمنزلة عقدين كما لو اشتريا دفعة، فانّ لكلّ منهما حكم نفسه في الخيار و نحوه كما في المسالك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يجوز للواهب الرجوع بهبة أحدهما دون الآخر، و كذا الحال فيما لو تعدّد الواهب، و اتّحد القابل</w:t>
      </w:r>
      <w:r>
        <w:rPr>
          <w:rFonts w:eastAsia="Amiri" w:cs="Amiri" w:ascii="Amiri" w:hAnsi="Amiri"/>
          <w:color w:val="111111"/>
          <w:sz w:val="28"/>
          <w:szCs w:val="28"/>
          <w:rtl w:val="true"/>
          <w:lang w:bidi="ar-SA"/>
        </w:rPr>
        <w:t>».</w:t>
      </w:r>
      <w:r>
        <w:rPr>
          <w:rStyle w:val="FootnoteAnchor"/>
          <w:rtl w:val="true"/>
        </w:rPr>
        <w:footnoteReference w:id="382"/>
      </w:r>
    </w:p>
    <w:p>
      <w:pPr>
        <w:pStyle w:val="Heading2"/>
        <w:numPr>
          <w:ilvl w:val="1"/>
          <w:numId w:val="1"/>
        </w:numPr>
        <w:rPr/>
      </w:pPr>
      <w:bookmarkStart w:id="750" w:name="__RefHeading___Toc7971796_2870459653"/>
      <w:bookmarkStart w:id="751" w:name="_Toc260"/>
      <w:bookmarkEnd w:id="750"/>
      <w:r>
        <w:rPr>
          <w:rtl w:val="true"/>
        </w:rPr>
        <w:t xml:space="preserve">الفرع الثاني </w:t>
      </w:r>
      <w:r>
        <w:rPr>
          <w:rtl w:val="true"/>
        </w:rPr>
        <w:t xml:space="preserve">: </w:t>
      </w:r>
      <w:r>
        <w:rPr>
          <w:rtl w:val="true"/>
        </w:rPr>
        <w:t>في جواز تفضيل بعض الولد على بعض</w:t>
      </w:r>
      <w:bookmarkEnd w:id="75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تفضيل بعض الولد على بعض في العطيّة؛ يدلّ على ذلك روايات </w:t>
      </w:r>
    </w:p>
    <w:p>
      <w:pPr>
        <w:pStyle w:val="BookText"/>
        <w:rPr/>
      </w:pPr>
      <w:r>
        <w:rPr>
          <w:rFonts w:ascii="Amiri" w:hAnsi="Amiri" w:eastAsia="Amiri" w:cs="Amiri"/>
          <w:color w:val="111111"/>
          <w:sz w:val="28"/>
          <w:sz w:val="28"/>
          <w:szCs w:val="28"/>
          <w:rtl w:val="true"/>
          <w:lang w:bidi="ar-SA"/>
        </w:rPr>
        <w:t>كصحيحة محمّد بن قيس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الرجل يفضّل بعض ولده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نساءه</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صحيحة محمّد بن مسلم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له الولد من غير أمّ يفضّل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صحيحة اسماعيل بن عبدالخالق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 في الرجل يخصّ بعض ولده ببعض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ولكنّه يكره ذلك لرواية السكوني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رسول‌اللّه صلى‌الله‌عليه‌و‌آله الى رجل له ابنان فقبّل أحدهما و ترك الآخر، فقال له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يحرم تفضيل بعض الولد على بعض في العطيّة اذا كان سببا لاثارة الفتنة و الشحناء و البغضاء المؤدّية الى الفساد كما أنّه ربّما يستحبّ التفضيل فيما اذا يؤمن من الفساد و يكون لبعضهم خصوصيّة موجبة لأولويّة رعايته</w:t>
      </w:r>
      <w:r>
        <w:rPr>
          <w:rFonts w:eastAsia="Amiri" w:cs="Amiri" w:ascii="Amiri" w:hAnsi="Amiri"/>
          <w:color w:val="111111"/>
          <w:sz w:val="28"/>
          <w:szCs w:val="28"/>
          <w:rtl w:val="true"/>
          <w:lang w:bidi="ar-SA"/>
        </w:rPr>
        <w:t xml:space="preserve">. </w:t>
      </w:r>
      <w:bookmarkStart w:id="752" w:name="pg9674_84433"/>
    </w:p>
    <w:p>
      <w:pPr>
        <w:pStyle w:val="Heading2"/>
        <w:numPr>
          <w:ilvl w:val="1"/>
          <w:numId w:val="1"/>
        </w:numPr>
        <w:rPr/>
      </w:pPr>
      <w:bookmarkStart w:id="753" w:name="__RefHeading___Toc7971798_2870459653"/>
      <w:bookmarkStart w:id="754" w:name="_Toc261"/>
      <w:bookmarkEnd w:id="752"/>
      <w:bookmarkEnd w:id="753"/>
      <w:r>
        <w:rPr>
          <w:rtl w:val="true"/>
        </w:rPr>
        <w:t xml:space="preserve">في حكم الهبة اذا كانت لذي رحم </w:t>
      </w:r>
      <w:r>
        <w:rPr>
          <w:rtl w:val="true"/>
        </w:rPr>
        <w:t xml:space="preserve">... </w:t>
      </w:r>
      <w:r>
        <w:rPr/>
        <w:t>344</w:t>
      </w:r>
      <w:bookmarkEnd w:id="754"/>
    </w:p>
    <w:p>
      <w:pPr>
        <w:pStyle w:val="BookText"/>
        <w:rPr/>
      </w:pPr>
      <w:r>
        <w:rPr>
          <w:rFonts w:ascii="Amiri" w:hAnsi="Amiri" w:eastAsia="Amiri" w:cs="Amiri"/>
          <w:color w:val="111111"/>
          <w:sz w:val="28"/>
          <w:sz w:val="28"/>
          <w:szCs w:val="28"/>
          <w:rtl w:val="true"/>
          <w:lang w:bidi="ar-SA"/>
        </w:rPr>
        <w:t>و اذا قبضت الهبة فان كانت للأبوين لم‌يكن للواهب الرجوع اجماعا، و كذا ان كان ذا رحم غيرهما، و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أجنبيّا فله الرجوع مادامت العين باقية فان تلفت فلا رجوع، و كذا ان عوّض عنها و لو كان العوض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يلزم بالتصرّف؟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755" w:name="__RefHeading___Toc7971800_2870459653"/>
      <w:bookmarkStart w:id="756" w:name="_Toc262"/>
      <w:bookmarkEnd w:id="755"/>
      <w:r>
        <w:rPr>
          <w:rtl w:val="true"/>
        </w:rPr>
        <w:t xml:space="preserve">الفرع الأوّل </w:t>
      </w:r>
      <w:r>
        <w:rPr>
          <w:rtl w:val="true"/>
        </w:rPr>
        <w:t xml:space="preserve">: </w:t>
      </w:r>
      <w:r>
        <w:rPr>
          <w:rtl w:val="true"/>
        </w:rPr>
        <w:t>في الرجوع في الهبة اذا كانت لذي رحم</w:t>
      </w:r>
      <w:bookmarkEnd w:id="756"/>
    </w:p>
    <w:p>
      <w:pPr>
        <w:pStyle w:val="BookText"/>
        <w:rPr/>
      </w:pPr>
      <w:r>
        <w:rPr>
          <w:rFonts w:ascii="Amiri" w:hAnsi="Amiri" w:eastAsia="Amiri" w:cs="Amiri"/>
          <w:color w:val="111111"/>
          <w:sz w:val="28"/>
          <w:sz w:val="28"/>
          <w:szCs w:val="28"/>
          <w:rtl w:val="true"/>
          <w:lang w:bidi="ar-SA"/>
        </w:rPr>
        <w:t xml:space="preserve">لايجوز رجوع الواهب في الهبة فيما اذا كانت لذي رحم و قد تمّت الهبة بالقبض أبا كان أو أمّا أو ولدا أو غيرهم من ذي رحم و ان حلّ نكاحه؛ يدلّ على ذلك صحيحة محمّد بن مسلم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و النحلة يرجع فيها صاحبها ان شاء، حيّزت أو لم‌تحز الاّ لذي رحم فانّه لايرجع فيها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صحيحة عبدالرحمن بن أبي عبداللّه و عبداللّه بن سليمان جميعا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عبداللّه عليه‌السلام عن الرجل يهب الهبة، أ يرجع فيها ان شاء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الهبة لذوي القرابة و الذي يثاب عن هبته و يرجع في غير ذلك ان شاء</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لايعارضها موثّقة داود بن الحصين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لأحد أن‌يرجع في صدقة أو هبة؟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تصدّق به للّه فلا، و أمّا الهبة و النحلة فانّه يرجع فيها حازها أو لم‌يحزها و ان كانت لذي قرابة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لأنّها تحمل على ما احتملها صاحب الوسائل رحمه‌الله جمعا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كون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لم‌يحزها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لا للقسمين، يعني مع عدم القبض يجوز الرجوع في الهبة و ان كانت لذي قرابة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الولد و ولد الولد و ان نزل، الذكور و الاناث عند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اللزوم، و اطلاق ما دلّ من النصوص على عدم جواز الرجوع في الهبة بعد القبض المقتصر في تقييدها على غير المقام و خصوص ما مرّ من النصوص في الأولاد الصغار هنا و في الصدقة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الأرحام فالمشهور نقلاً و تحصيلاً أنّهم كذلك أيضا، بل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عامّة من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يظهر من التحرير الاجماع عليه، بل عن الغنية دعواه صريحا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بالرحم في هذا الباب و في الصلة و غيرهما مطلق القريب المعروف بالنسب و ان بعدت لحمته و جاز نكاحه، 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موضع نصّ و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الى آية أولي الأرحام و الصدق العرفي و غير ذلك، فما عن بعضهم من اختصاصه بمن يحرم نكاحه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1"/>
      </w:r>
      <w:bookmarkStart w:id="757" w:name="pg9674_84435"/>
    </w:p>
    <w:p>
      <w:pPr>
        <w:pStyle w:val="Heading2"/>
        <w:numPr>
          <w:ilvl w:val="1"/>
          <w:numId w:val="1"/>
        </w:numPr>
        <w:rPr/>
      </w:pPr>
      <w:bookmarkStart w:id="758" w:name="__RefHeading___Toc7971802_2870459653"/>
      <w:bookmarkStart w:id="759" w:name="_Toc263"/>
      <w:bookmarkEnd w:id="757"/>
      <w:bookmarkEnd w:id="758"/>
      <w:r>
        <w:rPr>
          <w:rtl w:val="true"/>
        </w:rPr>
        <w:t xml:space="preserve">الفرع الثاني </w:t>
      </w:r>
      <w:r>
        <w:rPr>
          <w:rtl w:val="true"/>
        </w:rPr>
        <w:t xml:space="preserve">: </w:t>
      </w:r>
      <w:r>
        <w:rPr>
          <w:rtl w:val="true"/>
        </w:rPr>
        <w:t>في الرجوع في الهبة اذا كانت للزوج أو الزوجة</w:t>
      </w:r>
      <w:bookmarkEnd w:id="759"/>
    </w:p>
    <w:p>
      <w:pPr>
        <w:pStyle w:val="BookText"/>
        <w:rPr/>
      </w:pPr>
      <w:r>
        <w:rPr>
          <w:rFonts w:ascii="Amiri" w:hAnsi="Amiri" w:eastAsia="Amiri" w:cs="Amiri"/>
          <w:color w:val="111111"/>
          <w:sz w:val="28"/>
          <w:sz w:val="28"/>
          <w:szCs w:val="28"/>
          <w:rtl w:val="true"/>
          <w:lang w:bidi="ar-SA"/>
        </w:rPr>
        <w:t xml:space="preserve">لايجوز الرجوع في الهبة بعد القبض اذا كانت للزوج أو الزوجة؛ تدلّ على ذلك صحيحة زرارة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لايرجع الرجل فيما يهب لامرأته و لا المرأة فيما تهب لزوجها حيّز أو لم‌يحز؛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لايحلّ لكم أن‌تأخذوا ممّا آتيتموهنّ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يدخل في الصداق و الهبة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لاتعارضها صحيحة محمّد بن مسلم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كانت له جارية فآذته امرأته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قال ذلك للّه فليمضها، و ان لم‌يقل فله أن‌يرجع ان شاء فيها</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لأنّها في بيان حكم الصدقة و أنّه 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موضوع الصدقة و ان لم‌يقل ذلك فلايتحقّق موضوعها و لا صلة له بالهبة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اشتمال صحيحة زرارة على ما لايقول به أحد و هو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لم‌يحز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لايقول أحد بعدم جواز الرجوع فيما لم‌يقبض، ففيه أنّه يؤوّل بأنّ المقصود منقوله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لم‌يحز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هبة المشاع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القول لا فرق في الزوجة بين الدائمة و المنقطعة</w:t>
      </w:r>
      <w:r>
        <w:rPr>
          <w:rFonts w:eastAsia="Amiri" w:cs="Amiri" w:ascii="Amiri" w:hAnsi="Amiri"/>
          <w:color w:val="111111"/>
          <w:sz w:val="28"/>
          <w:szCs w:val="28"/>
          <w:rtl w:val="true"/>
          <w:lang w:bidi="ar-SA"/>
        </w:rPr>
        <w:t xml:space="preserve">. </w:t>
      </w:r>
      <w:bookmarkStart w:id="760" w:name="pg9674_84436"/>
    </w:p>
    <w:p>
      <w:pPr>
        <w:pStyle w:val="Heading2"/>
        <w:numPr>
          <w:ilvl w:val="1"/>
          <w:numId w:val="1"/>
        </w:numPr>
        <w:rPr/>
      </w:pPr>
      <w:bookmarkStart w:id="761" w:name="__RefHeading___Toc7971804_2870459653"/>
      <w:bookmarkStart w:id="762" w:name="_Toc264"/>
      <w:bookmarkEnd w:id="760"/>
      <w:bookmarkEnd w:id="761"/>
      <w:r>
        <w:rPr>
          <w:rtl w:val="true"/>
        </w:rPr>
        <w:t xml:space="preserve">الفرع الثالث </w:t>
      </w:r>
      <w:r>
        <w:rPr>
          <w:rtl w:val="true"/>
        </w:rPr>
        <w:t xml:space="preserve">: </w:t>
      </w:r>
      <w:r>
        <w:rPr>
          <w:rtl w:val="true"/>
        </w:rPr>
        <w:t>في الرجوع في الهبة اذا كان الموهوب له أجنبيّا</w:t>
      </w:r>
      <w:bookmarkEnd w:id="762"/>
    </w:p>
    <w:p>
      <w:pPr>
        <w:pStyle w:val="BookText"/>
        <w:rPr/>
      </w:pPr>
      <w:r>
        <w:rPr>
          <w:rFonts w:ascii="Amiri" w:hAnsi="Amiri" w:eastAsia="Amiri" w:cs="Amiri"/>
          <w:color w:val="111111"/>
          <w:sz w:val="28"/>
          <w:sz w:val="28"/>
          <w:szCs w:val="28"/>
          <w:rtl w:val="true"/>
          <w:lang w:bidi="ar-SA"/>
        </w:rPr>
        <w:t>ان كانت الهبة لأجنبي غير الزوج و الزوجة و قد قبضها كان للواهب الرجوع فيها مادامت العين باقية، فان تلفت كلاًّ أو بعضا فلا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رجوع ان عوّض المتّهب عنها و لو كان يسيرا؛ يدلّ على جواز الرجوع في الهبة مادامت العين قائمة و عدم جوازه اذا تلفت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الهبة قائمة بعينها فله أن‌يرجع و الاّ فليس له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يدلّ أيضا على عدم جواز الرجوع في الهبة بعد التعويض صحيحة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عوّض صاحب الهبة فليس له أن‌يرجع</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 العين الموجب للزوم الهبة أعمّ من كونه من قبل اللّه تعالى و غيره حتّى من المتّهب، فليس الخلاف في هذه الصورة الاّ من المرتضى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تلفها أجمع تلف بعضها و ان قلّ؛ لدلالة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الحلبي 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فانّ العين مع تلف جزء منها لاتعدّ قائمة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ان عوّض عنها و لو كان العوض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المواضعالموجبة للزومها من الأجنبي، و هو موضع وفاق من جميع الأصحاب حتّى من المرتضى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العوض بين القليل و الكثير مع تراضيهما عليه؛ لاطلاق </w:t>
      </w:r>
      <w:bookmarkStart w:id="763" w:name="pg9674_84437"/>
    </w:p>
    <w:p>
      <w:pPr>
        <w:pStyle w:val="BookText"/>
        <w:rPr/>
      </w:pPr>
      <w:bookmarkEnd w:id="763"/>
      <w:r>
        <w:rPr>
          <w:rFonts w:ascii="Amiri" w:hAnsi="Amiri" w:eastAsia="Amiri" w:cs="Amiri"/>
          <w:color w:val="111111"/>
          <w:sz w:val="28"/>
          <w:sz w:val="28"/>
          <w:szCs w:val="28"/>
          <w:rtl w:val="true"/>
          <w:lang w:bidi="ar-SA"/>
        </w:rPr>
        <w:t>النصّ و الفتوى، و لأنّها تصير بالتعويض معاوضة محضة فيلزم؛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العوض بين كونه من بعض الموهوب و غيره، عملاً بالاطلاق، و لأنّه بالقبض بعد العقد مملوك للمتّهب فيصحّ بذله عوضا عن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6"/>
      </w:r>
    </w:p>
    <w:p>
      <w:pPr>
        <w:pStyle w:val="Heading2"/>
        <w:numPr>
          <w:ilvl w:val="1"/>
          <w:numId w:val="1"/>
        </w:numPr>
        <w:rPr/>
      </w:pPr>
      <w:bookmarkStart w:id="764" w:name="__RefHeading___Toc7971806_2870459653"/>
      <w:bookmarkStart w:id="765" w:name="_Toc265"/>
      <w:bookmarkEnd w:id="764"/>
      <w:r>
        <w:rPr>
          <w:rtl w:val="true"/>
        </w:rPr>
        <w:t xml:space="preserve">الفرع الرابع </w:t>
      </w:r>
      <w:r>
        <w:rPr>
          <w:rtl w:val="true"/>
        </w:rPr>
        <w:t xml:space="preserve">: </w:t>
      </w:r>
      <w:r>
        <w:rPr>
          <w:rtl w:val="true"/>
        </w:rPr>
        <w:t>في أنّ التصرّف الناقل أو المغيّر للعين ملحق بالتلف</w:t>
      </w:r>
      <w:bookmarkEnd w:id="765"/>
    </w:p>
    <w:p>
      <w:pPr>
        <w:pStyle w:val="BookText"/>
        <w:rPr/>
      </w:pPr>
      <w:r>
        <w:rPr>
          <w:rFonts w:ascii="Amiri" w:hAnsi="Amiri" w:eastAsia="Amiri" w:cs="Amiri"/>
          <w:color w:val="111111"/>
          <w:sz w:val="28"/>
          <w:sz w:val="28"/>
          <w:szCs w:val="28"/>
          <w:rtl w:val="true"/>
          <w:lang w:bidi="ar-SA"/>
        </w:rPr>
        <w:t>يلحق بالتلف التصرّف الناقل كالبيع و الهبة أو المغيّر للعين بحيث يصدق معه عدم قيام العين بعينها كالحنطة يطحنها و الدقيق يخبزه و الثوب يفصله أو يصبغه و نحو ذلك ؛ و الدليل على ذلك قوله عليه‌السلام في صحيحة الحلبي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كانت الهبة قائمة بعينها فله أن‌يرجع و الاّ فليس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التصرّف الغير المغيّر للعين فلايمنع الواهب من الرجوع كالثوب يلبسه و الفراش يفرشه و الدابّة يركبها أو يعلفها أو يسقيها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الشهيد رحمه‌الله قد بحث في المسألة بحثا طويلاً نذكر ملخّصه فقال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تمّت الهبة بالعقد و القبض، و لم‌يكن لذي رحم و لا زوج و لا زوجة، و لم‌يعوّض المتّهب عنها، و لم‌يتلف في يده، ولكن تصرّف فيها تصرّفا لايسوغ له قبل التملّك، فهل يلزم الهبة بذلك، و يكون التصرّف من جملةالأسباب الموجبة للزومها، أم تبقى جائزة على ما كانت قبل التصرّف؟ فيه أقوال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الذي اختاره المصنّف في الكتاب و مختصره، و قبله سلاّر و أبو الصلاح، و هو ظاهر ابن الجنيد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تأثير التصرّف مطلقا في لزومها، بل </w:t>
      </w:r>
      <w:bookmarkStart w:id="766" w:name="pg9674_84438"/>
    </w:p>
    <w:p>
      <w:pPr>
        <w:pStyle w:val="BookText"/>
        <w:rPr/>
      </w:pPr>
      <w:bookmarkEnd w:id="766"/>
      <w:r>
        <w:rPr>
          <w:rFonts w:ascii="Amiri" w:hAnsi="Amiri" w:eastAsia="Amiri" w:cs="Amiri"/>
          <w:color w:val="111111"/>
          <w:sz w:val="28"/>
          <w:sz w:val="28"/>
          <w:szCs w:val="28"/>
          <w:rtl w:val="true"/>
          <w:lang w:bidi="ar-SA"/>
        </w:rPr>
        <w:t>للواهب فسخها كما كان له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تلزم بالتصرّف مطلقا، ذهب اليه الشيخان و ابن البرّاج و ابن ادريس و أكثر المتأخّرين كالعلاّمة و الشهيد رحمه‌الله في اللمعة،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بلزومها مع خروجه عن ملكه، أو تغيّر صورته كقصارة الثوب و نجارة الخشب، أو كون التصرّف بالوطي، و عدمه بدون ذلك كالركوب و السكنى و اللبن و نحوها من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 حمزة، و الشهيد في الدروس، و جماعة من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فصّل الأقوال مع دليلها و الردّ عليها الى أن‌قال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حجّة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التفصيل بتغيّر العين و زوالها عن الملك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الحلبي المتقدّمة 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كانت الهبة قائمة بعينها فله أن‌يرجع فيها و الاّ فليس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ردّ هذا القول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ظهر ممّا ذكرناه أنّ أمتن الأقوال و أوضحها دلالة من النصوص الصحيحة المتكثّرة هو ما اختاره المصنّف من القول ببقاء هذا العقد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ولكنّ الظاهر أنّ أمتن الأقوال و أوضحها دلالة القول الثالث و هو اللزوم بتغيّر العين أو زوالها عن الملك كما تقدّم</w:t>
      </w:r>
      <w:r>
        <w:rPr>
          <w:rFonts w:eastAsia="Amiri" w:cs="Amiri" w:ascii="Amiri" w:hAnsi="Amiri"/>
          <w:color w:val="111111"/>
          <w:sz w:val="28"/>
          <w:szCs w:val="28"/>
          <w:rtl w:val="true"/>
          <w:lang w:bidi="ar-SA"/>
        </w:rPr>
        <w:t>.</w:t>
      </w:r>
    </w:p>
    <w:p>
      <w:pPr>
        <w:pStyle w:val="Heading2"/>
        <w:numPr>
          <w:ilvl w:val="1"/>
          <w:numId w:val="1"/>
        </w:numPr>
        <w:rPr/>
      </w:pPr>
      <w:bookmarkStart w:id="767" w:name="__RefHeading___Toc7971808_2870459653"/>
      <w:bookmarkStart w:id="768" w:name="_Toc266"/>
      <w:bookmarkEnd w:id="767"/>
      <w:r>
        <w:rPr>
          <w:rtl w:val="true"/>
        </w:rPr>
        <w:t xml:space="preserve">في استحباب العطيّة لذوي الرحم </w:t>
      </w:r>
      <w:r>
        <w:rPr>
          <w:rtl w:val="true"/>
        </w:rPr>
        <w:t xml:space="preserve">... </w:t>
      </w:r>
      <w:r>
        <w:rPr/>
        <w:t>349</w:t>
      </w:r>
      <w:bookmarkEnd w:id="76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تستحبّ العطيّة لذوي الرحم و تتأكّد في الولد و الوالد، و التسوية بين الأولاد في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الرجوع فيما تهبه الزوجة لزوجها و الزوج لزوجته،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يجريان مجرى ذوي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أشبه</w:t>
      </w:r>
      <w:r>
        <w:rPr>
          <w:rFonts w:eastAsia="Amiri" w:cs="Amiri" w:ascii="Amiri" w:hAnsi="Amiri"/>
          <w:color w:val="111111"/>
          <w:sz w:val="28"/>
          <w:szCs w:val="28"/>
          <w:rtl w:val="true"/>
          <w:lang w:bidi="ar-SA"/>
        </w:rPr>
        <w:t xml:space="preserve">. </w:t>
      </w:r>
      <w:bookmarkStart w:id="769" w:name="pg9674_84439"/>
    </w:p>
    <w:p>
      <w:pPr>
        <w:pStyle w:val="Heading2"/>
        <w:numPr>
          <w:ilvl w:val="1"/>
          <w:numId w:val="1"/>
        </w:numPr>
        <w:rPr/>
      </w:pPr>
      <w:bookmarkStart w:id="770" w:name="__RefHeading___Toc7971810_2870459653"/>
      <w:bookmarkStart w:id="771" w:name="_Toc267"/>
      <w:bookmarkEnd w:id="769"/>
      <w:bookmarkEnd w:id="770"/>
      <w:r>
        <w:rPr>
          <w:rtl w:val="true"/>
        </w:rPr>
        <w:t xml:space="preserve">في استحباب العطيّة لذوي الرحم </w:t>
      </w:r>
      <w:r>
        <w:rPr>
          <w:rtl w:val="true"/>
        </w:rPr>
        <w:t xml:space="preserve">... </w:t>
      </w:r>
      <w:r>
        <w:rPr/>
        <w:t>349</w:t>
      </w:r>
      <w:bookmarkEnd w:id="771"/>
    </w:p>
    <w:p>
      <w:pPr>
        <w:pStyle w:val="BookText"/>
        <w:rPr/>
      </w:pPr>
      <w:r>
        <w:rPr>
          <w:rFonts w:ascii="Amiri" w:hAnsi="Amiri" w:eastAsia="Amiri" w:cs="Amiri"/>
          <w:color w:val="111111"/>
          <w:sz w:val="28"/>
          <w:sz w:val="28"/>
          <w:szCs w:val="28"/>
          <w:rtl w:val="true"/>
          <w:lang w:bidi="ar-SA"/>
        </w:rPr>
        <w:t>تستحبّ العطيّة لذي الرحم و ان كان فقيرا، و تتأكّد في الولد و الوالد الذين هم أولى من غيرهم من الأرحام؛ لأنّها من صلة الرحم المعلوم ندبها كتابا و سنّة،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آتى المال على حبّه ذوي القربى</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 و المسكين و ابن السبيل</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بالوالدين احسانا و بذي القربى</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رواية السكوني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رسول‌اللّه صلى‌الله‌عليه‌و‌آله 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الرحم الكاشح</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في رواية أخرى عن السكوني عن أبي عبداللّه عليه‌السلام عن رسول‌اللّه صلى‌الله‌عليه‌و‌آلهقال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بعشرة و القرض بثمانيه‌عشر، و صلة الاخوان بعشرين و صلة الرحم بأربعة و عشرين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صحيحة عمر بن يزيد عن أبي عبداللّه عليه‌السلام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الصدقة على من يسأل على الأبواب، أو يمسك ذلك عنهم و يعطيه ذوي 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يبعث بها الى من بينه و بينهقرابة، فهذا أعظم للأجر</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يجوز تفضيل بعض الأولاد و النساء على بعض في العطيّة؛ ففي صحيحة محمّد بن قيس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الرجل يفضّل بعض ولده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نساءه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صحيحة محمّد بن مسلم عن أبي عبداللّه عليه‌السلام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له الولد من غير أمّ يفضّل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9674_84442"/>
      <w:bookmarkStart w:id="773" w:name="pg9674_84442"/>
      <w:bookmarkEnd w:id="773"/>
    </w:p>
    <w:p>
      <w:pPr>
        <w:pStyle w:val="Heading2"/>
        <w:numPr>
          <w:ilvl w:val="1"/>
          <w:numId w:val="1"/>
        </w:numPr>
        <w:rPr/>
      </w:pPr>
      <w:bookmarkStart w:id="774" w:name="pg9674_84442"/>
      <w:bookmarkStart w:id="775" w:name="__RefHeading___Toc7971812_2870459653"/>
      <w:bookmarkStart w:id="776" w:name="_Toc268"/>
      <w:bookmarkEnd w:id="774"/>
      <w:bookmarkEnd w:id="775"/>
      <w:r>
        <w:rPr>
          <w:rtl w:val="true"/>
        </w:rPr>
        <w:t xml:space="preserve">النظر الثاني </w:t>
      </w:r>
      <w:r>
        <w:rPr>
          <w:rtl w:val="true"/>
        </w:rPr>
        <w:t xml:space="preserve">: </w:t>
      </w:r>
      <w:r>
        <w:rPr>
          <w:rtl w:val="true"/>
        </w:rPr>
        <w:t>في حكم الهبات</w:t>
      </w:r>
      <w:bookmarkEnd w:id="776"/>
    </w:p>
    <w:p>
      <w:pPr>
        <w:pStyle w:val="BookText"/>
        <w:rPr/>
      </w:pPr>
      <w:r>
        <w:rPr>
          <w:rFonts w:ascii="Amiri" w:hAnsi="Amiri" w:eastAsia="Amiri" w:cs="Amiri"/>
          <w:color w:val="111111"/>
          <w:sz w:val="28"/>
          <w:sz w:val="28"/>
          <w:szCs w:val="28"/>
          <w:rtl w:val="true"/>
          <w:lang w:bidi="ar-SA"/>
        </w:rPr>
        <w:t>و هي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فأقبض ثمّ باع من آخر فان كان الموهوب له رحما لم‌يصحّ البيع، و كذا ان كان أجنبيّا و قد عوّض، أمّا لو كان أجنبيّا و لم‌يعوّض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يبطل؛ لأنّه باع ما لايملك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لأنّ له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الهبة فاسدة صحّ البيع على الأحوال، و كذا القول فيمن باع مال مورّثه و هو يعتقد بقاءه، و كذا اذا أوصى برقبة معتقه و ظهر فساد عتقه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باع الواهب العين الموهوبة فان كانت الهبة لازمة بأن‌كانت لذي رحم أو معوّضة يقع البيع فضوليّا فان أجاز المتّهب صحّ و الاّ بطل؛ و ذلك لصيرورة الموهوب ملك الغير بالهبة اللازمة فالواهب تصرّف في ملك الغير بدون اذنه فيصير البيع فضوليّا قهرا و تتوقّف على اجازة من له حقّ الاجازة، و أمّا ان كانت الهبة غير لازمة فالظاهر صحّة البيع و وقوعه من الواهب و كان رجوعا فى الهبة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وهب فأقبض ثمّ باع مثلاً من آخر فان كان الموهوب له رحما، لم‌يصحّ البيع على وجه يترقّب عليه أثره، بل يكون فضولاً، و كذا ان كان أجنبيّا و قد عوّض أو نحو ذلك ممّا تكون الهبة به لازمة؛ ضرورة وقوع البيع حينئذ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أجنبيّا و لم‌يعوّض فلا اشكال في زوال ملك المتّهب، بل في المسالك و عن ظاهر المحكي عن التذكرة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صحّة البيع و فساده، و اليه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و القاضي و يحيى بن سعيد على ما حكي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يبطل البيع؛ لأنّه باع ما لايملك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الشيء الواحد لايحصل به الفسخ و العقد، و لأنّ البيع موقوف على الملك الموقوف على الفسخ، المتأخّر عن البيع، باعتبار كونه سببا فيه، و السبب متقدّم على المسبّب، فلو كان الفسخ سببا في صحّته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لأنّ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لم‌أعرف القائل به ممّن تقدّم على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خيرة الفاضل في جملة من كتبه و ولده و الشهيد في الحواشي و المحقّق الثاني و الشهيد الثاني و الخراساني على ما حكى عن بعضهم؛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العقد يدلّ على تحقّق ارادة الفسخ قبل العقد، فيكشف العقد عن حصول الفسخ بالقصد اليه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الرجوع في الهبة عليه عرفا اذا كان مع العمد و الالتفات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صحّة البيع متوقّفة على الرجوع؛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توقّف الرجوع على البيع يكون ذلك دورا باطلاً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 أوّلاً أنّه ليس المراد بقوله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الاّ في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ملكيّة المبيع </w:t>
      </w:r>
      <w:bookmarkStart w:id="777" w:name="pg9674_84444"/>
    </w:p>
    <w:p>
      <w:pPr>
        <w:pStyle w:val="BookText"/>
        <w:rPr/>
      </w:pPr>
      <w:bookmarkEnd w:id="777"/>
      <w:r>
        <w:rPr>
          <w:rFonts w:ascii="Amiri" w:hAnsi="Amiri" w:eastAsia="Amiri" w:cs="Amiri"/>
          <w:color w:val="111111"/>
          <w:sz w:val="28"/>
          <w:sz w:val="28"/>
          <w:szCs w:val="28"/>
          <w:rtl w:val="true"/>
          <w:lang w:bidi="ar-SA"/>
        </w:rPr>
        <w:t>بل المراد به مالكيّة البيع و صحّة صدوره منه سواء كان مالكا للمبيع أم لا، و لا ريب في أنّ للواهب حقّ بيع الموهوب و سلطنته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أنّه لا اثنينيّة في المقام حتّى يتحقّق الدور الذي هو متقوّم بذلك بل لايصدر من الواهب الاّ البيع فقط، و حيث انّه مناف لبقاء الهبة فينتزع عنه الرجوع عند المتعارف فلا وجه للدور حينئذ</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لو كانت الهبة فاسدة صحّ البيع مطلقا سواء كانت الهبة لرحم أو غيره، عوّض عنها أو لم‌يعوّض؛ لوقوع العقد من مالك جائز التصرّف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القول فيمن باع مال مورّثه و هو يعتقد بقاءه؛ لأنّ البائع باع ما هو ملكه؛ لحصول الشرط المعتبر في اللزوم و هو صدور البيع عن مالك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المسالك</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أوصى برقبة معتقه و ظهر فساد عتقه بأن‌كان قد أعتقها قبل الوصيّة ثمّ ظهر فساد عتقه لها و أنّ الوصيّة صادفت ملكا فتقع صحيحة و ان كانت بحسب الظاهر غير صحيحة حال الوصيّة؛ لمصادفة الشرط و هو الملك في نفس الأمر حال الوصيّة</w:t>
      </w:r>
      <w:r>
        <w:rPr>
          <w:rFonts w:eastAsia="Amiri" w:cs="Amiri" w:ascii="Amiri" w:hAnsi="Amiri"/>
          <w:color w:val="111111"/>
          <w:sz w:val="28"/>
          <w:szCs w:val="28"/>
          <w:rtl w:val="true"/>
          <w:lang w:bidi="ar-SA"/>
        </w:rPr>
        <w:t>.</w:t>
      </w:r>
    </w:p>
    <w:p>
      <w:pPr>
        <w:pStyle w:val="Heading2"/>
        <w:numPr>
          <w:ilvl w:val="1"/>
          <w:numId w:val="1"/>
        </w:numPr>
        <w:rPr/>
      </w:pPr>
      <w:bookmarkStart w:id="778" w:name="__RefHeading___Toc7971814_2870459653"/>
      <w:bookmarkStart w:id="779" w:name="_Toc269"/>
      <w:bookmarkEnd w:id="778"/>
      <w:r>
        <w:rPr>
          <w:rtl w:val="true"/>
        </w:rPr>
        <w:t xml:space="preserve">فيما اذا تراخى القبض عن العقد ثمّ أقبض </w:t>
      </w:r>
      <w:r>
        <w:rPr>
          <w:rtl w:val="true"/>
        </w:rPr>
        <w:t xml:space="preserve">... </w:t>
      </w:r>
      <w:r>
        <w:rPr/>
        <w:t>355</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تراخى القبض عن العقد ثمّ أقبض حكم بانتقال الملك من حين القبض لا من حين العقد و ليس كذلك الوصيّة فانّه يحكم بانتقالها بالموت مع القبول و ان تأخّر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لايعتبر الفوريّة في القبض و لا كونه في مجلس العقد فيجوز فيه التراخي عن العقد و لو بزمان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تراخى يحصل الانتقال الى الموهوب له من حينه فما </w:t>
      </w:r>
      <w:bookmarkStart w:id="780" w:name="pg9674_84445"/>
    </w:p>
    <w:p>
      <w:pPr>
        <w:pStyle w:val="BookText"/>
        <w:rPr/>
      </w:pPr>
      <w:bookmarkEnd w:id="780"/>
      <w:r>
        <w:rPr>
          <w:rFonts w:ascii="Amiri" w:hAnsi="Amiri" w:eastAsia="Amiri" w:cs="Amiri"/>
          <w:color w:val="111111"/>
          <w:sz w:val="28"/>
          <w:sz w:val="28"/>
          <w:szCs w:val="28"/>
          <w:rtl w:val="true"/>
          <w:lang w:bidi="ar-SA"/>
        </w:rPr>
        <w:t>كان له من النماء سابقا على القبض يكون للواهب؛ يدلّ على ذلك مرسلة أبان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 و الهبة ما لم‌تقبض حتّى يموت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موثّقة داود بن الحصين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و النحلة ما لم‌تقبض حتّى يموت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تراخى القبض عن العقد ثمّ أقبض، حكم بانتقال الملك؛ لعدم اعتبار الفوريّة فيه، بلا خلاف أجده؛ لاطلاق ما دلّ على شرطيّته</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ليست الوصيّة كذلك؛ فانّه يحكم بانتقالها بالموت مع القبول و ان تأخّر القبض عنهما؛ لعدم مدخليّته في الملك بها؛ لاطلاق الأدلّة</w:t>
      </w:r>
      <w:r>
        <w:rPr>
          <w:rFonts w:eastAsia="Amiri" w:cs="Amiri" w:ascii="Amiri" w:hAnsi="Amiri"/>
          <w:color w:val="111111"/>
          <w:sz w:val="28"/>
          <w:szCs w:val="28"/>
          <w:rtl w:val="true"/>
          <w:lang w:bidi="ar-SA"/>
        </w:rPr>
        <w:t>.</w:t>
      </w:r>
    </w:p>
    <w:p>
      <w:pPr>
        <w:pStyle w:val="Heading2"/>
        <w:numPr>
          <w:ilvl w:val="1"/>
          <w:numId w:val="1"/>
        </w:numPr>
        <w:rPr/>
      </w:pPr>
      <w:bookmarkStart w:id="781" w:name="__RefHeading___Toc7971816_2870459653"/>
      <w:bookmarkStart w:id="782" w:name="_Toc270"/>
      <w:bookmarkEnd w:id="781"/>
      <w:r>
        <w:rPr>
          <w:rtl w:val="true"/>
        </w:rPr>
        <w:t>فيما لو قال</w:t>
      </w:r>
      <w:r>
        <w:rPr>
          <w:rtl w:val="true"/>
        </w:rPr>
        <w:t>: «</w:t>
      </w:r>
      <w:r>
        <w:rPr>
          <w:rtl w:val="true"/>
        </w:rPr>
        <w:t>وهبت و لم‌أقبضه</w:t>
      </w:r>
      <w:r>
        <w:rPr>
          <w:rtl w:val="true"/>
        </w:rPr>
        <w:t xml:space="preserve">» ... </w:t>
      </w:r>
      <w:r>
        <w:rPr/>
        <w:t>356</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 و لم‌أقبضه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قوله، و للمقرّ له احلافه ان ادّعى الاقباض،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وهبته و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أنكر القبض؛ لأنّه يمكن أن‌يخبر عن وهمه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الواهب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وهبت هذا الشيء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قوله؛ لأنّه منكر له؛ اذ الأصل عدم وقوع القبض، و لو ادّعى المقرّ له الاقباض و لم‌يكن له بيّنة فيجوز له احلافه</w:t>
      </w:r>
      <w:r>
        <w:rPr>
          <w:rFonts w:eastAsia="Amiri" w:cs="Amiri" w:ascii="Amiri" w:hAnsi="Amiri"/>
          <w:color w:val="111111"/>
          <w:sz w:val="28"/>
          <w:szCs w:val="28"/>
          <w:rtl w:val="true"/>
          <w:lang w:bidi="ar-SA"/>
        </w:rPr>
        <w:t xml:space="preserve">. </w:t>
      </w:r>
      <w:bookmarkStart w:id="783" w:name="pg9674_84446"/>
    </w:p>
    <w:p>
      <w:pPr>
        <w:pStyle w:val="BookText"/>
        <w:rPr/>
      </w:pPr>
      <w:bookmarkEnd w:id="783"/>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وهبته و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أنكر القبض فان كان ممّا يحتمل فيه السهو والاخبار عن وهمه أو امكان ارادته التأكيد بصيغة التمليك فيقبل قوله؛ لأنّه منكر و الأصل عدم وقوع القبض</w:t>
      </w:r>
      <w:r>
        <w:rPr>
          <w:rFonts w:eastAsia="Amiri" w:cs="Amiri" w:ascii="Amiri" w:hAnsi="Amiri"/>
          <w:color w:val="111111"/>
          <w:sz w:val="28"/>
          <w:szCs w:val="28"/>
          <w:rtl w:val="true"/>
          <w:lang w:bidi="ar-SA"/>
        </w:rPr>
        <w:t>.</w:t>
      </w:r>
    </w:p>
    <w:p>
      <w:pPr>
        <w:pStyle w:val="Heading2"/>
        <w:numPr>
          <w:ilvl w:val="1"/>
          <w:numId w:val="1"/>
        </w:numPr>
        <w:rPr/>
      </w:pPr>
      <w:bookmarkStart w:id="784" w:name="__RefHeading___Toc7971818_2870459653"/>
      <w:bookmarkStart w:id="785" w:name="_Toc271"/>
      <w:bookmarkEnd w:id="784"/>
      <w:r>
        <w:rPr>
          <w:rtl w:val="true"/>
        </w:rPr>
        <w:t xml:space="preserve">فيما اذا رجع في الهبة و قد عابت </w:t>
      </w:r>
      <w:r>
        <w:rPr>
          <w:rtl w:val="true"/>
        </w:rPr>
        <w:t xml:space="preserve">... </w:t>
      </w:r>
      <w:r>
        <w:rPr/>
        <w:t>357</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 في الهبة و قد عابت لم‌يرجع بالأرش، و ان زادت زيادة متّصلة فللواهب، و ان كانت منفصلة كالثمرة و الولد فان كانت متجدّدة كانت للموهوب له، و ان كانت حاصلة وقت العقد كانت للواهب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رجع الواهب في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له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عابت لم‌يرجع بالأرش؛ لأنّه حدث في عين مملوكة للمتّهب و قد سلّطه مالكها على اتلافها مجّانا فلم‌تكن مضمونة عليه، سواء كان العيب بفعله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زادت زيادة متّصلة كالسمن و تعلّم الصنعة فهي للواهب؛ لأنّها ثابتة للعين بل داخلة في مسمّاها أو جزء لها لغة و عرفا فالرجوع في العين يستتبعها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منفصلة كالولد و اللبن المحلوب و الثمرة المقطوعة فهي للمتّهب؛ لأنّها نماء حدث في ملكه و من ملكه فيختصّ به، و أمّا لو حدثت قبل العقد و القبض فهي كالموجودة قبل الهبة فيرجع فيها</w:t>
      </w:r>
      <w:r>
        <w:rPr>
          <w:rFonts w:eastAsia="Amiri" w:cs="Amiri" w:ascii="Amiri" w:hAnsi="Amiri"/>
          <w:color w:val="111111"/>
          <w:sz w:val="28"/>
          <w:szCs w:val="28"/>
          <w:rtl w:val="true"/>
          <w:lang w:bidi="ar-SA"/>
        </w:rPr>
        <w:t>.</w:t>
      </w:r>
    </w:p>
    <w:p>
      <w:pPr>
        <w:pStyle w:val="Heading2"/>
        <w:numPr>
          <w:ilvl w:val="1"/>
          <w:numId w:val="1"/>
        </w:numPr>
        <w:rPr/>
      </w:pPr>
      <w:bookmarkStart w:id="786" w:name="__RefHeading___Toc7971820_2870459653"/>
      <w:bookmarkStart w:id="787" w:name="_Toc272"/>
      <w:bookmarkEnd w:id="786"/>
      <w:r>
        <w:rPr>
          <w:rtl w:val="true"/>
        </w:rPr>
        <w:t xml:space="preserve">فيما اذا وهب و أطلق </w:t>
      </w:r>
      <w:r>
        <w:rPr>
          <w:rtl w:val="true"/>
        </w:rPr>
        <w:t xml:space="preserve">... </w:t>
      </w:r>
      <w:r>
        <w:rPr/>
        <w:t>357</w:t>
      </w:r>
      <w:bookmarkEnd w:id="78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وهب و أطلق لم‌تكن الهبة مشروطة بالثواب، فان أثاب لم‌يكن للواهب الرجوع، و ان شرط الثواب صحّ أطلق أو عيّن، و له الرجوع ما لم‌يدفع اليه ما شرط، و مع الاشتراط من غير تقدير يدفع ما شاء و لو كان يسيرا، و لم‌يكن للواهب مع قبضه الرجوع و لايجبر الموهوب له على دفع المشترط بل يكون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تلفت و الحال هذه أو عابت لم‌يضمن </w:t>
      </w:r>
    </w:p>
    <w:p>
      <w:pPr>
        <w:pStyle w:val="BookText"/>
        <w:rPr/>
      </w:pPr>
      <w:r>
        <w:rPr>
          <w:rFonts w:ascii="Amiri" w:hAnsi="Amiri" w:eastAsia="Amiri" w:cs="Amiri"/>
          <w:color w:val="111111"/>
          <w:sz w:val="28"/>
          <w:sz w:val="28"/>
          <w:szCs w:val="28"/>
          <w:rtl w:val="true"/>
          <w:lang w:bidi="ar-SA"/>
        </w:rPr>
        <w:t>الموهوب له؛ لأنّ ذلك حدث في ملكه، 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عوّض الموهوب له عن الهبة و لو كان يسيرا لايرجع الواهب اليها من غير فرق بين ما كان اعطاء العوض لأجل اشتراط له في الهبة و ما لم‌يكن كذلك بأن أطلق في العقد لكنّ المتّهب أثاب الواهب و أعطاه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فاذا وهب و أطلق لم‌يلزم على المتّهب اعطاء الثواب و العوض، و لو أعطى العوض لم‌يجب على الواهب قبوله، ولكن ان قبل و أخذه لزمت الهبة و لم‌يكن له الرجوع فيما وهبه و لم‌يكن للمتّهب أيضا الرجوع في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شرط الواهب الثواب صحّ، أطلق أو عيّن، و له الرجوع ما لم‌يدفع اليه ما شرط، و لايجبر الموهوب له على دفع المشترط و ان كان يجب عليه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تلفت بعد ما شرط و لم‌يدفع اليه ما شرط أو عابت،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لم‌يضمن الموهوب له؛ لأنّه حدث 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وهب شيئا فلايخلو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أن‌يشترط الواهب على المتّهب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التعويض عن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يشترط عدمه،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اشتراط الثواب لايخلو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أن‌يعيّنه بقدر مخصوص،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التقادير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أن‌يكون المتّهب أعلى من الواهب، أو مساويا،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اثنتا عشرة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حكمها أنّه مع اشتراط عدم الثواب لايلزم قطعا مطلقا، و مع اشتراطه يلزم ما شرطه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عيّنه لزم ما عيّن، بمعنى أنّ المتّهب ان دفع المشروط 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تسلّط الواهب على الفسخ، و ان أطلق اشتراط الثواب لزم أيضا الوفاء به، لكن ان اتّفقا على قدر فذاك، و الاّ وجب أثابه مقدار الموهوب مثلاً أو قيمة، و لايلزمه </w:t>
      </w:r>
    </w:p>
    <w:p>
      <w:pPr>
        <w:pStyle w:val="BookText"/>
        <w:rPr/>
      </w:pPr>
      <w:r>
        <w:rPr>
          <w:rFonts w:ascii="Amiri" w:hAnsi="Amiri" w:eastAsia="Amiri" w:cs="Amiri"/>
          <w:color w:val="111111"/>
          <w:sz w:val="28"/>
          <w:sz w:val="28"/>
          <w:szCs w:val="28"/>
          <w:rtl w:val="true"/>
          <w:lang w:bidi="ar-SA"/>
        </w:rPr>
        <w:t>الأزيد و ان طلبه الواهب، كما لايجبر الواهب على قبول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قيمةالموهوب عند القبض اذا وقع بعد العقد، و يحتمل عند دفع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أطلق الهبة و لم‌يشترط أحد الأمرين فالهبة جائزة من قبل الواهب الاّ أن‌يثيبه المتّهب بما يتّفقان عليه، و مع الاختلاف يرجع الى مثل الموهوب أو قيمته،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هبة الأعلى و المساوي و الأدنى على أصحّ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العين الموهوبة المشروط فيها الثواب لو تلفت في يد المتّهب أو عابت قبل دفع العوض المشترط و قبل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بفعله كلبس الثوب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يضمن المتّهب الأرش أو الأصل، أم لا؟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جزم به العلاّمة في التذكرة و ولده في الشرح؛ لأنّ ذلك النقص حدث في ملك المتّهب فلم‌يلزمه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جزم به ابن الجنيد من المتقدّمين و بعض المتأخّرين؛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لأنّه لم‌يقبضها مجّانا بل ليؤدّي عوضها فلم‌يفعل، و لأنّ الواجب أحد الأمرين ردّها أو دفع العوض، فاذا تعذّر الأوّل وجب الثاني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عن الأوّل بأنّه لم‌يدخل في ملكه مجّانا بل بشرط العوض، و ذلك معنى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13"/>
      </w:r>
      <w:bookmarkStart w:id="788" w:name="pg9674_84449"/>
    </w:p>
    <w:p>
      <w:pPr>
        <w:pStyle w:val="Heading2"/>
        <w:numPr>
          <w:ilvl w:val="1"/>
          <w:numId w:val="1"/>
        </w:numPr>
        <w:rPr/>
      </w:pPr>
      <w:bookmarkStart w:id="789" w:name="__RefHeading___Toc7971822_2870459653"/>
      <w:bookmarkStart w:id="790" w:name="_Toc273"/>
      <w:bookmarkEnd w:id="788"/>
      <w:bookmarkEnd w:id="789"/>
      <w:r>
        <w:rPr>
          <w:rtl w:val="true"/>
        </w:rPr>
        <w:t xml:space="preserve">فيما اذا صبغ الموهوب له الثوب </w:t>
      </w:r>
      <w:r>
        <w:rPr>
          <w:rtl w:val="true"/>
        </w:rPr>
        <w:t xml:space="preserve">... </w:t>
      </w:r>
      <w:r>
        <w:rPr/>
        <w:t>360</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صبغ الموهوب له الثوب فان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التصرّف يمنع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رجوع للواهب، و ان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لايمنع اذا كان الموهوب له أجنبيّا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شريكا بقيمة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بيع الموهوب أو التصرّف الذي لم‌يصدق معه بقاء العين موجب لعدم جواز رجوع الواهب الى الموهوب له و قد قلنا بأنّ الصبغ موجب لتغيّر العين، و أمّا المصنّف فقد ذهب الى أنّ التصرّف لم‌يمنع من الرجوع و لذلك 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التصرّف لايمنع من الرجوع اذا كان الموهوب له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شريكا بقيمة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رجع الواهب في هبته فوجد المتّهب قد عمل فيها عملاً، و جوّزناه مع التصرّف مطلقا كما ذهب اليه المصنّف، فلايخلو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أن‌يكون صفة محضة كقصارة الثوب و طحن الحنطة، أو عينا محضة كغرس الأرض، أو متردّدا بينهما كصبغ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امّا أن‌تزيد قيمة العين بمقدار قيمة الصنعة، أو يزيد عنها، أو ينقص مع زيادتها عن قيمة العين خاصّة، أو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زادت بمقدار القيمتين أو زادت عنهما كان المتّهب شريكا بنسبة قيمة عمله الى قيمة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الثوب يساوي مائة فصبغه بعشرين، فصار يساوي مائة و عشرين أو أزيد، صار شريكا بالسدس؛ لأنّ النسبة بين العشرين و المائة و العشرين هو السدس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شريكا بقيمة الصبغ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بنسبة قيمته الى قيمة الثوب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14"/>
      </w:r>
      <w:bookmarkStart w:id="791" w:name="pg9674_84450"/>
    </w:p>
    <w:p>
      <w:pPr>
        <w:pStyle w:val="Heading2"/>
        <w:numPr>
          <w:ilvl w:val="1"/>
          <w:numId w:val="1"/>
        </w:numPr>
        <w:rPr/>
      </w:pPr>
      <w:bookmarkStart w:id="792" w:name="__RefHeading___Toc7971824_2870459653"/>
      <w:bookmarkStart w:id="793" w:name="_Toc274"/>
      <w:bookmarkEnd w:id="791"/>
      <w:bookmarkEnd w:id="792"/>
      <w:r>
        <w:rPr>
          <w:rtl w:val="true"/>
        </w:rPr>
        <w:t xml:space="preserve">فيما اذا وهب في مرضه المخوف و برأ </w:t>
      </w:r>
      <w:r>
        <w:rPr>
          <w:rtl w:val="true"/>
        </w:rPr>
        <w:t xml:space="preserve">... </w:t>
      </w:r>
      <w:r>
        <w:rPr/>
        <w:t>361</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وهب في مرضه المخوف و برأ صحّت الهبة، و ان مات فيمرضه و لم‌تجز الورثة اعتبرت من الثلث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 المريض اذا برئ من مرضه ينفذ تصرّفه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اتّفق موته في مرضه، فان كان المرض مخوفا بمعنى غلبة الهلاك معه فالأظهر أنّ منجّزاته من الثلث حيث لايجيز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الأصل</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قد فصّلنا البحث عن منجّزات المريض في كتاب الوصيّة</w:t>
      </w:r>
      <w:r>
        <w:rPr>
          <w:rStyle w:val="FootnoteAnchor"/>
          <w:rtl w:val="true"/>
        </w:rPr>
        <w:footnoteReference w:id="41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هنا تمّ ما أردنا</w:t>
      </w:r>
    </w:p>
    <w:p>
      <w:pPr>
        <w:pStyle w:val="BookText"/>
        <w:rPr/>
      </w:pPr>
      <w:r>
        <w:rPr>
          <w:rFonts w:ascii="Amiri" w:hAnsi="Amiri" w:eastAsia="Amiri" w:cs="Amiri"/>
          <w:color w:val="111111"/>
          <w:sz w:val="28"/>
          <w:sz w:val="28"/>
          <w:szCs w:val="28"/>
          <w:rtl w:val="true"/>
          <w:lang w:bidi="ar-SA"/>
        </w:rPr>
        <w:t>بيانه في شرح مسائل الهبات</w:t>
      </w:r>
    </w:p>
    <w:p>
      <w:pPr>
        <w:pStyle w:val="BookText"/>
        <w:rPr/>
      </w:pPr>
      <w:r>
        <w:rPr>
          <w:rFonts w:ascii="Amiri" w:hAnsi="Amiri" w:eastAsia="Amiri" w:cs="Amiri"/>
          <w:color w:val="111111"/>
          <w:sz w:val="28"/>
          <w:sz w:val="28"/>
          <w:szCs w:val="28"/>
          <w:rtl w:val="true"/>
          <w:lang w:bidi="ar-SA"/>
        </w:rPr>
        <w:t>و يتلوه شرح كتاب السبق و الرماية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9674_84452"/>
      <w:bookmarkStart w:id="795" w:name="pg9674_84452"/>
      <w:bookmarkEnd w:id="795"/>
    </w:p>
    <w:p>
      <w:pPr>
        <w:pStyle w:val="Heading2"/>
        <w:numPr>
          <w:ilvl w:val="1"/>
          <w:numId w:val="1"/>
        </w:numPr>
        <w:rPr/>
      </w:pPr>
      <w:bookmarkStart w:id="796" w:name="pg9674_84452"/>
      <w:bookmarkStart w:id="797" w:name="__RefHeading___Toc7971826_2870459653"/>
      <w:bookmarkStart w:id="798" w:name="_Toc275"/>
      <w:bookmarkEnd w:id="796"/>
      <w:bookmarkEnd w:id="797"/>
      <w:r>
        <w:rPr>
          <w:rtl w:val="true"/>
        </w:rPr>
        <w:t xml:space="preserve">كتاب السبق و الرماية </w:t>
      </w:r>
      <w:r>
        <w:rPr>
          <w:rtl w:val="true"/>
        </w:rPr>
        <w:t xml:space="preserve">/ </w:t>
      </w:r>
      <w:r>
        <w:rPr/>
        <w:t>363</w:t>
      </w:r>
      <w:bookmarkEnd w:id="798"/>
    </w:p>
    <w:p>
      <w:pPr>
        <w:pStyle w:val="BookText"/>
        <w:rPr/>
      </w:pPr>
      <w:r>
        <w:rPr>
          <w:rFonts w:ascii="Amiri" w:hAnsi="Amiri" w:eastAsia="Amiri" w:cs="Amiri"/>
          <w:color w:val="111111"/>
          <w:sz w:val="28"/>
          <w:sz w:val="28"/>
          <w:szCs w:val="28"/>
          <w:rtl w:val="true"/>
          <w:lang w:bidi="ar-SA"/>
        </w:rPr>
        <w:t xml:space="preserve">و فائدتهما بعث العزم على الاستعداد للقتال، و الهداية لممارسة النضال، و هي معاملة صحيحة مستندها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الاّ في نصل أو خفّ أو 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الملائكة لتنفر عند الرهان و تلعن صاحبه ما خلا الحافر و الخفّ و الريش و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جميع المسلمين في شرعيّة هذا العقد، بل أمر النبي صلى‌الله‌عليه‌و‌آله به في عدّة مواطن؛ لما فيه من الفائدة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 أهمّ الفوائد الدينيّة؛ لما يحصل بها من غلبة العدوّ في الجهاد لأعداء اللّه تعالى الذي هو أعظم أركان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الفائدة يخرج عن اللهو و اللعب المنهي عن المعاملة عليهما، و من ثمّ كان مقصورا على ما ورد النصّ بتسويغه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الرواية المذكورة في المتن رواها العامّة في الصحيح عن النبي صلى‌الله‌عليه‌و‌آله، و رواها أصحابنا في الحسن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في الرواية فتح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العوض المبذول للعمل كما سيأتي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ماهيّته المنفيّة غير مرادة بل المراد نفي حكم من أحكامها أو مجموعها </w:t>
      </w:r>
    </w:p>
    <w:p>
      <w:pPr>
        <w:pStyle w:val="BookText"/>
        <w:rPr/>
      </w:pPr>
      <w:r>
        <w:rPr>
          <w:rFonts w:ascii="Amiri" w:hAnsi="Amiri" w:eastAsia="Amiri" w:cs="Amiri"/>
          <w:color w:val="111111"/>
          <w:sz w:val="28"/>
          <w:sz w:val="28"/>
          <w:szCs w:val="28"/>
          <w:rtl w:val="true"/>
          <w:lang w:bidi="ar-SA"/>
        </w:rPr>
        <w:t>بطريق المجاز كنظائره، و أقرب المجازات اليه نفي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لايصحّ بذل العوض في هذه المعاملة الاّ في هذه الثلاثة، و على هذا لاينفى جواز غيرها بغير 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رواه بعضهم بسكون الباء و هو المصدر، أي لايقع هذا الفعل الاّ في الثلاثة فيكون ماعداها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اختلف المسابقة بنحو الأقدام و رمي الحجر و رفعه و المصارعة و بالآلات التي تشتمل على نصل بغير عوض هل يجوز أم لا؟ فعلى رواية الفتح يجوز و على السكون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الجواز مع شهرة روايته بين المحدّثين موافقة للأصل، خصوصا مع ترتّب غرض صحيح على تلك الأعمال</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ما ذهب اليه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شهرة رواية الفتح بين المحدّثين و موافقتها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خصوصا مع ترتّب غرض صحيح على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الروايات التي أشار اليها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حفص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الاّ في خفّ أو حافر أو نصل يعني النضال</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رواية عبداللّه بن سنان عن أبي عبداللّه عليه‌السلام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الاّ في خفّ أو حافر أو نصل يعني النضال</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رواية الحسين بن علوان عن جعفر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الاّ في حافر أو نصل أو خفّ</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لتنفر عند الرهان و تلعن صاحبه ما خلا الحافر و الخفّ و الريش و النصل، و قد سابق رسول‌اللّه صلى‌الله‌عليه‌و‌آله أسامة بن زيد و أجرى الخيل</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تحقيق هذا الباب يستدعي فصولاً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 الألفاظ المستعملة فيه</w:t>
      </w:r>
    </w:p>
    <w:p>
      <w:pPr>
        <w:pStyle w:val="BookText"/>
        <w:rPr/>
      </w:pPr>
      <w:r>
        <w:rPr>
          <w:rFonts w:ascii="Amiri" w:hAnsi="Amiri" w:eastAsia="Amiri" w:cs="Amiri"/>
          <w:color w:val="111111"/>
          <w:sz w:val="28"/>
          <w:sz w:val="28"/>
          <w:szCs w:val="28"/>
          <w:rtl w:val="true"/>
          <w:lang w:bidi="ar-SA"/>
        </w:rPr>
        <w:t>الفصل الثاني في ما يسابق به</w:t>
      </w:r>
    </w:p>
    <w:p>
      <w:pPr>
        <w:pStyle w:val="BookText"/>
        <w:rPr/>
      </w:pPr>
      <w:r>
        <w:rPr>
          <w:rFonts w:ascii="Amiri" w:hAnsi="Amiri" w:eastAsia="Amiri" w:cs="Amiri"/>
          <w:color w:val="111111"/>
          <w:sz w:val="28"/>
          <w:sz w:val="28"/>
          <w:szCs w:val="28"/>
          <w:rtl w:val="true"/>
          <w:lang w:bidi="ar-SA"/>
        </w:rPr>
        <w:t>الفصل الثالث في عقد المسابقة و الرماية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في أحكام النضال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9674_84456"/>
      <w:bookmarkStart w:id="800" w:name="pg9674_84456"/>
      <w:bookmarkEnd w:id="800"/>
    </w:p>
    <w:p>
      <w:pPr>
        <w:pStyle w:val="Heading2"/>
        <w:numPr>
          <w:ilvl w:val="1"/>
          <w:numId w:val="1"/>
        </w:numPr>
        <w:rPr/>
      </w:pPr>
      <w:bookmarkStart w:id="801" w:name="pg9674_84456"/>
      <w:bookmarkStart w:id="802" w:name="__RefHeading___Toc7971828_2870459653"/>
      <w:bookmarkStart w:id="803" w:name="_Toc276"/>
      <w:bookmarkEnd w:id="801"/>
      <w:bookmarkEnd w:id="802"/>
      <w:r>
        <w:rPr>
          <w:rtl w:val="true"/>
        </w:rPr>
        <w:t xml:space="preserve">الفصل الأوّل </w:t>
      </w:r>
      <w:r>
        <w:rPr>
          <w:rtl w:val="true"/>
        </w:rPr>
        <w:t xml:space="preserve">: </w:t>
      </w:r>
      <w:r>
        <w:rPr>
          <w:rtl w:val="true"/>
        </w:rPr>
        <w:t>في الألفاظ المستعملة فيه</w:t>
      </w:r>
      <w:bookmarkEnd w:id="803"/>
    </w:p>
    <w:p>
      <w:pPr>
        <w:pStyle w:val="BookText"/>
        <w:rPr/>
      </w:pPr>
      <w:r>
        <w:rPr>
          <w:rFonts w:ascii="Amiri" w:hAnsi="Amiri" w:eastAsia="Amiri" w:cs="Amiri"/>
          <w:color w:val="111111"/>
          <w:sz w:val="28"/>
          <w:sz w:val="28"/>
          <w:szCs w:val="28"/>
          <w:rtl w:val="true"/>
          <w:lang w:bidi="ar-SA"/>
        </w:rPr>
        <w:t>فالسابق هو الذي يتقدّم بالعنق و الكتد،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المصلّي الذي يحاذي رأسه صلوي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الصلوان ما عن يمين الذنب و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 بالتحريك العوض و هو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المحلّل الذي يدخل بين المتراهنين ان سَبق أخذ و ان سُبق لم‌يغرم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مدي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المناضلة المسابقة و المراماة،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أخرج السبق و اذا أحرزه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الرمي و بالفتح الرمي، و يقال رشق وجه و يد و يراد به الرمي على ولاء حتّى يفرغ الرشق</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و غيرهم أنّ السابق هو المتقدّم بعنق دابّته و كتدها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العالي بين أصل العنق و الظهر، و يعبّر عنه بالكاهل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 الاحتياج الى السابق ظاهرة؛ لأنّ العوض في الأغلب يبذل له وحده، و قد يشرك معه غيره، بأن‌يجعل للسابق شيئا و للمصلّي شيئا آخر دونه و هكذا، فيحتاج الى معرفة أسماء المتسابقين اذا ترتّبوا في الحلبة، و قد جرت العادة بتسمية عشرة من خيل الحلبة، و هي المجتمعة للسباق، و ليس لما بعد العاشر منها اسم الاّ الذي يجيء آخر الخيل كلّها،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و الكاف أو بضمّهما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المجلّي، و هو السابق؛ لأنّه جلّى همّه حيث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المصلّي؛ لأنّه يحاذي رأسه صلوي السابق، و هما العظمان النابتان عن يمين الذنب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التالي للمصلّي 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 البارع؛ لأنّه برع المتأخّر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المرتاح هو الخامس؛ سمّي به لأنّ الارتياح النشاط، فكأنّه نشط فلحق بالسوابق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الحظيّ؛ لأنّه صار ذا حظوة و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 لأنّه عطف الى السوابق،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 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اللطيم، و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السكيت مصغّرا مخفّفا؛ لانقطاع العدد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سبقا و 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فهو العوض المبذول للسابق و ما في معناه،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المحلّل هو الذي يدخل بين المتراهنين و لايبذل معهما عوضا، بل يجري فرسه بينهما أو على أحد الجانبين على وجه يتناوله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أنّه ان سَبق أخذ العوض المبذول للسابق، و ان سُبق لم‌يغرم شيئا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الغاية بمعنى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بمدي السباق هنا منتهاه لا مجموع مسافته، و المناضلة مفاعلة من النضل، و هو الرمي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أخرج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العوض، بمعنى ميّزه و أوقع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ما يرمى به من السهام،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رمى رشقا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رمى بسهامه التي يريد رميها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حصل الاتّفاق على رمي خمسة خمسة فكلّ خمسة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رشق وجه و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يراد به الرمي على ولاء حتّى يفرغ الرشق،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رشق وجه و رشق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جهة الرمي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يوصف السهم بالحابي و الخاصر و الخازق و الخاسق و المارق و الخارم، فالحابي ما زلج على الأرض ثمّ أصاب الغرض، و الخاصر ما أصاب أحد جانبيه، و الخازق ما خدشه، و الخاسق ما فتحه و ثبت فيه، و المارق الذي يخرج من الغرض نافذا، و الخارم الذي يخرم حاشيته،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 الذي يضرب الأرض ثمّ يثب الى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ما يقصد اصابته و هو 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الهدف ما يجعل فيه الغرض من تراب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المبادرة هي أن‌يبادر أحدهما الى الاصابة مع التساوي في 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المحاطة هي اسقاط ما تساويا فيه من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المصنّف من أوصاف السهم عند الاصابة ستّة أوصاف و أردفها بسابع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السهم المصيب، و هو أن‌يقع دون الهدف ثمّ يحبو الى الغرض فيصيبه، مأخوذ من حبو الصبي على الأرض، و جمعه حوابي</w:t>
      </w:r>
      <w:r>
        <w:rPr>
          <w:rFonts w:eastAsia="Amiri" w:cs="Amiri" w:ascii="Amiri" w:hAnsi="Amiri"/>
          <w:color w:val="111111"/>
          <w:sz w:val="28"/>
          <w:szCs w:val="28"/>
          <w:rtl w:val="true"/>
          <w:lang w:bidi="ar-SA"/>
        </w:rPr>
        <w:t xml:space="preserve">. </w:t>
      </w:r>
      <w:bookmarkStart w:id="804" w:name="pg9674_84459"/>
    </w:p>
    <w:p>
      <w:pPr>
        <w:pStyle w:val="BookText"/>
        <w:rPr/>
      </w:pPr>
      <w:bookmarkEnd w:id="804"/>
      <w:r>
        <w:rPr>
          <w:rFonts w:ascii="Amiri" w:hAnsi="Amiri" w:eastAsia="Amiri" w:cs="Amiri"/>
          <w:color w:val="111111"/>
          <w:sz w:val="28"/>
          <w:sz w:val="28"/>
          <w:szCs w:val="28"/>
          <w:rtl w:val="true"/>
          <w:lang w:bidi="ar-SA"/>
        </w:rPr>
        <w:t>و معنى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زلج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ثمّ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الخاصرة؛ لأنّها في أحد جانبي الانسان؛ سمّي به لاصابته أحد جانبي الغرض، و هو في معنى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أيضا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 الزاي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الغرض، و ظاهره أنّه لم‌يثقبه و لم‌يثبت فيه، و بهذا صرّح في القواعد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الخازق ما خدشه ثمّ وقع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و هو الصواب الموافق لكلام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يخرج من الغرض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الخارم الذي يخرم حاشية الغرض، بأن‌يصيب طرفه فلايثقبه ولكن يخرمه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ما يقصد اصابته، و الهدف ما يجعل فيه الغرض من تراب أو غيره؛ فانّهم يرتّبون ترابا أو حائطا ينصب فيه الغرض فيسمّون التراب و الحائط هدفا، و ما ينصبون فيه من جلد أو قرطاس يسمّونه الغرض</w:t>
      </w:r>
      <w:r>
        <w:rPr>
          <w:rFonts w:eastAsia="Amiri" w:cs="Amiri" w:ascii="Amiri" w:hAnsi="Amiri"/>
          <w:color w:val="111111"/>
          <w:sz w:val="28"/>
          <w:szCs w:val="28"/>
          <w:rtl w:val="true"/>
          <w:lang w:bidi="ar-SA"/>
        </w:rPr>
        <w:t>.</w:t>
      </w:r>
    </w:p>
    <w:p>
      <w:pPr>
        <w:pStyle w:val="Heading2"/>
        <w:numPr>
          <w:ilvl w:val="1"/>
          <w:numId w:val="1"/>
        </w:numPr>
        <w:rPr/>
      </w:pPr>
      <w:bookmarkStart w:id="805" w:name="__RefHeading___Toc7971830_2870459653"/>
      <w:bookmarkStart w:id="806" w:name="_Toc277"/>
      <w:bookmarkEnd w:id="805"/>
      <w:r>
        <w:rPr>
          <w:rtl w:val="true"/>
        </w:rPr>
        <w:t xml:space="preserve">في أنواع السهم </w:t>
      </w:r>
      <w:r>
        <w:rPr>
          <w:rtl w:val="true"/>
        </w:rPr>
        <w:t xml:space="preserve">... </w:t>
      </w:r>
      <w:r>
        <w:rPr/>
        <w:t>369</w:t>
      </w:r>
      <w:bookmarkEnd w:id="80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المبادرة و المحاطّة، فالمراماة قسمان مبادرة و 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الأوّل أن‌يتّفقا على رمي عدد معيّن كعشرين سهما مثلاً، فمن بدر الى اصابة عدد معيّن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ناضل لمن لم‌يصب أو أصاب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المحاطّة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أن‌يقابل اصاباتهما من العدد المشترط و يطرح المشترك من الاصابات، فمن زاد فيها بعدد معيّن كخمسة مثلاً فناضل للآخر، فيستحقّ المال المشروط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المصنّف من تعريفهما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3"/>
      </w:r>
      <w:bookmarkStart w:id="807" w:name="pg9674_84460"/>
    </w:p>
    <w:p>
      <w:pPr>
        <w:pStyle w:val="Heading2"/>
        <w:numPr>
          <w:ilvl w:val="1"/>
          <w:numId w:val="1"/>
        </w:numPr>
        <w:rPr/>
      </w:pPr>
      <w:bookmarkStart w:id="808" w:name="__RefHeading___Toc7971832_2870459653"/>
      <w:bookmarkStart w:id="809" w:name="_Toc278"/>
      <w:bookmarkEnd w:id="807"/>
      <w:bookmarkEnd w:id="808"/>
      <w:r>
        <w:rPr>
          <w:rtl w:val="true"/>
        </w:rPr>
        <w:t xml:space="preserve">الفصل الثاني </w:t>
      </w:r>
      <w:r>
        <w:rPr>
          <w:rtl w:val="true"/>
        </w:rPr>
        <w:t xml:space="preserve">: </w:t>
      </w:r>
      <w:r>
        <w:rPr>
          <w:rtl w:val="true"/>
        </w:rPr>
        <w:t>فيما يسابق به</w:t>
      </w:r>
      <w:bookmarkEnd w:id="809"/>
    </w:p>
    <w:p>
      <w:pPr>
        <w:pStyle w:val="BookText"/>
        <w:rPr/>
      </w:pPr>
      <w:r>
        <w:rPr>
          <w:rFonts w:ascii="Amiri" w:hAnsi="Amiri" w:eastAsia="Amiri" w:cs="Amiri"/>
          <w:color w:val="111111"/>
          <w:sz w:val="28"/>
          <w:sz w:val="28"/>
          <w:szCs w:val="28"/>
          <w:rtl w:val="true"/>
          <w:lang w:bidi="ar-SA"/>
        </w:rPr>
        <w:t>و يقتصر في الجواز على النصل و الخفّ و الحافر؛ وقوفا على مورد الشرع، و يدخل تحت النصل السهم و النشّاب و الحراب و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يتناول الخفّ الابل و الفيلة؛ اعتبارا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يدلّ الحافر على الفرس و الحمار و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المسابقة بالطيور و لا على القدم و لا بالسفن و لا بالمصارعة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تعليل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وقوفا على مورد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العقد مخالف للأصل فيقتصر في جوازه على مورد الشرع الآذن فيه، و هو الثلاثة المذكورة؛ و انّما كان مخالفا للأصل لاشتماله على اللهو و اللعب و القمار على بعض الوجوه، فالأصل أن لايصحّ منه الاّ ما ورد الشرع بالاذن فيه، و هو الثلاثة المذكورة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الأمر بالوفاء بالعقود و اجماع الأمّة على جوازه فيالجملة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وجود الغاية الصحيحة بل ما هو أفضل </w:t>
      </w:r>
    </w:p>
    <w:p>
      <w:pPr>
        <w:pStyle w:val="BookText"/>
        <w:rPr/>
      </w:pPr>
      <w:r>
        <w:rPr>
          <w:rFonts w:ascii="Amiri" w:hAnsi="Amiri" w:eastAsia="Amiri" w:cs="Amiri"/>
          <w:color w:val="111111"/>
          <w:sz w:val="28"/>
          <w:sz w:val="28"/>
          <w:szCs w:val="28"/>
          <w:rtl w:val="true"/>
          <w:lang w:bidi="ar-SA"/>
        </w:rPr>
        <w:t>الغايات و هو الاستعداد للجهاد و الاستظهار في الجلاد لأعداء الدين و قطّاع الطريق و غيرهم من المفسدين يقتضي جوازه مطلقا، لكن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سبق الاّ في نصل أو 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النهي عمّا عدا الثلاثة، فتبقى هي على أصل الجواز؛ نظرا الى الأدلّة العامّة، و هذا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فانّ الغرض الأقصى منه لمّا كان هو الاستعداد للجهاد، و هو منحصر غالبا في هذه الثلاثة، اقتصر عليها و ألغي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الوسط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السهم هو النشّاب، فالظاهر أنّهما مترادفان، و الحراب جمع الحربة بمعنى الرمح</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حصر النصل فيما ذكر هو المعروف لغة و عرفا، فلايدخل فيه مطلق المحدّد كالدبّوس و عصا المداقق اذا جعل في رأسها حديدة و نحو ذلك؛ عملاً بالأصل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جواز المسابقة على الابل؛ لمشاركتها الخيل في المعنى المطلوب منها حالة الحرب من الانعطاف و سرعة الاقدام، و لأنّ العرب تقاتل عليها أشدّ القتال، و هي داخلة في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الفيلة فهي كذلك عندنا و عند أكثر العامّة؛ لدخولها تحت اسم الخفّ أيضا، و يقاتل عليها كالابل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عندنا في جواز المسابقة على الثلاثة؛ لدخولها تحت الحافر و صلاحيّتها للمسابقة عليها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المسابقة بالطيور و لا على القدم و لا بالسفن و لا بالمصارعة؛ لنفي مشروعيّة ما عدا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منها مع العوض موضع وفاق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خلت هذه الأمور و نحوها من العوض ففي جوازها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في الرواية فتح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نفي مشروعيّة بذل العوض، و لا تعرّض فيها لما عداه فيبقى على أصالة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4"/>
      </w:r>
      <w:bookmarkStart w:id="810" w:name="pg9674_84462"/>
    </w:p>
    <w:p>
      <w:pPr>
        <w:pStyle w:val="Heading2"/>
        <w:numPr>
          <w:ilvl w:val="1"/>
          <w:numId w:val="1"/>
        </w:numPr>
        <w:rPr/>
      </w:pPr>
      <w:bookmarkStart w:id="811" w:name="__RefHeading___Toc7971834_2870459653"/>
      <w:bookmarkStart w:id="812" w:name="_Toc279"/>
      <w:bookmarkEnd w:id="810"/>
      <w:bookmarkEnd w:id="811"/>
      <w:r>
        <w:rPr>
          <w:rtl w:val="true"/>
        </w:rPr>
        <w:t xml:space="preserve">الفصل الثالث </w:t>
      </w:r>
      <w:r>
        <w:rPr>
          <w:rtl w:val="true"/>
        </w:rPr>
        <w:t xml:space="preserve">: </w:t>
      </w:r>
      <w:r>
        <w:rPr>
          <w:rtl w:val="true"/>
        </w:rPr>
        <w:t>في عقد المسابقة و الرماية</w:t>
      </w:r>
      <w:bookmarkEnd w:id="812"/>
    </w:p>
    <w:p>
      <w:pPr>
        <w:pStyle w:val="BookText"/>
        <w:rPr/>
      </w:pPr>
      <w:r>
        <w:rPr>
          <w:rFonts w:ascii="Amiri" w:hAnsi="Amiri" w:eastAsia="Amiri" w:cs="Amiri"/>
          <w:color w:val="111111"/>
          <w:sz w:val="28"/>
          <w:sz w:val="28"/>
          <w:szCs w:val="28"/>
          <w:rtl w:val="true"/>
          <w:lang w:bidi="ar-SA"/>
        </w:rPr>
        <w:t>عقد المسابقة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يفتقر الى ايجاب و قبول،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جعالة فلاتفتقر الى قبول و يكفي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فهو لازم كالاجارة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هو جائز شرع فيه أو لم‌يشرع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أن‌يكون العوض عينا أو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بذل السبق غير المتسابقين صحّ اجماعا، و لو بذله أحدهما أو هما صحّ عندنا و لو لم‌يدخل بينهما محلّل، و لو بذله الامام من بيت المال جاز؛ لأنّ فيه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جعلا السبق للمحلّ بانفراده 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منّا فله السبق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باطلاق الاذن في الرهان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813" w:name="__RefHeading___Toc7971836_2870459653"/>
      <w:bookmarkStart w:id="814" w:name="_Toc280"/>
      <w:bookmarkEnd w:id="813"/>
      <w:r>
        <w:rPr>
          <w:rtl w:val="true"/>
        </w:rPr>
        <w:t xml:space="preserve">الفرع الأوّل </w:t>
      </w:r>
      <w:r>
        <w:rPr>
          <w:rtl w:val="true"/>
        </w:rPr>
        <w:t xml:space="preserve">: </w:t>
      </w:r>
      <w:r>
        <w:rPr>
          <w:rtl w:val="true"/>
        </w:rPr>
        <w:t>في أنّ السبق عقد برأسه</w:t>
      </w:r>
      <w:bookmarkEnd w:id="81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و غيرهم في لزوم عقد المسابقة و جوازه، فذهب المصنّف و قبله ابن ادريس و جماعة الى لزومه؛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w:t>
      </w:r>
    </w:p>
    <w:p>
      <w:pPr>
        <w:pStyle w:val="BookText"/>
        <w:rPr/>
      </w:pP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الشيخ و العلاّمة في المختلف الى جوازه؛ لأصالة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منشؤ الخلاف أنّها عقد يتضمّن عوضا على عمل، و هو مشترك بين الاجارة و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انّها مشتملة على اشتراط العمل في العوض و كونه معلوما و هو من خواصّ الاجارة، و على جواز ابهام العامل في السبق، و على ما لايعلم حصوله من العامل، و على جواز بذل الأجنبي و هو من خواصّ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الاختلاف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أنّ المسابقة عقد برأسه؛ ضرورة انتفاء جملة من خواصّ كلّ من الاجارة و الجعالة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العوض؛ فانّ الظاهر عدم اعتباره فيه؛ لاطلاق الأدلّة و عمومها، و منها عدم معلوميّة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عدم رجوع العمل للجاعل، الى غير ذلك ممّا يظهر بأدنى تأمّل، على وجه يقطع بخروج هذا العقد عنهما، و كونه عقدا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 الشهيدين جزم بخروجه عنهما، كالمحقّق الثاني، بل لعلّ الأصحاب أجمع كذلك، و ان وقع من بعضهم كونه اجارة أو جعالة، الاّ أنّ مرادهم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في اللزوم على تقدير عقديّته الذي قد عرفت ثبوتها من التسالم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فرض الشكّ في كونه اجارة أو جعالة أو عقدا مستقلاًّ فالظاهر أنّ الأصل حاكم بكونه عقدا مستقلاًّ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لازما يحتاج الى </w:t>
      </w:r>
      <w:bookmarkStart w:id="815" w:name="pg9674_84464"/>
    </w:p>
    <w:p>
      <w:pPr>
        <w:pStyle w:val="BookText"/>
        <w:rPr/>
      </w:pPr>
      <w:bookmarkEnd w:id="815"/>
      <w:r>
        <w:rPr>
          <w:rFonts w:ascii="Amiri" w:hAnsi="Amiri" w:eastAsia="Amiri" w:cs="Amiri"/>
          <w:color w:val="111111"/>
          <w:sz w:val="28"/>
          <w:sz w:val="28"/>
          <w:szCs w:val="28"/>
          <w:rtl w:val="true"/>
          <w:lang w:bidi="ar-SA"/>
        </w:rPr>
        <w:t>ايجاب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أن‌قلنا بجواز المعاطاة في المعاملات بمعنى الأخصّ فيجرى هنا المعاطاة أيضا</w:t>
      </w:r>
      <w:r>
        <w:rPr>
          <w:rFonts w:eastAsia="Amiri" w:cs="Amiri" w:ascii="Amiri" w:hAnsi="Amiri"/>
          <w:color w:val="111111"/>
          <w:sz w:val="28"/>
          <w:szCs w:val="28"/>
          <w:rtl w:val="true"/>
          <w:lang w:bidi="ar-SA"/>
        </w:rPr>
        <w:t>.</w:t>
      </w:r>
    </w:p>
    <w:p>
      <w:pPr>
        <w:pStyle w:val="Heading2"/>
        <w:numPr>
          <w:ilvl w:val="1"/>
          <w:numId w:val="1"/>
        </w:numPr>
        <w:rPr/>
      </w:pPr>
      <w:bookmarkStart w:id="816" w:name="__RefHeading___Toc7971838_2870459653"/>
      <w:bookmarkStart w:id="817" w:name="_Toc281"/>
      <w:bookmarkEnd w:id="816"/>
      <w:r>
        <w:rPr>
          <w:rtl w:val="true"/>
        </w:rPr>
        <w:t xml:space="preserve">الفرع الثاني </w:t>
      </w:r>
      <w:r>
        <w:rPr>
          <w:rtl w:val="true"/>
        </w:rPr>
        <w:t xml:space="preserve">: </w:t>
      </w:r>
      <w:r>
        <w:rPr>
          <w:rtl w:val="true"/>
        </w:rPr>
        <w:t>في جواز كون العوض عينا أو ديناً</w:t>
      </w:r>
      <w:bookmarkEnd w:id="817"/>
    </w:p>
    <w:p>
      <w:pPr>
        <w:pStyle w:val="BookText"/>
        <w:rPr/>
      </w:pPr>
      <w:r>
        <w:rPr>
          <w:rFonts w:ascii="Amiri" w:hAnsi="Amiri" w:eastAsia="Amiri" w:cs="Amiri"/>
          <w:color w:val="111111"/>
          <w:sz w:val="28"/>
          <w:sz w:val="28"/>
          <w:szCs w:val="28"/>
          <w:rtl w:val="true"/>
          <w:lang w:bidi="ar-SA"/>
        </w:rPr>
        <w:t>يصحّ أن‌يكون العوض عينا أو دينا على حسب غيره من المعاملات؛ لاطلاق الأدلّة و عمومها، و خصوص صحيحة غياث بن ابراهيم عن أبي عبداللّه عن أبيه عن علي بن الحسين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رسول‌اللّه صلى‌الله‌عليه‌و‌آله أجرى الخيل و جعل سبقها أواقي من فضّة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أنّ عقد المسابقة لايفتقر الى العوض، بل دائرة جوازه بدونه أوسع، لكن على تقدير ذكر العوض يجوز كونه عينا و دينا، كما في غيره من الأعواض الواقعة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على التقديرين كونه مضبوطا بالمقدار و الجنس و النوع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يتفرّع على كلّ من العين و الدين أحكامه اللاحقة له شرعا من الضمان و الرهن عليه و غير ذلك؛ فانّه على تقدير كونه عينا لايصحّ الرهن عليه؛ لتعذّر أخذها من الرهن، و لا ضمانها الاّ اذا جوّزنا ضمان الأعيان المضمونة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كونه دينا يصحّ الرهن عليه حيث يكون لازما، و ضمانه 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يجوز كونه حالاًّ و مؤجّلاً، منهما و من أحدهما و بالتفريق</w:t>
      </w:r>
      <w:r>
        <w:rPr>
          <w:rFonts w:eastAsia="Amiri" w:cs="Amiri" w:ascii="Amiri" w:hAnsi="Amiri"/>
          <w:color w:val="111111"/>
          <w:sz w:val="28"/>
          <w:szCs w:val="28"/>
          <w:rtl w:val="true"/>
          <w:lang w:bidi="ar-SA"/>
        </w:rPr>
        <w:t>».</w:t>
      </w:r>
      <w:r>
        <w:rPr>
          <w:rStyle w:val="FootnoteAnchor"/>
          <w:rtl w:val="true"/>
        </w:rPr>
        <w:footnoteReference w:id="428"/>
      </w:r>
      <w:bookmarkStart w:id="818" w:name="pg9674_84465"/>
    </w:p>
    <w:p>
      <w:pPr>
        <w:pStyle w:val="Heading2"/>
        <w:numPr>
          <w:ilvl w:val="1"/>
          <w:numId w:val="1"/>
        </w:numPr>
        <w:rPr/>
      </w:pPr>
      <w:bookmarkStart w:id="819" w:name="__RefHeading___Toc7971840_2870459653"/>
      <w:bookmarkStart w:id="820" w:name="_Toc282"/>
      <w:bookmarkEnd w:id="818"/>
      <w:bookmarkEnd w:id="819"/>
      <w:r>
        <w:rPr>
          <w:rtl w:val="true"/>
        </w:rPr>
        <w:t xml:space="preserve">الفرع الثالث </w:t>
      </w:r>
      <w:r>
        <w:rPr>
          <w:rtl w:val="true"/>
        </w:rPr>
        <w:t xml:space="preserve">: </w:t>
      </w:r>
      <w:r>
        <w:rPr>
          <w:rtl w:val="true"/>
        </w:rPr>
        <w:t>في جواز بذل السبق من غير المتسابقين</w:t>
      </w:r>
      <w:bookmarkEnd w:id="820"/>
    </w:p>
    <w:p>
      <w:pPr>
        <w:pStyle w:val="BookText"/>
        <w:rPr/>
      </w:pPr>
      <w:r>
        <w:rPr>
          <w:rFonts w:ascii="Amiri" w:hAnsi="Amiri" w:eastAsia="Amiri" w:cs="Amiri"/>
          <w:color w:val="111111"/>
          <w:sz w:val="28"/>
          <w:sz w:val="28"/>
          <w:szCs w:val="28"/>
          <w:rtl w:val="true"/>
          <w:lang w:bidi="ar-SA"/>
        </w:rPr>
        <w:t xml:space="preserve">اذا تضمّن عقد المسابقة مالاً فامّا أن‌يخرجه المتسابقان معا، أو أحدهما، أو ثالث هو الامام، أو غيره، فالأقسام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أن‌يخرج المال الامام، و هو جائز اجماعا منّا و من غيرنا، سواء كان من ماله أو من بيت المال؛ لأنّ النبي صلى‌الله‌عليه‌و‌آله سابق بين الخيل و جعل بينها سبقا، و لأنّ ذلك يتضمّن حثّا على تعلّم الجهاد و الفروسيّة، و اعداد أسباب القتال، و فيه مصلحة للمسلمين و طاعة و قربة، فكان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المخرج غير الامام، و هو جائز أيضا عندنا و عند أكثر العامّة؛ لأنّه بذل مال في طاعة و قربة، و طريق مصلحة للمسلمين، فكان جائزا بل يثاب عليه مع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أن‌يخرج المال أحد المتسابقين، بأن‌يقول أحدهما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سبقت فلك عليّ عشرة، و ان سبقت أنا فلا شيء 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جائز عندنا أيضا؛ للأصل و 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أن‌يخرجه المتسابقان معا، بأن‌يخرج كلّ منهما عشرة مثلاً على أن‌يحوزهما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جائز أيضا مطلقا على الأشهر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جعلا السبق للمحلّل بانفراده جاز، فان سبقهما اختصّ به، و ان سبق أحدهما لم‌يستحقّ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سبق أحدهما و المحلّل، الاّ أن‌يشترطا ما يشمل ذلك فيستحقّ بحسب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يفتقر في المسابقة الى شروط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المسافة ابتداءً و انتهاءً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الخطر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ما يسابق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تساوي ما به السباق في احتمال السبق، فلو كان أحدهما ضعيفا تيقّن قصوره عن الآخر لم‌يجز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أن‌يجعل السبق لأحدهما أو للمحلّل و لو جعل لغيرهما لم‌يجز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التساوي في الموقف؟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الأظهر لا؛ لأنّه مبني على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الرمي فيفتقر الى العلم بأمور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الرشق و عدد الاصابة و صفتها و قدر المسافة و الغرض و السبق و تماثل جنس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اشتراط المبادرة و المحاطّة تردّد، الظاهر أنّه لايشترط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لايشترط تعيين القوس و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تفتقر المسابقة الى شروط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المسافة ابتداءً و انتهاءً؛ لأنّ في عدم تعيينه غرر و هو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الخطر أى العوض بعد معرفة جنسه؛ للغرر في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ما يسابق عليه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أن‌يحتمل لكلّ منهما السبق فلو كان أحدهما ضعيفا تيقّن قصوره عن الآخر لم‌يجز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أن‌يجعل السبق لأحدهما أو للمحلّل فلو جعل لغيرهما لم‌يجز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الرمي فيفتقر الى العلم بأمور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الرشق بكسر الراء و هو عدد الرمي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الاصابة كخمس من عشرين رمية</w:t>
      </w:r>
      <w:r>
        <w:rPr>
          <w:rFonts w:eastAsia="Amiri" w:cs="Amiri" w:ascii="Amiri" w:hAnsi="Amiri"/>
          <w:color w:val="111111"/>
          <w:sz w:val="28"/>
          <w:szCs w:val="28"/>
          <w:rtl w:val="true"/>
          <w:lang w:bidi="ar-SA"/>
        </w:rPr>
        <w:t xml:space="preserve">. </w:t>
      </w:r>
      <w:bookmarkStart w:id="821" w:name="pg9674_84467"/>
    </w:p>
    <w:p>
      <w:pPr>
        <w:pStyle w:val="BookText"/>
        <w:rPr/>
      </w:pPr>
      <w:bookmarkEnd w:id="8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صفتها من خزق أو خرق و غيرهما من الصفات؛ للغرر 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قدر المسافة التي يرميان منها بالمشاهدة، أو ذكر المساحة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الذي هو المقصود بالاصابة، فلا بدّ من العلم بموضعه من الهدف ارتفاعا، و انخفاضا، و قدره بالنسبة الى الضيق و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حذرا من الغرر و الجهالة المفضية الى النزاع</w:t>
      </w:r>
      <w:r>
        <w:rPr>
          <w:rFonts w:eastAsia="Amiri" w:cs="Amiri" w:ascii="Amiri" w:hAnsi="Amiri"/>
          <w:color w:val="111111"/>
          <w:sz w:val="28"/>
          <w:szCs w:val="28"/>
          <w:rtl w:val="true"/>
          <w:lang w:bidi="ar-SA"/>
        </w:rPr>
        <w:t>.</w:t>
      </w:r>
    </w:p>
    <w:p>
      <w:pPr>
        <w:pStyle w:val="Heading2"/>
        <w:numPr>
          <w:ilvl w:val="1"/>
          <w:numId w:val="1"/>
        </w:numPr>
        <w:rPr/>
      </w:pPr>
      <w:bookmarkStart w:id="822" w:name="__RefHeading___Toc7971842_2870459653"/>
      <w:bookmarkStart w:id="823" w:name="_Toc283"/>
      <w:bookmarkEnd w:id="822"/>
      <w:r>
        <w:rPr>
          <w:rtl w:val="true"/>
        </w:rPr>
        <w:t xml:space="preserve">في شروط المسابقة </w:t>
      </w:r>
      <w:r>
        <w:rPr>
          <w:rtl w:val="true"/>
        </w:rPr>
        <w:t xml:space="preserve">... </w:t>
      </w:r>
      <w:r>
        <w:rPr/>
        <w:t>377</w:t>
      </w:r>
      <w:bookmarkEnd w:id="823"/>
    </w:p>
    <w:p>
      <w:pPr>
        <w:pStyle w:val="BookText"/>
        <w:rPr/>
      </w:pPr>
      <w:r>
        <w:rPr>
          <w:rFonts w:ascii="Amiri" w:hAnsi="Amiri" w:eastAsia="Amiri" w:cs="Amiri"/>
          <w:color w:val="111111"/>
          <w:sz w:val="28"/>
          <w:sz w:val="28"/>
          <w:szCs w:val="28"/>
          <w:rtl w:val="true"/>
          <w:lang w:bidi="ar-SA"/>
        </w:rPr>
        <w:t>و كذا يفتقر الرمي الى العلم بتماثل جنس الآلة من كون القوس مثلاً عربيّا أو فارسيّا؛ لاختلاف الرمي باختلاف 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اشتراط تعيين أحد القسمين أي المبادرة و المحاطّة في عقد الرماية تردّد بل و خلاف ولكنّ الظاهر أنّه لايشترط؛ لانصراف اطلاق العقد الى المحاطّة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لايشترط تعيين شخص القوس و السهم؛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0"/>
      </w:r>
      <w:bookmarkStart w:id="824" w:name="pg9674_84468"/>
    </w:p>
    <w:p>
      <w:pPr>
        <w:pStyle w:val="Heading2"/>
        <w:numPr>
          <w:ilvl w:val="1"/>
          <w:numId w:val="1"/>
        </w:numPr>
        <w:rPr/>
      </w:pPr>
      <w:bookmarkStart w:id="825" w:name="__RefHeading___Toc7971844_2870459653"/>
      <w:bookmarkStart w:id="826" w:name="_Toc284"/>
      <w:bookmarkEnd w:id="824"/>
      <w:bookmarkEnd w:id="825"/>
      <w:r>
        <w:rPr>
          <w:rtl w:val="true"/>
        </w:rPr>
        <w:t xml:space="preserve">الفصل الرابع </w:t>
      </w:r>
      <w:r>
        <w:rPr>
          <w:rtl w:val="true"/>
        </w:rPr>
        <w:t xml:space="preserve">: </w:t>
      </w:r>
      <w:r>
        <w:rPr>
          <w:rtl w:val="true"/>
        </w:rPr>
        <w:t>في أحكام النضال</w:t>
      </w:r>
      <w:bookmarkEnd w:id="826"/>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2"/>
        <w:numPr>
          <w:ilvl w:val="1"/>
          <w:numId w:val="1"/>
        </w:numPr>
        <w:rPr/>
      </w:pPr>
      <w:bookmarkStart w:id="827" w:name="__RefHeading___Toc7971846_2870459653"/>
      <w:bookmarkStart w:id="828" w:name="_Toc285"/>
      <w:bookmarkEnd w:id="827"/>
      <w:r>
        <w:rPr>
          <w:rtl w:val="true"/>
        </w:rPr>
        <w:t>فيما لو قال أجنبي لخمسة</w:t>
      </w:r>
      <w:r>
        <w:rPr>
          <w:rtl w:val="true"/>
        </w:rPr>
        <w:t>: «</w:t>
      </w:r>
      <w:r>
        <w:rPr>
          <w:rtl w:val="true"/>
        </w:rPr>
        <w:t>من سبق فله خمسة</w:t>
      </w:r>
      <w:r>
        <w:rPr>
          <w:rtl w:val="true"/>
        </w:rPr>
        <w:t xml:space="preserve">» </w:t>
      </w:r>
      <w:r>
        <w:rPr>
          <w:rtl w:val="true"/>
        </w:rPr>
        <w:t xml:space="preserve">فتساووا </w:t>
      </w:r>
      <w:r>
        <w:rPr>
          <w:rtl w:val="true"/>
        </w:rPr>
        <w:t xml:space="preserve">... </w:t>
      </w:r>
      <w:r>
        <w:rPr/>
        <w:t>379</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أجنبي 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فله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فتساووا في بلوغ الغاية فلا شيء لأحدهم؛ لأنّه لا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سبق أحدهم كانت الخمسة له، و ان سبق اثنان منهم كانت لهما دون الباقين، و كذا لو سبق ثلاثة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فله درهمان و من صلّى فله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سبق واحد أو اثنان أو أربعة فلهم الدرهمان، و لو سبق واحد و صلّى ثلاثة و تأخّر واحد كان للسابق درهمان و للثلاثة درهم و لا شيء للمتأخّر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 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سبق فله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أن‌يسبق واحد منهم خاصّة، أو يستوي الجميع بأن‌جاؤوا جميعا، أو يسبق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لا اشكال في استحقاق السابق المال؛ لاختصاصه بالوصف الموجب للاستحقاق، كما لا اشكال في عدم استحقاق أحدهم شيئا منه في الثاني؛ لانتفاء الوصف عن الجميع؛ اذ لا سابق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سبق ما فوق واحد فقد حكم </w:t>
      </w:r>
      <w:bookmarkStart w:id="829" w:name="pg9674_84469"/>
    </w:p>
    <w:p>
      <w:pPr>
        <w:pStyle w:val="BookText"/>
        <w:rPr/>
      </w:pPr>
      <w:bookmarkEnd w:id="829"/>
      <w:r>
        <w:rPr>
          <w:rFonts w:ascii="Amiri" w:hAnsi="Amiri" w:eastAsia="Amiri" w:cs="Amiri"/>
          <w:color w:val="111111"/>
          <w:sz w:val="28"/>
          <w:sz w:val="28"/>
          <w:szCs w:val="28"/>
          <w:rtl w:val="true"/>
          <w:lang w:bidi="ar-SA"/>
        </w:rPr>
        <w:t xml:space="preserve">المصنّف و جماعة باشتراك السابقين في المال المبذول، فيوزّع عليهم على الرؤوس؛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كلّ فرد فرد من السابقين، و مجموع من سبق أعمّ من الواحد و المتعدّد، و مع الاحتمال فالأصل براءة ذمّة الباذل ممّا زاد على القدر المبذول، فيقتسمه السابقون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يستحقّ كلّ واحد منهم المال المبذول؛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من ألفاظ العموم فهي بمعنى كلّ فرد فرد كما في نظائره من القضايا الكلّيّة، و لأنّ العوض في مقابلة السبق و قد تحقّق من كلّ واحد منهم، فيستحقّ كمال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الأصحّ أنّ المقدّم هو ما قصده الباذل و هو واحد منهم و يؤيّده العرف، فان سبق اثنان أو ثلاثة أو أربعة فليس لهم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أخبر عن قصده فهو، و ان لم‌يعلم قصده فالاحتياط ما ذكره المصنّف من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فله درهمان و من صلّى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سبق واحد أو اثنان أو أربعة فلهم الدرهمان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سبق واحد و صلّى ثلاثة و تأخّر واحد كان للسابق درهمان و للثلاثة درهم و لا شيء للمتأخّر</w:t>
      </w:r>
      <w:r>
        <w:rPr>
          <w:rFonts w:eastAsia="Amiri" w:cs="Amiri" w:ascii="Amiri" w:hAnsi="Amiri"/>
          <w:color w:val="111111"/>
          <w:sz w:val="28"/>
          <w:szCs w:val="28"/>
          <w:rtl w:val="true"/>
          <w:lang w:bidi="ar-SA"/>
        </w:rPr>
        <w:t>.</w:t>
      </w:r>
    </w:p>
    <w:p>
      <w:pPr>
        <w:pStyle w:val="Heading2"/>
        <w:numPr>
          <w:ilvl w:val="1"/>
          <w:numId w:val="1"/>
        </w:numPr>
        <w:rPr/>
      </w:pPr>
      <w:bookmarkStart w:id="830" w:name="__RefHeading___Toc7971848_2870459653"/>
      <w:bookmarkStart w:id="831" w:name="_Toc286"/>
      <w:bookmarkEnd w:id="830"/>
      <w:r>
        <w:rPr>
          <w:rtl w:val="true"/>
        </w:rPr>
        <w:t xml:space="preserve">فيما لو كانا اثنين و أخرج كلّ واحد منهما سبقا و أدخلا محلّلاً </w:t>
      </w:r>
      <w:r>
        <w:rPr>
          <w:rtl w:val="true"/>
        </w:rPr>
        <w:t xml:space="preserve">... </w:t>
      </w:r>
      <w:r>
        <w:rPr/>
        <w:t>380</w:t>
      </w:r>
      <w:bookmarkEnd w:id="83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اثنين و أخرج كلّ واحد منهما سبقا و أدخلا محلّلاً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الثلاثة سبق فله السبقان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سبق أحد المستبقين كان السبقان له على ما اخترناه، و كذا لو سبق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سبق المستبقان كان لكلّ واحد منهما مال نفسه و لا شيء للمحلّل، و لو سبق أحدهما و المحلّل كان للمستبق مال نفسه و نصف مال المسبوق و نصفه الآخر للمحلّل، و لو سبق أحدهما و </w:t>
      </w:r>
      <w:bookmarkStart w:id="832" w:name="pg9674_84470"/>
    </w:p>
    <w:p>
      <w:pPr>
        <w:pStyle w:val="BookText"/>
        <w:rPr/>
      </w:pPr>
      <w:bookmarkEnd w:id="832"/>
      <w:r>
        <w:rPr>
          <w:rFonts w:ascii="Amiri" w:hAnsi="Amiri" w:eastAsia="Amiri" w:cs="Amiri"/>
          <w:color w:val="111111"/>
          <w:sz w:val="28"/>
          <w:sz w:val="28"/>
          <w:szCs w:val="28"/>
          <w:rtl w:val="true"/>
          <w:lang w:bidi="ar-SA"/>
        </w:rPr>
        <w:t>صلّى المحلّل كان الكلّ للسابق؛ عملاً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سبق أحد المستبقين و تأخّر الآخر و المحلّل، و كذا لو سبق أحدهما و صلّى الآخر و تأخّر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المتراهنان اثنين مثلاً و أخرج كلّ واحد منهما سبقا و أدخلا محلّلاً،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الثلاثة سبق فله السبقان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سبق أحد المستبقين كان السبقان له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سبق المحلّل؛ لحصول الوصف فيه و لو سبق المستبقان كان لكلّ واحد منهما مال نفسه، و لا شيء للمحلّل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فيما لو سبق أحدهما و المحلّل، كان للسابق 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لم‌يسبقه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مال المسبوق، و أمّا نصفه الآخر فللمحلّل؛ لاشتراكه في صفة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سبق أحدهما و صلّى المحلّل كان الكلّ للسابق؛ عملاً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سبق أحد المستبقين، و تأخّر الآخر و المحلّل، و كذا لو سبق أحدهما و صلّى الآخر و تأخّر المحلّل</w:t>
      </w:r>
      <w:r>
        <w:rPr>
          <w:rFonts w:eastAsia="Amiri" w:cs="Amiri" w:ascii="Amiri" w:hAnsi="Amiri"/>
          <w:color w:val="111111"/>
          <w:sz w:val="28"/>
          <w:szCs w:val="28"/>
          <w:rtl w:val="true"/>
          <w:lang w:bidi="ar-SA"/>
        </w:rPr>
        <w:t>.</w:t>
      </w:r>
    </w:p>
    <w:p>
      <w:pPr>
        <w:pStyle w:val="Heading2"/>
        <w:numPr>
          <w:ilvl w:val="1"/>
          <w:numId w:val="1"/>
        </w:numPr>
        <w:rPr/>
      </w:pPr>
      <w:bookmarkStart w:id="833" w:name="__RefHeading___Toc7971850_2870459653"/>
      <w:bookmarkStart w:id="834" w:name="_Toc287"/>
      <w:bookmarkEnd w:id="833"/>
      <w:r>
        <w:rPr>
          <w:rtl w:val="true"/>
        </w:rPr>
        <w:t xml:space="preserve">فيما اذا شرطا المبادرة و الرشق عشرين و الاصابة خمسة </w:t>
      </w:r>
      <w:r>
        <w:rPr>
          <w:rtl w:val="true"/>
        </w:rPr>
        <w:t xml:space="preserve">... </w:t>
      </w:r>
      <w:r>
        <w:rPr/>
        <w:t>381</w:t>
      </w:r>
      <w:bookmarkEnd w:id="83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شرطا المبادرة و الرشق عشرين و الاصابة خمسة، فرمى كلّ واحد منهما عشرة فأصاب خمسة فقد تساويا في الاصابة و الرمي فلايجب اكمال الرشق؛ لأنّه يخرج عن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رمى كلّ واحد منهما عشرة فأصاب أحدهما خمسة و الآخر أربعة فقد نضله صاحب الخمسة، و لو سئل اكمال الرشق لم‌يجب، أمّا لو شرطا المحاطّة فرمى كلّ واحد منهما عشرة </w:t>
      </w:r>
    </w:p>
    <w:p>
      <w:pPr>
        <w:pStyle w:val="BookText"/>
        <w:rPr/>
      </w:pPr>
      <w:r>
        <w:rPr>
          <w:rFonts w:ascii="Amiri" w:hAnsi="Amiri" w:eastAsia="Amiri" w:cs="Amiri"/>
          <w:color w:val="111111"/>
          <w:sz w:val="28"/>
          <w:sz w:val="28"/>
          <w:szCs w:val="28"/>
          <w:rtl w:val="true"/>
          <w:lang w:bidi="ar-SA"/>
        </w:rPr>
        <w:t>فأصاب خمسة تحاطّا خمسة بخمسة و أكملا 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أصاب أحدهما من العشرة تسعة و أصاب الآخر خمسة تحاطّا خمسة بخمسة و أكملا 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تحاطّا فبادر أحدهما الى اكمال العدد، فان كان مع انتهاء الرشق فقد نضل صاحبه و ان كان قبل انتهائه فأراد صاحب الأقلّ اكمال الرشق نظر فان كان له في ذلك فائدة مثل أن‌يرجو أن‌يرجّح عليه أو يساويه أو يمنعه أن‌ينفرد بالاصابة بأن‌يقصر بعد المحاطّة عن عدد الاصابة أجبر صاحب الأكثر، و ان لم‌يكن له فائدة لم‌يجبر كما اذا رمى أحدهما خمسه‌عشر فأصابها و رمى الآخر فأصاب منها خمسة فيتحاطّان خمسة بخمسة فاذا أكملا فأبلغ ما يصيب صاحب الخمسة ما تخلّف، و هي خمسة و يخطئها صاحب الأكثر فيجتمع لصاحب الخمسة عشرة فيتحاطّان عشرة بعشرة، و يفضل لصاحب الأكثر خمسة فلايظهر للاكمال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شرطا المبادرة، و الرشق عشرين، و الاصابة خمسة مثلاً فرمى كلّ واحد منهما عشرة، فأصاب كلّ واحد خمسة، فقد تساويا في الاصابة و الرمي فلايجب اكمال الرشق؛ لأنّه يخرج عن المبادرة التي قد عرفت أنّها اشتراط العوض، لمن بدر الى اصابة عدد معيّن، من مقدار رشق معيّن، مع تساويهما فيه، و حينئذ فاذا رميا رشقا و تساويا في اصابته لم‌يتحقّق السبق، و لو وجب الاكمال لرجاء السبق في الباقي، خرج عن موضوع المبادرة الى المحاطّة، و هو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لايجب الاكمال فيما لو رمى كلّ واحد منهما عشرة، فأصاب أحدهما خمسة، و الآخر أربعة، فقد نضله صاحب الخمسة و حينئذ فلو سأل صاحب الأربعة اكمال الرشق لم‌يجب؛ لحصول المبادرة، و الاّ خرج عن موضوعها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شرطا المحاطّة، فرمى كلّ واحد منهما عشرة و أصاب خمسة، تحاطّا </w:t>
      </w:r>
    </w:p>
    <w:p>
      <w:pPr>
        <w:pStyle w:val="BookText"/>
        <w:rPr/>
      </w:pPr>
      <w:r>
        <w:rPr>
          <w:rFonts w:ascii="Amiri" w:hAnsi="Amiri" w:eastAsia="Amiri" w:cs="Amiri"/>
          <w:color w:val="111111"/>
          <w:sz w:val="28"/>
          <w:sz w:val="28"/>
          <w:szCs w:val="28"/>
          <w:rtl w:val="true"/>
          <w:lang w:bidi="ar-SA"/>
        </w:rPr>
        <w:t>خمسة بخمسة، و أكملا الرشق رجاءً لحصول السبق؛ لأنّ مقتضى المحاطّة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أصاب أحدهما من العشرة تسعة و أصاب الآخر خمسة تحاطّا خمسة بخمسة، و أكملا الرشق رجاءً لحصول السبق 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تحاطّا، فبادر أحدهما الى اكمال العدد الذي اشترط الاصابة فيه فان كان مع انتهاء الرشق منهما فقد نضل صاحبه؛ لحصول الفراغ من العقد، و ان كان قبل انتهائه، فأراد صاحب الأقلّ اكمال الرشق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له في ذلك فائدة، مثل أن‌يرجو أن‌يرجّح عليه كما لو رمى كلّ منهما عشرة، فأصابها أحدهما و أصاب الآخر منها خمسة فانّ صاحب الأقلّ يرجو اصابة العشرة أجمع، و خطأ صاحبه له، فينضله حينئذ و يكون الخطر له؛ لأنّه بعد التحاطّ يحصل له اصابة الخمسة المفروض اشتراطها في عدد العشرين أو يساويه كما لو فرض في المثال خطأ أحدهما للعشرة، فانّه يرجو بالاكمال اصابة العشرة الباقية، و خطأ الآخر له، فيساويه و يتحاطّان و لايستحقّ أحدهما على الآخر شيئا، أو يمنعه أن‌ينفرد بالاصابة، بأن‌يقصّر بعد المحاطّة عن عدد الاصابة كما لو فرض اصابة الاثنين من العشرة التي أصابها أجمع صاحبه، فيرجو بالاكمال اصابة العشرة الباقية له، و خطأ الآخر فيتحاطّان عشرة بعشرة و يبقى اثنان له و لايستحقّ أحدهما على الآخر شيئا فمتى كان كذلك أجبر صاحب الأكثر على الاكمال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لم‌يكن له فائدة؛ لأنّه مغلوب على كلّ حال لم‌يجبر صاحب الأكثر على الاكمال كما اذا رمى أحدهما خمسه‌عشر فأصابها و رمى الآخر فأصاب منها خمسة، فيتحاطّان خمسة بخمسة و يبقى لأحدهما عشرة فاذا أكملا فأبلغ ما يفرض أن‌يصيبها صاحب الخمسة و يخطئها صاحب الأكثر خمسة، فيجتمع لصاحبه الخمسة حينئذ عشرة فيتحاطّان عشرة بعشرة، و يفضل لصاحب الأكثر خمسة فلاتظهر للاكمال فائدة</w:t>
      </w:r>
      <w:r>
        <w:rPr>
          <w:rFonts w:eastAsia="Amiri" w:cs="Amiri" w:ascii="Amiri" w:hAnsi="Amiri"/>
          <w:color w:val="111111"/>
          <w:sz w:val="28"/>
          <w:szCs w:val="28"/>
          <w:rtl w:val="true"/>
          <w:lang w:bidi="ar-SA"/>
        </w:rPr>
        <w:t xml:space="preserve">. </w:t>
      </w:r>
      <w:bookmarkStart w:id="835" w:name="pg9674_84473"/>
    </w:p>
    <w:p>
      <w:pPr>
        <w:pStyle w:val="Heading2"/>
        <w:numPr>
          <w:ilvl w:val="1"/>
          <w:numId w:val="1"/>
        </w:numPr>
        <w:rPr/>
      </w:pPr>
      <w:bookmarkStart w:id="836" w:name="__RefHeading___Toc7971852_2870459653"/>
      <w:bookmarkStart w:id="837" w:name="_Toc288"/>
      <w:bookmarkEnd w:id="835"/>
      <w:bookmarkEnd w:id="836"/>
      <w:r>
        <w:rPr>
          <w:rtl w:val="true"/>
        </w:rPr>
        <w:t xml:space="preserve">في ملك الناضل العوض اذا تمّ النضال </w:t>
      </w:r>
      <w:r>
        <w:rPr>
          <w:rtl w:val="true"/>
        </w:rPr>
        <w:t xml:space="preserve">... </w:t>
      </w:r>
      <w:r>
        <w:rPr/>
        <w:t>384</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 النضال ملك الناضل العوض و له التصرّف فيه كيف شاء و له أن‌يختصّ به و أن‌يطعمه أصحابه، و لو شرط في العقد اطعامه لحزبه لم‌أستبعد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تمّ النضال ملك الناضل العوض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الجواهر</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العقد المحكوم بصحّته شرعا، فله التصرّف فيه كيف شاء و له أن‌يختصّ به و له أن‌يطعمه أصحابه؛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في العقد اطعامه لحزبه فالظاهر صحّته؛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المراد بالشرط التزام صرف ما هو ملكه بالعقد في مصرف خاصّ</w:t>
      </w:r>
      <w:r>
        <w:rPr>
          <w:rFonts w:eastAsia="Amiri" w:cs="Amiri" w:ascii="Amiri" w:hAnsi="Amiri"/>
          <w:color w:val="111111"/>
          <w:sz w:val="28"/>
          <w:szCs w:val="28"/>
          <w:rtl w:val="true"/>
          <w:lang w:bidi="ar-SA"/>
        </w:rPr>
        <w:t>.</w:t>
      </w:r>
    </w:p>
    <w:p>
      <w:pPr>
        <w:pStyle w:val="Heading2"/>
        <w:numPr>
          <w:ilvl w:val="1"/>
          <w:numId w:val="1"/>
        </w:numPr>
        <w:rPr/>
      </w:pPr>
      <w:bookmarkStart w:id="838" w:name="__RefHeading___Toc7971854_2870459653"/>
      <w:bookmarkStart w:id="839" w:name="_Toc289"/>
      <w:bookmarkEnd w:id="838"/>
      <w:r>
        <w:rPr>
          <w:rtl w:val="true"/>
        </w:rPr>
        <w:t xml:space="preserve">فيما اذا فسد عقد السبق </w:t>
      </w:r>
      <w:r>
        <w:rPr>
          <w:rtl w:val="true"/>
        </w:rPr>
        <w:t xml:space="preserve">... </w:t>
      </w:r>
      <w:r>
        <w:rPr/>
        <w:t>384</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فسد عقد السبق لم‌يجب بالعمل أجرة المثل و يسقط المسمّى لا الى بدل، و لو كان السبق مستحقّا وجب على الباذل 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فسد عقد السبق بسبب كون العوض خمرا مثلاً أو مجهولاً أو نحو ذلك بفقد شرط من شرائط صحّته فذهب المصنّف الى أنّه لايجب بالعمل أجرة المثل وفاقا للمحكي عن الشيخ و يسقط المسمّى لا الى بدل؛ لظهور فساد العقد الذي تضمّنه؛ لأنّه لم‌يعمل له شيئا و لا استوفى منفعة عمله؛ اذ نفع سبقه راجع اليه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في القواعد و جامع المقاصد و محكي التذكرة أنّ له </w:t>
      </w:r>
    </w:p>
    <w:p>
      <w:pPr>
        <w:pStyle w:val="BookText"/>
        <w:rPr/>
      </w:pPr>
      <w:r>
        <w:rPr>
          <w:rFonts w:ascii="Amiri" w:hAnsi="Amiri" w:eastAsia="Amiri" w:cs="Amiri"/>
          <w:color w:val="111111"/>
          <w:sz w:val="28"/>
          <w:sz w:val="28"/>
          <w:szCs w:val="28"/>
          <w:rtl w:val="true"/>
          <w:lang w:bidi="ar-SA"/>
        </w:rPr>
        <w:t xml:space="preserve">أجرة المثل، بل يجب أجرة مثل عمله، و هو مجموع ركضة لا قدر ما سبق به، لأنّه سبق بمجموع عمله، لا بذلك القدر؛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لاينافيه عدم حصول النفع له، فانّ القراض الفاسد يجب فيه أجرة المثل، و ان لم‌يحصل نفع بالعمل للمالك</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فساد المعاملة ابتداءً بمعنى أنّه لم‌ينعقد العقد أصلاً، سواء كان بسبب العوض بأن‌كان خمرا أو مجهولاً، أم من جهة ركن من أركان العقد بأن‌اختلّ بعض شروطه السابقة أو غيرها فالظاهر أنّه لا شيء للسابق؛ لأنّ الالتزام لم‌يقع الاّ على تقدير العقد الصحيح، و الأصل براءة الذمّة من وجوب شيء آخر غير ما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أنّ كلّ ما كان صحيحه موجبا للمسمّى ففاسده موجب لأجرة المثل لا دليل عليها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فساد العقد من جهة خروج العوض مستحقّا فقد جزم المصنّف بأنّه يجب على الباذل مثله أو قيمته، و وافقه عليه جماعة من المتأخّرين؛ و وجهه ما عرفت من صحّة العقد ابتداءً بالعوض المعيّن، و انّما اتّفق متزلزلاً موقوفا على اجازة المالك، فاذا لم‌يجز المالك فوجب 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فضل أحدهما الآخر في الاصابة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اطرح الفضل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لأنّ المقصود بالنضال ابانة حذق الرامي و ظهور اجتهاده فلو طرح الفضل بعوض كان تركا للمقصود بالنضال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المعاوضة و يردّ ما 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الذي ذكره المصنّف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كثير منهم لم‌يذكروا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المنع ما ذكره المصنّف من منافاة ذلك للغرض و الحكمة المسوّغة لهذا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نسبته الى القيل مشعر بالتوقّف فيه؛ و وجهه أنّه جعل على عمل محلّل، و منع كون المقصود بالنضال منحصرا فيما ذكر؛ لجواز أن‌يقصد به كسب المال، فاذا حصل بالسبق أمكن تحصيله بمقدّماته، مضافا الى أصالة الصحّة، و عموم الأمر بالوفاء بالعقد، و الكون مع الشرط، و منافاته للمشروع غير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أردنا</w:t>
      </w:r>
    </w:p>
    <w:p>
      <w:pPr>
        <w:pStyle w:val="BookText"/>
        <w:rPr/>
      </w:pPr>
      <w:r>
        <w:rPr>
          <w:rFonts w:ascii="Amiri" w:hAnsi="Amiri" w:eastAsia="Amiri" w:cs="Amiri"/>
          <w:color w:val="111111"/>
          <w:sz w:val="28"/>
          <w:sz w:val="28"/>
          <w:szCs w:val="28"/>
          <w:rtl w:val="true"/>
          <w:lang w:bidi="ar-SA"/>
        </w:rPr>
        <w:t>بيانه من أحكام السبق و الرماية</w:t>
      </w:r>
    </w:p>
    <w:p>
      <w:pPr>
        <w:pStyle w:val="BookText"/>
        <w:rPr/>
      </w:pPr>
      <w:r>
        <w:rPr>
          <w:rFonts w:ascii="Amiri" w:hAnsi="Amiri" w:eastAsia="Amiri" w:cs="Amiri"/>
          <w:color w:val="111111"/>
          <w:sz w:val="28"/>
          <w:sz w:val="28"/>
          <w:szCs w:val="28"/>
          <w:rtl w:val="true"/>
          <w:lang w:bidi="ar-SA"/>
        </w:rPr>
        <w:t>و يتلوه شرح كتاب الاقرار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w:t>
      </w:r>
      <w:bookmarkStart w:id="840" w:name="pg9674_84476"/>
    </w:p>
    <w:p>
      <w:pPr>
        <w:pStyle w:val="Heading2"/>
        <w:numPr>
          <w:ilvl w:val="1"/>
          <w:numId w:val="1"/>
        </w:numPr>
        <w:rPr/>
      </w:pPr>
      <w:bookmarkStart w:id="841" w:name="__RefHeading___Toc7971856_2870459653"/>
      <w:bookmarkStart w:id="842" w:name="_Toc290"/>
      <w:bookmarkEnd w:id="840"/>
      <w:bookmarkEnd w:id="841"/>
      <w:r>
        <w:rPr>
          <w:rtl w:val="true"/>
        </w:rPr>
        <w:t>كتاب الاقرار</w:t>
      </w:r>
      <w:bookmarkEnd w:id="842"/>
    </w:p>
    <w:p>
      <w:pPr>
        <w:pStyle w:val="BookText"/>
        <w:rPr/>
      </w:pPr>
      <w:r>
        <w:rPr>
          <w:rFonts w:ascii="Amiri" w:hAnsi="Amiri" w:eastAsia="Amiri" w:cs="Amiri"/>
          <w:color w:val="111111"/>
          <w:sz w:val="28"/>
          <w:sz w:val="28"/>
          <w:szCs w:val="28"/>
          <w:rtl w:val="true"/>
          <w:lang w:bidi="ar-SA"/>
        </w:rPr>
        <w:t>و النظر في الأركان و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أركانه أربعة</w:t>
      </w:r>
      <w:r>
        <w:rPr>
          <w:rFonts w:eastAsia="Amiri" w:cs="Amiri" w:ascii="Amiri" w:hAnsi="Amiri"/>
          <w:color w:val="111111"/>
          <w:sz w:val="28"/>
          <w:szCs w:val="28"/>
          <w:rtl w:val="true"/>
          <w:lang w:bidi="ar-SA"/>
        </w:rPr>
        <w:t>:</w:t>
      </w:r>
    </w:p>
    <w:p>
      <w:pPr>
        <w:pStyle w:val="Heading2"/>
        <w:numPr>
          <w:ilvl w:val="1"/>
          <w:numId w:val="1"/>
        </w:numPr>
        <w:rPr/>
      </w:pPr>
      <w:bookmarkStart w:id="843" w:name="__RefHeading___Toc7971858_2870459653"/>
      <w:bookmarkStart w:id="844" w:name="_Toc291"/>
      <w:bookmarkEnd w:id="843"/>
      <w:r>
        <w:rPr>
          <w:rtl w:val="true"/>
        </w:rPr>
        <w:t xml:space="preserve">الركن الأوّل </w:t>
      </w:r>
      <w:r>
        <w:rPr>
          <w:rtl w:val="true"/>
        </w:rPr>
        <w:t xml:space="preserve">: </w:t>
      </w:r>
      <w:r>
        <w:rPr>
          <w:rtl w:val="true"/>
        </w:rPr>
        <w:t>في الصيغة</w:t>
      </w:r>
      <w:bookmarkEnd w:id="844"/>
    </w:p>
    <w:p>
      <w:pPr>
        <w:pStyle w:val="BookText"/>
        <w:rPr/>
      </w:pPr>
      <w:r>
        <w:rPr>
          <w:rFonts w:ascii="Amiri" w:hAnsi="Amiri" w:eastAsia="Amiri" w:cs="Amiri"/>
          <w:color w:val="111111"/>
          <w:sz w:val="28"/>
          <w:sz w:val="28"/>
          <w:szCs w:val="28"/>
          <w:rtl w:val="true"/>
          <w:lang w:bidi="ar-SA"/>
        </w:rPr>
        <w:t>و فيها مقاصد</w:t>
      </w:r>
      <w:r>
        <w:rPr>
          <w:rFonts w:eastAsia="Amiri" w:cs="Amiri" w:ascii="Amiri" w:hAnsi="Amiri"/>
          <w:color w:val="111111"/>
          <w:sz w:val="28"/>
          <w:szCs w:val="28"/>
          <w:rtl w:val="true"/>
          <w:lang w:bidi="ar-SA"/>
        </w:rPr>
        <w:t>:</w:t>
      </w:r>
    </w:p>
    <w:p>
      <w:pPr>
        <w:pStyle w:val="Heading2"/>
        <w:numPr>
          <w:ilvl w:val="1"/>
          <w:numId w:val="1"/>
        </w:numPr>
        <w:rPr/>
      </w:pPr>
      <w:bookmarkStart w:id="845" w:name="__RefHeading___Toc7971860_2870459653"/>
      <w:bookmarkStart w:id="846" w:name="_Toc292"/>
      <w:bookmarkEnd w:id="845"/>
      <w:r>
        <w:rPr>
          <w:rtl w:val="true"/>
        </w:rPr>
        <w:t xml:space="preserve">المقصد الأوّل </w:t>
      </w:r>
      <w:r>
        <w:rPr>
          <w:rtl w:val="true"/>
        </w:rPr>
        <w:t xml:space="preserve">: </w:t>
      </w:r>
      <w:r>
        <w:rPr>
          <w:rtl w:val="true"/>
        </w:rPr>
        <w:t>في الصيغة الصريحة</w:t>
      </w:r>
      <w:bookmarkEnd w:id="846"/>
    </w:p>
    <w:p>
      <w:pPr>
        <w:pStyle w:val="BookText"/>
        <w:rPr/>
      </w:pPr>
      <w:r>
        <w:rPr>
          <w:rFonts w:ascii="Amiri" w:hAnsi="Amiri" w:eastAsia="Amiri" w:cs="Amiri"/>
          <w:color w:val="111111"/>
          <w:sz w:val="28"/>
          <w:sz w:val="28"/>
          <w:szCs w:val="28"/>
          <w:rtl w:val="true"/>
          <w:lang w:bidi="ar-SA"/>
        </w:rPr>
        <w:t>و هي اللفظ المتضمّن للاخبار عن حقّ واجب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 أو عندي أو 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الاقرار بغير العربيّة اضطرارا و اختيارا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 كذا ان شئت أو ان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لم‌يكن اقرارا، و كذا لوقال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قدم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رضي فلان أو ان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شهد لك </w:t>
      </w:r>
      <w:bookmarkStart w:id="847" w:name="pg9674_84477"/>
    </w:p>
    <w:p>
      <w:pPr>
        <w:pStyle w:val="BookText"/>
        <w:rPr/>
      </w:pPr>
      <w:bookmarkEnd w:id="847"/>
      <w:r>
        <w:rPr>
          <w:rFonts w:ascii="Amiri" w:hAnsi="Amiri" w:eastAsia="Amiri" w:cs="Amiri"/>
          <w:color w:val="111111"/>
          <w:sz w:val="28"/>
          <w:sz w:val="28"/>
          <w:szCs w:val="28"/>
          <w:rtl w:val="true"/>
          <w:lang w:bidi="ar-SA"/>
        </w:rPr>
        <w:t>فلان فهو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لزمه الاقرار في الحال؛ لأنّه اذا صدق وجب الحقّ و ان لم‌يشهد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848" w:name="__RefHeading___Toc7971862_2870459653"/>
      <w:bookmarkStart w:id="849" w:name="_Toc293"/>
      <w:bookmarkEnd w:id="848"/>
      <w:r>
        <w:rPr>
          <w:rtl w:val="true"/>
        </w:rPr>
        <w:t xml:space="preserve">الفرع الأوّل </w:t>
      </w:r>
      <w:r>
        <w:rPr>
          <w:rtl w:val="true"/>
        </w:rPr>
        <w:t xml:space="preserve">: </w:t>
      </w:r>
      <w:r>
        <w:rPr>
          <w:rtl w:val="true"/>
        </w:rPr>
        <w:t>في تعريف الاقرار</w:t>
      </w:r>
      <w:bookmarkEnd w:id="849"/>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الاقرار بمعنى الاعتراف كما في الصحاح و مجمع البحرين، و الاذعان للحقّ كما عن القاموس، و في المسالك و الاسعاد لبعض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الاثبات،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الشيء يقرّ اذا ثبت، و أقررته اذا أفدته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الاقرار ليس من العقود و الايقاعات؛ لأنّه ليس بانشاء، الاّ أنّه كان مشابها للايقاع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عرّفها الفقهاء بتعاريف مختلفة و مع ذلك متقاربة، و لعلّ الأولى من ذلك ايكاله الى العرف الكافي في مفهومه و مصداقه، و في الفرق بينه و بين الشهادة و الدعوى و الرواية و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 بين الاثبات و النفي كالاقرار بالابراء و نحوه، بل و لا بين الأعيان و المنافع و الحقوق كحقّ الخيار و الشفعة و نحوهما، بل و لا بين حقوق الناس المستلزمة للمقرّ له و بين حقوق اللّه تعالى كالاقرار بشرب الخمر و نحوه</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ذهب اليه من أنّ الأولى ايكال تعريف الاقرار و ماهيّته الى العرف حسن</w:t>
      </w:r>
      <w:r>
        <w:rPr>
          <w:rFonts w:eastAsia="Amiri" w:cs="Amiri" w:ascii="Amiri" w:hAnsi="Amiri"/>
          <w:color w:val="111111"/>
          <w:sz w:val="28"/>
          <w:szCs w:val="28"/>
          <w:rtl w:val="true"/>
          <w:lang w:bidi="ar-SA"/>
        </w:rPr>
        <w:t xml:space="preserve">. </w:t>
      </w:r>
      <w:bookmarkStart w:id="850" w:name="pg9674_84478"/>
    </w:p>
    <w:p>
      <w:pPr>
        <w:pStyle w:val="Heading2"/>
        <w:numPr>
          <w:ilvl w:val="1"/>
          <w:numId w:val="1"/>
        </w:numPr>
        <w:rPr/>
      </w:pPr>
      <w:bookmarkStart w:id="851" w:name="__RefHeading___Toc7971864_2870459653"/>
      <w:bookmarkStart w:id="852" w:name="_Toc294"/>
      <w:bookmarkEnd w:id="850"/>
      <w:bookmarkEnd w:id="851"/>
      <w:r>
        <w:rPr>
          <w:rtl w:val="true"/>
        </w:rPr>
        <w:t xml:space="preserve">الفرع الثاني </w:t>
      </w:r>
      <w:r>
        <w:rPr>
          <w:rtl w:val="true"/>
        </w:rPr>
        <w:t xml:space="preserve">: </w:t>
      </w:r>
      <w:r>
        <w:rPr>
          <w:rtl w:val="true"/>
        </w:rPr>
        <w:t>في دليل شرعيّة الاقرار</w:t>
      </w:r>
      <w:bookmarkEnd w:id="852"/>
    </w:p>
    <w:p>
      <w:pPr>
        <w:pStyle w:val="BookText"/>
        <w:rPr/>
      </w:pPr>
      <w:r>
        <w:rPr>
          <w:rFonts w:ascii="Amiri" w:hAnsi="Amiri" w:eastAsia="Amiri" w:cs="Amiri"/>
          <w:color w:val="111111"/>
          <w:sz w:val="28"/>
          <w:sz w:val="28"/>
          <w:szCs w:val="28"/>
          <w:rtl w:val="true"/>
          <w:lang w:bidi="ar-SA"/>
        </w:rPr>
        <w:t>يدلّ عليه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ءأقررتم و أخذتم على ذلكم اصري قالوا أقررنا</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 شهداء للّه و لو على أنفسكم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جرّاح المدائني عن أبي عبداللّه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شهادة الفاسق الاّ على نفسه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منها مرسلة العطّار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أصدق على نفسه من سبعين مؤمنا عليه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منها رواية عن النبي صلى‌الله‌عليه‌و‌آله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على أنفسهم جائز</w:t>
      </w:r>
      <w:r>
        <w:rPr>
          <w:rFonts w:eastAsia="IRNazanin" w:cs="IRNazanin"/>
          <w:color w:val="111111"/>
          <w:sz w:val="28"/>
          <w:szCs w:val="28"/>
          <w:rtl w:val="true"/>
          <w:lang w:bidi="fa-IR"/>
        </w:rPr>
        <w:t>».</w:t>
      </w:r>
      <w:r>
        <w:rPr>
          <w:rStyle w:val="FootnoteAnchor"/>
          <w:rtl w:val="true"/>
        </w:rPr>
        <w:footnoteReference w:id="44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ممّا يأتي في محلّه</w:t>
      </w:r>
      <w:r>
        <w:rPr>
          <w:rFonts w:eastAsia="Amiri" w:cs="Amiri" w:ascii="Amiri" w:hAnsi="Amiri"/>
          <w:color w:val="111111"/>
          <w:sz w:val="28"/>
          <w:szCs w:val="28"/>
          <w:rtl w:val="true"/>
          <w:lang w:bidi="ar-SA"/>
        </w:rPr>
        <w:t xml:space="preserve">. </w:t>
      </w:r>
      <w:bookmarkStart w:id="853" w:name="pg9674_84479"/>
    </w:p>
    <w:p>
      <w:pPr>
        <w:pStyle w:val="BookText"/>
        <w:rPr/>
      </w:pPr>
      <w:bookmarkEnd w:id="853"/>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صحّته الاجماع من المسلمين بل الضرورة</w:t>
      </w:r>
      <w:r>
        <w:rPr>
          <w:rFonts w:eastAsia="Amiri" w:cs="Amiri" w:ascii="Amiri" w:hAnsi="Amiri"/>
          <w:color w:val="111111"/>
          <w:sz w:val="28"/>
          <w:szCs w:val="28"/>
          <w:rtl w:val="true"/>
          <w:lang w:bidi="ar-SA"/>
        </w:rPr>
        <w:t>».</w:t>
      </w:r>
      <w:r>
        <w:rPr>
          <w:rStyle w:val="FootnoteAnchor"/>
          <w:rtl w:val="true"/>
        </w:rPr>
        <w:footnoteReference w:id="445"/>
      </w:r>
    </w:p>
    <w:p>
      <w:pPr>
        <w:pStyle w:val="Heading2"/>
        <w:numPr>
          <w:ilvl w:val="1"/>
          <w:numId w:val="1"/>
        </w:numPr>
        <w:rPr/>
      </w:pPr>
      <w:bookmarkStart w:id="854" w:name="__RefHeading___Toc7971866_2870459653"/>
      <w:bookmarkStart w:id="855" w:name="_Toc295"/>
      <w:bookmarkEnd w:id="854"/>
      <w:r>
        <w:rPr>
          <w:rtl w:val="true"/>
        </w:rPr>
        <w:t xml:space="preserve">الفرع الثالث </w:t>
      </w:r>
      <w:r>
        <w:rPr>
          <w:rtl w:val="true"/>
        </w:rPr>
        <w:t xml:space="preserve">: </w:t>
      </w:r>
      <w:r>
        <w:rPr>
          <w:rtl w:val="true"/>
        </w:rPr>
        <w:t>في صيغة الاقرار</w:t>
      </w:r>
      <w:bookmarkEnd w:id="855"/>
    </w:p>
    <w:p>
      <w:pPr>
        <w:pStyle w:val="BookText"/>
        <w:rPr/>
      </w:pPr>
      <w:r>
        <w:rPr>
          <w:rFonts w:ascii="Amiri" w:hAnsi="Amiri" w:eastAsia="Amiri" w:cs="Amiri"/>
          <w:color w:val="111111"/>
          <w:sz w:val="28"/>
          <w:sz w:val="28"/>
          <w:szCs w:val="28"/>
          <w:rtl w:val="true"/>
          <w:lang w:bidi="ar-SA"/>
        </w:rPr>
        <w:t>صيغة الاقرار هي اللفظ المتضمّن للاخبار عن حقّ واجب للمخبر أو ما هو في قوّة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الجنس يتناول المفيد و غيره، كما أنّ المفيد يتناول الاخبار و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 للاخبار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الفصل يخرج به سائر العقود و الايقاعات المتضمّنة للانشاء، كما يخرج باقي الألفاظ التي لاتتضمّن اخبارا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عينا و منفعة، و توابعها من الشفعة و الخيار و أولويّة التحجير و النفس و الحدود و التعزيرات، للّه تعالى و للآدمي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بالواجب معناه اللغوي و هو الثابت، فيخرج به الاخبار عن حقّ مستقبل، فانّه ليس باقرار و انّما هو وعد أو 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الشهادة، فانّها اخبار عن حقّ واجب على غير المخبر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في قوّة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يدخل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هو نفسه متضمّن للاخبار كالمركّب الاّ أنّه من تمام التعريف</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يصحّ الاقرار بالعربيّة و بغيرها؛ لأنّه لم‌يرد من الشارع لفظ خاصّ في ذلك و انّ المراد الاخبار عمّا وقع من نفسه و هو مكنون في باطنه مضافا الى أنّه </w:t>
      </w:r>
      <w:bookmarkStart w:id="856" w:name="pg9674_84480"/>
    </w:p>
    <w:p>
      <w:pPr>
        <w:pStyle w:val="BookText"/>
        <w:rPr/>
      </w:pPr>
      <w:bookmarkEnd w:id="856"/>
      <w:r>
        <w:rPr>
          <w:rFonts w:ascii="Amiri" w:hAnsi="Amiri" w:eastAsia="Amiri" w:cs="Amiri"/>
          <w:color w:val="111111"/>
          <w:sz w:val="28"/>
          <w:sz w:val="28"/>
          <w:szCs w:val="28"/>
          <w:rtl w:val="true"/>
          <w:lang w:bidi="ar-SA"/>
        </w:rPr>
        <w:t xml:space="preserve">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العلم بالوضع، فلو لقّنه أحد بالعربيّة و ادّعى عدم العلم و كان ذلك ممكنا في حقّه قبل؛ عملاً بالظاهر و أصالة عدم تجدّد علمه بغير لغته، و 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أنّ المقرّ عارف بمعنى ما أقرّ به لم‌تقبل دعواه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التنجيز؛ لما فيه من كونه اخبارا عن حقّ ثابت و التعليق مناف لذلك،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عليّ كذا 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لم‌يكن اقرارا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قدم زيد أو ان رضي فلان، أو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معناه من التعليق المنافي للاخبار</w:t>
      </w:r>
      <w:r>
        <w:rPr>
          <w:rFonts w:eastAsia="Amiri" w:cs="Amiri" w:ascii="Amiri" w:hAnsi="Amiri"/>
          <w:color w:val="111111"/>
          <w:sz w:val="28"/>
          <w:szCs w:val="28"/>
          <w:rtl w:val="true"/>
          <w:lang w:bidi="ar-SA"/>
        </w:rPr>
        <w:t>.</w:t>
      </w:r>
    </w:p>
    <w:p>
      <w:pPr>
        <w:pStyle w:val="Heading2"/>
        <w:numPr>
          <w:ilvl w:val="1"/>
          <w:numId w:val="1"/>
        </w:numPr>
        <w:rPr/>
      </w:pPr>
      <w:bookmarkStart w:id="857" w:name="__RefHeading___Toc7971868_2870459653"/>
      <w:bookmarkStart w:id="858" w:name="_Toc296"/>
      <w:bookmarkEnd w:id="857"/>
      <w:r>
        <w:rPr>
          <w:rtl w:val="true"/>
        </w:rPr>
        <w:t xml:space="preserve">الفرع الرابع </w:t>
      </w:r>
      <w:r>
        <w:rPr>
          <w:rtl w:val="true"/>
        </w:rPr>
        <w:t xml:space="preserve">: </w:t>
      </w:r>
      <w:r>
        <w:rPr>
          <w:rtl w:val="true"/>
        </w:rPr>
        <w:t>فيما لو قال</w:t>
      </w:r>
      <w:r>
        <w:rPr>
          <w:rtl w:val="true"/>
        </w:rPr>
        <w:t>: «</w:t>
      </w:r>
      <w:r>
        <w:rPr>
          <w:rtl w:val="true"/>
        </w:rPr>
        <w:t>ان شهد لك فلان فهو صادق</w:t>
      </w:r>
      <w:r>
        <w:rPr>
          <w:rtl w:val="true"/>
        </w:rPr>
        <w:t>»</w:t>
      </w:r>
      <w:bookmarkEnd w:id="858"/>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شهد لك عليّ شاهدان بألف فهما صادقان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لزمه الاقرار بالألف في الحال؛ لأنّ الشاهدين اذا صدقا في شهادتهما عليه بالألف اذا شهدا فانّ الحقّ واجب عليه شهدا أو لم‌يشهدا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 تبعه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لايفهم من هذا الكلام الاقرار و الظاهر أنّ المفهوم منه أنّ الشاهدين لايشهدان عليّ باشتغال ذمّتي بألف و لاطمئنانه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شهد لكعليّ شاهدان بألف فهما صادقان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الدليل نظر من وجهين</w:t>
      </w:r>
      <w:r>
        <w:rPr>
          <w:rFonts w:eastAsia="Amiri" w:cs="Amiri" w:ascii="Amiri" w:hAnsi="Amiri"/>
          <w:color w:val="111111"/>
          <w:sz w:val="28"/>
          <w:szCs w:val="28"/>
          <w:rtl w:val="true"/>
          <w:lang w:bidi="ar-SA"/>
        </w:rPr>
        <w:t xml:space="preserve">: </w:t>
      </w:r>
      <w:bookmarkStart w:id="859" w:name="pg9674_84481"/>
    </w:p>
    <w:p>
      <w:pPr>
        <w:pStyle w:val="BookText"/>
        <w:rPr/>
      </w:pPr>
      <w:bookmarkEnd w:id="859"/>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لم‌يحكم بصدقه مطلقا و انّما حكم به على تقدير الشهادة، و جاز أن‌يريد أنّه لاتصدر منه الشهادة؛ لكونه ليس في ذمّته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لايخرج بذلك عن التعليق، بل هو أدنى مرتبة منه؛ فانّه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كذا ان شهد به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لايكون اقرارا اتّفاقا مع أنّه صريح في الاعتراف بالحقّ على تقدير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9"/>
      </w:r>
    </w:p>
    <w:p>
      <w:pPr>
        <w:pStyle w:val="Heading2"/>
        <w:numPr>
          <w:ilvl w:val="1"/>
          <w:numId w:val="1"/>
        </w:numPr>
        <w:rPr/>
      </w:pPr>
      <w:bookmarkStart w:id="860" w:name="__RefHeading___Toc7971870_2870459653"/>
      <w:bookmarkStart w:id="861" w:name="_Toc297"/>
      <w:bookmarkEnd w:id="860"/>
      <w:r>
        <w:rPr>
          <w:rtl w:val="true"/>
        </w:rPr>
        <w:t xml:space="preserve">في انصراف اطلاق الاقرار بالموزون الى ميزان البلد </w:t>
      </w:r>
      <w:r>
        <w:rPr>
          <w:rtl w:val="true"/>
        </w:rPr>
        <w:t xml:space="preserve">... </w:t>
      </w:r>
      <w:r>
        <w:rPr/>
        <w:t>392</w:t>
      </w:r>
      <w:bookmarkEnd w:id="861"/>
    </w:p>
    <w:p>
      <w:pPr>
        <w:pStyle w:val="BookText"/>
        <w:rPr/>
      </w:pPr>
      <w:r>
        <w:rPr>
          <w:rFonts w:ascii="Amiri" w:hAnsi="Amiri" w:eastAsia="Amiri" w:cs="Amiri"/>
          <w:color w:val="111111"/>
          <w:sz w:val="28"/>
          <w:sz w:val="28"/>
          <w:szCs w:val="28"/>
          <w:rtl w:val="true"/>
          <w:lang w:bidi="ar-SA"/>
        </w:rPr>
        <w:t>و اطلاق الاقرار بالموزون ينصرف الى ميزان البلد و كذا المكيل، و كذا اطلاق الذهب أو الفضّة ينصرف الى النقد الغالب في بلد 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نقدان غالبان أو وزنان مختلفان و هما في الاستعمال سواء رجع في التعيين الى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اطلاق الكيل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الاقرار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كيل حنطة، أو رطل سمن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المتعارف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بلد المقرّ و ان خالف بلد المقرّ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المكيال و الميزان في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لم‌يغلب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الاستعمال على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استفساره فالمتيقّن هو الأقلّ و كذا القول في النقد</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انصراف اطلاق الاقرار بالموزون الى ميزان البلد و كذا المكيل ممّا يعتبره العرف و العقلاء فيما بينهم و يجري هذا في الأبواب المختلفة منالمعاملات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وزنان مختلفان و هما في الاستعمال سواء يرجع في التعيين الى المقرّ، و لو لم‌يتمكّن من الرجوع اليه يرجع بأقلّها؛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اطلاق الذهب و الفضّة فان كان مراده الدرهم و الدينار و هما مختلفان في بلده و بلد المقرّ له فينصرف الى بلد المقرّ كما أنّه لو اختلف فيه أيضا فينصرف الى الغالب، و أمّا لو كان مراده عين الذهب و الفضّة فيرجع في مقداره و تعيينه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اطلاق النقدين من الذهب و الفضّة فينصرف الى النقد الغالب من المسكوك في بلد الاقرار اذا كان المقرّ من أهله، من غير فرق بين المغشوش و غيره و الناقص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وزن درهم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فلايجب حمله على النقد الغالب، و هو المسكوك، بل يعتبر فيه مصداقهما و لو من غير المضروب</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و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لزمه اثنان، 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فدرهم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درهم أو مع درهم أو قبل درهم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لزمه درهم واحد؛ لاحتمال أن‌يكون أراد مع درهم لي فيقتصر على المتيقّن،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في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لم‌يرد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و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لزمه اثنان؛ لظاهر العطف،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ثمّ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فدرهم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ذلك اقرار باثنين؛ لمكان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لو عطف النقود أو الأشياء فالمتفاهم عرفا بل لغة هو الاقرار بالجميع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فوق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ممّا مثّل به في المتن لزمه درهم واحد؛ لأنّه كما يحتمل أن‌يكون مراده فوق درهم للمقرّ له و معه و قبله و بعده </w:t>
      </w:r>
    </w:p>
    <w:p>
      <w:pPr>
        <w:pStyle w:val="BookText"/>
        <w:rPr/>
      </w:pPr>
      <w:r>
        <w:rPr>
          <w:rFonts w:ascii="Amiri" w:hAnsi="Amiri" w:eastAsia="Amiri" w:cs="Amiri"/>
          <w:color w:val="111111"/>
          <w:sz w:val="28"/>
          <w:sz w:val="28"/>
          <w:szCs w:val="28"/>
          <w:rtl w:val="true"/>
          <w:lang w:bidi="ar-SA"/>
        </w:rPr>
        <w:t>يحتمل أن‌يريد فوق درهم لي أو معه أو قبله أو بعده، فكلّ لفظ أو جملة يحتمل فيه الأمران اقتصر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 ثوبا في منديل أو حنطة في سفينة أو ثيابا في عيبة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لم‌يدخل الظرف في 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قاله المصنّف رحمه‌الله أيضا يكون من المتفاهم العرفي لهذا الكلام؛ فانّ الاقرار بالمظروف في الجملة المذكورة في المتن لايكون اقرارا بتّا بالظرف أيضا عند العرف، و كذا الاقرار بالظرف لايكون اقرارا بالمظروف و لا أقلّ من الشكّ؛ لاحتمال أن‌يكون مراده من المنديل و السفينة و العيبة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هو شيء يحفظ فيه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منديل و سفينة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القياس تكون الأمثلة المذكورة في المسالك فراجع</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عبد عليه 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اقرارا بهما؛ لأنّ له أهليّة الامساك، و ليس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عليها سرج</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عبد عليه 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المتن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اقرارا بهما؛ لأنّ للعبد أهليّة 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له يد على ملبوسه مثلاً و ليس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دابّة عليها سرج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اليد للدابّة على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العبدلزيد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عليه عمامة كانت العمامة له أيضا و أمّا لو جاء بدابّة عليها سرج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الدابّة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السرج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أحسن صاحب الجواهر في أمثال هذه الأقارير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جعل المدار على العرف في جميع ما تقدّم أولى من الاطناب حتّى فيما حكوا الاتّفاق عليه؛ ضرورة معلوميّة عدم التعبّد في أمثال هذه المسائل، و هو مختلف باختلاف الأمكنة و الأزمنة و الأحوال</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قفيز حنطة بل قفيز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القفيزان،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هذا الثوب بل 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قفيز بل قفيزان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لزمه القفيزان حسب،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 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درهم واحد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قفيز حنطة بل قفيز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القفيزان؛ لأنّ الأوّل اقرار صحيح فيستقرّ حكمه بالاضراب عنه و ثبت ما 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هذا الثوب بل 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قرينة تدلّ على اشتباهه و أنّه أراد أن‌يقرّ بالشعير أو بالثوب الآخر فاشتبه فحينئذ يكون الأوّل متروكا و يثبت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قفيز بل 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القفيزان؛ للزومه الأكثر و دخول الأقلّ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 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درهم واحد كما عليه العرف</w:t>
      </w:r>
      <w:r>
        <w:rPr>
          <w:rFonts w:eastAsia="Amiri" w:cs="Amiri" w:ascii="Amiri" w:hAnsi="Amiri"/>
          <w:color w:val="111111"/>
          <w:sz w:val="28"/>
          <w:szCs w:val="28"/>
          <w:rtl w:val="true"/>
          <w:lang w:bidi="ar-SA"/>
        </w:rPr>
        <w:t xml:space="preserve">. </w:t>
      </w:r>
      <w:bookmarkStart w:id="862" w:name="pg9674_84485"/>
    </w:p>
    <w:p>
      <w:pPr>
        <w:pStyle w:val="Heading2"/>
        <w:numPr>
          <w:ilvl w:val="1"/>
          <w:numId w:val="1"/>
        </w:numPr>
        <w:rPr/>
      </w:pPr>
      <w:bookmarkStart w:id="863" w:name="__RefHeading___Toc7971872_2870459653"/>
      <w:bookmarkStart w:id="864" w:name="_Toc298"/>
      <w:bookmarkEnd w:id="862"/>
      <w:bookmarkEnd w:id="863"/>
      <w:r>
        <w:rPr>
          <w:rtl w:val="true"/>
        </w:rPr>
        <w:t xml:space="preserve">فيما لو أقرّ لميّت بمال </w:t>
      </w:r>
      <w:r>
        <w:rPr>
          <w:rtl w:val="true"/>
        </w:rPr>
        <w:t xml:space="preserve">... </w:t>
      </w:r>
      <w:r>
        <w:rPr/>
        <w:t>396</w:t>
      </w:r>
      <w:bookmarkEnd w:id="864"/>
    </w:p>
    <w:p>
      <w:pPr>
        <w:pStyle w:val="BookText"/>
        <w:rPr/>
      </w:pPr>
      <w:r>
        <w:rPr>
          <w:rFonts w:ascii="Amiri" w:hAnsi="Amiri" w:eastAsia="Amiri" w:cs="Amiri"/>
          <w:color w:val="111111"/>
          <w:sz w:val="28"/>
          <w:sz w:val="28"/>
          <w:szCs w:val="28"/>
          <w:rtl w:val="true"/>
          <w:lang w:bidi="ar-SA"/>
        </w:rPr>
        <w:t>و لو أقرّ لميّت بمال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وارث له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ألزم التسليم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أقرّ لميّت بمال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وارث له غير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لم‌يحتمل له وارث سواه فيؤدّيه اليه، و أمّا ان احتمل له وارث غيره فان كان ما أقرّ به من المال دينا فلا اشكال في أدائه الى زيد فان ظهر للميّت وارث سواه أولى منه أو شريك معه في الطبقة فعليه ردّ الدين أو سهمه اليه، و ان كان عينا و احتمل له وارث غيره فالمال الذي أقرّ به للميّت و ان كان عليه الاّ أنّه لايسلّم الى من أقرّ بأنّه وارث الميّت فقط؛ لأنّه اقرار في حقّ الغير فلايقبل منه فاللازم الرجوع الى الحاكم ليبحث عن وارث آخر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العين و الدين أنّ الدين لايتعيّن الاّ مع الدفع الى الدائن، فاذا دفعه الى غيره الذي أقرّ بأنّه وارث ثمّ انكشف عدم كونه وارثا أو كان له شريك في الارث، انكشف أنّه لم‌يؤدّ دينه و كان عليه أن‌يؤدّيه الى من كان وارثا في الواقع، بخلاف العين فانّه عين مال المديون و لايجوز له أن‌يدفعه الى المقرّ له اذا احتمل لها مالك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اذا جاء رأس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لزمه الألف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جاء رأس الشهر فله عليّ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من فرّق و ليس شيئا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حلف الولد انعتق المملوك و لم‌يلزمه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هذه الدار من فلان أو غصبتها منه أو قبضتها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اقرارا له بالدار، و ليس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تملّكتها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يحتمل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لفلان عليّ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لزمه الاقرار؛ لأنّه اخبار عن تقدّم الاستحقاق فلاتقبل دعواه في السقوط</w:t>
      </w:r>
      <w:r>
        <w:rPr>
          <w:rFonts w:eastAsia="Amiri" w:cs="Amiri" w:ascii="Amiri" w:hAnsi="Amiri"/>
          <w:color w:val="111111"/>
          <w:sz w:val="28"/>
          <w:szCs w:val="28"/>
          <w:rtl w:val="true"/>
          <w:lang w:bidi="ar-SA"/>
        </w:rPr>
        <w:t xml:space="preserve">. </w:t>
      </w:r>
      <w:bookmarkStart w:id="865" w:name="pg9674_84486"/>
    </w:p>
    <w:p>
      <w:pPr>
        <w:pStyle w:val="Heading2"/>
        <w:numPr>
          <w:ilvl w:val="1"/>
          <w:numId w:val="1"/>
        </w:numPr>
        <w:rPr/>
      </w:pPr>
      <w:bookmarkStart w:id="866" w:name="__RefHeading___Toc7971874_2870459653"/>
      <w:bookmarkStart w:id="867" w:name="_Toc299"/>
      <w:bookmarkEnd w:id="865"/>
      <w:bookmarkEnd w:id="866"/>
      <w:r>
        <w:rPr>
          <w:rtl w:val="true"/>
        </w:rPr>
        <w:t xml:space="preserve">في ذكر بعض الفروع ممّا يختلف فيه </w:t>
      </w:r>
      <w:r>
        <w:rPr>
          <w:rtl w:val="true"/>
        </w:rPr>
        <w:t xml:space="preserve">... </w:t>
      </w:r>
      <w:r>
        <w:rPr/>
        <w:t>396</w:t>
      </w:r>
      <w:bookmarkEnd w:id="867"/>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868" w:name="__RefHeading___Toc7971876_2870459653"/>
      <w:bookmarkStart w:id="869" w:name="_Toc300"/>
      <w:bookmarkEnd w:id="868"/>
      <w:r>
        <w:rPr>
          <w:rtl w:val="true"/>
        </w:rPr>
        <w:t xml:space="preserve">الفرع الأوّل </w:t>
      </w:r>
      <w:r>
        <w:rPr>
          <w:rtl w:val="true"/>
        </w:rPr>
        <w:t xml:space="preserve">: </w:t>
      </w:r>
      <w:r>
        <w:rPr>
          <w:rtl w:val="true"/>
        </w:rPr>
        <w:t>فيما لو قال</w:t>
      </w:r>
      <w:r>
        <w:rPr>
          <w:rtl w:val="true"/>
        </w:rPr>
        <w:t xml:space="preserve">: </w:t>
      </w:r>
      <w:r>
        <w:rPr>
          <w:rtl w:val="true"/>
        </w:rPr>
        <w:t>له عليّ ألف اذا جاء رأس الشهر</w:t>
      </w:r>
      <w:bookmarkEnd w:id="869"/>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اذا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هناك قرينة حاليّة أو مقاليّة بأنّ مراده التأجيل أو كان مراده التعليق فيلزمه أداء الألف رأس الشهر في الأوّل و البطلان في الثاني؛ لما تقدّم من أنّ الاقرار لايقبل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احتمل الأمرين فيرجع اليه في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 بأنّ مراده التعليق فان ادّعى عليه المقرّ له فعليه اليمين و ان لم‌يدّع فيقبل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حمله على التأجيل يفيد حكما شرعيّا فكذا حمله على التعليق؛ لأنّ البطلان أيضا حكم شرعي، و الأصل براءة الذمّة من التزام شيء بدون اليقين أو الظهور، و هو منتفٍ هنا؛ لاشتراك اللفظ بين المعنيين</w:t>
      </w:r>
      <w:r>
        <w:rPr>
          <w:rFonts w:eastAsia="Amiri" w:cs="Amiri" w:ascii="Amiri" w:hAnsi="Amiri"/>
          <w:color w:val="111111"/>
          <w:sz w:val="28"/>
          <w:szCs w:val="28"/>
          <w:rtl w:val="true"/>
          <w:lang w:bidi="ar-SA"/>
        </w:rPr>
        <w:t>».</w:t>
      </w:r>
      <w:r>
        <w:rPr>
          <w:rStyle w:val="FootnoteAnchor"/>
          <w:rtl w:val="true"/>
        </w:rPr>
        <w:footnoteReference w:id="454"/>
      </w:r>
    </w:p>
    <w:p>
      <w:pPr>
        <w:pStyle w:val="Heading2"/>
        <w:numPr>
          <w:ilvl w:val="1"/>
          <w:numId w:val="1"/>
        </w:numPr>
        <w:rPr/>
      </w:pPr>
      <w:bookmarkStart w:id="870" w:name="__RefHeading___Toc7971878_2870459653"/>
      <w:bookmarkStart w:id="871" w:name="_Toc301"/>
      <w:bookmarkEnd w:id="870"/>
      <w:r>
        <w:rPr>
          <w:rtl w:val="true"/>
        </w:rPr>
        <w:t xml:space="preserve">الفرع الثاني </w:t>
      </w:r>
      <w:r>
        <w:rPr>
          <w:rtl w:val="true"/>
        </w:rPr>
        <w:t xml:space="preserve">: </w:t>
      </w:r>
      <w:r>
        <w:rPr>
          <w:rtl w:val="true"/>
        </w:rPr>
        <w:t>فيما لو قال المالك</w:t>
      </w:r>
      <w:r>
        <w:rPr>
          <w:rtl w:val="true"/>
        </w:rPr>
        <w:t xml:space="preserve">: </w:t>
      </w:r>
      <w:r>
        <w:rPr>
          <w:rtl w:val="true"/>
        </w:rPr>
        <w:t>بعتك أباك</w:t>
      </w:r>
      <w:bookmarkEnd w:id="87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مالك عبد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أقرّ بالبيع و الشراء فينعتق العبد؛ لأنه أقرّ بشراء أبيه و يلزمه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أنكر شراءه منه فالعبد ينعتق في هذه الصورة أيضا؛ لأنّ اقرار مولاه ببيعه على ولده يستلزم انعتاقه فيؤخذ باقراره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الولد فلايلزمه الثمن؛ لأنّه منكر فينتفي عنه الثمن كما ينتفي عنه أصل الشراء</w:t>
      </w:r>
      <w:r>
        <w:rPr>
          <w:rFonts w:eastAsia="Amiri" w:cs="Amiri" w:ascii="Amiri" w:hAnsi="Amiri"/>
          <w:color w:val="111111"/>
          <w:sz w:val="28"/>
          <w:szCs w:val="28"/>
          <w:rtl w:val="true"/>
          <w:lang w:bidi="ar-SA"/>
        </w:rPr>
        <w:t xml:space="preserve">. </w:t>
      </w:r>
      <w:bookmarkStart w:id="872" w:name="pg9674_84487"/>
    </w:p>
    <w:p>
      <w:pPr>
        <w:pStyle w:val="Heading2"/>
        <w:numPr>
          <w:ilvl w:val="1"/>
          <w:numId w:val="1"/>
        </w:numPr>
        <w:rPr/>
      </w:pPr>
      <w:bookmarkStart w:id="873" w:name="__RefHeading___Toc7971880_2870459653"/>
      <w:bookmarkStart w:id="874" w:name="_Toc302"/>
      <w:bookmarkEnd w:id="872"/>
      <w:bookmarkEnd w:id="873"/>
      <w:r>
        <w:rPr>
          <w:rtl w:val="true"/>
        </w:rPr>
        <w:t xml:space="preserve">الفرع الثالث </w:t>
      </w:r>
      <w:r>
        <w:rPr>
          <w:rtl w:val="true"/>
        </w:rPr>
        <w:t xml:space="preserve">: </w:t>
      </w:r>
      <w:r>
        <w:rPr>
          <w:rtl w:val="true"/>
        </w:rPr>
        <w:t>فيما لو قال</w:t>
      </w:r>
      <w:r>
        <w:rPr>
          <w:rtl w:val="true"/>
        </w:rPr>
        <w:t xml:space="preserve">: </w:t>
      </w:r>
      <w:r>
        <w:rPr>
          <w:rtl w:val="true"/>
        </w:rPr>
        <w:t>ملكت هذه الدار من فلان</w:t>
      </w:r>
      <w:bookmarkEnd w:id="874"/>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هذه الدار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اقرار له بالدار فبحسب ما يدّعيه صاحبها يختلف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 هذه الدار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فيأخذه باقراره و يحكم عليه بأحكام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اقرار له بالدار فيأخذه بحسب اقراره و يحكم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تملّكتها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لايقتضي الاّ جريان سبب الملك على يده و هو أعمّ من صدوره منه فلايدلّ على كونه مالكا؛ لجواز كونه وكيلاً أو دلاّلاً أو نحو ذلك</w:t>
      </w:r>
      <w:r>
        <w:rPr>
          <w:rFonts w:eastAsia="Amiri" w:cs="Amiri" w:ascii="Amiri" w:hAnsi="Amiri"/>
          <w:color w:val="111111"/>
          <w:sz w:val="28"/>
          <w:szCs w:val="28"/>
          <w:rtl w:val="true"/>
          <w:lang w:bidi="ar-SA"/>
        </w:rPr>
        <w:t>.</w:t>
      </w:r>
    </w:p>
    <w:p>
      <w:pPr>
        <w:pStyle w:val="Heading2"/>
        <w:numPr>
          <w:ilvl w:val="1"/>
          <w:numId w:val="1"/>
        </w:numPr>
        <w:rPr/>
      </w:pPr>
      <w:bookmarkStart w:id="875" w:name="__RefHeading___Toc7971882_2870459653"/>
      <w:bookmarkStart w:id="876" w:name="_Toc303"/>
      <w:bookmarkEnd w:id="875"/>
      <w:r>
        <w:rPr>
          <w:rtl w:val="true"/>
        </w:rPr>
        <w:t xml:space="preserve">الفرع الرابع </w:t>
      </w:r>
      <w:r>
        <w:rPr>
          <w:rtl w:val="true"/>
        </w:rPr>
        <w:t xml:space="preserve">: </w:t>
      </w:r>
      <w:r>
        <w:rPr>
          <w:rtl w:val="true"/>
        </w:rPr>
        <w:t>فيما لو قال</w:t>
      </w:r>
      <w:r>
        <w:rPr>
          <w:rtl w:val="true"/>
        </w:rPr>
        <w:t xml:space="preserve">: </w:t>
      </w:r>
      <w:r>
        <w:rPr>
          <w:rtl w:val="true"/>
        </w:rPr>
        <w:t>كان لفلان عليّ ألف</w:t>
      </w:r>
      <w:bookmarkEnd w:id="876"/>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لفلان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ثبوته في الزمن الماضي و لا دليل على الزوال فيستصحب و لو صرّح بعده بدعوى سقوطه لم‌يسمع؛ لأنّها دعوى منافية للاقرار السابق فيحتاج الى الاثبات و لأصالة البقاء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لفلان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الاقرار بها بلا خلاف أجده بين من تعرّض له، كالشيخ و الفاضل و الكركي و ثاني الشهيدين و الأردبيلي، الاّ ما يحكى عن يحيى بن سعيد، فلم‌يجعله اقرارا و الشافعي في أحد قوليه، و لا ريب في ضعفه؛ لأنّه اخبار عن تقدّم الاستحقاق، فلاتقبل دعواه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5"/>
      </w:r>
      <w:bookmarkStart w:id="877" w:name="pg9674_84488"/>
    </w:p>
    <w:p>
      <w:pPr>
        <w:pStyle w:val="Heading2"/>
        <w:numPr>
          <w:ilvl w:val="1"/>
          <w:numId w:val="1"/>
        </w:numPr>
        <w:rPr/>
      </w:pPr>
      <w:bookmarkStart w:id="878" w:name="__RefHeading___Toc7971884_2870459653"/>
      <w:bookmarkStart w:id="879" w:name="_Toc304"/>
      <w:bookmarkEnd w:id="877"/>
      <w:bookmarkEnd w:id="878"/>
      <w:r>
        <w:rPr>
          <w:rtl w:val="true"/>
        </w:rPr>
        <w:t xml:space="preserve">المقصد الثاني </w:t>
      </w:r>
      <w:r>
        <w:rPr>
          <w:rtl w:val="true"/>
        </w:rPr>
        <w:t xml:space="preserve">: </w:t>
      </w:r>
      <w:r>
        <w:rPr>
          <w:rtl w:val="true"/>
        </w:rPr>
        <w:t>في المبهمة</w:t>
      </w:r>
      <w:bookmarkEnd w:id="879"/>
    </w:p>
    <w:p>
      <w:pPr>
        <w:pStyle w:val="BookText"/>
        <w:rPr/>
      </w:pPr>
      <w:r>
        <w:rPr>
          <w:rFonts w:ascii="Amiri" w:hAnsi="Amiri" w:eastAsia="Amiri" w:cs="Amiri"/>
          <w:color w:val="111111"/>
          <w:sz w:val="28"/>
          <w:sz w:val="28"/>
          <w:szCs w:val="28"/>
          <w:rtl w:val="true"/>
          <w:lang w:bidi="ar-SA"/>
        </w:rPr>
        <w:t>و فيها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 به قد يكون معيّنا مفصّلاً، و قد يكون مبهما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احتمل فيه الابهام لأنّه اخبار عن سابق، و الشيء يخبر عنه مفصّلاً تارة و مجملاً أخرى، و ربّما كان في ذمّة الانسان شيء لايعلم قدره فلا بدّ له من الاخبار عنه، فيتواطأ هو و صاحبه على الصلح بما يتّفقان عليه، فدعت الحاجة و اقتضت الحكمة الى سماع الاقرار المجمل كما يسمع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يخالف الانشاءات حيث لاتحتمل الجهالة و الاجمال غالبا، احتياطا لابتداء الثبوت، و تحرّزا عن الغرر، و هذا لايجري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الأقارير المجملة بين أن‌تقع ابتداءً أو في جواب دعوى معلومة، كما اذا ادّعى عليه ألف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الألفاظ التي تقع فيها الجهالة و الاجمال لا حصر لها، فذكر المصنّف رحمه‌الله و غيره من الفقهاء ما هو أكثر استعمالاً و دورانا على الألسنة ليعرف حكمها و يقاس عليها غيرها</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ألزم التفسير فان فسّر بما يتموّل قبل و لو كان قليلاً، و لو فسّر بما لم‌تجر العادة بتموّله كقشر اللوزة و الجوزة لم‌يقبل، و كذا لو فسّر المسلم بما لايملكه و لاينتفع به كالخمر و الخنزير و </w:t>
      </w:r>
    </w:p>
    <w:p>
      <w:pPr>
        <w:pStyle w:val="BookText"/>
        <w:rPr/>
      </w:pPr>
      <w:r>
        <w:rPr>
          <w:rFonts w:ascii="Amiri" w:hAnsi="Amiri" w:eastAsia="Amiri" w:cs="Amiri"/>
          <w:color w:val="111111"/>
          <w:sz w:val="28"/>
          <w:sz w:val="28"/>
          <w:szCs w:val="28"/>
          <w:rtl w:val="true"/>
          <w:lang w:bidi="ar-SA"/>
        </w:rPr>
        <w:t>جلد الميتة؛ لأنّه لايعدّ مالاً، و كذا لو فسّره بما ينتفع به و لايملك كالسرجين النجس و الكلب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فسّره بكلب الصيد أو الماشية أو كلب الزرع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فسّره بردّ السلام لم‌يقبل؛ لأنّه لم‌تجر العادة بالاخبار عن ثبوت مثله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التفسير فان فسّر بما يتموّل قبل و لو كان قليلاً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أن‌يدّعي المقرّ له أنّ المال الذي في ذمّته كان أكثر فيلزمه البيّنة و ان لم‌تكن فعلى المقرّ المنكر للزيادة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لم‌يفسّر ألزم التفسير فان أبى و طلب منه المدّعي حبس حتّى يقرّ بما عليه ممّا يتموّل و كذا لو فسّر بما لايتموّل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ليعلم أنّه لايدام في الحبس ان لم‌يفسّر، بل على القاضي أن‌يستفسر المقرّ له ان علم بالحال فان فسّر هو و ادّعى أمرا فان أنكره المقرّ يطالب المقرّ له</w:t>
      </w:r>
    </w:p>
    <w:p>
      <w:pPr>
        <w:pStyle w:val="BookText"/>
        <w:rPr/>
      </w:pPr>
      <w:r>
        <w:rPr>
          <w:rFonts w:ascii="Amiri" w:hAnsi="Amiri" w:eastAsia="Amiri" w:cs="Amiri"/>
          <w:color w:val="111111"/>
          <w:sz w:val="28"/>
          <w:sz w:val="28"/>
          <w:szCs w:val="28"/>
          <w:rtl w:val="true"/>
          <w:lang w:bidi="ar-SA"/>
        </w:rPr>
        <w:t>بالبيّنة و ان لم‌تكن له بيّنة فعلى المقرّ اليمين على نفي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فسّر المسلم بما لايملكه و لاينتفع به كالخمر و الخنزير و جلد الميتة لم‌يقبل منه؛ لعدم ماليّتها عند المسلم، و كذا التفسير بمثل السرجين النجس و الكلب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فسّره بكلب الصيد أو الماشية أو كلب الزرع قبل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السلام لم‌يقبل منه؛ لأنّه ليس بمال بل هو كان عليه ردّه في زمان عرض السلام و ليس له قضاء و ليس في ذمّته و ان تركه عمدا فقد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فسّره بوديعة قبل؛ لأنّها مال يجب عليه ردّه عند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ادّعى عدم الخلاف و الاشكال في الزامه بالتفسير و حبسه ان أبى منه وفاقا للمشهور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ففسّره بجلد الميتة أو السرجين النجس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لأنّه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لايقبل؛ لأنّه لايثبت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ففسّره المسلم بجلد الميتة أو السرجين النجس لايقبل؛ لأنّه لايثبت شيء منهما في الذمّة و جزم به غير واحد، بل لم‌أجد القول بالقبول في الجلد من المسلم العارف لأحد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ظاهر المبسوط و التذكرة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لايبعد القبول فيه و في الخنزير و الكلب الذي لا منفعة له أصلاً اذا كان القائل ممّن يعتقد جواز الانتفاع بها، سواء كان كافرا أو</w:t>
      </w:r>
    </w:p>
    <w:p>
      <w:pPr>
        <w:pStyle w:val="BookText"/>
        <w:rPr/>
      </w:pPr>
      <w:r>
        <w:rPr>
          <w:rFonts w:ascii="IRNazanin" w:hAnsi="IRNazanin" w:eastAsia="IRNazanin"/>
          <w:color w:val="111111"/>
          <w:sz w:val="28"/>
          <w:sz w:val="28"/>
          <w:szCs w:val="28"/>
          <w:rtl w:val="true"/>
          <w:lang w:bidi="fa-IR"/>
        </w:rPr>
        <w:t>مسلما مخالفا أو موافقا</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البحث عن جواز بيع النجاسات و ملكيّتها اذا كان لها منفعة محلّلة في مواضع من شرحنا على مكاسب الشيخ الأعظم، و اذا ثبت ملكيّتها لكونها ذات منفعة محلّلة، فيصحّ تفسير الاقرار بها كما لايخفى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جليل أو عظيم أو خطير أو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تفسيره و لو بالقليل،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رجوعا في تفسير الكثرة الى رواية النذر، و ربّما خصّها بعض الأصحاب بموضع الورود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مال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ألزم بقدره و زيادة و يرجع في تلك الزيادة الى المقرّ،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أظنّ ماله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ما بنى عليه اقراره و لو ثبت أنّ مال فلان يزيد عن ذلك؛ لأنّ الانسان يخبر عن وهمه و المال قد يخفى على غير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أقرّ بلفظ مبهم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اللفظ المبهم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كالمال، و الشيء، و الجزيل، و العظيم، و الحقير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النفيس، و مال أيّ مال، و يقبل تفسيره بما قلّ؛ لأنّ كل مال عظيم خطره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الابهام و الرجوع اليه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أو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لاشتراكهما في الاحتمال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و جماعة بالفرق،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كالنذر؛ للرواية الواردة به فيه، و الاستشهاد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يضعّف مع تسليمه ببطلان القياس، و لاستعمال الكثير في القرآن لغير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عرف شرعي فلا قياس، خلاف الظاهر، و الحاق العظيم به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أكثر من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بقدره و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 بدونه و ادّعى ظنّ القلّة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علمه به مع ظهور أنّ المال من شأنه أن‌يخفى</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قبول تفسير اللفظ المبهم بالقليل فالظاهر أنّه ممّا لا خلاف فيه كما في </w:t>
      </w:r>
    </w:p>
    <w:p>
      <w:pPr>
        <w:pStyle w:val="BookText"/>
        <w:rPr/>
      </w:pPr>
      <w:r>
        <w:rPr>
          <w:rFonts w:ascii="Amiri" w:hAnsi="Amiri" w:eastAsia="Amiri" w:cs="Amiri"/>
          <w:color w:val="111111"/>
          <w:sz w:val="28"/>
          <w:sz w:val="28"/>
          <w:szCs w:val="28"/>
          <w:rtl w:val="true"/>
          <w:lang w:bidi="ar-SA"/>
        </w:rPr>
        <w:t>الجواهر، و ان كان اللفظ المقرّ به هو العظيم و الجزيل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ذهب اليه الشيخ رحمه‌الله من تفسير الكثير بثمانين فما استدلّ به الشهيد الثاني على ضعفه، وجيه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أنّ الكثير كغيره من الألفاظ المبهمة المحتاجة الى التفسير من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لزوم الحلف اذا قال بأنّي أظنّ أنّ مال فلان أقلّ من هذا، فمعلوم أنّ المراد منه ما اذا لم‌يقبل المقرّ له كلامه و أنكره، و الاّ فلايحتاج الى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لم‌يقبل؛ لأنّ ما عليه المشهور هو تعريف الغصب بأنّه الاستيلاء على مال الغير عدوانا و نفس الحرّ ليست مالاً و لأنّ المتبادر من اللفظ كون المغصوب غير المغصوب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المنكّر يحمل على الثلاثة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دراهم أو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اقتصر كان بيان الجنس اليه اذا فسّر بما يصحّ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المنكّر يحمل على الثلاثة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دراهم أو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تعذّر التفسير و الاّ ألزم به؛ ضرورة عدم الفرق بينه و بين غيره في 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w:t>
      </w:r>
    </w:p>
    <w:p>
      <w:pPr>
        <w:pStyle w:val="BookText"/>
        <w:rPr/>
      </w:pPr>
      <w:r>
        <w:rPr>
          <w:rFonts w:ascii="Amiri" w:hAnsi="Amiri" w:eastAsia="Amiri" w:cs="Amiri"/>
          <w:color w:val="111111"/>
          <w:sz w:val="28"/>
          <w:sz w:val="28"/>
          <w:szCs w:val="28"/>
          <w:rtl w:val="true"/>
          <w:lang w:bidi="ar-SA"/>
        </w:rPr>
        <w:t>فسّره بالثلاثة قبل؛ لأنّه أقلّ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اقتصر كان بيان الجنس اليه اذا فسّره بما يصحّ تملّكه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الدرهم و يرجع في تفسير الألف اليه،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درهمان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مائة و درهم أو </w:t>
      </w:r>
    </w:p>
    <w:p>
      <w:pPr>
        <w:pStyle w:val="BookText"/>
        <w:rPr/>
      </w:pPr>
      <w:r>
        <w:rPr>
          <w:rFonts w:ascii="Amiri" w:hAnsi="Amiri" w:eastAsia="Amiri" w:cs="Amiri"/>
          <w:color w:val="111111"/>
          <w:sz w:val="28"/>
          <w:sz w:val="28"/>
          <w:szCs w:val="28"/>
          <w:rtl w:val="true"/>
          <w:lang w:bidi="ar-SA"/>
        </w:rPr>
        <w:t>عشرة و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 خمسون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الجميع دراهم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ثلاثة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مائة درهم أو ألف و ثلاثة و ثلاثون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درهم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الألف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الدرهم و يرجع في تفسير الألف اليه؛ لابهامه باعتبار عدم ما يدلّ في اللفظ على تمييزه،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درهمان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 درهم أو عشرة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الدرهم وقع معطوفا لا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 خمسون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كان الجميع دراهم؛ للعرف،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بالعطف الظاهر منه عدم التمييز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يراد من الجميع الدراهم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ثلاثة و ثلاثون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العرف يقضي بأنّ التمييز المتأخّر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درهم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الألف مجهولة؛ لعدم تمييز 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اليه التفسير،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فسّره بالدرهم نصبا أو رفعا كان اقرارا بدرهم،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نصب كان له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يمكن هذا مع الاطّلاع على القصد و ان خفض احتمل بعض الدرهم و اليه تفسير البعضيّة،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مائة درهم؛ مراعاة لتجنّب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لست أدري من أين نشأ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اقتصر فاليه التفسير، و ان أتبعه بالدرهم نصبا أو رفعا لزمه درهم،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نصب لزمه أحدعشر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و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أو رفعا لزمه درهم،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نصبه لزمه أحد و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الاقتصار على اليقين الاّ مع العلم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تفسيره بما يقبل به تفسير الشيء، هذا اذا لم‌يفسّره، أمّا اذا فسّره بالدرهم فامّا أن‌يجعل الدرهم منصوبا أو مرفوعا أو مجرورا، ففي الأوّلين يلزمه درهم و يجعل درهما منصوبا على التمييز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مرفوعا بدلاً من الشيء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يلزمه جزء درهم، و اليه يرجع في تفسير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وقف احتمل الرفع و الجرّ فيلزمه أقلّهما؛ لأصالة البراءة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الألفاظ و الجملات المذكورة في هذه المسألة و غيرها تحمل على ما ذكر من المعاني اذا صدر ممّن كانت لغته عربيّة أو كان عارفا بها و أمّا من كان لسانه غير العربي فيحمل اقراره بحساب لغته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الجملات التي ذكرها المصنّف فهي كما قال ان كان المقرّ عارفا باللغات، و في الألفاظ المبهمة ترجع في تفسيرها الى المقرّ كما تقدّم، فراجع الجواهر و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لأحد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البيان، فان عيّن قبل و لو ادّعاها الآخر كانا خصمين، و لو ادّعى على المقرّ العلم كان له احلافه، و لو أقرّ للآخر لزمه الضمان، و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دفعها اليهما و كانا خصمين، و لو ادّعيا أو أحدهما علمه كان القول قوله مع يمينه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لأحد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البيان كما يلزم في الاقرار بالمجهول، فان عيّن أحدهما قبل منه، ثمّ لو ادّعى الآخر حينئذٍ أنّ هذه الدار له كانا خصمين، و </w:t>
      </w:r>
    </w:p>
    <w:p>
      <w:pPr>
        <w:pStyle w:val="BookText"/>
        <w:rPr/>
      </w:pPr>
      <w:r>
        <w:rPr>
          <w:rFonts w:ascii="Amiri" w:hAnsi="Amiri" w:eastAsia="Amiri" w:cs="Amiri"/>
          <w:color w:val="111111"/>
          <w:sz w:val="28"/>
          <w:sz w:val="28"/>
          <w:szCs w:val="28"/>
          <w:rtl w:val="true"/>
          <w:lang w:bidi="ar-SA"/>
        </w:rPr>
        <w:t>عليه البيّنة؛ لأنّه خارج و غير ذياليد و ان لم‌تكن له بيّنة فيجوز له احلاف المقرّ على عدم العلم بكونها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رجع بعد الاقرار للأوّل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الدار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فلاينتزع الدار من الأوّل و أغرم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علي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صدّقه الأوّل دفعت الى الثاني و لا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وجوب الرجوع الى الحاكم ليسلّمها الى من ثبت أنّها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يقول بدفعها اليهما و كونهما خصمين و استشكل فيه الشهيد الثاني بأنّ الدفع اليهما دفع الى غير المالك؛ لاعتراف المقرّ بأنّها كانت لأحدهما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الدفع اليهما موجب لكونهما خصمين فمن أقام منهما البيّنة فله و الاّ فيكون كالمتداعيين الخارجين عن العين فيكون المال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ادّعيا أو أحدهما علم المقرّ كان القول قول المقرّ مع يمينه على نفي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الثوب أو هذا العبد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عيّن قبل منه، و ان أنكر المقرّ له كان القول قول المقرّ مع يمينه، و للحاكم انتزاع ما أقرّ به و له اقراره في يده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الثوب أو هذا العبد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التعيين، فان عيّن قبل منه فاذا عيّن الثوب مثلاً فان قبل المقرّ له فهو، و ان أنكره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العبد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المقرّ مع يمينه بأنّ الآخر ليس للمقرّ له، فاذا حلف خلص من دعواه و بقيت العين المقرّ بها مجهولة المالك فيحفظها الحاكم أو يجوّز للمقرّ حفظها حتّى يظهر مالكها أو يرجع المقرّ له عن انكاره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أصرّ المقرّ على عدم التعيين و ادّعى </w:t>
      </w:r>
    </w:p>
    <w:p>
      <w:pPr>
        <w:pStyle w:val="BookText"/>
        <w:rPr/>
      </w:pPr>
      <w:r>
        <w:rPr>
          <w:rFonts w:ascii="Amiri" w:hAnsi="Amiri" w:eastAsia="Amiri" w:cs="Amiri"/>
          <w:color w:val="111111"/>
          <w:sz w:val="28"/>
          <w:sz w:val="28"/>
          <w:szCs w:val="28"/>
          <w:rtl w:val="true"/>
          <w:lang w:bidi="ar-SA"/>
        </w:rPr>
        <w:t>الجهل بالحال أو نسيانه سمع منه و يقرع بين العينين؛ لأنّ القرعة لكلّ أمر مشكل، الاّ اذا ادّعى المقرّ له علمه بالتعيين، فان عيّنه و ادّعى مثلاً أنّ الثوب له فالظاهر قبول قوله من غير حاجة الى بيّنة، اذ هو بمنزلة المدّعي بلا منازع، و قد قرّر في محلّه أنّ المدّعي اذا كان بلا منازع يقبل قوله بلا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اليه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التي كنت أقررت بها كانت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أنكر المقرّ له كان القول قول المقرّ مع يمينه،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ذمّتي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وديعة و هذه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ذمّتي ألف و هذه هي التي أقررت بها كانت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لم‌يقبل؛ لأنّ ما في الذمّة لايكون وديعة و ليست كالأولى و لا كالوسطى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وديعة و كنت أظنّها باقية فبانت 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لم‌يقبل؛ لأنّه مكذّب اقراره، أمّا لو ادّعى تلفها بعد الاقرار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الوجه في الفروع الثلاثة الأولى هو أنّ الاقرار في الأوّل بأنّ لفلان عليّ ألفا ثمّ دفعه اليه لاينافي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التي كنت أقررت بها كانت 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لامكان أن‌يكون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الثاني؛ فانّ البدل من الوديعة الفائتة التي فرّط في حفظها هو الذي يكون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فليس كالأوّلين 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ذمّتي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التي أقررت بها كانت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فلايقبل منه فعليه مضافا الى دفع الوديعة ألف أخرى بعد أن‌يفسّر الألف كما تقدّم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 فان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عندي وديعة و كنت أظنّها باقية فبانت 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المصنّف الى أنّه لايقبل منه؛ لأنّه مكذّب </w:t>
      </w:r>
    </w:p>
    <w:p>
      <w:pPr>
        <w:pStyle w:val="BookText"/>
        <w:rPr/>
      </w:pPr>
      <w:r>
        <w:rPr>
          <w:rFonts w:ascii="Amiri" w:hAnsi="Amiri" w:eastAsia="Amiri" w:cs="Amiri"/>
          <w:color w:val="111111"/>
          <w:sz w:val="28"/>
          <w:sz w:val="28"/>
          <w:szCs w:val="28"/>
          <w:rtl w:val="true"/>
          <w:lang w:bidi="ar-SA"/>
        </w:rPr>
        <w:t>لاقراره؛ و ذلك لأنّ الظاهر من اقراره الأوّل و دفعها أنّه هو عين الوديعة فعليه الأخرى ممّا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و قد تلف و هذا بدل ما كانت عندي وديعة و قد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ذهبوا اليه في هذه الفروع، ولكن ليعلم أنّ ذلك صحيح اذا كان لكلامه ظهور عرفي قد التفت اليه المقرّ و غيره، بحيث لايقبل العرف انكار ذلك الظهور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الزامه بالتفسير و بيان مراده واضحا بحيث لا ستر عليه و لايحتاج الى التفسير و التأويل، ففي الفرع الثالث اذا أوضح الجملة الثانية و فسّرها و قال بأنّ ما أقررت به هو ما أودعه المقرّ له عندي و قد تلف في يدي بتفريط، فالظاهر قبوله منه و لا حاجة الى دفع ألفين و هكذا في الفرع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هذه الدار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رجع في تفسير الكيفيّة اليه، فان أنكر المقرّ له شيئا من تفسيره كان القول قول المقرّ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هذه الدار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حيث انّ المائة و كيفيّتهامع الدار مبهمة رجع في تفسيرها اليه، فان فسّرها بجزء منها قيمته مائة دينار قبل و صار المقرّ له شريكا بذلك الجزء و كذا لو فسّرها بغير ذلك من الموارد المذكورة في المسالك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خالفه المقرّ له و أنكر شيئا من تفسيره كان القول قول المقرّ مع يمينه حيث يكون التفسير محتملاً من اللفظ؛ لأنّه أعلم بما أراد و لأصالة براءة ذمّته من سوى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ميراث أبي أو من ميراث أبي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ميراثي من أبي أو من ميراثي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اقرارا و كان كالوعد بالهبة،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من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لم‌يقبل،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مالي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لم‌يقبل، و من الناس من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الدار لايسمّى دارا و بعض المال يسمّى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في هذه المسائل بحقّ واجب أو بسبب صحيح أو ما جرى مجراه صحّ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ميراث أبي أو من ميراث أبي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لأنّ المراد تركة أبيه و قد يكون استحقّ ذلك بوصيّة أو دين أو نحوهما من المتعلّقات التي تكون في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ميراثي من أبي أو من ميراثي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اقرارا و كان كالوعد بالهبة على المشهور بين الأصحاب في القولين كما في الجواهر</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من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اقرارا بلا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من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مالي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لم‌يقبل؛ للتناقض بين ظهور اضافته اليه المقتضية لملكه له حال الاقرار و بين كونه ملكا سابقا للغير متّصلاً الى حين الاقرار، و من المعلوم عدم كون الشيء الواحد مملوكا لشخصين في زمان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الاقرار المستفاد من الجواب</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رددتها أو 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اقرارا،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أو أجل أو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لم‌يلزمه؛ لتطرّق الاحتمال،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منّي أو استوهبت؟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اقرار،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اقرارا و فيه تردّد من حيث يستعمل الأمران استعمالاً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رددتها أو 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اعترف بأنّ ذمّته كانت مشغولة بألف فيقبل منه و أمّا ما ادّعاه من ردّها فعليه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هناك قرائن لفظيّة أو حاليّة على كونه مستهزءا في الجواب فلايكون اقرارا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أو أجل أو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الأجوبة التي تستعمل في كلّ لغة للتصديق و الموافقة من غير تفصيل كان اقرارا، سواء كان ذلك في جواب السؤال أو في جواب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لأنّه اقرار كما هو ظاهر، 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اقتصر و لم‌يضف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فالمصنّف استشكل في كونه اقرارا؛ لاحتمال أن‌يكون اقرارا بأمر آخر كما لو كان يريد الاقرار بأنّ اللّه تعالى واحد مثلاً، مضافا الى أصالة البراءة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الايكال الى العرف في كلّ لغة أوجه فان احتمل في حقّه غير </w:t>
      </w:r>
    </w:p>
    <w:p>
      <w:pPr>
        <w:pStyle w:val="BookText"/>
        <w:rPr/>
      </w:pPr>
      <w:r>
        <w:rPr>
          <w:rFonts w:ascii="Amiri" w:hAnsi="Amiri" w:eastAsia="Amiri" w:cs="Amiri"/>
          <w:color w:val="111111"/>
          <w:sz w:val="28"/>
          <w:sz w:val="28"/>
          <w:szCs w:val="28"/>
          <w:rtl w:val="true"/>
          <w:lang w:bidi="ar-SA"/>
        </w:rPr>
        <w:t>الاقرار بما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اقرار بالاشتراء منه، فان ادّعى الثمن ففي ذمّته فلو ادّعى المشتري أداءه فعليه البيّنة، و هكذا يكون الحال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اقرار بالهبة فلو كانت العين باقية و كان هو غير ذيالقربى فيجوز للواهب الرجوع اليه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ممّا هو مثله في اللغات الأخرى كان اقرارا، و أمّا لو قال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فالمصنّف تردّد فيه من حيث احتمال عدم كونه كبلى، و الأوجه ردّ مثل ذلك الى العرف</w:t>
      </w:r>
      <w:r>
        <w:rPr>
          <w:rFonts w:eastAsia="Amiri" w:cs="Amiri" w:ascii="Amiri" w:hAnsi="Amiri"/>
          <w:color w:val="111111"/>
          <w:sz w:val="28"/>
          <w:szCs w:val="28"/>
          <w:rtl w:val="true"/>
          <w:lang w:bidi="ar-SA"/>
        </w:rPr>
        <w:t xml:space="preserve">. </w:t>
      </w:r>
      <w:bookmarkStart w:id="880" w:name="pg9674_84501"/>
    </w:p>
    <w:p>
      <w:pPr>
        <w:pStyle w:val="Heading2"/>
        <w:numPr>
          <w:ilvl w:val="1"/>
          <w:numId w:val="1"/>
        </w:numPr>
        <w:rPr/>
      </w:pPr>
      <w:bookmarkStart w:id="881" w:name="__RefHeading___Toc7971886_2870459653"/>
      <w:bookmarkStart w:id="882" w:name="_Toc305"/>
      <w:bookmarkEnd w:id="880"/>
      <w:bookmarkEnd w:id="881"/>
      <w:r>
        <w:rPr>
          <w:rtl w:val="true"/>
        </w:rPr>
        <w:t xml:space="preserve">المقصد الرابع </w:t>
      </w:r>
      <w:r>
        <w:rPr>
          <w:rtl w:val="true"/>
        </w:rPr>
        <w:t xml:space="preserve">: </w:t>
      </w:r>
      <w:r>
        <w:rPr>
          <w:rtl w:val="true"/>
        </w:rPr>
        <w:t>في صيغ الاستثناء</w:t>
      </w:r>
      <w:bookmarkEnd w:id="882"/>
    </w:p>
    <w:p>
      <w:pPr>
        <w:pStyle w:val="BookText"/>
        <w:rPr/>
      </w:pPr>
      <w:r>
        <w:rPr>
          <w:rFonts w:ascii="IRNazanin" w:hAnsi="IRNazanin" w:eastAsia="IRNazanin"/>
          <w:color w:val="111111"/>
          <w:sz w:val="28"/>
          <w:sz w:val="28"/>
          <w:szCs w:val="28"/>
          <w:rtl w:val="true"/>
          <w:lang w:bidi="fa-IR"/>
        </w:rPr>
        <w:t>و قواعده 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الاثبات نفي و من النفي اثبات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الجنس جائز و من غير الجنس على تردّد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الاستثناء أن‌يبقى بعد الاستثناء بقيّة سواء كانت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الاستثناء من الاثبات نفي فهو موضع وفاق بين العلماء، و أمّا الاستثناء من النفي اثبات فهو أوضح القولين للأصوليّين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العلماء جواز الاستثناء من الجنس و غيره؛ لوقوعه في القرآن و فصيح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يكفي في صحّة الاستثناء أن‌يبقى بعد الاستثناء بقيّة سواء كانت أقلّ أو أكثر، و هو مذهب المحقّقين من الأصوليّين و الأكثر؛ لورود ذلك كلّه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التفريع على 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الاّ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بتسعة و نفيا للدرهم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بالعشرة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عندي شيء الاّ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بدرهم،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عندي عشرة الاّ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اقرارا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لم‌يكن اقرارا بشيء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خمسة الاّ اثنين و 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الاّ خمسة 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بثمانية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الاستثناء الأخير بقدر الأوّل رجعا جميعا الى المستثنى منه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عشرة الاّ واحدا 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فيسقطان من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هذا الثوب الاّ ثلثه أو هذه الدار الاّ هذا البيت أو الخاتم الاّ هذا الفصّ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كالاستثناء بل أظهر،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لفلان و البيت لي أو الخاتم و الفصّ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اتّصل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العبيد لزيد 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البيان فان عيّن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أنكر المقرّ له كان القول قول المقرّ مع يمينه، و كذا لو مات أحدهم و عيّن الميّت قبل منه، و مع المنازعة فالقول قول المقرّ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الاّ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بتسعة؛ لأنّ الاستثناء اخراج و هو من الاثبات نفي فقد أثبت العشرة ثم نفى منها الدرهم فبقي المقرّ به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الاّ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اقرارا بالعشرة؛ و ذلك لأنّه مع الرفع ليست للاستثناء و الاّ لانتصب ما بعدها، و انّما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بها و بما بعدها، ما قبلها و هي العشرة، و لمّا كانت العشرة مرفوعة بالابتداء كان الدرهم الذي يكون صفة للعشرة مرفوعة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عندي شيء الاّ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بدرهم؛ لأنّ الاستثناء من النفي اثبات فانّه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عدم ثبوت شيء عنده و لمّا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 بالدرهم،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عندي عشرة الاّ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اقرارا بدرهم لأنّه اذا رفعه دلّ على أنّ العشرة منفيّة و الدرهم مستثنى منه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عندي عشرة الاّ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لم‌يكن اقرارا بشيء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المقدار الذي هو عشرة الاّ درهما ليس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ليس له على تسعة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خمسة الاّ اثنين و 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باثنين؛ و ذلك لأنّ الواحد يضاف الى اثنين لمكان العطف و يستثنى من الخمسة فيبقى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الاّ خمسة 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اقرارا بثمانية؛ و ذلك لأنّ الخمسة يستثنى من العشرة لأنّ العشرة منفي و الخمسة مثبت فيبقى خمسة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مثبت فيضاف الى الخمسة فيصير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الاستثناء الأخير بقدر الأوّل رجعا جميعا الى المستثنى منه و عليه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عشرة الاّ واحدا 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فيسقطان من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هذا الثوب الاّ ثلثه أو هذه الدار الاّ هذا البيت أو الخاتم الاّ هذا الفصّ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كالاستثناء؛ و ذلك لوجود المقتضي و لأنّ الكلام كالجملة الواحدة لايتمّ الاّ بآخره، و هكذا يكون الحكم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لفلان و البيت لي أو الخاتم و الفصّ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اتّصل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العبيد لزيد 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البيان بالنسبة الى المستثنى، فان عيّن صحّ و يقبل منه، و لو أنكر المقرّ له كان القول قول المقرّ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لو مات أحد العبيد و عيّن الميّت في المستثنى منه قبل منه، و لو نازعه المقرّ له بأنّ هذا المعيّن ليس في مراده من الاقرار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العبيد لزيد 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المقرّ مع يمينه؛ لأصالة البراءة عن غيره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قالوا في هذا المبحث، الاّ أنّه لا بدّ أن‌يعلم أنّ ذلك فيما اذا كان المقرّ عارفا بقواعد العربيّة و الصرف و النحو، و الاّ فيؤمر بالتفسير أو يوكل الى العرف في تعيين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التفريع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الاّ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منعنا الاستثناء من غير الجنس فهو اقرار بتسع مائة و تسعة و تسعين درهما، و ان أجزناه كان تفسير الألف اليه فان فسّرها بشيء يصحّ وضع قيمة الدرهم منه صحّ، و ان كان يستوعبه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يبطل الاستثناء؛ لأنّه عقّب الاقرار بما يبطله فيصحّ الاقرار و يبطل المبطل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لايبطل و يكلّف تفسيره بما يبقى منه بقيّة بعد اخراج قيمة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درهم الاّ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اعتبرنا الجنس بطل الاستثناء و ان لم‌نعتبره كلّفنا المقرّ بيان قيمة الثوب فان بقي بعد قيمته شيء من الألف صحّ و الاّ كان فيه الوجهان، و لو كانا مجهولين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الاّ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تفسيرهما و كان النظر فيهما كما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الاّ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منعنا الاستثناء من غير الجنس وجب حمل الألف على الدرهم؛ لأنّ اخراج الدرهم منها دالّ على كونها من جنسه فهو اقرار بتسع مائة و تسعة و تسعين درهما، و ان أجزنا الاستثناء من غير الجنس فيقبل منه استثناء الدرهم و ألزم تفسير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استوعب الدرهم ما فسّره من الألف كان الاستثناء مستغرقا فلايقبل منه و هل يبطل الاستثناء؟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و يرجع اليه في تفسير الألف</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درهم الاّ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 الاستثناء المنقطع صحيح رجع اليه في بيان قيمة الثوب و المعتبر فيها عدم الاستغراق للمستثنى منه على قاعدة الاستثناء فان بقي منها شيء صحّ و الاّ ففي بطلان الاستثناء أو التفسير للقيمة الوجهان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كانا مجهولين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الاّ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تفسيرهما فان فسّرهما بجنس واحد بأن‌ادّعى كون الألف دراهم و الشيء عشرة منها مثلاً فلا اشكال في القبول؛ لأنّ كلاًّ منهما مجمل يرجع اليه في بيانه و قد أقرّ المقرّ بما يقتضي كون الاستثناء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في الاقرار بغير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التفريع على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 الاّ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لم‌يقبل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 درهم الاّ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يرجع الى الجملتين، كان اقرارا بدرهم، و ان قلنا يرجع الى الجملة الأخيرة و هو الصحيح كان اقرارا بدرهمين و بطل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 الاّ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لم‌يقبل الاستثناء؛ لأنّه مستغرق فيثبت الدرهم و يبطل الاستثناء، و لو ادّعى الغلط و أراد استثناء غيره لم‌يسمع منه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 درهم الاّ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يرجع الى الجملتين، كان اقرارا بدرهم؛ لأنّه في قوّة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درهمان الاّ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قلنا انّه يرجع الى الجملة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عند المصنّف و عدّة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اقرارا بدرهمين؛ لبطلان الاستثناء بالاستغراق و لزمه درهمان</w:t>
      </w:r>
      <w:r>
        <w:rPr>
          <w:rFonts w:eastAsia="Amiri" w:cs="Amiri" w:ascii="Amiri" w:hAnsi="Amiri"/>
          <w:color w:val="111111"/>
          <w:sz w:val="28"/>
          <w:szCs w:val="28"/>
          <w:rtl w:val="true"/>
          <w:lang w:bidi="ar-SA"/>
        </w:rPr>
        <w:t xml:space="preserve">. </w:t>
      </w:r>
      <w:bookmarkStart w:id="883" w:name="pg9674_84506"/>
    </w:p>
    <w:p>
      <w:pPr>
        <w:pStyle w:val="Heading2"/>
        <w:numPr>
          <w:ilvl w:val="1"/>
          <w:numId w:val="1"/>
        </w:numPr>
        <w:rPr/>
      </w:pPr>
      <w:bookmarkStart w:id="884" w:name="__RefHeading___Toc7971888_2870459653"/>
      <w:bookmarkStart w:id="885" w:name="_Toc306"/>
      <w:bookmarkEnd w:id="883"/>
      <w:bookmarkEnd w:id="884"/>
      <w:r>
        <w:rPr>
          <w:rtl w:val="true"/>
        </w:rPr>
        <w:t xml:space="preserve">النظر الثاني </w:t>
      </w:r>
      <w:r>
        <w:rPr>
          <w:rtl w:val="true"/>
        </w:rPr>
        <w:t xml:space="preserve">: </w:t>
      </w:r>
      <w:r>
        <w:rPr>
          <w:rtl w:val="true"/>
        </w:rPr>
        <w:t>في المقرّ</w:t>
      </w:r>
      <w:bookmarkEnd w:id="885"/>
    </w:p>
    <w:p>
      <w:pPr>
        <w:pStyle w:val="BookText"/>
        <w:rPr/>
      </w:pPr>
      <w:r>
        <w:rPr>
          <w:rFonts w:ascii="Amiri" w:hAnsi="Amiri" w:eastAsia="Amiri" w:cs="Amiri"/>
          <w:color w:val="111111"/>
          <w:sz w:val="28"/>
          <w:sz w:val="28"/>
          <w:szCs w:val="28"/>
          <w:rtl w:val="true"/>
          <w:lang w:bidi="ar-SA"/>
        </w:rPr>
        <w:t>و لا بدّ أن‌يكون مكلّفا حرّا مختارا جائز التصرّف و لاتعتبر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فالصبي لايقبل اقراره و لو كان باذن وليّه، أمّا لو أقرّ بما له أن‌يفعله كالوصيّة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المجنون لم‌يصحّ و كذا المكره و 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المحجور عليه للسفه فان أقرّ بمال لم‌يقبل و يقبل فيما عداه كالخلع و الطلاق، و لو أقرّ بسرقة قبل في الحدّ لا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لايقبل اقرار المملوك بمال و لا حدّ و لا جناية توجب أرشا أو قصاصا، و لو أقرّ بمال تبع به اذا أعتق، و لو كان مأذونا في التجارة فأقرّ بما يتعلّق بها قبل؛ لأنّه يملك التصرّف فيملك الاقرار، و يؤخذ ما أقرّ به ممّا في يده، و ان كان أكثر لم‌يضمنه مولاه و يتبع به اذا أعتق</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يقبل اقرار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يشارك المقرّ له الغرماء أو يأخذ حقّه من الفاضل؟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وصيّة المريض في الثلث و ان لم‌يجز الورثة، و كذا اقراره للوارث و للأجنبي مع التهمة على أظهر 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يقبل الاقرار بالمبهم و يلزم المقرّ بيانه فان امتنع حبس و ضيّق عليه حتّى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لم‌تفسّر جعلت ناكلاً، فان أصرّ أحلف المقرّ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لايقبل اقرار الصبي بالبلوغ حتّى يبلغ الحدّ الذي يحتمل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أن‌يكون المقرّ مكلّفا حرّا مختارا جائز التصرّف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لاتعتبر عدالته عندنا، و عليه فلا خلاف و لا اشكال في أنّ الصبي لايقبل اقراره و لو كان باذن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أقرّ بما له أن‌يفعله كالوصيّة بالمعروف التي قد عرفت في محلّه جوازها منه صحّ؛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أقرّ المجنون مطبقا أو أدوارا حال دوره لم‌يصحّ بلا خلاف و لا اشكال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المكره فلايصحّ اقراره بالاكراه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أكره على الاقرار بشيء فعدل عنه الى الاقرار بغيره صحّ؛ لعدم الاكراه فيما أقرّ به كما لو أكره على الاقرار بمائة فأقرّ بمائتين ألزم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لايصحّ الاقرار من السكران و النائم و المغمى عليه و الساهي و الغافل و غيرهم من غير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المحجور عليه للسفه فان أقرّ بمال لم‌يقبل بلا خلاف، هذا بحسب الظاهر، و أمّا فيما بينه و بين اللّه تعالى شأنه فيلزمه التخلّص عمّا لزمه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عدا المال فيقبل اقراره فيه بلا خلاف كالخلع و الطلاق و نحوهما ممّا هو ليس تصرّفا 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حال الحجر بأمر مشتمل على أمرين أي مال و غيره كالسرقة فانّها مال و عليه الحدّ، قبل في الحدّ خاصّة؛ لعدم كونه تصرّفا ماليّا و لايقبل في المال؛ للحجر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ضرر في التبعيض؛ لعدم الملازمة بين الحدّ و بينه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المملوك فلايقبل اقراره عند الأصحاب و ان كان بالغا عاقلاً لا بمال و </w:t>
      </w:r>
    </w:p>
    <w:p>
      <w:pPr>
        <w:pStyle w:val="BookText"/>
        <w:rPr/>
      </w:pPr>
      <w:r>
        <w:rPr>
          <w:rFonts w:ascii="Amiri" w:hAnsi="Amiri" w:eastAsia="Amiri" w:cs="Amiri"/>
          <w:color w:val="111111"/>
          <w:sz w:val="28"/>
          <w:sz w:val="28"/>
          <w:szCs w:val="28"/>
          <w:rtl w:val="true"/>
          <w:lang w:bidi="ar-SA"/>
        </w:rPr>
        <w:t>لا حدّ و لا جناية توجب أرشا أو قصاصا؛ لأنّه لا مال له و بدنه مملوك لغيره فاقراره انّما هو في حقّ الغير بل لو قلنا بملكه مطلقا أو على بعض الوجوه فهو محجور عليه بالتصرّف فيه الذي منه 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أقرّ و صدّقه المولى قبل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المال و الجناية؛ لأنّ الحقّ لايعدوهما، و المنع انّما كان لحقّ السيّد و قد انتفى، فالمال ان كانت عينه موجودة دفع الى المقرّ له و ان كانت تالفة تعلّق بذمّته و يتبع به اذا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العبد مأذونا في التجارة فأقرّ بما يتعلّق بها من دين و نحوه قبل على المشهور؛ لأنّه يملك التصرّف فيملك الاقرار، و يؤخذ ما أقرّ به ممّا في يده و ان كان أكثر لم‌يضمنه المولى و يتبع به اذا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المفلّس فيقبل اقراره بدين سابق، ولكن هل يشارك المقرّ له الغرماء؛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 حقّه من الفاضل؛ لأنّه اقرار في حقّ الغير؟ فالمصنّف رحمه‌الله تردّد فيه 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عدم النفوذ في حقّ الغرماء مطلقا</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اقرار المريض فان لم‌يكن متّهما فمن الأصل و الاّ فمن الثلث؛ و هذا للجمع بين الروايات و قد فصّلناه في كتاب الوصيّة و هنا نذكر منها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صحيحة منصور بن حازم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أوصى لبعض ورثته أنّ عليه 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الميّت مريضا فأعطه الذي أوصى له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ثانيتهما كتابته عليه‌السلام في صحيحة محمّد بن عبدالجبّار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الدين صحيحا معروفا مفهوما فيخرج الدين من رأس المال ان شاء اللّه، و ان لم‌يكن الدين حقّا أنفذ لها ما أوصت به من ثلثها، كفى أو لم‌يكف</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قد تقدّم حكم الاقرار بالمبهم و أنّه يقبل و يلزم المقرّ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اقرار الصبي بالبلوغ فان ادّعاه و فسّره بخروج المني فان بلغ عشر سنين يقبل اقراره بلا خلاف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فسّره بالانبات لم‌يقبل؛ لامكان العلم به بالمشاهدة؛ لأنّ محلّه ليس من العورة، و ان فسّره بالسنّ فالأظهر أنّه لايقبل بدون البيّنة؛ لامكان اقامتها عليه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يكون دعوى الصبيّة البلوغ بالحيض كدعوى الصبي بالاحتلام فيقبل ان كانت في الحدّ الذي يمكن فيه البلوغ، و كذا يستويان في دعواهما بالسنّ و الانبات أيضا</w:t>
      </w:r>
      <w:r>
        <w:rPr>
          <w:rFonts w:eastAsia="Amiri" w:cs="Amiri" w:ascii="Amiri" w:hAnsi="Amiri"/>
          <w:color w:val="111111"/>
          <w:sz w:val="28"/>
          <w:szCs w:val="28"/>
          <w:rtl w:val="true"/>
          <w:lang w:bidi="ar-SA"/>
        </w:rPr>
        <w:t xml:space="preserve">. </w:t>
      </w:r>
      <w:bookmarkStart w:id="886" w:name="pg9674_84510"/>
    </w:p>
    <w:p>
      <w:pPr>
        <w:pStyle w:val="Heading2"/>
        <w:numPr>
          <w:ilvl w:val="1"/>
          <w:numId w:val="1"/>
        </w:numPr>
        <w:rPr/>
      </w:pPr>
      <w:bookmarkStart w:id="887" w:name="__RefHeading___Toc7971890_2870459653"/>
      <w:bookmarkStart w:id="888" w:name="_Toc307"/>
      <w:bookmarkEnd w:id="886"/>
      <w:bookmarkEnd w:id="887"/>
      <w:r>
        <w:rPr>
          <w:rtl w:val="true"/>
        </w:rPr>
        <w:t xml:space="preserve">النظر الثالث </w:t>
      </w:r>
      <w:r>
        <w:rPr>
          <w:rtl w:val="true"/>
        </w:rPr>
        <w:t xml:space="preserve">: </w:t>
      </w:r>
      <w:r>
        <w:rPr>
          <w:rtl w:val="true"/>
        </w:rPr>
        <w:t>في المقرّ له</w:t>
      </w:r>
      <w:bookmarkEnd w:id="888"/>
    </w:p>
    <w:p>
      <w:pPr>
        <w:pStyle w:val="BookText"/>
        <w:rPr/>
      </w:pPr>
      <w:r>
        <w:rPr>
          <w:rFonts w:ascii="Amiri" w:hAnsi="Amiri" w:eastAsia="Amiri" w:cs="Amiri"/>
          <w:color w:val="111111"/>
          <w:sz w:val="28"/>
          <w:sz w:val="28"/>
          <w:szCs w:val="28"/>
          <w:rtl w:val="true"/>
          <w:lang w:bidi="ar-SA"/>
        </w:rPr>
        <w:t>و هو أن‌يكون له أهليّة التملّك فلو أقرّ لبهيمة لم‌يقبل، و لو قال بسببها صحّ و يكون الاقرار للمالك، و فيه اشكال؛ اذ قد يجب بسببها ما لايستحقّه المالك كأروش الجنايات على سائقها أو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لعبد صحّ و يكون المقرّ به لمولاه؛ لأنّ للعبد أهليّة التصرّف، و لو أقرّ لحمل صحّ سواء أطلق أو بيّن سببا محتملاً كالارث أو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نسب الاقرار الى السبب الباطل كالجناية عليه فالوجه الصحّة؛ نظرا الى مبدأ الاقرار و الغاءً لما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يملك الحمل ما أقرّ به بعد وجوده حيّا، و لو سقط ميّتا فان فسّره بالميراث رجع الى باقي الورثة، و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الى ورثة الموصي، و ان أجمل طولب ببيانه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يحكم بالمال للحمل بعد سقوطه حيّا لدون ستّة أشهر من حين الاقرار، و يبطل استحقاقه لو ولد لأكثر من مدّة الحمل، و لو وضع فيما بين الأقلّ و الأكثر و لم‌يكن للمرأة زوج و لا مالك حكم له به؛ لتحقّقه حملاً وقت </w:t>
      </w:r>
    </w:p>
    <w:p>
      <w:pPr>
        <w:pStyle w:val="BookText"/>
        <w:rPr/>
      </w:pPr>
      <w:r>
        <w:rPr>
          <w:rFonts w:ascii="Amiri" w:hAnsi="Amiri" w:eastAsia="Amiri" w:cs="Amiri"/>
          <w:color w:val="111111"/>
          <w:sz w:val="28"/>
          <w:sz w:val="28"/>
          <w:szCs w:val="28"/>
          <w:rtl w:val="true"/>
          <w:lang w:bidi="ar-SA"/>
        </w:rPr>
        <w:t>الاقرار، و لو كان لها زوج أو مولى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لايحكم له؛ لعدم اليقين بوجوده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 بناء على غالب 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الحمل ذكرين تساويا فيما أقرّ به، و لو وضع أحدهما ميّتا كان ما أقرّ به للآخر؛ لأنّ الميّت كالمعدوم، و اذا أقرّ بولد لم‌يكن اقرارا بزوجيّة أمّه و لو كانت مشهورة بالحرّيّة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المقرّ له أن‌يكون له أهليّة التملّك و لهذا الشرط يتفرّع عليه أمور نذكرها في ضمن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لو أقرّ بالملك 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 لمالك البهيمة بسبب جناية منّي عليها أو استيفاء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يرجع الى مالكها، فلو لم‌يبيّن له السبب فعليه التفسير و لايرد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أقرّ لعبد صحّ و يكون المقرّ له لمولاه، و الفرق بينه و بين البهيمة واضح؛ لأنّ للعبد أهليّة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لو أقرّ لحمل فلانة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اقراره الى سبب يفيد له الملك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كذا بسبب وصية أوصي له بها أو ارث 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الاقرار صحيح؛ لصحّة الوصيّة و الارث و ان كان استقرار ملكه للارث مشروطا بسقوطه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يعقّب الاقرار بسبب لايفيده له شرعا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كذا؛ للجناية عليه أو المعاملة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 الأظهر الأشهر الصحّة و يلغو المنافي و يلزم تفسير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 لايذكر السبب فينزّل على وجه صحيح و يلزم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يملك الحمل ما أقرّ به له بعد وجوده حيّا سواء مات بعد ذلك فينتقل الى وارثه أم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سقط بعد الاقرار ميّتا يحتاج الى تفسير المقرّ، فان فسّره بالارث</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تعيّن بطلانه و رجع الى سائر الورثة، و ان فسّر بالوصيّة له بطل أيضا و يرجع الى </w:t>
      </w:r>
    </w:p>
    <w:p>
      <w:pPr>
        <w:pStyle w:val="BookText"/>
        <w:rPr/>
      </w:pPr>
      <w:r>
        <w:rPr>
          <w:rFonts w:ascii="Amiri" w:hAnsi="Amiri" w:eastAsia="Amiri" w:cs="Amiri"/>
          <w:color w:val="111111"/>
          <w:sz w:val="28"/>
          <w:sz w:val="28"/>
          <w:szCs w:val="28"/>
          <w:rtl w:val="true"/>
          <w:lang w:bidi="ar-SA"/>
        </w:rPr>
        <w:t>ورثة الموصي؛ للحكم ببطلان الوصيّة من رأس فكان كما لو لم‌يوص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المتولّي لتكليفه بالتفسير حيث يمتنع الحاكم ليوصل الحقّ الى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يجب أن‌يكون الحمل حين الاقرار موجودا فعليه لو تعقّب الاقرار بعد الوط‌ء و لو بمدّة قليلة و سقط حيّا بعد ستّة أشهر من حين الوط‌ء يحكم بالمال للحمل، و لو ولد لأكثر من مدّة الحمل بعد الوط‌ء يبطل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وضع فيما بين الأقلّ و الأكثر و لم‌يكن للمرأة زوج يمكن تجدّده منه و لا مالك كذلك حكم بوجود الحمل؛ لقوّة الظاهر الدالّ على وجوده حالة 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لها زوج أو مولى فهنا يتعارض الأصل و هو عدم وجود الحمل حين الاقرار أو عدم استحقاق الحمل ما يقرّ به المقرّ، و الظاهر؛ نظرا الى الغالب في عادات النساء أن‌لايكون تامّا الاّ في تسعة أشهر، و الترجيح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الحمل ذكرين أو أنثيين تساويا فيما أقرّ به اذا كان الاقرار مطلقا و لم‌يفصّل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وضع أحدهما ميّتا ينزّل الميّت كأن‌لم‌يكن، و يرجع الى المقرّ ليذكر جهة الاستحقاق ليعلم مقدار استحقاق الحي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أقرّ بولد لم‌يكن اقرارا بزوجيّة أمّه لأنّ الزوجيّة و النسب أمران متغايران غير متلازمين فلايدلّ أحدهما على الآخر باحدى الدلالات</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9674_84514"/>
      <w:bookmarkStart w:id="890" w:name="pg9674_84514"/>
      <w:bookmarkEnd w:id="890"/>
    </w:p>
    <w:p>
      <w:pPr>
        <w:pStyle w:val="Heading2"/>
        <w:numPr>
          <w:ilvl w:val="1"/>
          <w:numId w:val="1"/>
        </w:numPr>
        <w:rPr/>
      </w:pPr>
      <w:bookmarkStart w:id="891" w:name="pg9674_84514"/>
      <w:bookmarkStart w:id="892" w:name="__RefHeading___Toc7971892_2870459653"/>
      <w:bookmarkStart w:id="893" w:name="_Toc308"/>
      <w:bookmarkEnd w:id="891"/>
      <w:bookmarkEnd w:id="892"/>
      <w:r>
        <w:rPr>
          <w:rtl w:val="true"/>
        </w:rPr>
        <w:t xml:space="preserve">النظر الرابع </w:t>
      </w:r>
      <w:r>
        <w:rPr>
          <w:rtl w:val="true"/>
        </w:rPr>
        <w:t xml:space="preserve">: </w:t>
      </w:r>
      <w:r>
        <w:rPr>
          <w:rtl w:val="true"/>
        </w:rPr>
        <w:t>في اللواحق</w:t>
      </w:r>
      <w:bookmarkEnd w:id="893"/>
    </w:p>
    <w:p>
      <w:pPr>
        <w:pStyle w:val="BookText"/>
        <w:rPr/>
      </w:pPr>
      <w:r>
        <w:rPr>
          <w:rFonts w:ascii="Amiri" w:hAnsi="Amiri" w:eastAsia="Amiri" w:cs="Amiri"/>
          <w:color w:val="111111"/>
          <w:sz w:val="28"/>
          <w:sz w:val="28"/>
          <w:szCs w:val="28"/>
          <w:rtl w:val="true"/>
          <w:lang w:bidi="ar-SA"/>
        </w:rPr>
        <w:t>و فيه مقاصد</w:t>
      </w:r>
      <w:r>
        <w:rPr>
          <w:rFonts w:eastAsia="Amiri" w:cs="Amiri" w:ascii="Amiri" w:hAnsi="Amiri"/>
          <w:color w:val="111111"/>
          <w:sz w:val="28"/>
          <w:szCs w:val="28"/>
          <w:rtl w:val="true"/>
          <w:lang w:bidi="ar-SA"/>
        </w:rPr>
        <w:t>:</w:t>
      </w:r>
    </w:p>
    <w:p>
      <w:pPr>
        <w:pStyle w:val="Heading2"/>
        <w:numPr>
          <w:ilvl w:val="1"/>
          <w:numId w:val="1"/>
        </w:numPr>
        <w:rPr/>
      </w:pPr>
      <w:bookmarkStart w:id="894" w:name="__RefHeading___Toc7971894_2870459653"/>
      <w:bookmarkStart w:id="895" w:name="_Toc309"/>
      <w:bookmarkEnd w:id="894"/>
      <w:r>
        <w:rPr>
          <w:rtl w:val="true"/>
        </w:rPr>
        <w:t xml:space="preserve">المقصد الأوّل </w:t>
      </w:r>
      <w:r>
        <w:rPr>
          <w:rtl w:val="true"/>
        </w:rPr>
        <w:t xml:space="preserve">: </w:t>
      </w:r>
      <w:r>
        <w:rPr>
          <w:rtl w:val="true"/>
        </w:rPr>
        <w:t>في تعقيب الاقرار بالاقرار</w:t>
      </w:r>
      <w:bookmarkEnd w:id="89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في يده دار على ظاهر التملّك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لفلان بل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بها للأوّل و غرّم قيمتها للثاني؛ لأنّه حال بينه و بينها فهو كالمتلف،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غصبتها من فلان بل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غصبتها من فلان و هي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تسليمها الى المغصوب منه ثمّ لايضمن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لايحكم للمقرّ له بالملك كما لو كانت دار في يد فلان و أقرّ بها الخارج لآخر 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لزيد غصبتها من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أقرّ بعبد لانسان فأنكر المقرّ له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لأنّ كلّ واحد منهما أنكر ملكيّته فبقي لغير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على الرقّيّة المجهولة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أنّ المولى أعتق عبده ثمّ اشتراه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ذلك استنقاذا لا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و ينعتق؛ لأنّ بالشراء سقط عنه لواحق ملك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هذا العبد كان للمشتري من تركته قدر الثمن مقاصّة؛ لأنّ المشتري ان كان صادقا فالولاء للمولى ان لم‌يكن وارث سواه و ان كان كاذبا فما ترك للمشتري، فهو مستحقّ على هذا التقدير قدر الثمن على اليقين و ما فضل يكون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في يده دار على ظاهر التملّك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لفلان بل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بها للأوّل؛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غرّم قيمتها للثاني؛ لأنّه حال بينه و بين الدار بالاقرار الأوّل مع اعترافه بأنّه المستحقّ فيغرم له القيمة؛ لتعذّر الوصول الى العين كما لو أتلف عليه مالاً ثمّ أقرّ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لم‌يصادق المقرّ له الأوّل على ملكيّة الثاني و الاّ دفعت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غصبتها من فلان بل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الاقرار بالغصب من الشخص يستلزم الاقرار له باليد الدالّة على الملكيّة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غصبتها من فلان و هي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تسليمها الى المغصوب منه؛ لاعترافه بالغصب منه المقتضي لوجوب الردّ اليه؛ لاستلزامه كون اليد شرعيّة، ثمّ </w:t>
      </w:r>
    </w:p>
    <w:p>
      <w:pPr>
        <w:pStyle w:val="BookText"/>
        <w:rPr/>
      </w:pPr>
      <w:r>
        <w:rPr>
          <w:rFonts w:ascii="Amiri" w:hAnsi="Amiri" w:eastAsia="Amiri" w:cs="Amiri"/>
          <w:color w:val="111111"/>
          <w:sz w:val="28"/>
          <w:sz w:val="28"/>
          <w:szCs w:val="28"/>
          <w:rtl w:val="true"/>
          <w:lang w:bidi="ar-SA"/>
        </w:rPr>
        <w:t>لايضمن لمن أقرّ بملكها كما عن الشيخ و الفاضل و ولده كما في الجواهر</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حينئذٍ فلايحكم لمن أقرّ أنّه له بالملك؛ لأنّ بالاقرار الأوّل قد أثبت له الملك و الاقرار الثاني يكون اقرارا للثاني بما في يد الأوّل، و هذا كما لو كانت دار في يد فلان و أقرّ شخص آخر بأنّ هذه الدار التي في يد زيد كانت لعمرو فلايسمع منه؛ لأنّه اقرار على مال الغير،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لزيد غصبتها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وجب دفع الدار الى زيد باعتبار سبق الاقرار بالملك له، و لايغرم حينئذٍ لعمرو عكس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بعبد لانسان فأنكر المقرّ له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يعتق؛ لأنّ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المقرّ و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ملكيّته فبقي لغير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الفرض أنّ رقّيّة العبد أمر متحقّق و بطلان الثاني بالتكذيب لايقتضي بطلان الأوّل و بعبارة أخرى أنّ تكذيب المقرّ له لايقتضي بطلان اقرار المقرّ بالملكيّة الذي يقتضي كونه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الوجه ما ذهب اليه المصنّف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على الرقّيّة المجهولة المالك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زيد أنّ عمروا أعتق عبده ثمّ اشتراه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ذلك استنقاذا لا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الوجه؛ لأنّه و ان كان اقراره بأنّ عمروا أعتق عبده لم‌يكن له وجه شرعي؛ لعدم استقرار يده عليه الاّ أنّه اذا استقرّ يده عليه يعامل معه معاملة المقرّ فالعبد يكون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الذي أعطاه عمروا يكون فداءً للعبد الذي كان حرّا بمقتضى اقراره</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هذا العبد كان للمشتري من تركته قدر الثمن مقاصّة؛ لأن المشتري ان كان صادقا في اقراره بأنّ مولاه أعتقه فحيث أنّ الولاء للمولى ان لم‌يكن وارث سواه فيأخذ الثمن الذي اشترى به و يردّ ما بقي الى مولاه، و ان كان كاذبا فالمشتري مولاه، فهو مستحقّ قدر الثمن على اليقين و ما فضل يكون موقوفا على هذا التقدير؛ لاحتمال رجوع البائع الى تصديق المشتري فيكون فضل ماله له؛ لأنّ الولاء له</w:t>
      </w:r>
      <w:r>
        <w:rPr>
          <w:rFonts w:eastAsia="Amiri" w:cs="Amiri" w:ascii="Amiri" w:hAnsi="Amiri"/>
          <w:color w:val="111111"/>
          <w:sz w:val="28"/>
          <w:szCs w:val="28"/>
          <w:rtl w:val="true"/>
          <w:lang w:bidi="ar-SA"/>
        </w:rPr>
        <w:t xml:space="preserve">. </w:t>
      </w:r>
      <w:bookmarkStart w:id="896" w:name="pg9674_84518"/>
    </w:p>
    <w:p>
      <w:pPr>
        <w:pStyle w:val="Heading2"/>
        <w:numPr>
          <w:ilvl w:val="1"/>
          <w:numId w:val="1"/>
        </w:numPr>
        <w:rPr/>
      </w:pPr>
      <w:bookmarkStart w:id="897" w:name="__RefHeading___Toc7971896_2870459653"/>
      <w:bookmarkStart w:id="898" w:name="_Toc310"/>
      <w:bookmarkEnd w:id="896"/>
      <w:bookmarkEnd w:id="897"/>
      <w:r>
        <w:rPr>
          <w:rtl w:val="true"/>
        </w:rPr>
        <w:t xml:space="preserve">المقصد الثاني </w:t>
      </w:r>
      <w:r>
        <w:rPr>
          <w:rtl w:val="true"/>
        </w:rPr>
        <w:t xml:space="preserve">: </w:t>
      </w:r>
      <w:r>
        <w:rPr>
          <w:rtl w:val="true"/>
        </w:rPr>
        <w:t>في تعقيب الاقرار بما يقتضي ظاهره الابطال</w:t>
      </w:r>
      <w:bookmarkEnd w:id="898"/>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وديعة و قد 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لم‌يقبل،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يقبل،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مال من ثمن خمر أو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وديعة و قد 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بقاءها فقوله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فلايقبل و لايسمع، أمّا لو قال في أوّل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عندي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فلايدلّ على البقاء و لاينافي الهلاك و غايته أنّه اقرار بالوديعة و قول الودعي مقبول في التلف بيمينه فيكون هنا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ثمن مبيع لم‌أقبضه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من ثمن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سواء عيّن المبيع أو لم‌يعيّنه، و فيه احتمال للتسوية بين الصورتين و لعلّه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المسألة ثلاثة أمور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كلامه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الألف ثمن لمبيع </w:t>
      </w:r>
    </w:p>
    <w:p>
      <w:pPr>
        <w:pStyle w:val="BookText"/>
        <w:rPr/>
      </w:pPr>
      <w:r>
        <w:rPr>
          <w:rFonts w:ascii="Amiri" w:hAnsi="Amiri" w:eastAsia="Amiri" w:cs="Amiri"/>
          <w:color w:val="111111"/>
          <w:sz w:val="28"/>
          <w:sz w:val="28"/>
          <w:szCs w:val="28"/>
          <w:rtl w:val="true"/>
          <w:lang w:bidi="ar-SA"/>
        </w:rPr>
        <w:t>لم‌أقبضه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الألف؛ لاقراره به و يلغو المنافي؛ لأنّه دعوى محضة تقتضي اثبات مال عند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الاقرار دون الدعوى، الاّ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من ثمن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لم‌أقبضه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هنا مساواته للأوّل؛ لاقراره بالألف، و لاينافيه ما وصله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ثمن 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الغرض ثبوت الألف، و أمّا تعيين سببها فلا حاجة اليها، و في مقابله قول الشيخ بقبول دعواه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أتى بمجموع الكلام متّصلاً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من ثمن مبيع لم‌أقبضه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قبول قوله؛ لأنّ الكلام جملة واحدة و لامكان صدقه فيما أخبر به و أراد التخلّص بالاقرار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ابتعت بخيار أو كفلت بخيار أو ضمنت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اقراره بالعقد و لم‌يثبت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قبول قوله في الأوّل أي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ابتعت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وجود الخيار في البيع لايبطله و هو اقرار بالبيع الصحيح فيقبل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الى وصف الخيار في الكفالة و الضمان فقد قيل بقبول قوله بالنسبة الى الكفالة و الضمان و أمّا الخيار فلايقبل؛ و هذا القول مبني على عدم صحّة اشتراطه فيهما فيكون من التعقيب للاقرار بالمفسد، و فيه بحث، ان شئت </w:t>
      </w:r>
    </w:p>
    <w:p>
      <w:pPr>
        <w:pStyle w:val="BookText"/>
        <w:rPr/>
      </w:pPr>
      <w:r>
        <w:rPr>
          <w:rFonts w:ascii="IRNazanin" w:hAnsi="IRNazanin" w:eastAsia="IRNazanin"/>
          <w:color w:val="111111"/>
          <w:sz w:val="28"/>
          <w:sz w:val="28"/>
          <w:szCs w:val="28"/>
          <w:rtl w:val="true"/>
          <w:lang w:bidi="fa-IR"/>
        </w:rPr>
        <w:t>فراجع الجواهر،</w:t>
      </w:r>
      <w:r>
        <w:rPr>
          <w:rStyle w:val="FootnoteAnchor"/>
          <w:rtl w:val="true"/>
        </w:rPr>
        <w:footnoteReference w:id="469"/>
      </w:r>
      <w:r>
        <w:rPr>
          <w:rFonts w:ascii="Amiri" w:hAnsi="Amiri" w:eastAsia="Amiri" w:cs="Amiri"/>
          <w:color w:val="111111"/>
          <w:sz w:val="28"/>
          <w:sz w:val="28"/>
          <w:szCs w:val="28"/>
          <w:rtl w:val="true"/>
          <w:lang w:bidi="ar-SA"/>
        </w:rPr>
        <w:t xml:space="preserve">الاّ أنّه قد أثبتنا في كتاب الكفالة و الضمان جواز اشتراط الخيارفيهما بعموم أدلّة الشروط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فالصحيح قبول الاقرار بالضمان و كذا الكفالة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دراهم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اذا اتّصل بالاقرار كالاستثناء، و يرجع في قدر النقيصة اليه،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دراهم 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يقبل تفسيره بما فيه فضّة، و لو فسّره بما لا فضّة فيه لم‌يقبل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دراهم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اذا اتّصل بالاقرار كالاستثناء، و يرجع في قدر النقيصة اليه؛ لأنّه من الممكن أن‌يكون عنده دراهم بهذا الوصف فلو لم‌يقبل الاقرار بها نافى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دراهم 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المغشوش، فيرجع اليه في قدر الغشّ بشرط أن‌يبقى معه فضّة يصدق معها اسم الدراهم؛ اذ لو خلت منها كانت فلوسا لا دراهم مغشوشة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لا بل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عشرة و ليس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الاّ واحدا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لا بل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عشرة؛ لأنّه بالاقرار الأوّل يثبت في ذمّته عشرة و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اضراب من الاقرار بالعشرة بعد الايجاب </w:t>
      </w:r>
    </w:p>
    <w:p>
      <w:pPr>
        <w:pStyle w:val="BookText"/>
        <w:rPr/>
      </w:pPr>
      <w:r>
        <w:rPr>
          <w:rFonts w:ascii="Amiri" w:hAnsi="Amiri" w:eastAsia="Amiri" w:cs="Amiri"/>
          <w:color w:val="111111"/>
          <w:sz w:val="28"/>
          <w:sz w:val="28"/>
          <w:szCs w:val="28"/>
          <w:rtl w:val="true"/>
          <w:lang w:bidi="ar-SA"/>
        </w:rPr>
        <w:t xml:space="preserve">و قد 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قبله كالمسكوت عنه فكأنّه أقرّ بغيره و رجع عنالاقرار الأوّل، و لايقبل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استثناء فمعناه أنّ له تسعة و كأنّ للتسعة اسمين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 اقرار بالعشرة و لا رجوع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أشهد بالبيع و قبض الثمن ثمّ أنكر فيما بعد و ادّعى أنّه أشهد تبعا للعادة و لم‌يقبض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لايقبل دعواه؛ لأنّه مكذّب لاقراره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لأنّه ادّعى ما هو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 اذ ليس هو مكذّبا للاقرار بل هو مدّعيا شيئا آخر فيكون على المشتري اليمين، و ليس كذلك لو شهد الشاهدان بايقاع البيع و مشاهدة القبض فانّه لايقبل انكاره و لايتوجّه اليمين؛ لأنّه اكذاب للبيّنة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أشهد على نفسه بالاقرار بالبيع و قبض الثمن ثمّ أنكر القبض فيما بعد و ادّعى أنّه أشهد تبعا للعادة و لم‌يقبض فانّه تقبل دعواه و يتوجّه له على المقرّ له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 على نفي ما يدّعيه من عدم القبض؛ فانّ المقرّ يدّعي عدم القبض و المقرّ له ينكره فاذا لم‌تكن هناك بيّنة على الفرض فيتوجّه اليمين على المنكر، فليس هو مكذّبا لاقراره بل هو مدّع لشيء آخر معه و هو عدم قبض الثمن، فيكون على المشتري المنكر له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شهد الشاهدان بايقاع البيع و مشاهدة القبض ففي هذا الحال لو أنكر البائع قبض الثمن فلايقبل انكاره؛ لأنّه اكذاب للبيّنة</w:t>
      </w:r>
      <w:r>
        <w:rPr>
          <w:rFonts w:eastAsia="Amiri" w:cs="Amiri" w:ascii="Amiri" w:hAnsi="Amiri"/>
          <w:color w:val="111111"/>
          <w:sz w:val="28"/>
          <w:szCs w:val="28"/>
          <w:rtl w:val="true"/>
          <w:lang w:bidi="ar-SA"/>
        </w:rPr>
        <w:t xml:space="preserve">. </w:t>
      </w:r>
      <w:bookmarkStart w:id="899" w:name="pg9674_84522"/>
    </w:p>
    <w:p>
      <w:pPr>
        <w:pStyle w:val="Heading2"/>
        <w:numPr>
          <w:ilvl w:val="1"/>
          <w:numId w:val="1"/>
        </w:numPr>
        <w:rPr/>
      </w:pPr>
      <w:bookmarkStart w:id="900" w:name="__RefHeading___Toc7971898_2870459653"/>
      <w:bookmarkStart w:id="901" w:name="_Toc311"/>
      <w:bookmarkEnd w:id="899"/>
      <w:bookmarkEnd w:id="900"/>
      <w:r>
        <w:rPr>
          <w:rtl w:val="true"/>
        </w:rPr>
        <w:t xml:space="preserve">المقصد الثالث </w:t>
      </w:r>
      <w:r>
        <w:rPr>
          <w:rtl w:val="true"/>
        </w:rPr>
        <w:t xml:space="preserve">: </w:t>
      </w:r>
      <w:r>
        <w:rPr>
          <w:rtl w:val="true"/>
        </w:rPr>
        <w:t>في الاقرار بالنسب</w:t>
      </w:r>
      <w:bookmarkEnd w:id="901"/>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الاقرار بنسب الولد الصغير حتّى تكون البنوّة ممكنة و يكون المقرّ به مجهولاً و لاينازعه فيه منازع، فهذه قيود ثلاثة فلو انتفى امكان الولادة لم‌يقبل كالاقرار ببنوّة من هو أكبر منه أو مثله في السنّ أو أصغر منه بما لم‌تجر العادة بولادته لمثله، أو أقرّ ببنوّة ولد امرأة له و بينهما مسافة لايمكن الوصول اليها في مثل عمره، و كذا لو كان الطفل معلوم النسب لم‌يقبل اقراره، و كذا لو نازعه منازع في بنوّته لم‌يقبل الا ببيّنة، و لايعتبر تصديق الصغير، و هل يعتبر تصديق الكبير؟ ظاهر كلامه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الأشبه، فلو أنكر الكبير لم‌يثبت النسب و لايثبت النسب في غير الولد الاّ بتصديق المقرّ به، و اذا أقرّ بغير الولد للصلب و لا ورثة له و صدّقه المقرّ به توارثا بينهما و لايتعدّى التوارث الى غيرهما، و لو كان له ورثة مشهورون لم‌يقبل اقراره في النسب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لايثبت الاقرار بنسب الولد الصغير و لو أنثى حتّى تكون البنوّة ممكنة و يكون المقرّ به مجهولاً و لاينازعه فيه منازع، فهذه قيود ثلاثة لا خلاف في اعتبارها في </w:t>
      </w:r>
    </w:p>
    <w:p>
      <w:pPr>
        <w:pStyle w:val="BookText"/>
        <w:rPr/>
      </w:pPr>
      <w:r>
        <w:rPr>
          <w:rFonts w:ascii="Amiri" w:hAnsi="Amiri" w:eastAsia="Amiri" w:cs="Amiri"/>
          <w:color w:val="111111"/>
          <w:sz w:val="28"/>
          <w:sz w:val="28"/>
          <w:szCs w:val="28"/>
          <w:rtl w:val="true"/>
          <w:lang w:bidi="ar-SA"/>
        </w:rPr>
        <w:t>الاقرار بنسب الولد و ان اختلف التعبير عنها كما في الجواهر</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فلو انتفى امكان الولادة لم‌يقبل كالاقرار ببنوّة من هو أكبر منه سنّا أو مثله في السنّ أو أصغر منه بما لم‌تجر العادة بولادته لمثله، أو أقرّ ببنوّة ولد امرأة له و بينهما مسافة لايمكن الوصول اليها في مثل عمره عادة بلا خلاف في شيء من ذلك و لا اشكال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الطفل معلوم النسب شرعا لغيره لم‌يقبل اقراره أيضا كذلك، و كذا لو نازعه منازع في بنوّته لم‌يقبل الاّ ببيّنة، و لايعتبر تصديق الصغير سواء كان مراهقا أو لا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تصديق الكبير؟ الظاهر اعتباره؛ للأصل، و حينئذٍ فلو أنكر الكبير لم‌يثبت النسب بينهما و ان كان يؤخذ المقرّ باقراره بل لايحتاج الى الانكار فيكفي سكوته في عدم الثبوت و هو ظاهر كلماتهم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لايثبت النسب بين المقرّ و المقرّ به في غير الولد الاّ بتصديق المقرّ به فاذا أقرّ بغير الولد للصلب و لا ورثة له و صدّقه المقرّ به توارثا بينهما؛ و ذلك لصحيحة</w:t>
      </w:r>
    </w:p>
    <w:p>
      <w:pPr>
        <w:pStyle w:val="BookText"/>
        <w:rPr/>
      </w:pPr>
      <w:r>
        <w:rPr>
          <w:rFonts w:ascii="IRNazanin" w:hAnsi="IRNazanin" w:eastAsia="IRNazanin"/>
          <w:color w:val="111111"/>
          <w:sz w:val="28"/>
          <w:sz w:val="28"/>
          <w:szCs w:val="28"/>
          <w:rtl w:val="true"/>
          <w:lang w:bidi="fa-IR"/>
        </w:rPr>
        <w:t>عبدالرحمن بن الحجّاج قال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الحميل؟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الحميل؟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تسبى من أرضها و معها الولد الصغير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 الرجل يسبى فيلقى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 ليس لهم بيّنة الاّ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فيهم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لايورّثونهم؛ لأنّه </w:t>
      </w:r>
      <w:bookmarkStart w:id="902" w:name="pg9674_84524"/>
    </w:p>
    <w:p>
      <w:pPr>
        <w:pStyle w:val="BookText"/>
        <w:rPr/>
      </w:pPr>
      <w:bookmarkEnd w:id="902"/>
      <w:r>
        <w:rPr>
          <w:rFonts w:ascii="Amiri" w:hAnsi="Amiri" w:eastAsia="Amiri" w:cs="Amiri"/>
          <w:color w:val="111111"/>
          <w:sz w:val="28"/>
          <w:sz w:val="28"/>
          <w:szCs w:val="28"/>
          <w:rtl w:val="true"/>
          <w:lang w:bidi="ar-SA"/>
        </w:rPr>
        <w:t>لم‌يكن لهم على ولادتهم بيّنة و انّما هي ولادة 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سبحاناللّه اذا جاءت بابنها أو بابنتها و لم تزل مقرّة به و اذا عرف أخاه و كان ذلك في صحّة منهما و لم‌يزالا مقرّين بذلك ورث بعضهم من بعض</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صحيحة سعيد الأعرج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حميلين جيء بهما من أرض الشرك؟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فعرفا بذلك ثمّ أعتقا و مكثا مقرّين بالاخاء ثمّ انّ أحدهما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للأخ يصدّقان</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هذا اذا لم‌يكن لهما وارث غيرهما؛ لما عرفته من النصّ و أمّا لو كان للمقرّ ورثة مشهورون فأقرّ بغيرهم لم‌يقبل اقراره في النسب الموجب للتوارث؛ لكونه حينئذٍ اقرارا في حقّ الغير؛ ضرورة كون الارث حقّا لغيره فاقراره بوارث آخر يقتضي منعهم من الارث أو مشاركتهم فيه فلايقبل بمجرّده و ان صادقه الآخر بل يفتقر الى البيّنة</w:t>
      </w:r>
      <w:r>
        <w:rPr>
          <w:rFonts w:eastAsia="Amiri" w:cs="Amiri" w:ascii="Amiri" w:hAnsi="Amiri"/>
          <w:color w:val="111111"/>
          <w:sz w:val="28"/>
          <w:szCs w:val="28"/>
          <w:rtl w:val="true"/>
          <w:lang w:bidi="ar-SA"/>
        </w:rPr>
        <w:t>.</w:t>
      </w:r>
    </w:p>
    <w:p>
      <w:pPr>
        <w:pStyle w:val="Heading2"/>
        <w:numPr>
          <w:ilvl w:val="1"/>
          <w:numId w:val="1"/>
        </w:numPr>
        <w:rPr/>
      </w:pPr>
      <w:bookmarkStart w:id="903" w:name="__RefHeading___Toc7971900_2870459653"/>
      <w:bookmarkStart w:id="904" w:name="_Toc312"/>
      <w:bookmarkEnd w:id="903"/>
      <w:r>
        <w:rPr>
          <w:rtl w:val="true"/>
        </w:rPr>
        <w:t xml:space="preserve">فيما اذا أقرّ بولد صغير </w:t>
      </w:r>
      <w:r>
        <w:rPr>
          <w:rtl w:val="true"/>
        </w:rPr>
        <w:t xml:space="preserve">... </w:t>
      </w:r>
      <w:r>
        <w:rPr/>
        <w:t>435</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أقرّ بولد صغير ثبت نسبه ثمّ بلغ فأنكر لم‌يلتفت الى انكاره؛ لتحقّق النسب سابقا على الانكار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نبّه المصنّف بذلك على خلاف بعض العامّة حيث ذهب الى انتفاء النسب بانكاره بعد بلوغه؛ لأنّا حكمنا به حيث لم‌يكن انكار و </w:t>
      </w:r>
      <w:bookmarkStart w:id="905" w:name="pg9674_84525"/>
    </w:p>
    <w:p>
      <w:pPr>
        <w:pStyle w:val="BookText"/>
        <w:rPr/>
      </w:pPr>
      <w:bookmarkEnd w:id="905"/>
      <w:r>
        <w:rPr>
          <w:rFonts w:ascii="Amiri" w:hAnsi="Amiri" w:eastAsia="Amiri" w:cs="Amiri"/>
          <w:color w:val="111111"/>
          <w:sz w:val="28"/>
          <w:sz w:val="28"/>
          <w:szCs w:val="28"/>
          <w:rtl w:val="true"/>
          <w:lang w:bidi="ar-SA"/>
        </w:rPr>
        <w:t>لا صلاحية له فاذا تحقّق صار كالكبير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هذا لو أثّر لزم أن‌لايثبت قبل البلوغ أيضا؛ لفقد الشرط، و حيث اعترف ببنوّته وجب استصحابه و حيث نقول بعدم الالتفات الى انكاره لو أراد المقرّ به تحليف المقرّ لم‌يكن له ذلك؛ لأنّه لو رجع لم‌يقبل فلا معنى لتحليفه</w:t>
      </w:r>
      <w:r>
        <w:rPr>
          <w:rFonts w:eastAsia="Amiri" w:cs="Amiri" w:ascii="Amiri" w:hAnsi="Amiri"/>
          <w:color w:val="111111"/>
          <w:sz w:val="28"/>
          <w:szCs w:val="28"/>
          <w:rtl w:val="true"/>
          <w:lang w:bidi="ar-SA"/>
        </w:rPr>
        <w:t>».</w:t>
      </w:r>
      <w:r>
        <w:rPr>
          <w:rStyle w:val="FootnoteAnchor"/>
          <w:rtl w:val="true"/>
        </w:rPr>
        <w:footnoteReference w:id="473"/>
      </w:r>
    </w:p>
    <w:p>
      <w:pPr>
        <w:pStyle w:val="Heading2"/>
        <w:numPr>
          <w:ilvl w:val="1"/>
          <w:numId w:val="1"/>
        </w:numPr>
        <w:rPr/>
      </w:pPr>
      <w:bookmarkStart w:id="906" w:name="__RefHeading___Toc7971902_2870459653"/>
      <w:bookmarkStart w:id="907" w:name="_Toc313"/>
      <w:bookmarkEnd w:id="906"/>
      <w:r>
        <w:rPr>
          <w:rtl w:val="true"/>
        </w:rPr>
        <w:t xml:space="preserve">فيما اذا أقرّ ولد الميّت بولد له آخر </w:t>
      </w:r>
      <w:r>
        <w:rPr>
          <w:rtl w:val="true"/>
        </w:rPr>
        <w:t xml:space="preserve">... </w:t>
      </w:r>
      <w:r>
        <w:rPr/>
        <w:t>436</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أقرّ ولد الميّت بولد له آخر فأقرّا بثالث ثبت نسب الثالث ان كانا عدلين، و لو أنكر الثالث الثاني لم‌يثبت نسب الثاني لكن يأخذ الثالث نصف التركة و يأخذ الأوّل ثلث التركة و الثاني السدس و هو تكملة نصيب الأوّل، و لو كان الاثنان معلومي النسب فأقرّا بثالث ثبت نسبه ان كانا عدلين، و لو أنكر الثالث أحدهما لم‌يلتفت اليه و كانت التركة بينهم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أقرّ ولد الميّت بولد آخر له فأقرّا بثالث فان كانا عدلين ثبت نسب الثالث؛ لحصول البيّنة، و لو أنكر الثالث الثاني لم‌يثبت نسب الثاني الذي كانت ولديّته باقرار الأوّل لكن يأخذ الثالث نصف التركة؛ لأنّ المشارك له الأوّل خاصّة، و يأخذ الأوّل ثلث التركة؛ لأنّ نصيبه ذلك بمقتضى اقراره، و أمّا الثاني الذي أقرّ به الأوّل و نفاه الثالث يأخذ السدس من الأصل و هو تكملة نصيب الأوّل؛ اذ ليس له الاّ زيادة نصيب ما في يد الأوّل المقرّ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الاثنان معلومي النسب فأقرّا بثالث ثبت نسبه ان كانا عدلين؛ لحصول </w:t>
      </w:r>
      <w:bookmarkStart w:id="908" w:name="pg9674_84526"/>
    </w:p>
    <w:p>
      <w:pPr>
        <w:pStyle w:val="BookText"/>
        <w:rPr/>
      </w:pPr>
      <w:bookmarkEnd w:id="908"/>
      <w:r>
        <w:rPr>
          <w:rFonts w:ascii="Amiri" w:hAnsi="Amiri" w:eastAsia="Amiri" w:cs="Amiri"/>
          <w:color w:val="111111"/>
          <w:sz w:val="28"/>
          <w:sz w:val="28"/>
          <w:szCs w:val="28"/>
          <w:rtl w:val="true"/>
          <w:lang w:bidi="ar-SA"/>
        </w:rPr>
        <w:t>البيّنة التي يثبت بها مثل ذلك و كونهما مقرّين لاينافي كونهما شاهدين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لوأنكر الثالث أحدهما لم‌يلتفت اليه و كانت التركة بينهم أثلاثا؛ لثبوت نسب الأوّلين و اعترافهما بالثالث سواء كانا عدلين أو لا، لكن مع عدالتهما يثبت نسبه معهما و بدونها تثبت شركته معهما في الارث خاصّة؛ لما عرفت من أنّ الاقرار في غير البنوّة لايثبت النسب و انّما يثبت التوارث بين المتصادقين</w:t>
      </w:r>
      <w:r>
        <w:rPr>
          <w:rFonts w:eastAsia="Amiri" w:cs="Amiri" w:ascii="Amiri" w:hAnsi="Amiri"/>
          <w:color w:val="111111"/>
          <w:sz w:val="28"/>
          <w:szCs w:val="28"/>
          <w:rtl w:val="true"/>
          <w:lang w:bidi="ar-SA"/>
        </w:rPr>
        <w:t>.</w:t>
      </w:r>
    </w:p>
    <w:p>
      <w:pPr>
        <w:pStyle w:val="Heading2"/>
        <w:numPr>
          <w:ilvl w:val="1"/>
          <w:numId w:val="1"/>
        </w:numPr>
        <w:rPr/>
      </w:pPr>
      <w:bookmarkStart w:id="909" w:name="__RefHeading___Toc7971904_2870459653"/>
      <w:bookmarkStart w:id="910" w:name="_Toc314"/>
      <w:bookmarkEnd w:id="909"/>
      <w:r>
        <w:rPr>
          <w:rtl w:val="true"/>
        </w:rPr>
        <w:t xml:space="preserve">فيما لو كان للميّت اخوة و زوجة فأقرّت له بولد </w:t>
      </w:r>
      <w:r>
        <w:rPr>
          <w:rtl w:val="true"/>
        </w:rPr>
        <w:t xml:space="preserve">... </w:t>
      </w:r>
      <w:r>
        <w:rPr/>
        <w:t>437</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اخوة و زوجة فأقرّت له بولد كان لها الثمن، فان صدّقها الاخوة كان الباقي للولد دون الاخوة، و كذا كلّ وارث في الظاهر أقرّ بمن هو أقرب منه دفع اليه جميع ما في يده، و لو كان مثله دفع اليه من نصيبه بنسبة نصيبه، و ان أنكر الاخوة كان لهم ثلاثة الأرباع و للزوجة الثمن و باقي حصّتها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للميّت ورثة في الظاهر اخوة و زوجة فأقرّت زوجة الميّت بولد صغير أو كبير كان لها الثمن بمقتضى اقرارها و هو نصف نصيبها لولا اقرارها، ثمّ ينظر فان صدّقها الاخوة على ذلك كان الباقي و هو سبعة أثمان التركة للولد بل ان كان فيهم عدلان ثبت نسبه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الحكم في كلّ من يكون وارثا في الظاهر فأقرّ بمن هو أقرب منه كالعمّ المقرّ بأخ للميّت، فيدفع الى المقرّ له جميع ما في يد المقرّ من الارث؛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أنكر الاخوة الولد كان لهم ثلاثة أرباع التركة و كان للزوجة ثمنها و باقي حصّتها لولا الاقرار و هو الثمن يكون للولد</w:t>
      </w:r>
      <w:r>
        <w:rPr>
          <w:rFonts w:eastAsia="Amiri" w:cs="Amiri" w:ascii="Amiri" w:hAnsi="Amiri"/>
          <w:color w:val="111111"/>
          <w:sz w:val="28"/>
          <w:szCs w:val="28"/>
          <w:rtl w:val="true"/>
          <w:lang w:bidi="ar-SA"/>
        </w:rPr>
        <w:t xml:space="preserve">. </w:t>
      </w:r>
      <w:bookmarkStart w:id="911" w:name="pg9674_84527"/>
    </w:p>
    <w:p>
      <w:pPr>
        <w:pStyle w:val="BookText"/>
        <w:rPr/>
      </w:pPr>
      <w:bookmarkEnd w:id="911"/>
      <w:r>
        <w:rPr>
          <w:rFonts w:ascii="Amiri" w:hAnsi="Amiri" w:eastAsia="Amiri" w:cs="Amiri"/>
          <w:color w:val="111111"/>
          <w:sz w:val="28"/>
          <w:sz w:val="28"/>
          <w:szCs w:val="28"/>
          <w:rtl w:val="true"/>
          <w:lang w:bidi="ar-SA"/>
        </w:rPr>
        <w:t>و لو كان الوارث قد أقرّ بمساوٍ له في طبقة الارث كما لو كان للميّت أخوانفأقرّ أحدهما بأخت فيدفع اليها خمس نصيبه لولا الاقرار و هو نصف نصيبها و يبقى من نصيبها على زعم المقرّ خمس آخر؛ و ذلك لأنّ نصيب الأخت من الارث مع الأخوين هو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فالضابط أنّ المقرّ يدفع الى المقرّ له ما زاد من نصيبه لولا الاقرار على تقدير وجود المقرّ له، فالزوجة تدفع الثمن؛ لأنّه الفاضل من نصيبها لولا اقرارها بالولد، و الأخ يدفع خمس نصيبه؛ لأنّه الفاضل من نصيبه لولا الاقرار بالأخت،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احترز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وارث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في نفس الأمر فانّ ارثه كذلك منافٍ لصحّة اقراره فيمتنع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لم‌يكن وارث أصلاً فانّ اقراره لايعتبر؛ لأنّه اقرار على الغير و انّما ينفذ اقرار الوارث ظاهرا؛ لكونه اقرارا على ما في يده</w:t>
      </w:r>
      <w:r>
        <w:rPr>
          <w:rFonts w:eastAsia="Amiri" w:cs="Amiri" w:ascii="Amiri" w:hAnsi="Amiri"/>
          <w:color w:val="111111"/>
          <w:sz w:val="28"/>
          <w:szCs w:val="28"/>
          <w:rtl w:val="true"/>
          <w:lang w:bidi="ar-SA"/>
        </w:rPr>
        <w:t>».</w:t>
      </w:r>
      <w:r>
        <w:rPr>
          <w:rStyle w:val="FootnoteAnchor"/>
          <w:rtl w:val="true"/>
        </w:rPr>
        <w:footnoteReference w:id="474"/>
      </w:r>
    </w:p>
    <w:p>
      <w:pPr>
        <w:pStyle w:val="Heading2"/>
        <w:numPr>
          <w:ilvl w:val="1"/>
          <w:numId w:val="1"/>
        </w:numPr>
        <w:rPr/>
      </w:pPr>
      <w:bookmarkStart w:id="912" w:name="__RefHeading___Toc7971906_2870459653"/>
      <w:bookmarkStart w:id="913" w:name="_Toc315"/>
      <w:bookmarkEnd w:id="912"/>
      <w:r>
        <w:rPr>
          <w:rtl w:val="true"/>
        </w:rPr>
        <w:t xml:space="preserve">فيما اذا مات صبي مجهول النسب فأقرّ انسان ببنوّته </w:t>
      </w:r>
      <w:r>
        <w:rPr>
          <w:rtl w:val="true"/>
        </w:rPr>
        <w:t xml:space="preserve">... </w:t>
      </w:r>
      <w:r>
        <w:rPr/>
        <w:t>437</w:t>
      </w:r>
      <w:bookmarkEnd w:id="91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صبي مجهول النسب فأقرّ انسان ببنوّته ثبت نسبه صغيرا كان أو كبيرا، سواء كان له مال أو لم‌يكن، و كان ميراثه للمقرّ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لايقدح في ذلك احتمال التهمة كما لو كان حيّا و له مال، و يسقط اعتبار التصديق في طرف الميّت و لو كان كبيرا؛ لأنّه في معنى الصغير، و كذا لو أقرّ ببنوّة مجنون فانّه يسقط اعتبار تصديقه؛ لأنّه لا حكم لكلامه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مات صبي مجهول النسب فأقرّ انسان ببنوّته ثبت نسبه بلا خلاف فيه بللعلّه لا خلاف بين المسلمين اذا كان صغيرا، سواء كان له مال أو لم‌يكن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فاذا ثبت نسبه كذلك كان جميع ميراثه للمقرّ مع عدم وارث غيره؛ لأنّه أبوه شرعا بالاقرار المزبور كالفراش، و لايقدح في ذلك احتمال التهمة كما لو كان حيّا و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أقرّ ببنوّة مجنون فانّه يسقط اعتبار تصديقه؛ لأنّه لا حكم لكلامه كالصبي بلا خلاف كما في الجواهر</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أمّا لو كان كبيرا فذهب المحقّق الى تسويته مع الصغير و أيّده في الجواهر و قال بأنّه يسقط اعتبار التصديق في طرف الميّت و لو كان كبيرا؛ لأنّه في معنى الصغير، الاّ أنّ فيه اشكالاً من جهة كون ثبوت النسب بصرف الدعوى و الاقرار خلاف الأصل و لا بدّ من الاقتصار على موضع الوفاق و هو الصغير، الاّ اذا ثبت صدقه من طريق آخر غير الاقرار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على تقدير كونه كبيرا فوجّهوه بأنّ الميّت في حكم الصغير حيث لايمكن في حقّه التصديق فيسقط اعتباره كما سقط في حقّ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لايخلو من اشكال؛ لأصالة عدم النسب و كون الحاقه بمجرّد الدعوى على خلاف الأصل فيقتصر فيه على موضع الوفاق و هو الصغير، و اطلاق اشتراط تصديق الكبير و هو منتفٍ هنا و لا نصّ في المسألة و لا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في التذكرة لذلك و عذره واضح</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ولدت أمته ولدا فأقرّ ببنوّته لحق به و حكم بحرّيّته بشرطأن لايكون لها زوج، و لو أقرّ بابن احدى أمتيه و عيّنه لحق به، و لو ادّعت الأخرى أنّ ولدها هو الذي أقرّ به فالقول قول المقرّ مع يمينه، و لو لم‌يعيّن و مات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يعيّن الوارث فان امتنع أقرع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باستعمال القرعة بعد الوفاة مطلقا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ولدت أمته ولدا فأقرّ ببنوّته لحق به و حكم بحرّيّته بشرط امكان تولّده منه و أن لايكون لها زوج و لا محلّل بحيث تكون فراشا له يلحق به ولدها، بلا خلاف في شيء من ذلك و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لاينقص عن الطفل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بابن احدى أمتيه و عيّنه لحق به، و لو ادّعت الأخرى أنّ ولدها هو الذي أقرّ به فالقول قول المقرّ مع يمينه؛ لأنّه منكر و لو نكل حلفت هي و ثبت حقّها على مقتضى الدعاوي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لم‌يعيّن و مات المولى لايعرض على القافة؛ لعدم الاعتداد بها عندنا، و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يعيّن الوارث فان امتنع من التعيين لعدم علمه أو لغيره أقرع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المشهور على استعمال القرعة بعد الوفاة؛ لعدم دليل على قبول اخبار الوارث؛ لأنّه اقرار في حقّ الغير</w:t>
      </w:r>
      <w:r>
        <w:rPr>
          <w:rFonts w:eastAsia="Amiri" w:cs="Amiri" w:ascii="Amiri" w:hAnsi="Amiri"/>
          <w:color w:val="111111"/>
          <w:sz w:val="28"/>
          <w:szCs w:val="28"/>
          <w:rtl w:val="true"/>
          <w:lang w:bidi="ar-SA"/>
        </w:rPr>
        <w:t xml:space="preserve">. </w:t>
      </w:r>
      <w:bookmarkStart w:id="914" w:name="pg9674_84530"/>
    </w:p>
    <w:p>
      <w:pPr>
        <w:pStyle w:val="BookText"/>
        <w:rPr/>
      </w:pPr>
      <w:bookmarkEnd w:id="9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أولاد ثلاثة من أمة فأقرّ ببنوّة أحدهم فأيّهم عيّنه كانحرّا و الآخران رقّا، و لو اشتبه المعيّن و مات أو لم‌يعيّن استخرج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له أولاد ثلاثة من أمة فأقرّ ببنوّة أحدهم فأيّهم عيّنه كان حرّا و الآخران رقّان، و لا فرق بين كون المعيّن الأكبر من الأولاد أو الأصغر أو الأوسط ان لم‌نقل بصيرورة الأمة فراشا بالوط‌ء كما هو المشهور و لايلحق ولدها بالمولى الاّ باقراره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المعيّن و مات أو لم‌يعيّن استخرج بالقرعة</w:t>
      </w:r>
      <w:r>
        <w:rPr>
          <w:rFonts w:eastAsia="Amiri" w:cs="Amiri" w:ascii="Amiri" w:hAnsi="Amiri"/>
          <w:color w:val="111111"/>
          <w:sz w:val="28"/>
          <w:szCs w:val="28"/>
          <w:rtl w:val="true"/>
          <w:lang w:bidi="ar-SA"/>
        </w:rPr>
        <w:t>.</w:t>
      </w:r>
    </w:p>
    <w:p>
      <w:pPr>
        <w:pStyle w:val="Heading2"/>
        <w:numPr>
          <w:ilvl w:val="1"/>
          <w:numId w:val="1"/>
        </w:numPr>
        <w:rPr/>
      </w:pPr>
      <w:bookmarkStart w:id="915" w:name="__RefHeading___Toc7971908_2870459653"/>
      <w:bookmarkStart w:id="916" w:name="_Toc316"/>
      <w:bookmarkEnd w:id="915"/>
      <w:r>
        <w:rPr>
          <w:rtl w:val="true"/>
        </w:rPr>
        <w:t xml:space="preserve">في عدم ثبوت النسب الاّ بشهادة رجلين عدلين </w:t>
      </w:r>
      <w:r>
        <w:rPr>
          <w:rtl w:val="true"/>
        </w:rPr>
        <w:t xml:space="preserve">... </w:t>
      </w:r>
      <w:r>
        <w:rPr/>
        <w:t>441</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النسب الاّ بشهادة رجلين عدلين، و لايثبت بشهادة رجل و امرأتين على الأظهر و لا بشهادة رجل و يمين و لا بشهادة فاسقين و لو كانا 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لايثبت النسب الاّ بشهادة رجلين عدلين أو الاستفاضة، و لايثبت بشهادة رجل و امرأتين على الأظهر الأشهر بل المشهور، و لا بشهادة رجل و يمين و لا خلاف عندنا في أنّه لايثبت بشهادة فاسقين و لو كانا وارثين و ان كانا يؤخذان بما يقتضيه اقرارهما، كما مرّ في التوارث</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الأخوان و كانا عدلين بابن للميّت ثبت نسبه و ميراثه و لايكون ذلك دورا، و لو كانا فاسقين لم‌يثبت النسب ولكن يستحقّ دونهما الارث</w:t>
      </w:r>
      <w:r>
        <w:rPr>
          <w:rFonts w:eastAsia="Amiri" w:cs="Amiri" w:ascii="Amiri" w:hAnsi="Amiri"/>
          <w:color w:val="111111"/>
          <w:sz w:val="28"/>
          <w:szCs w:val="28"/>
          <w:rtl w:val="true"/>
          <w:lang w:bidi="ar-SA"/>
        </w:rPr>
        <w:t xml:space="preserve">. </w:t>
      </w:r>
      <w:bookmarkStart w:id="917" w:name="pg9674_84531"/>
    </w:p>
    <w:p>
      <w:pPr>
        <w:pStyle w:val="BookText"/>
        <w:rPr/>
      </w:pPr>
      <w:bookmarkEnd w:id="917"/>
      <w:r>
        <w:rPr>
          <w:rFonts w:ascii="Amiri" w:hAnsi="Amiri" w:eastAsia="Amiri" w:cs="Amiri"/>
          <w:color w:val="111111"/>
          <w:sz w:val="28"/>
          <w:sz w:val="28"/>
          <w:szCs w:val="28"/>
          <w:rtl w:val="true"/>
          <w:lang w:bidi="ar-SA"/>
        </w:rPr>
        <w:t>لو شهد الأخوان و كانا عدلين بابن للميّت ثبت نسبه و ميراثه و لايرثان منالميّت و لايكون ذلك دورا؛ لأنّ النسب يثبت من حيث شهادتهما لا من حيث اقرارهما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فاسقين لم‌يثبت النسب ولكن يستحقّ المقرّ له الارث دونهما؛ لاقرارهما</w:t>
      </w:r>
      <w:r>
        <w:rPr>
          <w:rFonts w:eastAsia="Amiri" w:cs="Amiri" w:ascii="Amiri" w:hAnsi="Amiri"/>
          <w:color w:val="111111"/>
          <w:sz w:val="28"/>
          <w:szCs w:val="28"/>
          <w:rtl w:val="true"/>
          <w:lang w:bidi="ar-SA"/>
        </w:rPr>
        <w:t>.</w:t>
      </w:r>
    </w:p>
    <w:p>
      <w:pPr>
        <w:pStyle w:val="Heading2"/>
        <w:numPr>
          <w:ilvl w:val="1"/>
          <w:numId w:val="1"/>
        </w:numPr>
        <w:rPr/>
      </w:pPr>
      <w:bookmarkStart w:id="918" w:name="__RefHeading___Toc7971910_2870459653"/>
      <w:bookmarkStart w:id="919" w:name="_Toc317"/>
      <w:bookmarkEnd w:id="918"/>
      <w:r>
        <w:rPr>
          <w:rtl w:val="true"/>
        </w:rPr>
        <w:t xml:space="preserve">فيما لو أقرّ بوارثين أولى منه </w:t>
      </w:r>
      <w:r>
        <w:rPr>
          <w:rtl w:val="true"/>
        </w:rPr>
        <w:t xml:space="preserve">... </w:t>
      </w:r>
      <w:r>
        <w:rPr/>
        <w:t>442</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بوارثين أولى منه فصدّقه كلّ واحد منهما عن نفسه لم‌يثبت النسب، و يثبت الميراث و دفع اليهما ما في يده، و لو تناكرا بينهما لم‌يلتفت الى انكارهما، و لو أقرّ بوارث أولى منه ثمّ أقرّ بآخر أولى منهما فان صدّقه المقرّ له الأوّل دفع المال الى الثاني، و ان كذّبه دفع المقرّ الى الأوّل المال و غرّمه للثاني، و لو كان الثاني مساويا للمقرّ له أوّلاً و لم‌يصدّقه الأوّل دفع المقرّ الى الثاني مثل نصف ما حصل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أقرّ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بوارثين أولى منه دفعة بأن‌قال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الوارثان و لا شريك لهما، فصدّقه كلّ واحد منهما عن نفسه لم‌يثبت النسب، ولكن يثبت الميراث المقرّ به و دفع اليهما معا ما في يده، و لو تناكرا بينهما لم‌يلتفت الى انكارهما؛ لأنّ استحقاقهما للارث ثبت في حالة واحدة و هي الاقرار بهما دفعة فلم‌يكن أحدهما أولى من الآخر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الوارث ظاهرا الذي هو العمّ مثلاً بوارث آخر أولى منه كالأخ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الميّت زيد أخوه، ثم أقرّ بآخر أولى منهما كالولد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الميّت عمرو ولده، فان صدّقه المقرّ له الأوّل دفع المال الى الثاني، و ان كذّبه أحلف و دفع المقرّ </w:t>
      </w:r>
      <w:bookmarkStart w:id="920" w:name="pg9674_84532"/>
    </w:p>
    <w:p>
      <w:pPr>
        <w:pStyle w:val="BookText"/>
        <w:rPr/>
      </w:pPr>
      <w:bookmarkEnd w:id="920"/>
      <w:r>
        <w:rPr>
          <w:rFonts w:ascii="Amiri" w:hAnsi="Amiri" w:eastAsia="Amiri" w:cs="Amiri"/>
          <w:color w:val="111111"/>
          <w:sz w:val="28"/>
          <w:sz w:val="28"/>
          <w:szCs w:val="28"/>
          <w:rtl w:val="true"/>
          <w:lang w:bidi="ar-SA"/>
        </w:rPr>
        <w:t>الى الأوّل المال و غرّمه للثاني؛ الزاما باقراره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المقرّله بعد الاقرار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 للمقرّ له أوّلاً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 الميّت وارث مع الأوّل و لم‌يصدّقه الأوّل دفع المقرّ الى الثاني مثل نصف ما حصل للأوّل؛ لأنّ ذلك هو الذي أتلفه عليه</w:t>
      </w:r>
      <w:r>
        <w:rPr>
          <w:rFonts w:eastAsia="Amiri" w:cs="Amiri" w:ascii="Amiri" w:hAnsi="Amiri"/>
          <w:color w:val="111111"/>
          <w:sz w:val="28"/>
          <w:szCs w:val="28"/>
          <w:rtl w:val="true"/>
          <w:lang w:bidi="ar-SA"/>
        </w:rPr>
        <w:t>.</w:t>
      </w:r>
    </w:p>
    <w:p>
      <w:pPr>
        <w:pStyle w:val="Heading2"/>
        <w:numPr>
          <w:ilvl w:val="1"/>
          <w:numId w:val="1"/>
        </w:numPr>
        <w:rPr/>
      </w:pPr>
      <w:bookmarkStart w:id="921" w:name="__RefHeading___Toc7971912_2870459653"/>
      <w:bookmarkStart w:id="922" w:name="_Toc318"/>
      <w:bookmarkEnd w:id="921"/>
      <w:r>
        <w:rPr>
          <w:rtl w:val="true"/>
        </w:rPr>
        <w:t xml:space="preserve">فيما لو أقرّ بزوج للميّتة </w:t>
      </w:r>
      <w:r>
        <w:rPr>
          <w:rtl w:val="true"/>
        </w:rPr>
        <w:t xml:space="preserve">... </w:t>
      </w:r>
      <w:r>
        <w:rPr/>
        <w:t>443</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بزوج للميّتة و لها ولد أعطاه ربع نصيبه و ان لم‌يكن ولد أعطاه نصفه، و لو أقرّ بزوج آخر لم‌يقبل، و لو أكذب اقراره للأوّل أغرم للثاني مثل ما حصل للأوّل، و لو أقرّ بزوجة و له ولد أعطاها ثمن ما في يده و ان لم‌يكن ولد أعطاها الربع، و ان أقرّ بأخرى غرّم لها مثل نصف نصيب الأولى اذا لم‌تصدّقه الأولى، و لو أقرّ بثالثة أعطاها ثلث النصيب، و لو أقرّ برابعة أعطاها الربع من نصيب الزوجيّة، و لو أقرّ بخامسة و أنكر احدى الأوّل لم‌يلتفت اليه و غرّم لها مثل نصيب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أقرّ الوارث كأخ الميّت مثلاً بزوج للميّت أعطاه النصف ان كان الوارث أخذ الكلّ أي نصف ما في يده؛ لأنّ نصيب الزوج مع عدم الولد هو النصف و ان كان المقرّ ولدها فالربع؛ لأنّه نصيب الزوج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بزوج آخر لم‌يقبل، و أمّا لو أكذب اقراره في الزوج الأوّل بعد الاقرار للثاني أغرم له مثل ما حصل للأوّل؛ لاتلافه نصيبه باقراره الأوّل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بزوجة للميّت فالربع ان كان المقرّ غير الولد و الثمن ان كان المقرّ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أقرّ بزوجة أخرى للميّت و صدّقته الأولى اقتسما الربع على تقدير عدم </w:t>
      </w:r>
    </w:p>
    <w:p>
      <w:pPr>
        <w:pStyle w:val="BookText"/>
        <w:rPr/>
      </w:pPr>
      <w:r>
        <w:rPr>
          <w:rFonts w:ascii="Amiri" w:hAnsi="Amiri" w:eastAsia="Amiri" w:cs="Amiri"/>
          <w:color w:val="111111"/>
          <w:sz w:val="28"/>
          <w:sz w:val="28"/>
          <w:szCs w:val="28"/>
          <w:rtl w:val="true"/>
          <w:lang w:bidi="ar-SA"/>
        </w:rPr>
        <w:t>الولد و الثمن على تقدير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أكذبته غرّم المقرّ لها نصيبها و هو مثل نصفنصيب الأولى، و لو أقرّ بثالثة أعطاها ثلث النصيب، و لو أقرّ برابعة أعطاها الربع من نصيب الزوجيّة، و لو أقرّ بخامسة و أنكر احدى الأوّل لم‌يلتفت اليه بالنسبة الى ذلك و غرّم لها مثل نصيب واحدة منهنّ أي ربع الثمن أو ربع الربع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هنا تمّ ما أردنا</w:t>
      </w:r>
    </w:p>
    <w:p>
      <w:pPr>
        <w:pStyle w:val="BookText"/>
        <w:rPr/>
      </w:pPr>
      <w:r>
        <w:rPr>
          <w:rFonts w:ascii="Amiri" w:hAnsi="Amiri" w:eastAsia="Amiri" w:cs="Amiri"/>
          <w:color w:val="111111"/>
          <w:sz w:val="28"/>
          <w:sz w:val="28"/>
          <w:szCs w:val="28"/>
          <w:rtl w:val="true"/>
          <w:lang w:bidi="ar-SA"/>
        </w:rPr>
        <w:t>بيانه من مسائل الاقرار</w:t>
      </w:r>
    </w:p>
    <w:p>
      <w:pPr>
        <w:pStyle w:val="BookText"/>
        <w:rPr/>
      </w:pPr>
      <w:r>
        <w:rPr>
          <w:rFonts w:ascii="Amiri" w:hAnsi="Amiri" w:eastAsia="Amiri" w:cs="Amiri"/>
          <w:color w:val="111111"/>
          <w:sz w:val="28"/>
          <w:sz w:val="28"/>
          <w:szCs w:val="28"/>
          <w:rtl w:val="true"/>
          <w:lang w:bidi="ar-SA"/>
        </w:rPr>
        <w:t>و يتلوه شرح كتاب الجعالة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w:t>
      </w:r>
      <w:bookmarkStart w:id="923" w:name="pg9674_84534"/>
    </w:p>
    <w:p>
      <w:pPr>
        <w:pStyle w:val="Heading2"/>
        <w:numPr>
          <w:ilvl w:val="1"/>
          <w:numId w:val="1"/>
        </w:numPr>
        <w:rPr/>
      </w:pPr>
      <w:bookmarkStart w:id="924" w:name="__RefHeading___Toc7971914_2870459653"/>
      <w:bookmarkStart w:id="925" w:name="_Toc319"/>
      <w:bookmarkEnd w:id="923"/>
      <w:bookmarkEnd w:id="924"/>
      <w:r>
        <w:rPr>
          <w:rtl w:val="true"/>
        </w:rPr>
        <w:t>كتاب الجعالة</w:t>
      </w:r>
      <w:bookmarkEnd w:id="925"/>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الشروع في شرح ما ذكره المحقّق رحمه‌الله في هذا الكتاب، لابأس بذكر مقدّمة لاتخلو من فائدة و هي مشتملة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بمعنى العوض المجعول في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الجعالة هي تعيين عوض لفعل ما يريده و يحتاج اليه من عمل مقصود محلّل كما سيأتي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الجعالة من العقود أو الايقاعات؟ ظاهر كثير أنّها من الايقاعات اذ لم‌يذكروا لها قبولاً كما في ظاهر عبارة المصنّف رحمه‌الله في بداية هذا الكتاب حيث ذكر أنّ النظر في الايجاب و الأحكام و اللواحق و لم‌يذكر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جعلها من العقود قد وسّع دائرة العقود بحيث تشمل الجعالة و الاّ فالعقدبما له من الأحكام و الحدود لايشمل الجعالة بما لها من التوسّع في الأحكام، و ان كانت تشبه العقود في بعض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بينها و بين الاجارة أنّه لا بدّ في الاجارة من تعيين الأجير و العمل و العوض، و الجعالة لايعتبر فيها شيء من هذه الأمور، فانّ الجاعل لايعيّن العامل و لايجب عليه أن‌يعيّن مقدار العوض و لا أن‌يعيّن العمل على نحو ما لزم تعيينه في الاجارة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الجعالة بتثليث الجيم و ان كان كسرها أشهر كما في المسالك، و هي على ما صرّح به غير واحد لغة ما يجعل للانسان على شيء بفعله، و شرعا انشاء الالتزام بعوض على عمل محلّل مقصود بصيغة دالّة على ذلك، و المراد ما يعتبر فيها شرعا كما في غيرها من العقود و الايقاعات؛ اذ لا حقيقة لها في الشرع غير ما في اللغة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بين المسلمين في مشروعيّتها، بل الاجماع بقسميه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يدلّ على مشروعيّتها عدّة من الروايات أيضا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علي بن جعفر عن أخيه أبي الحسن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جعل الآبق و الضالّة،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منها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يسأل أبا عبداللّه عليه‌السلام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أمرنا الرجل فيشتري لنا الأرض و الدار و الغلام و الجارية، و نجعل له جعلاً،قال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منها 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يعالج الدواء للناس فيأخذ عليه جعلاً،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يرشو الرجل الرشوة على أن‌يتحوّل من منزله فيسكنه،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الظاهر أنّ المراد من المنزل هو المشترك بين المسلمين كالأرض المفتوحة عنوة أو الموقوفة على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عبداللّه بن سنان عن أبي عبداللّه عليه‌السلام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يريد أن‌يشتري دارا أو أرضا أو خادما و يجعل له </w:t>
      </w:r>
    </w:p>
    <w:p>
      <w:pPr>
        <w:pStyle w:val="BookText"/>
        <w:rPr/>
      </w:pPr>
      <w:r>
        <w:rPr>
          <w:rFonts w:ascii="IRNazanin" w:hAnsi="IRNazanin" w:eastAsia="IRNazanin"/>
          <w:color w:val="111111"/>
          <w:sz w:val="28"/>
          <w:sz w:val="28"/>
          <w:szCs w:val="28"/>
          <w:rtl w:val="true"/>
          <w:lang w:bidi="fa-IR"/>
        </w:rPr>
        <w:t>جعلاً،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هذا كلّه مضافا الى أنّ الحاجة تدعو الى مشروعيّتها فانّ العمل قديكون مجهولاً كردّ الآبق و الضالّة و نحو ذلك ممّا لايقوم به عقد الاجارة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العقود أو 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غير لازمة كما يظهر ذلك من بيان أحكامها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عرفت ما تلونا عليك في المقدّمة فاعلم أنّ المحقّق رحمه‌الله قد ذكر مباحثكتاب الجعالة في فصول ثلاثة و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النظر في الايجاب و الأحكام و اللواحق</w:t>
      </w:r>
      <w:r>
        <w:rPr>
          <w:rFonts w:eastAsia="Amiri" w:cs="Amiri" w:ascii="Amiri" w:hAnsi="Amiri"/>
          <w:color w:val="111111"/>
          <w:sz w:val="28"/>
          <w:szCs w:val="28"/>
          <w:rtl w:val="true"/>
          <w:lang w:bidi="ar-SA"/>
        </w:rPr>
        <w:t xml:space="preserve">. </w:t>
      </w:r>
      <w:bookmarkStart w:id="926" w:name="pg9674_84538"/>
    </w:p>
    <w:p>
      <w:pPr>
        <w:pStyle w:val="Heading2"/>
        <w:numPr>
          <w:ilvl w:val="1"/>
          <w:numId w:val="1"/>
        </w:numPr>
        <w:rPr/>
      </w:pPr>
      <w:bookmarkStart w:id="927" w:name="__RefHeading___Toc7971916_2870459653"/>
      <w:bookmarkStart w:id="928" w:name="_Toc320"/>
      <w:bookmarkEnd w:id="926"/>
      <w:bookmarkEnd w:id="927"/>
      <w:r>
        <w:rPr>
          <w:rtl w:val="true"/>
        </w:rPr>
        <w:t xml:space="preserve">النظر الأوّل </w:t>
      </w:r>
      <w:r>
        <w:rPr>
          <w:rtl w:val="true"/>
        </w:rPr>
        <w:t xml:space="preserve">: </w:t>
      </w:r>
      <w:r>
        <w:rPr>
          <w:rtl w:val="true"/>
        </w:rPr>
        <w:t>في الايجاب</w:t>
      </w:r>
      <w:bookmarkEnd w:id="928"/>
    </w:p>
    <w:p>
      <w:pPr>
        <w:pStyle w:val="BookText"/>
        <w:rPr/>
      </w:pPr>
      <w:r>
        <w:rPr>
          <w:rFonts w:ascii="Amiri" w:hAnsi="Amiri" w:eastAsia="Amiri" w:cs="Amiri"/>
          <w:color w:val="111111"/>
          <w:sz w:val="28"/>
          <w:sz w:val="28"/>
          <w:szCs w:val="28"/>
          <w:rtl w:val="true"/>
          <w:lang w:bidi="ar-SA"/>
        </w:rPr>
        <w:t>أمّا الايجاب فهو 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أو ضالّتي أو فعل كذا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لايفتقر الى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ايجابها هو كما قال المصنّف رحمه‌الله و هو أن‌يقول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أو ضالّتي، أو فعل كذا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لايفتقر الى قبول لفظي بل القبول هو العمل فمن تفحّص عن العبد أو الضالّة أو اشتغل بالعمل الذي طلبه الجاعل فقد قبل، فهو جائز غير لازم سواء قلنا بكونها من العقود أو الايقاعات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على كلّ عمل مقصود محلّل، و يجوز أن‌يكون العمل مجهولاً؛ لأنّه عقد جائز كالمضاربة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العوض فلا بدّ أن‌يكون معلوما بالكيل أو الوزن أو العدد ان كان ممّا جرت العادة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مجهولاً ثبت بالردّ أجرة المثل كأن‌يقول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ثوب أو دابّة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تصحّ الجعالة على كلّ عمل مقصود للعقلاء على وجه يخرج عن كونه سفها كالاجارة، و يشترط كونه محلّلاً غير محرّم سواء كان مباحا أو مندوبا أو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غير واحد بأنّه لايصحّ الجعالة على الواجب، حتّى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دلّني على مالي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 من كان المال في يده لم‌يستحقّ الجعل؛ لأنّ ذلك واجب عليه بالشرع، فلايجوز أخذ العوض عليه، و قد استشكل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اشكاله صحيح فانّه كما يجوز الاجارة في الواجبات كالصلاة و الصوم للميّت و الحجّ كذلك يجوز فيها الجعالة أيضا، فانّا قد فصّلنا الكلام عن أخذ الأجرة على الواجبات في محلّه و قلنا بأنّ ما يحرم أخذ الأجرة عليه هو الواجبات العينيّة و بعض الواجبات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أن‌يكون العمل مجهولاً في الجعالة؛ لأنّه عقد جائز كالمضاربة التي بناء مشروعيّتها على جهالة العمل كما أنّ الغرض من شرعيّة الجعالة تحصيل الأعمال المجهولة غالبا كردّ الآبق و الضالّة و نحوهما، و الاّ فالأعمال التي لاتكون مجهولة لاتحتاج الى مشروعيّة الجعالة؛ اذ يتأتّى لطالبها تحصيلها بالاجارة و نحوها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الجهالة التي لابأس بها في الجعالة ليست مطلق الجهالة بل المعنى أنّه لايعتبر فيه معلوميّة العمل على نحو ما يعتبر في الاجارة مثلاً، و الاّ فمن المعلوم أنّه لايمكن أن‌يكون العمل مجهولاً مطلقا حتّى في الجعالة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قال المصنّف و هو المشهور بين الأصحاب 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أن‌يكون معلوما بالكيل أو الوزن أو العدد ان كان ممّا جرت العادةبعدّه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مجهولاً ثبت بالردّ أجرة المثل كأن‌يقول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ثوب أو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الآبق فله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حكم المعلوم؛ لأنّ ذلك معيّن في حدّ ذاته لايفضي الى التنازع بخلاف جعل العوض ثوبا و دابّة و نحو ذلك ممّا يختلف كثيرا و تتفاوت أفراده قيمة تفاوتا عظيما يؤدّي الى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ففي موارد الجهل بالعوض لا بدّ من الرجوع الى العرف فيما يتعارف بينهم من العوض على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الجاعل أهليّة الاستئجار و في العامل امكان تحصيل العمل، و لو عيّن الجعالة لواحد فردّ غيره كان عمله ضائعا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تبرّع أجنبي بالجعل وجب عليه الجعل مع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يستحقّ الجعل بالتسليم فلو جاء به الى البلد ففرّ لم‌يستحقّ الجعل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الجاعل أهليّة الاستئجار فلاينفذ جعل الصبي و المجنون و السفيه و المحجور عليه لفلس، و المكره و غير القاصد؛ لأنّها كالعقود و الايقاعات التي لاتصحّ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بلاخلاف كما اعترف به الفاضل في التذكرة بل و لا اشكال</w:t>
      </w:r>
      <w:r>
        <w:rPr>
          <w:rFonts w:eastAsia="Amiri" w:cs="Amiri" w:ascii="Amiri" w:hAnsi="Amiri"/>
          <w:color w:val="111111"/>
          <w:sz w:val="28"/>
          <w:szCs w:val="28"/>
          <w:rtl w:val="true"/>
          <w:lang w:bidi="ar-SA"/>
        </w:rPr>
        <w:t>».</w:t>
      </w:r>
      <w:r>
        <w:rPr>
          <w:rStyle w:val="FootnoteAnchor"/>
          <w:rtl w:val="true"/>
        </w:rPr>
        <w:footnoteReference w:id="485"/>
      </w:r>
      <w:bookmarkStart w:id="929" w:name="pg9674_84541"/>
    </w:p>
    <w:p>
      <w:pPr>
        <w:pStyle w:val="Heading2"/>
        <w:numPr>
          <w:ilvl w:val="1"/>
          <w:numId w:val="1"/>
        </w:numPr>
        <w:rPr/>
      </w:pPr>
      <w:bookmarkStart w:id="930" w:name="__RefHeading___Toc7971918_2870459653"/>
      <w:bookmarkStart w:id="931" w:name="_Toc321"/>
      <w:bookmarkEnd w:id="929"/>
      <w:bookmarkEnd w:id="930"/>
      <w:r>
        <w:rPr>
          <w:rtl w:val="true"/>
        </w:rPr>
        <w:t xml:space="preserve">فيما يعتبر في الجاعل </w:t>
      </w:r>
      <w:r>
        <w:rPr>
          <w:rtl w:val="true"/>
        </w:rPr>
        <w:t xml:space="preserve">... </w:t>
      </w:r>
      <w:r>
        <w:rPr/>
        <w:t>451</w:t>
      </w:r>
      <w:bookmarkEnd w:id="931"/>
    </w:p>
    <w:p>
      <w:pPr>
        <w:pStyle w:val="BookText"/>
        <w:rPr/>
      </w:pPr>
      <w:r>
        <w:rPr>
          <w:rFonts w:ascii="Amiri" w:hAnsi="Amiri" w:eastAsia="Amiri" w:cs="Amiri"/>
          <w:color w:val="111111"/>
          <w:sz w:val="28"/>
          <w:sz w:val="28"/>
          <w:szCs w:val="28"/>
          <w:rtl w:val="true"/>
          <w:lang w:bidi="ar-SA"/>
        </w:rPr>
        <w:t>و أمّا ما يعتبر في العامل فهو امكان تحصيل العمل، و المراد بالامكان ما يشمل العقلي و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باعتبار هذا الشرط هو أن لايخاطب الجاعل من لايقدر على ايجادالعمل عقلاً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مثّلوا للامكان الشرعي بما اذا كان العامل المخاطب للجعالة هو الكافر لو كان العمل المجعول عليه استيفاء الدين من المسلم؛ لاقتضائه اثبات يده عليه الموجب للسبيل المنفي كما في المسالك</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في المثال مناقشة حيث لايصدق السبيل و التسلّط على استيفاء الدين ظاهرا، و لعلّ المثال بالأمر بدخول الجنب في المسجد و جعل عمل عليه يلزم دخوله في المسجد جنبا، أولى من ذلك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 الجعالة لواحد فردّ غيره كان عمله ضائعا؛ لأنّه متبرّع حيث لم‌يجعل له أجرة و لا لمن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تبرّع أجنبي بالجعل وجب عليه الجعل مع الردّ، و ان لم‌يدفع اليه و لايلزم المالك بشيء للعامل و للباذل و لعلّ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يستحقّ العامل الجعل بالتسليم الى يد المالك مع التصريح بالجعل على ذلك أو اطلاق الردّ بناءً على أنّ المتبادر فيه القبض و حينئذ فلو جاء به الى البلد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 لم‌يستحقّ الجعل</w:t>
      </w:r>
      <w:r>
        <w:rPr>
          <w:rFonts w:eastAsia="Amiri" w:cs="Amiri" w:ascii="Amiri" w:hAnsi="Amiri"/>
          <w:color w:val="111111"/>
          <w:sz w:val="28"/>
          <w:szCs w:val="28"/>
          <w:rtl w:val="true"/>
          <w:lang w:bidi="ar-SA"/>
        </w:rPr>
        <w:t xml:space="preserve">. </w:t>
      </w:r>
      <w:bookmarkStart w:id="932" w:name="pg9674_84542"/>
    </w:p>
    <w:p>
      <w:pPr>
        <w:pStyle w:val="Heading2"/>
        <w:numPr>
          <w:ilvl w:val="1"/>
          <w:numId w:val="1"/>
        </w:numPr>
        <w:rPr/>
      </w:pPr>
      <w:bookmarkStart w:id="933" w:name="__RefHeading___Toc7971920_2870459653"/>
      <w:bookmarkStart w:id="934" w:name="_Toc322"/>
      <w:bookmarkEnd w:id="932"/>
      <w:bookmarkEnd w:id="933"/>
      <w:r>
        <w:rPr>
          <w:rtl w:val="true"/>
        </w:rPr>
        <w:t xml:space="preserve">في أنّ الجعالة لازمة أو جائزة؟ </w:t>
      </w:r>
      <w:r>
        <w:rPr>
          <w:rtl w:val="true"/>
        </w:rPr>
        <w:t xml:space="preserve">... </w:t>
      </w:r>
      <w:r>
        <w:rPr/>
        <w:t>453</w:t>
      </w:r>
      <w:bookmarkEnd w:id="934"/>
    </w:p>
    <w:p>
      <w:pPr>
        <w:pStyle w:val="BookText"/>
        <w:rPr/>
      </w:pPr>
      <w:r>
        <w:rPr>
          <w:rFonts w:ascii="Amiri" w:hAnsi="Amiri" w:eastAsia="Amiri" w:cs="Amiri"/>
          <w:color w:val="111111"/>
          <w:sz w:val="28"/>
          <w:sz w:val="28"/>
          <w:szCs w:val="28"/>
          <w:rtl w:val="true"/>
          <w:lang w:bidi="ar-SA"/>
        </w:rPr>
        <w:t>و الجعالة جائزة قبل التلبّس، فان تلبّس فالجواز باقٍ في طرف العامل و لازم من طرف الجاعل الاّ أن‌يدفع أجرة ما عمل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عقّب الجعالة على عمل معيّن بأخرى و زاد في العوض أو نقص عمل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القول في ذلك و أنّ الجعالة جائزة من الطرفين و معنى ذلك جواز الفسخ من العامل و الجاعل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العامل فله فسخها سواء تلبّس بالعمل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الجاعل فيجوز له فسخ الجعالة قبل تلبّس العامل بالعمل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له الفسخ بعد التلبّس بالعمل الاّ أنّ للعامل على الجاعل عوض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 الجعالة من الأمور الجائزة من الطرفين، بمعنى تسلّط كلّ من المالك و العامل على فسخها قبل التلبّس بالعمل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الفسخ قبل التلبّس فلا شيء للعامل؛ اذ ليس هناك عمل يقابل بعوض، سواء كان الفسخ من قبله أم من قبل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الفسخ بعد التلبّس و كان الفسخ من العامل فلا شيء له؛ لأنّ المالك لم‌يجعل له العوض الاّ في مقابلة مجموع العمل من حيث هو مجموع، فلايستحقّ على أبعاضه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الفسخ من المالك فعليه للعامل عوض ما عمل؛ لأنّه انّما عمل بعوض لم‌يسلم له، و لا تقصير من قبله، و الأصل في العمل المحترم الواقع بأمر </w:t>
      </w:r>
    </w:p>
    <w:p>
      <w:pPr>
        <w:pStyle w:val="BookText"/>
        <w:rPr/>
      </w:pPr>
      <w:r>
        <w:rPr>
          <w:rFonts w:ascii="Amiri" w:hAnsi="Amiri" w:eastAsia="Amiri" w:cs="Amiri"/>
          <w:color w:val="111111"/>
          <w:sz w:val="28"/>
          <w:sz w:val="28"/>
          <w:szCs w:val="28"/>
          <w:rtl w:val="true"/>
          <w:lang w:bidi="ar-SA"/>
        </w:rPr>
        <w:t>المالك أن‌يقابل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عقّب الجعالة على عمل معيّن بأخرى و زاد في العوض أو نقص أو غيّر بعض ما ذكر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ردّه فلهخمسون أو فله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فسخ الجعالة الأولى و جعل بدلها أخرى، بشرط عدم التلبّس من العامل بالجعالة الأولى</w:t>
      </w:r>
      <w:r>
        <w:rPr>
          <w:rFonts w:eastAsia="Amiri" w:cs="Amiri" w:ascii="Amiri" w:hAnsi="Amiri"/>
          <w:color w:val="111111"/>
          <w:sz w:val="28"/>
          <w:szCs w:val="28"/>
          <w:rtl w:val="true"/>
          <w:lang w:bidi="ar-SA"/>
        </w:rPr>
        <w:t xml:space="preserve">. </w:t>
      </w:r>
      <w:bookmarkStart w:id="935" w:name="pg9674_84544"/>
    </w:p>
    <w:p>
      <w:pPr>
        <w:pStyle w:val="Heading2"/>
        <w:numPr>
          <w:ilvl w:val="1"/>
          <w:numId w:val="1"/>
        </w:numPr>
        <w:rPr/>
      </w:pPr>
      <w:bookmarkStart w:id="936" w:name="__RefHeading___Toc7971922_2870459653"/>
      <w:bookmarkStart w:id="937" w:name="_Toc323"/>
      <w:bookmarkEnd w:id="935"/>
      <w:bookmarkEnd w:id="936"/>
      <w:r>
        <w:rPr>
          <w:rtl w:val="true"/>
        </w:rPr>
        <w:t xml:space="preserve">النظر الثاني </w:t>
      </w:r>
      <w:r>
        <w:rPr>
          <w:rtl w:val="true"/>
        </w:rPr>
        <w:t xml:space="preserve">: </w:t>
      </w:r>
      <w:r>
        <w:rPr>
          <w:rtl w:val="true"/>
        </w:rPr>
        <w:t>في الأحكام</w:t>
      </w:r>
      <w:bookmarkEnd w:id="937"/>
    </w:p>
    <w:p>
      <w:pPr>
        <w:pStyle w:val="BookText"/>
        <w:rPr/>
      </w:pPr>
      <w:r>
        <w:rPr>
          <w:rFonts w:ascii="Amiri" w:hAnsi="Amiri" w:eastAsia="Amiri" w:cs="Amiri"/>
          <w:color w:val="111111"/>
          <w:sz w:val="28"/>
          <w:sz w:val="28"/>
          <w:szCs w:val="28"/>
          <w:rtl w:val="true"/>
          <w:lang w:bidi="ar-SA"/>
        </w:rPr>
        <w:t>و أمّا الأحكام فمسائل</w:t>
      </w:r>
      <w:r>
        <w:rPr>
          <w:rFonts w:eastAsia="Amiri" w:cs="Amiri" w:ascii="Amiri" w:hAnsi="Amiri"/>
          <w:color w:val="111111"/>
          <w:sz w:val="28"/>
          <w:szCs w:val="28"/>
          <w:rtl w:val="true"/>
          <w:lang w:bidi="ar-SA"/>
        </w:rPr>
        <w:t>:</w:t>
      </w:r>
    </w:p>
    <w:p>
      <w:pPr>
        <w:pStyle w:val="Heading2"/>
        <w:numPr>
          <w:ilvl w:val="1"/>
          <w:numId w:val="1"/>
        </w:numPr>
        <w:rPr/>
      </w:pPr>
      <w:bookmarkStart w:id="938" w:name="__RefHeading___Toc7971924_2870459653"/>
      <w:bookmarkStart w:id="939" w:name="_Toc324"/>
      <w:bookmarkEnd w:id="938"/>
      <w:r>
        <w:rPr>
          <w:rtl w:val="true"/>
        </w:rPr>
        <w:t xml:space="preserve">في عدم استحقاق الأجرة قبل بذل الجاعل </w:t>
      </w:r>
      <w:r>
        <w:rPr>
          <w:rtl w:val="true"/>
        </w:rPr>
        <w:t xml:space="preserve">... </w:t>
      </w:r>
      <w:r>
        <w:rPr/>
        <w:t>455</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لايستحقّ العامل الأجرة الاّ اذا بذلها الجاعل أوّلاً، و لو حصلت الضالّة في يد انسان قبل الجعل لزمه التسليم و لا أجرة، و كذا لو سعى في التحصيل تبرّعا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حصلت الضالّة في يد انسان قبل الجعل لزمه التسليم و لو بالاعلام و التخلية و لا أجرة له على ذلك؛ لوجوبه عليه، و كذا لو سعى في التحصيل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عليّ مالي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من كان المال في يده نظر فان كان في ردّ من في يده مزيد كلفة و مؤونة كالعبد الآبق استحقّ الجعل و ان لم‌يكن كالدراهم و الدنانير فلا؛ لأنّ ما لا كلفة فيه لايقابل بالعوض</w:t>
      </w:r>
      <w:r>
        <w:rPr>
          <w:rFonts w:eastAsia="Amiri" w:cs="Amiri" w:ascii="Amiri" w:hAnsi="Amiri"/>
          <w:color w:val="111111"/>
          <w:sz w:val="28"/>
          <w:szCs w:val="28"/>
          <w:rtl w:val="true"/>
          <w:lang w:bidi="ar-SA"/>
        </w:rPr>
        <w:t>».</w:t>
      </w:r>
      <w:r>
        <w:rPr>
          <w:rStyle w:val="FootnoteAnchor"/>
          <w:rtl w:val="true"/>
        </w:rPr>
        <w:footnoteReference w:id="488"/>
      </w:r>
      <w:bookmarkStart w:id="940" w:name="pg9674_84545"/>
    </w:p>
    <w:p>
      <w:pPr>
        <w:pStyle w:val="BookText"/>
        <w:rPr/>
      </w:pPr>
      <w:bookmarkEnd w:id="940"/>
      <w:r>
        <w:rPr>
          <w:rFonts w:ascii="Amiri" w:hAnsi="Amiri" w:eastAsia="Amiri" w:cs="Amiri"/>
          <w:color w:val="111111"/>
          <w:sz w:val="28"/>
          <w:sz w:val="28"/>
          <w:szCs w:val="28"/>
          <w:rtl w:val="true"/>
          <w:lang w:bidi="ar-SA"/>
        </w:rPr>
        <w:t xml:space="preserve">ولكن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عليّ مالي فله كذا و ان كان المال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من كان المال في يده، استحقّ الجعل</w:t>
      </w:r>
      <w:r>
        <w:rPr>
          <w:rFonts w:eastAsia="Amiri" w:cs="Amiri" w:ascii="Amiri" w:hAnsi="Amiri"/>
          <w:color w:val="111111"/>
          <w:sz w:val="28"/>
          <w:szCs w:val="28"/>
          <w:rtl w:val="true"/>
          <w:lang w:bidi="ar-SA"/>
        </w:rPr>
        <w:t>.</w:t>
      </w:r>
    </w:p>
    <w:p>
      <w:pPr>
        <w:pStyle w:val="Heading2"/>
        <w:numPr>
          <w:ilvl w:val="1"/>
          <w:numId w:val="1"/>
        </w:numPr>
        <w:rPr/>
      </w:pPr>
      <w:bookmarkStart w:id="941" w:name="__RefHeading___Toc7971926_2870459653"/>
      <w:bookmarkStart w:id="942" w:name="_Toc325"/>
      <w:bookmarkEnd w:id="941"/>
      <w:r>
        <w:rPr>
          <w:rtl w:val="true"/>
        </w:rPr>
        <w:t xml:space="preserve">في حكم الجعل مع التعيين و عدمه </w:t>
      </w:r>
      <w:r>
        <w:rPr>
          <w:rtl w:val="true"/>
        </w:rPr>
        <w:t xml:space="preserve">... </w:t>
      </w:r>
      <w:r>
        <w:rPr/>
        <w:t>456</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بذل جعلاً فان عيّنه فعليه تسليمه مع الردّ، و ان لم‌يعيّنه لزم مع الردّ أجرة المثل الاّ في ردّ الآبق على رواية أبي سيّار عن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صلى‌الله‌عليه‌و‌آله جعل في الآبق دينارا اذا أخذ في مصره و ان أخذ في غير مصره فأربعة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الأفضل لا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على الرواية و لو نقصت قيمة العبد،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في البعير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لم‌أظفر فيه بمستند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استدعى الردّ و لم‌يبذل أجرة لم‌يكن للرادّ شيء؛ لأنّه متبرّع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 امّا أن‌يعيّن الجعل و يصفه بما يرفع الجهالة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يطلق العوض مع التعرّض لذكره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عليّ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يستدعي الردّ من غير تعرّض للأجرة أو لايستدعي أصلاً و يعمل له العامل مطلوبه بأن‌يردّ ضالّته أو يخيط ثوبه ابتداءً، ففي الأوّل يلزم ما عيّن بتمام العمل اذا لم‌يفعله العامل بنيّة التبرّع و هذا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يلزم أجرة المثل، و أمّا في الرابع فالظاهر أنّه 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بالرواية المذكورة في المتن في الصورة الثانية فعلى الأفضل لا الوجوب؛ لضعف السند و عمل المشهور بعنوان الوجوب غير معلوم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الثالث و هو ما لو استدعى الردّ فان كان ظاهر كلامه استدعاء الردّ تبرّعا </w:t>
      </w:r>
    </w:p>
    <w:p>
      <w:pPr>
        <w:pStyle w:val="BookText"/>
        <w:rPr/>
      </w:pPr>
      <w:r>
        <w:rPr>
          <w:rFonts w:ascii="Amiri" w:hAnsi="Amiri" w:eastAsia="Amiri" w:cs="Amiri"/>
          <w:color w:val="111111"/>
          <w:sz w:val="28"/>
          <w:sz w:val="28"/>
          <w:szCs w:val="28"/>
          <w:rtl w:val="true"/>
          <w:lang w:bidi="ar-SA"/>
        </w:rPr>
        <w:t>و من دون أجرة فلا أجرة للعامل و الاّ فله أجرة المثل الاّ أن‌يكون الرادّ من قصد 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جماعة كان الدينار لهم جميعا بالسويّة؛ لأنّ ردّ العمل حصل من الجميع لا من كلّ واحد،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جماعة كان لكلّ واحد دينار؛ لأنّ العمل حصل من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الحكم في هذه المسألة كما قال المصنّف و ادّعى عليه في الجواهر عدم الخلاف و الاشكال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لكلّ واحد من ثلاثة جعلاً أزيد من الآخر فجاءوا به جميعا كان لكلّ واحد ثلث ما جعل له، و لو كانوا أربعة كان له الربع أو خمسة فله الخمس و كذا لو ساوى بينهم بالجعل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أجاد في المسالك في توضيح هذا الفرع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جعل لكلّ واحد جعالة منفردة على عمل، فامّا أن‌يساوي بينهم في الجعل، أو يخالفه بالزيادة والنقصان و الجنس، أو يعيّن لبعض و يطلق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الفعل امّا أن‌يقبل الاختلاف </w:t>
      </w:r>
      <w:bookmarkStart w:id="943" w:name="pg9674_84547"/>
    </w:p>
    <w:p>
      <w:pPr>
        <w:pStyle w:val="BookText"/>
        <w:rPr/>
      </w:pPr>
      <w:bookmarkEnd w:id="943"/>
      <w:r>
        <w:rPr>
          <w:rFonts w:ascii="Amiri" w:hAnsi="Amiri" w:eastAsia="Amiri" w:cs="Amiri"/>
          <w:color w:val="111111"/>
          <w:sz w:val="28"/>
          <w:sz w:val="28"/>
          <w:szCs w:val="28"/>
          <w:rtl w:val="true"/>
          <w:lang w:bidi="ar-SA"/>
        </w:rPr>
        <w:t>في العمل كخياطة الثوب، أو لايقبل كردّ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اشتركوا في العمل، و كان ممّا لايختلف، فلكلّ واحد منهم بنسبة ما جعل له من مجموع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اختلف فلكلّ واحد بنسبة عمله من المجموع، و لمن لم‌يعيّن له من أجرة المثل بنسبة ذلك</w:t>
      </w:r>
      <w:r>
        <w:rPr>
          <w:rFonts w:eastAsia="Amiri" w:cs="Amiri" w:ascii="Amiri" w:hAnsi="Amiri"/>
          <w:color w:val="111111"/>
          <w:sz w:val="28"/>
          <w:szCs w:val="28"/>
          <w:rtl w:val="true"/>
          <w:lang w:bidi="ar-SA"/>
        </w:rPr>
        <w:t>.</w:t>
      </w:r>
    </w:p>
    <w:p>
      <w:pPr>
        <w:pStyle w:val="Heading2"/>
        <w:numPr>
          <w:ilvl w:val="1"/>
          <w:numId w:val="1"/>
        </w:numPr>
        <w:rPr/>
      </w:pPr>
      <w:bookmarkStart w:id="944" w:name="__RefHeading___Toc7971928_2870459653"/>
      <w:bookmarkStart w:id="945" w:name="_Toc326"/>
      <w:bookmarkEnd w:id="944"/>
      <w:r>
        <w:rPr>
          <w:rtl w:val="true"/>
        </w:rPr>
        <w:t>فيما اذا قال</w:t>
      </w:r>
      <w:r>
        <w:rPr>
          <w:rtl w:val="true"/>
        </w:rPr>
        <w:t>: «</w:t>
      </w:r>
      <w:r>
        <w:rPr>
          <w:rtl w:val="true"/>
        </w:rPr>
        <w:t>من ردّ عبدي فله دينار</w:t>
      </w:r>
      <w:r>
        <w:rPr>
          <w:rtl w:val="true"/>
        </w:rPr>
        <w:t xml:space="preserve">» ... </w:t>
      </w:r>
      <w:r>
        <w:rPr/>
        <w:t>457</w:t>
      </w:r>
      <w:bookmarkEnd w:id="945"/>
    </w:p>
    <w:p>
      <w:pPr>
        <w:pStyle w:val="BookText"/>
        <w:rPr/>
      </w:pPr>
      <w:r>
        <w:rPr>
          <w:rFonts w:ascii="Amiri" w:hAnsi="Amiri" w:eastAsia="Amiri" w:cs="Amiri"/>
          <w:color w:val="111111"/>
          <w:sz w:val="28"/>
          <w:sz w:val="28"/>
          <w:szCs w:val="28"/>
          <w:rtl w:val="true"/>
          <w:lang w:bidi="ar-SA"/>
        </w:rPr>
        <w:t>فلو قال 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رددت عبدي فلك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رددته فلك ديناران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رددته فلك ثلاثة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عبدي و عليّ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ردّه واحد فله ما عيّن له خاصّة، و لمن لم‌يعيّن له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ردّه اثنان فلكلّ واحد منهما نصف ما 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أحدهما غير المعيّن فله نصف أجرة المثل، و للمعيّن نصف ما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ردّه ثلاثة فلكلّ واحد ثلث ما جعل له، أو أربعة فلكلّ واحد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الجعل على خياطة الثوب فخاطه الأربعة، فلكلّ واحد منهم بنسبة ما عمل الى مجموع العمل ممّا عيّن له، و لمن لم‌يعيّن له من أجرة المثل بنسبة ما عمل الى المجموع، و لا نظر هنا الى العدد</w:t>
      </w:r>
      <w:r>
        <w:rPr>
          <w:rFonts w:eastAsia="Amiri" w:cs="Amiri" w:ascii="Amiri" w:hAnsi="Amiri"/>
          <w:color w:val="111111"/>
          <w:sz w:val="28"/>
          <w:szCs w:val="28"/>
          <w:rtl w:val="true"/>
          <w:lang w:bidi="ar-SA"/>
        </w:rPr>
        <w:t>».</w:t>
      </w:r>
      <w:r>
        <w:rPr>
          <w:rStyle w:val="FootnoteAnchor"/>
          <w:rtl w:val="true"/>
        </w:rPr>
        <w:footnoteReference w:id="490"/>
      </w:r>
    </w:p>
    <w:p>
      <w:pPr>
        <w:pStyle w:val="Heading2"/>
        <w:numPr>
          <w:ilvl w:val="1"/>
          <w:numId w:val="1"/>
        </w:numPr>
        <w:rPr/>
      </w:pPr>
      <w:bookmarkStart w:id="946" w:name="__RefHeading___Toc7971930_2870459653"/>
      <w:bookmarkStart w:id="947" w:name="_Toc327"/>
      <w:bookmarkEnd w:id="946"/>
      <w:r>
        <w:rPr>
          <w:rtl w:val="true"/>
        </w:rPr>
        <w:t xml:space="preserve">فيما لو جعل لكلّ واحد جعلاً </w:t>
      </w:r>
      <w:r>
        <w:rPr>
          <w:rtl w:val="true"/>
        </w:rPr>
        <w:t xml:space="preserve">... </w:t>
      </w:r>
      <w:r>
        <w:rPr/>
        <w:t>457</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لبعض الثلاثة جعلاً معلوما و لبعضهم مجهولاً فجاءوا به جميعا كان لصاحب المعلوم ثلث ما جعل له و للمجهول ثلث أجرة مثله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هذا الفرع ممّا علم من التقسيمات في الفرع السابق</w:t>
      </w:r>
      <w:r>
        <w:rPr>
          <w:rFonts w:eastAsia="Amiri" w:cs="Amiri" w:ascii="Amiri" w:hAnsi="Amiri"/>
          <w:color w:val="111111"/>
          <w:sz w:val="28"/>
          <w:szCs w:val="28"/>
          <w:rtl w:val="true"/>
          <w:lang w:bidi="ar-SA"/>
        </w:rPr>
        <w:t xml:space="preserve">. </w:t>
      </w:r>
      <w:bookmarkStart w:id="948" w:name="pg9674_84548"/>
    </w:p>
    <w:p>
      <w:pPr>
        <w:pStyle w:val="Heading2"/>
        <w:numPr>
          <w:ilvl w:val="1"/>
          <w:numId w:val="1"/>
        </w:numPr>
        <w:rPr/>
      </w:pPr>
      <w:bookmarkStart w:id="949" w:name="__RefHeading___Toc7971932_2870459653"/>
      <w:bookmarkStart w:id="950" w:name="_Toc328"/>
      <w:bookmarkEnd w:id="948"/>
      <w:bookmarkEnd w:id="949"/>
      <w:r>
        <w:rPr>
          <w:rtl w:val="true"/>
        </w:rPr>
        <w:t xml:space="preserve">فيما لو جعل لواحد جعل على الردّ فشاركه آخر </w:t>
      </w:r>
      <w:r>
        <w:rPr>
          <w:rtl w:val="true"/>
        </w:rPr>
        <w:t xml:space="preserve">... </w:t>
      </w:r>
      <w:r>
        <w:rPr/>
        <w:t>459</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لواحد جعل على الردّ فشاركه آخر في الردّ كان للمجعول له نصف الأجرة؛ لأنّه عمل نصف العمل و ليس للآخر شيء؛ لأنّه تبرّع، و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يستحقّ نصف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جعل لواحد جعل على الردّ فشاركه آخر في الردّ كان للمجعول له نصف الأجرة؛ لأنّه عمل نصف العمل و ليس للآخر شيء؛ لأنّه 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 الشيخ باستحقاق المشارك نصف أجرة المثل مع عدم دخوله في الجعالة فضعفه واضح؛ لأنّه لو استقلّ بالفعل لم‌يستحقّ شيئا اجماعا؛ لتبرّعه بالعمل، فكيف يستحقّ مع المشاركة؟ و للعلاّمة قول باستحقاق العامل الجميع؛ لحصول غرض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أيضا بأنّ مطلق حصول غرض المالك لايوجب استحقاق العامل الجميع</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قرينة على أنّ مراد الجاعل أنّه يعطي المجعول له تمام الجعل و لو عمل العمل باستعانة غيره فيعضده غيره، كان قول العلاّمة باستحقاق العامل جميع الأجرة وجيها</w:t>
      </w:r>
      <w:r>
        <w:rPr>
          <w:rFonts w:eastAsia="Amiri" w:cs="Amiri" w:ascii="Amiri" w:hAnsi="Amiri"/>
          <w:color w:val="111111"/>
          <w:sz w:val="28"/>
          <w:szCs w:val="28"/>
          <w:rtl w:val="true"/>
          <w:lang w:bidi="ar-SA"/>
        </w:rPr>
        <w:t>.</w:t>
      </w:r>
    </w:p>
    <w:p>
      <w:pPr>
        <w:pStyle w:val="Heading2"/>
        <w:numPr>
          <w:ilvl w:val="1"/>
          <w:numId w:val="1"/>
        </w:numPr>
        <w:rPr/>
      </w:pPr>
      <w:bookmarkStart w:id="951" w:name="__RefHeading___Toc7971934_2870459653"/>
      <w:bookmarkStart w:id="952" w:name="_Toc329"/>
      <w:bookmarkEnd w:id="951"/>
      <w:r>
        <w:rPr>
          <w:rtl w:val="true"/>
        </w:rPr>
        <w:t xml:space="preserve">فيمالو جعل معيّنا على ردّه من مسافة معيّنة فردّه من بعضها </w:t>
      </w:r>
      <w:r>
        <w:rPr>
          <w:rtl w:val="true"/>
        </w:rPr>
        <w:t xml:space="preserve">... </w:t>
      </w:r>
      <w:r>
        <w:rPr/>
        <w:t>459</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معيّنا على ردّه من مسافة معيّنة فردّه من بعضها كان له من الجعل بنسبة المسافة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جعل معيّنا على ردّه من مسافة معيّنة فردّه من بعضها كان له من الجعل </w:t>
      </w:r>
    </w:p>
    <w:p>
      <w:pPr>
        <w:pStyle w:val="BookText"/>
        <w:rPr/>
      </w:pPr>
      <w:r>
        <w:rPr>
          <w:rFonts w:ascii="Amiri" w:hAnsi="Amiri" w:eastAsia="Amiri" w:cs="Amiri"/>
          <w:color w:val="111111"/>
          <w:sz w:val="28"/>
          <w:sz w:val="28"/>
          <w:szCs w:val="28"/>
          <w:rtl w:val="true"/>
          <w:lang w:bidi="ar-SA"/>
        </w:rPr>
        <w:t>بنسبة المسافة؛ و ذلك لأنّه لم‌يعمل جميع العمل المشروط فكان له من الجعل مقابلة عمله و سقط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ذكره الأصحاب و غيرهم من غير نقل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لايخلو من نظر على قاعدة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فيه في الجواهر فراجع</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غرض الجاعل ردّ الشيء نفسه و لايكون قطع المسافة داخلاً في غرضه أصلاً و انّما ذكر المسافة المعيّنة لزعمه أنّ ذلك الشيء يحصل عليه العامل في تلك المسافة، و عليه فاذا ردّه العامل و لو من بعض تلك المسافة يجب على الجاعل أن‌يعطيه تمام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قطع المسافة داخلاً في غرضه و في هذه الصورة كان لما ذكره المصنّف رحمه‌الله و كذا الأصحاب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الغالب في مثل هذه الجعالة هو الأوّل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ردّه من أزيد من المسافة فان دخل المعيّن استحقّ الجعل المعيّن أو أجرة المثل و لا شيء له للزائد؛ لأنّ المالك لم‌يلتزمه فيكون العامل فيه متبرّعا فلا عوض له عنه، و هذا يصحّ على ما ذكرناه في الصورة الأولى من كون قصده من الجعالة ردّ الشيء فقط، ولكن الاحتياط في هذا الفرض هو التصالح</w:t>
      </w:r>
      <w:r>
        <w:rPr>
          <w:rFonts w:eastAsia="Amiri" w:cs="Amiri" w:ascii="Amiri" w:hAnsi="Amiri"/>
          <w:color w:val="111111"/>
          <w:sz w:val="28"/>
          <w:szCs w:val="28"/>
          <w:rtl w:val="true"/>
          <w:lang w:bidi="ar-SA"/>
        </w:rPr>
        <w:t xml:space="preserve">. </w:t>
      </w:r>
      <w:bookmarkStart w:id="953" w:name="pg9674_84550"/>
    </w:p>
    <w:p>
      <w:pPr>
        <w:pStyle w:val="Heading2"/>
        <w:numPr>
          <w:ilvl w:val="1"/>
          <w:numId w:val="1"/>
        </w:numPr>
        <w:rPr/>
      </w:pPr>
      <w:bookmarkStart w:id="954" w:name="__RefHeading___Toc7971936_2870459653"/>
      <w:bookmarkStart w:id="955" w:name="_Toc330"/>
      <w:bookmarkEnd w:id="953"/>
      <w:bookmarkEnd w:id="954"/>
      <w:r>
        <w:rPr>
          <w:rtl w:val="true"/>
        </w:rPr>
        <w:t xml:space="preserve">النظر الثالث </w:t>
      </w:r>
      <w:r>
        <w:rPr>
          <w:rtl w:val="true"/>
        </w:rPr>
        <w:t xml:space="preserve">: </w:t>
      </w:r>
      <w:r>
        <w:rPr>
          <w:rtl w:val="true"/>
        </w:rPr>
        <w:t>في اللواحق</w:t>
      </w:r>
      <w:bookmarkEnd w:id="955"/>
    </w:p>
    <w:p>
      <w:pPr>
        <w:pStyle w:val="Heading2"/>
        <w:numPr>
          <w:ilvl w:val="1"/>
          <w:numId w:val="1"/>
        </w:numPr>
        <w:rPr/>
      </w:pPr>
      <w:bookmarkStart w:id="956" w:name="__RefHeading___Toc7971938_2870459653"/>
      <w:bookmarkStart w:id="957" w:name="_Toc331"/>
      <w:bookmarkEnd w:id="956"/>
      <w:r>
        <w:rPr>
          <w:rtl w:val="true"/>
        </w:rPr>
        <w:t xml:space="preserve">في مسائل التنازع </w:t>
      </w:r>
      <w:r>
        <w:rPr>
          <w:rtl w:val="true"/>
        </w:rPr>
        <w:t xml:space="preserve">... </w:t>
      </w:r>
      <w:r>
        <w:rPr/>
        <w:t>461</w:t>
      </w:r>
      <w:bookmarkEnd w:id="957"/>
    </w:p>
    <w:p>
      <w:pPr>
        <w:pStyle w:val="BookText"/>
        <w:rPr/>
      </w:pPr>
      <w:r>
        <w:rPr>
          <w:rFonts w:ascii="Amiri" w:hAnsi="Amiri" w:eastAsia="Amiri" w:cs="Amiri"/>
          <w:color w:val="111111"/>
          <w:sz w:val="28"/>
          <w:sz w:val="28"/>
          <w:szCs w:val="28"/>
          <w:rtl w:val="true"/>
          <w:lang w:bidi="ar-SA"/>
        </w:rPr>
        <w:t>و يلحق بذلك مسائل التنازع و هي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شارطتني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لم‌أشارطك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المالك مع يمينه، و كذا القول قوله لو جاء بأحد الآبقين فقال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لم‌أقصد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شارطتني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أمرتني بالعمل و جعلت لي جعلاً معيّنا أو أستحقّ به أجرة المثل، فقال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لم‌أشارطك و لم‌آمرك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المالك مع يمينه؛ لأنّه منكر؛ اذ الأصل عدم الأمر و الشرط</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القول قول المالك لو جاء بأحد الآبقين فقال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لم‌أقصد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مرجع دعوى العامل على المالك الشرط على هذا الآبق الذي ردّه و هو ينكره فالقول قول المالك؛ لأصالة عدم الشرط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قدر الجعل أو جنسه فالقول قول الجاعل مع يمينه،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يثبت للعامل 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أقلّ الأمرين من الأجرة و القدر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و كان بعض من عاصرناه يثبت مع اليمين ما ادّعاه الجاعل و هو خطأ؛ لأنّ فائدة يمينه اسقاط دعوى العامل لا ثبوت ما يدّعيه الحالف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هنا يقع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أن‌يختلفا في قدر الجعل، بأن‌قال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اتّفاقهما على الجنس 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قول المالك، فاذا حلف ثبت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الشيخ و جماعة؛ أمّا تقديم قوله فلأنّ الاختلاف في فعله فيقدّم فيه كما يقدّم في أصل الجعل، و لأنّه ينكر ما يدّعيه العامل من الزائد، فيكون معه أصل عدم بذله و براءة ذمّته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ثبوت أجرة المثل فلأنّ يمينه على نفي ما يدّعيه العامل لا على اثبات ما يدّعيه، فاذا انتفى ما يدّعيه العامل و لم‌يثبت ما يدّعيه هو ثبت أجرة المثل؛ للاتّفاق على وقوع العمل بعوض، و أجرة المثل عوض ما لايثبت فيه مقدّر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قول المالك؛ لما ذكر، لكن يثبت أقلّ الأمرين من أجرة المثل و ما يدّعيه العامل؛ لأنّ أجرة المثل ان كانت أقلّ فقد انتفى ما يدّعيه العامل بيمين المالك فيثبت أجرة المثل؛ لما ذكر في القول الأوّل، و ان كان ما يدّعيه أقلّ من الأجرة فلاعترافه بعدم استحقاق الزيادة و ببراءة المالك منها فكيف تثبت له؟ </w:t>
      </w:r>
    </w:p>
    <w:p>
      <w:pPr>
        <w:pStyle w:val="BookText"/>
        <w:rPr/>
      </w:pPr>
      <w:r>
        <w:rPr>
          <w:rFonts w:ascii="Amiri" w:hAnsi="Amiri" w:eastAsia="Amiri" w:cs="Amiri"/>
          <w:color w:val="111111"/>
          <w:sz w:val="28"/>
          <w:sz w:val="28"/>
          <w:szCs w:val="28"/>
          <w:rtl w:val="true"/>
          <w:lang w:bidi="ar-SA"/>
        </w:rPr>
        <w:t>و من هنا يظهر ضعف اطلاق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اختاره المصنّف رحمه‌الله و العلاّمة في التذكرة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السعي بأن‌قال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 في يدك قبل الجعل فلا جعل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المالك؛ تمسّكا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اختلفا في السعي بأن‌قال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 في يدك قبل الجعل فلا جعل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 في يدي بعد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المالك؛ تمسّكا بالأصل الذي يقتضي براءة ذمّة المالك؛ لأنّ الشكّ في الشرط شكّ في المشروط، و هذا الحكم لا اشكال فيه بشرط الجهل بتاريخ الحصول في اليد و الجعل معا، و كذا في صورة الجهل بتاريخ الجعل مع العلم بتاريخ الحصول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العلم بتاريخ الجعل و الجهل بتاريخ الحصول في اليد فالظاهر أنّ القول قول العامل و ذلك لأنّ استصحاب عدم الحصول في اليد الى حين الجهل كافٍ في اثبات كون الحصول في اليد بعد الجعل من غير أن‌يكون من الأصل المثبت الذي ليس بحجّة على ما قد أثبتناه في الأصول</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شرح كتاب الجعالة </w:t>
      </w:r>
    </w:p>
    <w:p>
      <w:pPr>
        <w:pStyle w:val="BookText"/>
        <w:rPr/>
      </w:pPr>
      <w:r>
        <w:rPr>
          <w:rFonts w:ascii="Amiri" w:hAnsi="Amiri" w:eastAsia="Amiri" w:cs="Amiri"/>
          <w:color w:val="111111"/>
          <w:sz w:val="28"/>
          <w:sz w:val="28"/>
          <w:szCs w:val="28"/>
          <w:rtl w:val="true"/>
          <w:lang w:bidi="ar-SA"/>
        </w:rPr>
        <w:t>تمّ بعون اللّه الملك العلاّم ما أردنا شرحه</w:t>
      </w:r>
    </w:p>
    <w:p>
      <w:pPr>
        <w:pStyle w:val="BookText"/>
        <w:rPr/>
      </w:pPr>
      <w:r>
        <w:rPr>
          <w:rFonts w:ascii="Amiri" w:hAnsi="Amiri" w:eastAsia="Amiri" w:cs="Amiri"/>
          <w:color w:val="111111"/>
          <w:sz w:val="28"/>
          <w:sz w:val="28"/>
          <w:szCs w:val="28"/>
          <w:rtl w:val="true"/>
          <w:lang w:bidi="ar-SA"/>
        </w:rPr>
        <w:t>في هذا المجلّد من بعض الكتب الذي لم‌يذكر في العروة الوثقى</w:t>
      </w:r>
    </w:p>
    <w:p>
      <w:pPr>
        <w:pStyle w:val="BookText"/>
        <w:rPr/>
      </w:pPr>
      <w:r>
        <w:rPr>
          <w:rFonts w:ascii="Amiri" w:hAnsi="Amiri" w:eastAsia="Amiri" w:cs="Amiri"/>
          <w:color w:val="111111"/>
          <w:sz w:val="28"/>
          <w:sz w:val="28"/>
          <w:szCs w:val="28"/>
          <w:rtl w:val="true"/>
          <w:lang w:bidi="ar-SA"/>
        </w:rPr>
        <w:t>و قد شرحناه من كتاب شرائع الاسلام للمحقّق الحلّي قدس‌سره و قد اشتمل</w:t>
      </w:r>
    </w:p>
    <w:p>
      <w:pPr>
        <w:pStyle w:val="BookText"/>
        <w:rPr/>
      </w:pPr>
      <w:r>
        <w:rPr>
          <w:rFonts w:ascii="Amiri" w:hAnsi="Amiri" w:eastAsia="Amiri" w:cs="Amiri"/>
          <w:color w:val="111111"/>
          <w:sz w:val="28"/>
          <w:sz w:val="28"/>
          <w:szCs w:val="28"/>
          <w:rtl w:val="true"/>
          <w:lang w:bidi="ar-SA"/>
        </w:rPr>
        <w:t>هذا المجلّد على شرح كتاب الرهن و المفلّس و الحجر و الصلح و الوديعة و العارية و الوكالة و الهبات و السبق و الرماية و الاقرار و الجعالة</w:t>
      </w:r>
    </w:p>
    <w:p>
      <w:pPr>
        <w:pStyle w:val="BookText"/>
        <w:rPr/>
      </w:pPr>
      <w:r>
        <w:rPr>
          <w:rFonts w:ascii="Amiri" w:hAnsi="Amiri" w:eastAsia="Amiri" w:cs="Amiri"/>
          <w:color w:val="111111"/>
          <w:sz w:val="28"/>
          <w:sz w:val="28"/>
          <w:szCs w:val="28"/>
          <w:rtl w:val="true"/>
          <w:lang w:bidi="ar-SA"/>
        </w:rPr>
        <w:t xml:space="preserve">و قد تمّ استئناف النظر فيه في شهر ربيع الثاني سنة </w:t>
      </w:r>
      <w:r>
        <w:rPr>
          <w:rFonts w:eastAsia="Amiri" w:cs="Amiri" w:ascii="Amiri" w:hAnsi="Amiri"/>
          <w:color w:val="111111"/>
          <w:sz w:val="28"/>
          <w:szCs w:val="28"/>
          <w:lang w:bidi="ar-SA"/>
        </w:rPr>
        <w:t>1437</w:t>
      </w:r>
    </w:p>
    <w:p>
      <w:pPr>
        <w:pStyle w:val="BookText"/>
        <w:rPr/>
      </w:pPr>
      <w:r>
        <w:rPr>
          <w:rFonts w:ascii="IRNazanin" w:hAnsi="IRNazanin" w:eastAsia="IRNazanin"/>
          <w:color w:val="111111"/>
          <w:sz w:val="28"/>
          <w:sz w:val="28"/>
          <w:szCs w:val="28"/>
          <w:rtl w:val="true"/>
          <w:lang w:bidi="fa-IR"/>
        </w:rPr>
        <w:t>و الحمدللّه أوّلاً و آخرا و ظاهرا و باطنا</w:t>
      </w:r>
    </w:p>
    <w:p>
      <w:pPr>
        <w:pStyle w:val="BookText"/>
        <w:rPr/>
      </w:pPr>
      <w:r>
        <w:rPr>
          <w:rFonts w:ascii="Amiri" w:hAnsi="Amiri" w:eastAsia="Amiri" w:cs="Amiri"/>
          <w:color w:val="111111"/>
          <w:sz w:val="28"/>
          <w:sz w:val="28"/>
          <w:szCs w:val="28"/>
          <w:rtl w:val="true"/>
          <w:lang w:bidi="ar-SA"/>
        </w:rPr>
        <w:t>و صلّى اللّه على محمّد و آله الطاهرين</w:t>
      </w:r>
    </w:p>
    <w:p>
      <w:pPr>
        <w:pStyle w:val="BookText"/>
        <w:rPr/>
      </w:pPr>
      <w:r>
        <w:rPr>
          <w:rFonts w:ascii="Amiri" w:hAnsi="Amiri" w:eastAsia="Amiri" w:cs="Amiri"/>
          <w:color w:val="111111"/>
          <w:sz w:val="28"/>
          <w:sz w:val="28"/>
          <w:szCs w:val="28"/>
          <w:rtl w:val="true"/>
          <w:lang w:bidi="ar-SA"/>
        </w:rPr>
        <w:t>سيّد علي محمّد دستغيب الحسيني</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سيّد على أكبر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يروم 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اصلاحه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تحاصّ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تقاسموا المال حصصا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شروط المتعاقدين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توي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زقاق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كوچه، راه تنگ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ساباط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دالان، راهروى رو پوشيده بين دو خانه، گذر سرپوشيده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 بالضمّ هو ما يعمل من القصب شبه الجدار حاجزا بين الملكين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القمط بالضمّ جمع قماط و هو الحبل الذي تشدّ به أخشاب السقف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يرفع أمره الى الحاكم كالجدار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الخميني</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كتاب الصلح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الى مناسك الحجّ المجلّد الأوّل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الوكالة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الوكالة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الوكالة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 من 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 من كتاب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يضمر لك العداوة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السبق و الرماية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السبق و الرماية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السبق و الرماية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السبق و الرماية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السبق و الرماية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الجعالة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الجعالة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الطبعة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من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33216</Words>
  <Characters>133800</Characters>
  <CharactersWithSpaces>166143</CharactersWithSpaces>
  <Paragraphs>1021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2026-08-20T18:03:27Z</dcterms:created>
  <dc:creator>ghaemiyeh.com</dc:creator>
  <dc:description/>
  <dc:language>en-US</dc:language>
  <cp:lastModifiedBy/>
  <dcterms:modified xsi:type="dcterms:W3CDTF">2026-08-20T21:33:39Z</dcterms:modified>
  <cp:revision>1</cp:revision>
  <dc:subject/>
  <dc:title>الهادی الى أحکام الرهن و ما یلیه فی الشرائع المفلس والحجر والصلح</dc:title>
</cp:coreProperties>
</file>

<file path=docProps/custom.xml><?xml version="1.0" encoding="utf-8"?>
<Properties xmlns="http://schemas.openxmlformats.org/officeDocument/2006/custom-properties" xmlns:vt="http://schemas.openxmlformats.org/officeDocument/2006/docPropsVTypes"/>
</file>